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nariadenia vlády Slovenskej republiky, ktorým sa mení a dopĺňa nariadenie vlády Slovenskej republiky č. 528/2002 Z. z., ktorým sa vyhlasuje záväzná časť Koncepcie územného rozvoja Slovenska 2001v znení nariadenia vlády Slovenskej republiky č 461/2011 Z. z.</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LP/2026/477</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20</w:t>
      </w:r>
      <w:r w:rsidR="002E3CEC">
        <w:rPr>
          <w:rFonts w:ascii="Times New Roman" w:eastAsia="Times New Roman" w:hAnsi="Times New Roman" w:cs="Times New Roman"/>
          <w:sz w:val="24"/>
          <w:szCs w:val="24"/>
          <w:lang w:val="en-US"/>
        </w:rPr>
        <w:t>/8</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0</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K vyššie uvedenému materiálu Generálna prokuratúra Slovenskej republiky neuplatňuje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Čl. I za bod 3. vkladá bod 4, ktorý znie:</w:t>
              <w:br/>
            </w:r>
            <w:r>
              <w:rPr>
                <w:b w:val="off"/>
                <w:color w:val="000000"/>
                <w:rFonts w:ascii="Times New Roman" w:hAnsi="Times New Roman" w:cs="Times New Roman" w:eastAsia="Times New Roman"/>
                <w:sz w:val="24"/>
              </w:rPr>
              <w:t>4.  V prílohe v bode 11.9.6. sa za slovom „Košiciach“ vkladajú slová „(Bočiar)“</w:t>
              <w:br/>
            </w:r>
            <w:r>
              <w:rPr>
                <w:b w:val="off"/>
                <w:color w:val="000000"/>
                <w:rFonts w:ascii="Times New Roman" w:hAnsi="Times New Roman" w:cs="Times New Roman" w:eastAsia="Times New Roman"/>
                <w:sz w:val="24"/>
              </w:rPr>
              <w:t>Výsledné znenie dotknutej časti bodu 11.9.6:</w:t>
              <w:br/>
            </w:r>
            <w:r>
              <w:rPr>
                <w:b w:val="off"/>
                <w:color w:val="000000"/>
                <w:rFonts w:ascii="Times New Roman" w:hAnsi="Times New Roman" w:cs="Times New Roman" w:eastAsia="Times New Roman"/>
                <w:sz w:val="24"/>
              </w:rPr>
              <w:t>„základné verejné terminály kombinovanej dopravy medzinárodného významu v Bratislave, Žiline, Košiciach (Bočiar) a Dobrej [...]“</w:t>
              <w:br/>
            </w:r>
            <w:r>
              <w:rPr>
                <w:b w:val="off"/>
                <w:color w:val="000000"/>
                <w:rFonts w:ascii="Times New Roman" w:hAnsi="Times New Roman" w:cs="Times New Roman" w:eastAsia="Times New Roman"/>
                <w:sz w:val="24"/>
              </w:rPr>
              <w:t>Aktuálny bod č. 4 sa prečísluje na bod č. 5 v pôvodnom znení.</w:t>
              <w:br/>
            </w:r>
            <w:r>
              <w:rPr>
                <w:b w:val="off"/>
                <w:color w:val="000000"/>
                <w:rFonts w:ascii="Times New Roman" w:hAnsi="Times New Roman" w:cs="Times New Roman" w:eastAsia="Times New Roman"/>
                <w:sz w:val="24"/>
              </w:rPr>
              <w:t>Odôvodnenie navrhovanej zmeny</w:t>
              <w:br/>
            </w:r>
            <w:r>
              <w:rPr>
                <w:b w:val="off"/>
                <w:color w:val="000000"/>
                <w:rFonts w:ascii="Times New Roman" w:hAnsi="Times New Roman" w:cs="Times New Roman" w:eastAsia="Times New Roman"/>
                <w:sz w:val="24"/>
              </w:rPr>
              <w:t>Platná záväzná časť KÚRS 2001 v znení Zmien a doplnkov č. 1 uvádza v bode 11.9.6 základný verejný terminál kombinovanej dopravy medzinárodného významu v Košiciach, avšak bez bližšieho územného označenia konkrétnej lokality.</w:t>
              <w:br/>
            </w:r>
            <w:r>
              <w:rPr>
                <w:b w:val="off"/>
                <w:color w:val="000000"/>
                <w:rFonts w:ascii="Times New Roman" w:hAnsi="Times New Roman" w:cs="Times New Roman" w:eastAsia="Times New Roman"/>
                <w:sz w:val="24"/>
              </w:rPr>
              <w:t>Územný plán veľkého územného celku Košický kraj v znení zmien a doplnkov túto lokalitu jednoznačne identifikuje ako Bočiar. V záväznej časti uvádza železničné uzlové body a základné verejné terminály kombinovanej dopravy v Košiciach (Bočiar) a v Dobrej. Zároveň medzi verejnoprospešnými stavbami uvádza terminál kombinovanej dopravy Košice (Bočiar).</w:t>
              <w:br/>
            </w:r>
            <w:r>
              <w:rPr>
                <w:b w:val="off"/>
                <w:color w:val="000000"/>
                <w:rFonts w:ascii="Times New Roman" w:hAnsi="Times New Roman" w:cs="Times New Roman" w:eastAsia="Times New Roman"/>
                <w:sz w:val="24"/>
              </w:rPr>
              <w:t>Navrhované doplnenie preto nevytvára nový prvok nadradenej dopravnej infraštruktúry ani nemení jeho vecný význam. Ide o jednoznačné územné spresnenie terminálu už uvedeného v KÚRS a o zosúladenie celoštátnej koncepcie s platnou regionálnou územnoplánovacou dokumentáciou.</w:t>
              <w:br/>
            </w:r>
            <w:r>
              <w:rPr>
                <w:b w:val="off"/>
                <w:color w:val="000000"/>
                <w:rFonts w:ascii="Times New Roman" w:hAnsi="Times New Roman" w:cs="Times New Roman" w:eastAsia="Times New Roman"/>
                <w:sz w:val="24"/>
              </w:rPr>
              <w:t>Jednoznačné uvedenie lokality Bočiar odstráni možnú výkladovú nejasnosť, zabráni zámene s inými dopravnými alebo logistickými zariadeniami v košickej aglomerácii a zabezpečí zrozumiteľnú väzbu medzi celoštátnou a regionálnou úrovňou územnoplánovacej dokumentácie.</w:t>
              <w:br/>
            </w:r>
            <w:r>
              <w:rPr>
                <w:b w:val="off"/>
                <w:color w:val="000000"/>
                <w:rFonts w:ascii="Times New Roman" w:hAnsi="Times New Roman" w:cs="Times New Roman" w:eastAsia="Times New Roman"/>
                <w:sz w:val="24"/>
              </w:rPr>
              <w:t>Pripomienka sa uplatňuje ako zásadná, keďže jednoznačná lokalizácia terminálu kombinovanej dopravy medzinárodného významu je podstatná pre ochranu a koordináciu nadradenej dopravnej infraštruktúry a pre zachovanie súladu KÚRS s platnou záväznou časťou ÚPN VÚC Košický kraj.</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Čl. I za Bod č.5. sa pridáva bod č.6 v znení:</w:t>
              <w:br/>
            </w:r>
            <w:r>
              <w:rPr>
                <w:b w:val="off"/>
                <w:color w:val="000000"/>
                <w:rFonts w:ascii="Times New Roman" w:hAnsi="Times New Roman" w:cs="Times New Roman" w:eastAsia="Times New Roman"/>
                <w:sz w:val="24"/>
              </w:rPr>
              <w:t>V prílohe v bode 12.2 sa za bod 12.2.8 dopĺňa nový bod 12.2.9, ktorý znie:</w:t>
              <w:br/>
            </w:r>
            <w:r>
              <w:rPr>
                <w:b w:val="off"/>
                <w:color w:val="000000"/>
                <w:rFonts w:ascii="Times New Roman" w:hAnsi="Times New Roman" w:cs="Times New Roman" w:eastAsia="Times New Roman"/>
                <w:sz w:val="24"/>
              </w:rPr>
              <w:t>„12.2.9. Zariadenia na výrobu energie z obnoviteľných zdrojov sú prípustné len v územiach, ktoré sú na tento účel výslovne určené v záväznej časti územnoplánovacej dokumentácie nižšieho stupňa, pričom ich lokalizácia musí byť preverená z hľadiska ochrany prírody a krajiny, územného systému ekologickej stability, charakteru krajiny, sídelnej štruktúry, ochrany obyvateľstva a ostatných verejných záujmov.“</w:t>
              <w:br/>
            </w:r>
            <w:r>
              <w:rPr>
                <w:b w:val="off"/>
                <w:color w:val="000000"/>
                <w:rFonts w:ascii="Times New Roman" w:hAnsi="Times New Roman" w:cs="Times New Roman" w:eastAsia="Times New Roman"/>
                <w:sz w:val="24"/>
              </w:rPr>
              <w:t>Odôvodnenie navrhovanej zmeny</w:t>
              <w:br/>
            </w:r>
            <w:r>
              <w:rPr>
                <w:b w:val="off"/>
                <w:color w:val="000000"/>
                <w:rFonts w:ascii="Times New Roman" w:hAnsi="Times New Roman" w:cs="Times New Roman" w:eastAsia="Times New Roman"/>
                <w:sz w:val="24"/>
              </w:rPr>
              <w:t>Zariadenia na výrobu energie predstavujú stavby s významným priestorovým dopadom na krajinu, krajinný obraz, sídelné prostredie a technickú infraštruktúru.</w:t>
              <w:br/>
            </w:r>
            <w:r>
              <w:rPr>
                <w:b w:val="off"/>
                <w:color w:val="000000"/>
                <w:rFonts w:ascii="Times New Roman" w:hAnsi="Times New Roman" w:cs="Times New Roman" w:eastAsia="Times New Roman"/>
                <w:sz w:val="24"/>
              </w:rPr>
              <w:t>V súčasnosti záväzná časť KURS síce podporuje využívanie obnoviteľných zdrojov energie, avšak explicitne neupravuje podmienky územnej lokalizácie takýchto zariadení.</w:t>
              <w:br/>
            </w:r>
            <w:r>
              <w:rPr>
                <w:b w:val="off"/>
                <w:color w:val="000000"/>
                <w:rFonts w:ascii="Times New Roman" w:hAnsi="Times New Roman" w:cs="Times New Roman" w:eastAsia="Times New Roman"/>
                <w:sz w:val="24"/>
              </w:rPr>
              <w:t>Umiestňovanie takýchto objektov by malo byť predmetom komplexného územnoplánovacieho preverenia na regionálnej alebo miestnej úrovni, kde je možné posúdiť všetky územné, environmentálne, krajinárske, dopravné, technické a sociálne súvislosti konkrétneho územia.</w:t>
              <w:br/>
            </w:r>
            <w:r>
              <w:rPr>
                <w:b w:val="off"/>
                <w:color w:val="000000"/>
                <w:rFonts w:ascii="Times New Roman" w:hAnsi="Times New Roman" w:cs="Times New Roman" w:eastAsia="Times New Roman"/>
                <w:sz w:val="24"/>
              </w:rPr>
              <w:t>Takýto postup prispeje k právnej istote investorov, samospráv a dotknutej verejnosti a zároveň zabráni vzniku konfliktov s ochranou prírody, prvkami ÚSES, migračnými koridormi živočíchov, kultúrno-historickými hodnotami krajiny a rozvojovými zámermi obcí a regiónov.</w:t>
              <w:br/>
            </w:r>
            <w:r>
              <w:rPr>
                <w:b w:val="off"/>
                <w:color w:val="000000"/>
                <w:rFonts w:ascii="Times New Roman" w:hAnsi="Times New Roman" w:cs="Times New Roman" w:eastAsia="Times New Roman"/>
                <w:sz w:val="24"/>
              </w:rPr>
              <w:t>Vzhľadom na význam a rozsah týchto stavieb je žiaduce, aby ich prípustnosť nebola vyvodzovaná všeobecne, ale bola podmienená výslovným premietnutím do príslušnej územnoplánovacej dokumentácie.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(ďalej len „príloha LPV“) [napríklad v úvodnej vete návrhu nariadenia vlády slová „neskorších prepisov“ nahradiť slovami „zákona č. 237/2000 Z. z.“, v čl. I bode 1 úvodnej vete vypustiť slová „v bode 2.“ ako nadbytočné, v bode 2.1.1. slovo „podporiť“ nahradiť slovom „Podporovať“, v bode 2 prílohe bod 11.3.4. zosúladiť s bodom 58 treťou vetou prílohy LPV a druhú bodkočiarku nahradiť slovom „a“, v bode 3 úvodnej vete slová „čiarka nahrádza bodkočiarkou a pripájajú sa“ nahradiť slovami „pripája bodkočiarka a“ a na konci za slovom „Pálenisko“ vypustiť čiarku, v prílohe v platnom znení bodu 11.9.6. vložiť na vhodné miesto chýbajúcu zátvorku, v bode 4 úvodnej vete slová „čiarka nahrádza bodkočiarkou a pripájajú sa“ nahradiť slovami „pripája bodkočiarka a“ a na konci za slovom „kapacít“ vypustiť čiarku, bod 11.13.1. zosúladiť s bodom 58 treťou vetou prílohy LPV a bodkočiarku za slovom „Pálenisko“ nahradiť slovom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Odporúčame predkladateľovi v sekcii "2. Definovanie problému" doplniť informácie k problému, ktorý je dôvodom pre vypracovanie materiálu a je materiálom riešený.</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poli pre "Definovanie problému" by mal byť uvedený problém, ktorý existuje a je práve prijímaným materiálom riešený. V aktuálnej verzii je uvedená iba potreba  napĺňania hospodárskej a dopravnej politiky štátu.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Odporúčame predkladateľovi v sekcii "8. preskúmanie účelnosti" doplniť časový údaj a kritéria preskúmania účelnosti.</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poli "Preskúmanie účelnosti"  je potrebné uviesť, kedy by malo dôjsť k preskúmaniu účinnosti a účelnosti predkladaného materiálu. Zároveň je potrebné uviesť kritériá, na základe ktorých bude preskúmanie vykonané.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Odporúčame gestorovi v sekcii "10. Poznámky" uviesť všetky relevantné informácie o vplyvoch materiálu.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poli "Poznámky"  je vhodné doplniť informácie i k reguláciám, ktoré majú čo i len marginálny (zanedbateľný) vplyv na niektorú zo sledovaných oblastí v sekcii 9 doložky.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K novelizačnému bodu 1</w:t>
              <w:br/>
            </w:r>
            <w:r>
              <w:rPr>
                <w:b w:val="off"/>
                <w:color w:val="000000"/>
                <w:rFonts w:ascii="Times New Roman" w:hAnsi="Times New Roman" w:cs="Times New Roman" w:eastAsia="Times New Roman"/>
                <w:sz w:val="24"/>
              </w:rPr>
              <w:t>V bode 2.1.1. navrhujeme na záver doplniť vetu, ktorá znie: „Pri revitalizácii je potrebné rešpektovať prírodné, kultúrne a pamiatkové hodnoty území a vhodne ich začleniť do polyfunkčných rozvojových území mestskej štruktúry.“.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novelizačnému bodu 2</w:t>
              <w:br/>
            </w:r>
            <w:r>
              <w:rPr>
                <w:b w:val="off"/>
                <w:color w:val="000000"/>
                <w:rFonts w:ascii="Times New Roman" w:hAnsi="Times New Roman" w:cs="Times New Roman" w:eastAsia="Times New Roman"/>
                <w:sz w:val="24"/>
              </w:rPr>
              <w:t>V bode 11.3.4. navrhujeme za slovo „Pálenisko“ doplniť slová „pri zohľadnení súčasných prírodných, kultúrnych a pamiatkových hodnôt územia vymedzeného Dunajom a areálom rafinérie“.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 lokalitou súvisia národné kultúrne pamiatky: PRÍSTAV („Bratislavský prístav“; č. Ústredného zoznamu pamiatkového fondu 828) a HRÁDZA PROTIPOVODŇOVÁ (č. Ústredného zoznamu pamiatkového fondu 11631) v oblasti „Vlčie hrdlo“. V oblasti medzi Dunajom a areálom Slovnaftu sa zároveň nachádza hodnotná kultúrna krajina, ktorej základom je zachovaná oblasť pôvodného lužného lesa, v ktorom sú rozptýlené solitérne objekty a štruktúry s kultúrnym potenciálom (napr. bunkre z obdobia 1. svetovej vojny, hodnotná industriálna architektúra z 2. polovice 20. storočia – vodáreň, bytovka pravdepodobne od architekta Vladimíra Karfíka, „micherovská“ kubistická kaplnka 1. polovice 20 storočia a tiež stopy po pôvodnom historickom poľovnom Pálfiovskom areáli (obore) vrátane časti zachovaného objektu Pálfiovského poľovníckeho letohrádku, ktorý je považovaný za najstaršiu zachovanú stavbu na území Ružinova, kamenný most cez historické dunajské rameno z 18. storočia.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odporúčame v úvodnej vete za slová ,,528/2002 Z. z." vložiť čiarku a slová ,,ktorým sa vyhlasuje záväzná časť Koncepcie územného rozvoja Slovenska 2001".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Doložka vybraných vplyvov</w:t>
              <w:br/>
            </w:r>
            <w:r>
              <w:rPr>
                <w:b w:val="off"/>
                <w:color w:val="000000"/>
                <w:rFonts w:ascii="Times New Roman" w:hAnsi="Times New Roman" w:cs="Times New Roman" w:eastAsia="Times New Roman"/>
                <w:sz w:val="24"/>
              </w:rPr>
              <w:t>Navrhujeme doplniť Doložku vybraných vplyvov, najmä časť 9 – Vybrané vplyvy materiálu, o vyhodnotenie potenciálnych nepriamych vplyvov navrhovanej modernizácie a rozvoja verejného prístavu Bratislava na poľnohospodársky sektor.</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v Doložke vybraných vplyvov uvádza, že materiál má „žiadne“ vplyvy na podnikateľské prostredie. Zároveň však samotný materiál deklaruje, že cieľom je vytvoriť podmienky na modernizáciu a rozvoj verejného prístavu, nákladných, prekládkových a terminálových funkcií a multimodálnej infraštruktúry. </w:t>
              <w:br/>
            </w:r>
            <w:r>
              <w:rPr>
                <w:b w:val="off"/>
                <w:color w:val="000000"/>
                <w:rFonts w:ascii="Times New Roman" w:hAnsi="Times New Roman" w:cs="Times New Roman" w:eastAsia="Times New Roman"/>
                <w:sz w:val="24"/>
              </w:rPr>
              <w:t>Vzhľadom na navrhovanú modernizáciu a rozvoj nákladných, prekládkových a terminálových kapacít verejného prístavu Bratislava  možno identifikovať potenciálny nepriamy vplyv na poľnohospodársky sektor, najmä z hľadiska logistických tokov, prepravy, exportu a importu poľnohospodárskych komodít. Tento potenciálny vplyv nie je v predloženom materiáli osobitne vyhodnotený. Z tohto dôvodu navrhujeme vyhodnotenie doplniť a uviesť, či a v akom rozsahu môže rozvoj prístavnej a multimodálnej nákladnej infraštruktúry ovplyvniť poľnohospodárske podniky a obchodné toky poľnohospodárskych komodít. Zároveň navrhujeme zohľadniť tento aspekt pri posúdení vplyvov na podnikateľské prostredie.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Pred transformáciou územia verejných prístavov žiadame realizovať protipovodňové opatrenia a kompenzačné opatrenia na ťarchu investora ako aj uzatvorenie územnoplánovacej zmluvy. Z uvedeného dôvodu žiadame upraviť v Čl. I bod 1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V prílohe v bode 2. sa bod 2.1. dopĺňa bodom 2.1.1., ktorý znie: </w:t>
              <w:br/>
            </w:r>
            <w:r>
              <w:rPr>
                <w:b w:val="off"/>
                <w:color w:val="000000"/>
                <w:rFonts w:ascii="Times New Roman" w:hAnsi="Times New Roman" w:cs="Times New Roman" w:eastAsia="Times New Roman"/>
                <w:sz w:val="24"/>
              </w:rPr>
              <w:t>„2.1.1.podporiť revitalizáciu území vyčlenených z verejných prístavov a industriálnych území naviazaných na komunikačnú kostru medzinárodných dopravných koridorov transformáciou týchto území na polyfunkčné rozvojové územia mestskej štruktúry s potenciálom vytvárania zmiešaných území bývania a občianskej vybavenosti celomestského významu, prepojených na ich možné využívanie v rámci osobnej lodnej dopravy, rekreačnej plavby a súvisiacich služieb, pri rešpektovaní ochrany záujmov štátu v oblasti vodnej dopravy, za podmienok realizácie protipovodňovej ochrany územia a kompenzačných opatrení na ťarchu investora“.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Územia verejných prístavov sa nachádzajú v medzihrádzovom území vodného toku Dunaj, t. j.  v inundačnom území vodného toku. Z toho dôvodu požiadavka na transformáciu územia verejných prístavov na polyfunkčné rozvojové územia s potenciálom vytvárania zmiešaných území bývania a občianskej vybavenosti je v rozpore s § 20 ods. 5 a ods. 6 zákona č. 7/2010 Z. z o ochrane pred povodňami v znení neskorších predpisov. V prípade zmeny verejného prístavu na zmiešané územie bývania a občianskej vybavenosti celomestského významu je potrebné vypracovať územnoplánovacej zmluvy, v ktorej sa investor zaviaže navrhnutím a vybudovaním protipovodňových opatrení na ochranu riešeného územia a zrealizovaním kompenzačných opatrení zabezpečujúce nezhoršenie súčasnej povodňovej situácie na finančnú ťarchu investora a nie SVP, š. p.</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Žiadame o doplnenie nových bodov: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prílohe v bode 12. sa bod 12.1. dopĺňa novým bodom, ktorý znie:</w:t>
              <w:br/>
            </w:r>
            <w:r>
              <w:rPr>
                <w:b w:val="off"/>
                <w:color w:val="000000"/>
                <w:rFonts w:ascii="Times New Roman" w:hAnsi="Times New Roman" w:cs="Times New Roman" w:eastAsia="Times New Roman"/>
                <w:sz w:val="24"/>
              </w:rPr>
              <w:t>„Dôsledne dodržiavať ochranu záplavových území v zmysle § 20 zákona č. 7/2010 o ochrane pred povodňami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Doplnenie tohto bodu do KURS 2001 je z dôvodu dodržiavania § 20 zákona č. 7/2010 o ochrane pred povodňami v znení neskorších predpisov. V čase spracovania KURS 2001 a Zmien  a doplnkov KURS 2011  ešte neboli spracované mapy povodňového ohrozenia a mapy povodňového rizika a neexistovali praktické skúsenosti s aplikáciou § 20 zákona o ochrane pred povodňami. Tento bod v platnom dokumente KURS chýba a pri územnom rozvoji miest a obcí Slovenskej republiky nie je dodržiavaný. V súčasnosti uplatňovania tohto ustanovenia zákona je v procese územného plánovania pomerne náročné a je potrebné, aby bolo uvádzané aj v nadradenej ÚPD, a aby sa automaticky preniesli do územno-plánovacích podkladov regiónov i samospráv. Snahou je zaviesť tento paragraf do praxe tvorby územných plánov a obmedzovania výstavby v záplavových územiach.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V prílohe v bode 12. sa bod 12.1. dopĺňa novým bodom, ktorý znie:</w:t>
              <w:br/>
            </w:r>
            <w:r>
              <w:rPr>
                <w:b w:val="off"/>
                <w:color w:val="000000"/>
                <w:rFonts w:ascii="Times New Roman" w:hAnsi="Times New Roman" w:cs="Times New Roman" w:eastAsia="Times New Roman"/>
                <w:sz w:val="24"/>
              </w:rPr>
              <w:t>„Zvyšovať úroveň odkanalizovania prednostne obcí situovaných v chránených oblastiach prirodzenej akumulácie vôd v ochranných pásmach vodárenských zdrojov a v ochranných pásmach vodných tokov.“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súčasnosti máme obce, ktoré sú situované v ochranných pásmach vodárenských zdrojov a v ochranných pásmach vodných tokov a nemajú vybudovanú kanalizáciu ( Napr. obec Zlatá Idka nad povrchovým vodárenským zdrojom VN Bukovec, kde nie je komplexne vybudovaná kanalizácia v obci a ČOV je v havarijnom stave, nad povrchových vodárenským zdrojom VN Bukovec je  taktiež situovaný penzión, ktorý nemá v poriadku ČOV.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v úvode pred čl. I text:</w:t>
              <w:br/>
            </w:r>
            <w:r>
              <w:rPr>
                <w:b w:val="off"/>
                <w:color w:val="000000"/>
                <w:rFonts w:ascii="Times New Roman" w:hAnsi="Times New Roman" w:cs="Times New Roman" w:eastAsia="Times New Roman"/>
                <w:sz w:val="24"/>
              </w:rPr>
              <w:t xml:space="preserve">Vláda Slovenskej republiky podľa § 27 ods. 1 zákona č. 50/1976 Zb. o územnom plánovaní a stavebnom poriadku (stavebný zákon) v znení neskorších predpisov nariaďuje: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nahradiť textom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Vláda Slovenskej republiky podľa § 34 ods. 6 zákona č. 200/2022 Z. z. o územnom plánovaní v znení neskorších predpisov nariaďuje: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o územnom plánovaní a stavebnom poriadku č. 50/1976 Zb už nie je účinný, bol nahradený zákonom č. 200/2022 Z. z. o územnom plánovaní a Zákonom č. 25/2025 Z. z. Stavebný zákon.</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K návrhu nariadenia vlády Slovenskej republiky, ktorým sa mení a dopĺňa nariadenie vlády Slovenskej republiky č. 528/2002 Z. z., ktorým sa vyhlasuje záväzná časť Koncepcie územného rozvoja Slovenska 2001v znení nariadenia vlády Slovenskej republiky č 461/2011 Z. z. nemá hlavné mesto SR Bratislava z vecného hľadiska pripomienky. Upozorňujeme však, že z hľadiska podrobnosti a mierky spracovania Koncepcie územného rozvoja Slovenska 2001 je miera podrobnosti regulatívov textovej časti navrhovaných na zmenu a doplnenie, ktoré sú súčasťou návrhu nariadenia, neprimeraná tejto dokumentácii.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platnej záväznej textovej časti KURSu nie je stanovená regulácia na úrovni miestnych lokalít, zaregulované javy sú vyjadrené pomenovaním na úrovni regiónov, miest a obcí.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 úvodnej vete  pred čl. I</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doplniť pôvodný text vety:</w:t>
              <w:br/>
            </w:r>
            <w:r>
              <w:rPr>
                <w:b w:val="off"/>
                <w:color w:val="000000"/>
                <w:rFonts w:ascii="Times New Roman" w:hAnsi="Times New Roman" w:cs="Times New Roman" w:eastAsia="Times New Roman"/>
                <w:sz w:val="24"/>
              </w:rPr>
              <w:t xml:space="preserve">Vláda Slovenskej republiky podľa § 27 ods. 1 zákona č. 50/1976 Zb. o územnom plánovaní a stavebnom poriadku (stavebný zákon) nariaďuje: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 aby bol text úvodnej vety po jej doplnení takýto: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Vláda Slovenskej republiky podľa § 27 ods. 1 zákona č. 50/1976 Zb. o územnom plánovaní a stavebnom poriadku (stavebný zákon) v znení do 31.03.2024 v spojení s § 40a ods. 6 zákona č. 200/2022 Z. z. o územnom plánovaní v znení neskorších predpisov nariaďuje: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textu navrhujeme z dôvodu upozornenia na prechodné ustanovenia zákona č. 200/2022 Z.z., ktoré umožňujú orgánom územného plánovania postupovať podľa ustanovení zákona č. 50/1976 Zb. v znení účinnom do 31.03.2024.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nariadenia ako celku</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S návrhom nariadenia v predloženej podobe nesúhlasíme a navrhujeme jeho prepracovanie. Rozsah a podrobnosť záväzných regulatívov musia zodpovedať celoštátnej úrovni územného plánovania a rešpektovať princíp subsidiarity a samosprávnu pôsobnosť miest pri rozhodovaní o ich územnom rozvoji. Požadujeme oddeliť požiadavky nevyhnutné na zabezpečenie celoštátnych a medzinárodných dopravných záujmov od rozhodovania o budúcom mestskom využití dotknutých území. Ich funkčná transformácia a začlenenie do mestskej štruktúry sa majú riešiť v územnoplánovacej dokumentácii príslušného nižšieho stupňa, pri rešpektovaní riadne odôvodnených požiadaviek celoštátneho významu.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prostredníctvom záväznej časti Koncepcie územného rozvoja Slovenska predurčuje využitie konkrétnych území Bratislavy a požaduje transformáciu vyčlenených prístavných a industriálnych území na polyfunkčné mestské územia. Podľa ÚMS je takáto podrobnosť na celoštátnej úrovni neprimeraná, pokiaľ presahuje rámec nevyhnutných dopravných požiadaviek a zasahuje do rozhodovania o budúcej podobe mestských štvrtí. Predchádzajúca informovanosť mesta, ani prípadná zhoda na rozvojovom zámere samy osebe neodôvodňujú zakotvenie takéhoto podrobného riešenia v záväznej časti KÚRS. Zmeny územného plánu podliehajú prerokovaniu, vyhodnoteniu dotknutých záujmov a schváleniu. Ich výsledok preto nemožno považovať za vopred daný. Za najzávažnejší problém považujeme precedens, ktorý by prijatím takéhoto návrhu vznikol. Rovnaký postup by sa mohol v budúcnosti použiť na presadenie konkrétneho využitia mestského územia aj proti vôli dotknutej samosprávy alebo bez zohľadnenia výsledkov miestneho plánovacieho procesu. Spolupráca štátu a mesta v tomto konkrétnom prípade preto neodstraňuje systémové riziko oslabovania samosprávnych právomocí. Článok 4 ods. 3 a 4 Európskej charty miestnej samosprávy zakotvuje prednostný výkon verejných úloh orgánmi najbližšími občanovi a ochranu samosprávnych právomocí v medziach zákona. Na základe týchto princípov  požadujeme, aby celoštátna regulácia ponechávala mestám primeraný priestor na rozhodovanie o miestnych rozvojových otázkach.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bodom 2 až 4 – regulácii lokalít Pálenisko a Zimný prístav</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Požadujeme prepracovať čl. I body 2 až 4 tak, aby regulácia lokalít Pálenisko a Zimný prístav obsahovala len požiadavky preukázateľne nevyhnutné na zabezpečenie celoštátnych a medzinárodných dopravných funkcií prístavu. Ustanovenia, ktoré nad tento rámec predurčujú budúce mestské využitie dotknutých území, požadujeme zo záväznej časti KÚRS vypustiť. Toto využitie sa má riešiť v územnoplánovacej dokumentácii príslušného nižšieho stupňa.</w:t>
              <w:br/>
            </w:r>
            <w:r>
              <w:rPr>
                <w:b w:val="off"/>
                <w:color w:val="000000"/>
                <w:rFonts w:ascii="Times New Roman" w:hAnsi="Times New Roman" w:cs="Times New Roman" w:eastAsia="Times New Roman"/>
                <w:sz w:val="24"/>
              </w:rPr>
              <w:t>Súčasne požadujeme pred schválením návrhu:</w:t>
              <w:br/>
            </w:r>
            <w:r>
              <w:rPr>
                <w:b w:val="off"/>
                <w:color w:val="000000"/>
                <w:rFonts w:ascii="Times New Roman" w:hAnsi="Times New Roman" w:cs="Times New Roman" w:eastAsia="Times New Roman"/>
                <w:sz w:val="24"/>
              </w:rPr>
              <w:t>a) odôvodniť nevyhnutnosť a primeranosť navrhovanej lokalizačnej regulácie a vysvetliť, prečo ju treba prijať na celoštátnej úrovni v takejto podrobnosti,</w:t>
              <w:br/>
            </w:r>
            <w:r>
              <w:rPr>
                <w:b w:val="off"/>
                <w:color w:val="000000"/>
                <w:rFonts w:ascii="Times New Roman" w:hAnsi="Times New Roman" w:cs="Times New Roman" w:eastAsia="Times New Roman"/>
                <w:sz w:val="24"/>
              </w:rPr>
              <w:t>b) vyhodnotiť a zverejniť jej konkrétne účinky na platnú územnoplánovaciu dokumentáciu Bratislavy a Bratislavského samosprávneho kraja,</w:t>
              <w:br/>
            </w:r>
            <w:r>
              <w:rPr>
                <w:b w:val="off"/>
                <w:color w:val="000000"/>
                <w:rFonts w:ascii="Times New Roman" w:hAnsi="Times New Roman" w:cs="Times New Roman" w:eastAsia="Times New Roman"/>
                <w:sz w:val="24"/>
              </w:rPr>
              <w:t>c) vysvetliť vzťah návrhu k pripravovaným zmenám územného plánu Bratislavy vrátane právnych a praktických dôsledkov, ak tieto zmeny nebudú schválené alebo budú schválené v odlišnej podobe,</w:t>
              <w:br/>
            </w:r>
            <w:r>
              <w:rPr>
                <w:b w:val="off"/>
                <w:color w:val="000000"/>
                <w:rFonts w:ascii="Times New Roman" w:hAnsi="Times New Roman" w:cs="Times New Roman" w:eastAsia="Times New Roman"/>
                <w:sz w:val="24"/>
              </w:rPr>
              <w:t>d) objasniť, ako by prípadný nesúlad medzi dokumentáciami ovplyvnil vydávanie záväzných stanovísk a príslušnosť orgánov územného plánovania.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regulatívy sústreďujú ďalší rozvoj nákladných, prekládkových a terminálových kapacít do časti Pálenisko a vylučujú ich ďalší rozvoj v Zimnom prístave. Ide o konkrétne rozhodnutie o využití územia s dlhodobými dôsledkami pre rozvoj Bratislavy. Predkladateľ preto musí jasne rozlíšiť požiadavky vyplývajúce z celoštátneho významu prístavu od požiadaviek na následnú urbanistickú transformáciu dotknutých území.</w:t>
              <w:br/>
            </w:r>
            <w:r>
              <w:rPr>
                <w:b w:val="off"/>
                <w:color w:val="000000"/>
                <w:rFonts w:ascii="Times New Roman" w:hAnsi="Times New Roman" w:cs="Times New Roman" w:eastAsia="Times New Roman"/>
                <w:sz w:val="24"/>
              </w:rPr>
              <w:t>Podľa § 18 ods. 3 zákona č. 200/2022 Z. z. je záväzná časť územnoplánovacej dokumentácie vyššieho stupňa záväzná pre nižší stupeň. Ak jej záväzná časť dokumentácie nižšieho stupňa odporuje, je v tejto časti neplatná. Zakotvenie konkrétneho riešenia v KÚRS preto môže zásadne obmedziť možnosti mesta pri rozhodovaní o obsahu vlastného územného plánu. Keďže mesto pripravuje súvisiace zmeny územného plánu, je potrebné objasniť aj dôsledky ich prípadného neschválenia alebo schválenia v odlišnej podobe. Záväzná úprava KÚRS nesmie nad rámec riadne odôvodnených celoštátnych dopravných požiadaviek vopred určovať výsledok tohto procesu ani nahrádzať rozhodovanie mesta o budúcom využití územia.</w:t>
              <w:br/>
            </w:r>
            <w:r>
              <w:rPr>
                <w:b w:val="off"/>
                <w:color w:val="000000"/>
                <w:rFonts w:ascii="Times New Roman" w:hAnsi="Times New Roman" w:cs="Times New Roman" w:eastAsia="Times New Roman"/>
                <w:sz w:val="24"/>
              </w:rPr>
              <w:t>Požadujeme, aby posúdenie rozvojových alternatív a rozhodnutie o budúcom mestskom využití dotknutých území zostali v pôsobnosti miestnej samosprávy a prebiehali v rámci zákonom ustanovených postupov.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ŽSK požaduje zo záv. reg. č. 11.13.2 Koncepcie územného rozvoja Slovenska v platnom znení,  vypustiť text: „koridor spojenia riek E 81 Váh – E 30 Odra“ vrátane prístavu Čadca „P 81 – 12 Čadca“ (V rámci územia Žilinského kraja  ide o územnú rezervu pre 4. etapu Vážskej vodnej cesty v úseku Žilina – Čadca.) </w:t>
              <w:br/>
            </w:r>
            <w:r>
              <w:rPr>
                <w:b w:val="off"/>
                <w:color w:val="000000"/>
                <w:rFonts w:ascii="Times New Roman" w:hAnsi="Times New Roman" w:cs="Times New Roman" w:eastAsia="Times New Roman"/>
                <w:sz w:val="24"/>
              </w:rPr>
              <w:t xml:space="preserve">S problematikou súvisí aj vypustenie záv.reg. č. </w:t>
              <w:br/>
            </w:r>
            <w:r>
              <w:rPr>
                <w:b w:val="off"/>
                <w:color w:val="000000"/>
                <w:rFonts w:ascii="Times New Roman" w:hAnsi="Times New Roman" w:cs="Times New Roman" w:eastAsia="Times New Roman"/>
                <w:sz w:val="24"/>
              </w:rPr>
              <w:t xml:space="preserve">11.13.3. „E 20, E 30, C – 20, C – E 30 koridor rieky Morava na území Slovenska ako súčasť prepojenia vodných ciest Dunaj – Odra – Labe“.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vyplýva zo znenia zmeny Prílohy I. Európskej dohody o hlavných vnútrozemských vodných cestách medzinárodného významu (AGN) medzinárodných záväzkov v oblasti vnútrozemskej vodnej dopravy (platnosť od 29. 11. 2025), ktorými boli zo siete hlavných európskych vodných ciest vyradené plánované prepojenia E20 [Labe – Dunaj prepojenie].  a E30 [Odra – Dunaj prepojenie].</w:t>
              <w:br/>
            </w:r>
            <w:r>
              <w:rPr>
                <w:b w:val="off"/>
                <w:color w:val="000000"/>
                <w:rFonts w:ascii="Times New Roman" w:hAnsi="Times New Roman" w:cs="Times New Roman" w:eastAsia="Times New Roman"/>
                <w:sz w:val="24"/>
              </w:rPr>
              <w:t xml:space="preserve">V dohode AGN je zachovaná vodná cesta E81 – Rieka Váh – po Žilinu  [prepojenie Váh – Odra]. Z platného znenia Dohody AGN vyplýva, že v hranatých zátvorkách  sú uvedené úseky vodných ciest E, ktoré v súčasnosti neexistujú, ale sú zahrnuté v príslušných národných programoch rozvoja infraštruktúry. V prípade programov rozvoja infraštruktúry SR ide okrem iného aj o Koncepciu územného rozvoja Slovenska v platnom znení. Ďalšie rozvojové dokumenty SR venujúce sa okrem iného téme vodnej dopravy sú: </w:t>
              <w:br/>
            </w:r>
            <w:r>
              <w:rPr>
                <w:b w:val="off"/>
                <w:color w:val="000000"/>
                <w:rFonts w:ascii="Times New Roman" w:hAnsi="Times New Roman" w:cs="Times New Roman" w:eastAsia="Times New Roman"/>
                <w:sz w:val="24"/>
              </w:rPr>
              <w:t xml:space="preserve">a)	Koncepcia vodnej politiky Slovenskej republiky do roku 2030 s výhľadom do roku 2050, v ktorej v Cieli 3.4. „Priaznivé podmienky pre plavbu bez poškodzovania vodných útvarov, vodných a od vody závislých ekosystémov“, sú platné opatrenia: </w:t>
              <w:br/>
            </w:r>
            <w:r>
              <w:rPr>
                <w:b w:val="off"/>
                <w:color w:val="000000"/>
                <w:rFonts w:ascii="Times New Roman" w:hAnsi="Times New Roman" w:cs="Times New Roman" w:eastAsia="Times New Roman"/>
                <w:sz w:val="24"/>
              </w:rPr>
              <w:t xml:space="preserve">1)	„nepodporovať splavnenie rieky Morava a všetkých variantoch trasovania slovenskej časti vodného koridoru Dunaj – Odra – Labe, a to vzhľadom na principiálny rozpor s cieľmi rámcovej smernice o vode (ochrana vôd), smernice o biotopoch (ochrana prírody) a ďalších medzinárodných dohovorov na ochranu biodiverzity; </w:t>
              <w:br/>
            </w:r>
            <w:r>
              <w:rPr>
                <w:b w:val="off"/>
                <w:color w:val="000000"/>
                <w:rFonts w:ascii="Times New Roman" w:hAnsi="Times New Roman" w:cs="Times New Roman" w:eastAsia="Times New Roman"/>
                <w:sz w:val="24"/>
              </w:rPr>
              <w:t>2)	 na základe aktualizovaného dopravného modelu a relevantných štúdií prehodnotiť budovanie Vážskej vodnej cesty“ (doposiaľ neboli príslušným orgánom vykonané).</w:t>
              <w:br/>
            </w:r>
            <w:r>
              <w:rPr>
                <w:b w:val="off"/>
                <w:color w:val="000000"/>
                <w:rFonts w:ascii="Times New Roman" w:hAnsi="Times New Roman" w:cs="Times New Roman" w:eastAsia="Times New Roman"/>
                <w:sz w:val="24"/>
              </w:rPr>
              <w:t>b)	Strategický plán rozvoja dopravy SR do roku 2030, v ktorom je konštatovaný nezodpovedajúci prevádzkyschopný stav Vodnej cesty Váh a Vážska  vodná cesta (nielen v 4. etape), nie je zaradená medzi prioritné projekty ani medzi strategické investície určené na realizáciu do roku 2030.  Dokument  sa  sústreďuje predovšetkým na, medzinárodnú vodnú cestu Dunaj v oblasti vodnej dopravy.</w:t>
              <w:br/>
            </w:r>
            <w:r>
              <w:rPr>
                <w:b w:val="off"/>
                <w:color w:val="000000"/>
                <w:rFonts w:ascii="Times New Roman" w:hAnsi="Times New Roman" w:cs="Times New Roman" w:eastAsia="Times New Roman"/>
                <w:sz w:val="24"/>
              </w:rPr>
              <w:t xml:space="preserve">Taktiež platné strategické dokumenty územného rozvoja Moravskosliezskeho kraja a Sliezskeho vojvodstva s prepojením Dunaj – Odra – Labe neuvažujú.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je zrejmé, že:</w:t>
              <w:br/>
            </w:r>
            <w:r>
              <w:rPr>
                <w:b w:val="off"/>
                <w:color w:val="000000"/>
                <w:rFonts w:ascii="Times New Roman" w:hAnsi="Times New Roman" w:cs="Times New Roman" w:eastAsia="Times New Roman"/>
                <w:sz w:val="24"/>
              </w:rPr>
              <w:t>1)	 vypustením E20 a E30 z Dohody AGN (na podnet Českej republiky),</w:t>
              <w:br/>
            </w:r>
            <w:r>
              <w:rPr>
                <w:b w:val="off"/>
                <w:color w:val="000000"/>
                <w:rFonts w:ascii="Times New Roman" w:hAnsi="Times New Roman" w:cs="Times New Roman" w:eastAsia="Times New Roman"/>
                <w:sz w:val="24"/>
              </w:rPr>
              <w:t>2)	 nezabezpečovaním územného koridoru v dokumentáciách územného rozvoja susedných krajín,</w:t>
              <w:br/>
            </w:r>
            <w:r>
              <w:rPr>
                <w:b w:val="off"/>
                <w:color w:val="000000"/>
                <w:rFonts w:ascii="Times New Roman" w:hAnsi="Times New Roman" w:cs="Times New Roman" w:eastAsia="Times New Roman"/>
                <w:sz w:val="24"/>
              </w:rPr>
              <w:t>3)	upustením od prípravy a realizácie environmentálne a ekonomicky problematických vodných prepojení na úrovni strategického plánovania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 stratil význam budovania vodnej cesty E81, resp. zachovávania jej územnej rezervy, a to najmä  4. etapy Vážskej vodnej cesty ako nového úseku medzinárodných vodných koridorov na území Kysúc.</w:t>
              <w:br/>
            </w:r>
            <w:r>
              <w:rPr>
                <w:b w:val="off"/>
                <w:color w:val="000000"/>
                <w:rFonts w:ascii="Times New Roman" w:hAnsi="Times New Roman" w:cs="Times New Roman" w:eastAsia="Times New Roman"/>
                <w:sz w:val="24"/>
              </w:rPr>
              <w:t xml:space="preserve">Návrh Vážskej vodnej cesty v 4. úseku sa výrazne dotýka územia Kysúc, čo znemožňuje ich územný rozvoj - dochádza ku kolízii s budovaním dopravnej infraštruktúry a s investičnými aktivitami obcí a miest ležiacich v úzkom priestore rieky Kysuca a taktiež so záujmami ochrany prírody. </w:t>
              <w:br/>
            </w:r>
            <w:r>
              <w:rPr>
                <w:b w:val="off"/>
                <w:color w:val="000000"/>
                <w:rFonts w:ascii="Times New Roman" w:hAnsi="Times New Roman" w:cs="Times New Roman" w:eastAsia="Times New Roman"/>
                <w:sz w:val="24"/>
              </w:rPr>
              <w:t>V súčasnosti NDS, a.s.  zabezpečuje VO na spracovanie  štúdie uskutočniteľnosti R5 Svrčinovec – št. hranica SR/ČR. V dotknutom území ide o súbežnú dopravnú infraštruktúru – trasa rýchlostnej cesty R5 a koridor územnej rezervy vodného spojenia E 81 Váh – E 30 Odra vrátane prístavu v Čadci. Súčasný legislatívny stav SR v oblasti územného plánovania vytvára povinnosť rešpektovať v rámci hľadania novej trasy R5 i trasu územnej rezervy medzinárodne neplatného vodného spojenia E 81 Váh – E 30 Odra vrátane prístavu v Čadci, čo znemožňuje navrhnúť reálnu novú trasu rýchlostnej cesty R5.</w:t>
              <w:br/>
            </w:r>
            <w:r>
              <w:rPr>
                <w:b w:val="off"/>
                <w:color w:val="000000"/>
                <w:rFonts w:ascii="Times New Roman" w:hAnsi="Times New Roman" w:cs="Times New Roman" w:eastAsia="Times New Roman"/>
                <w:sz w:val="24"/>
              </w:rPr>
              <w:t xml:space="preserve">ŽSK v súčasnosti obstaráva spracovanie návrhu Územného plánu regiónu Žilinského kraja. V prípade, že v záväznej časti Koncepcie územného rozvoja Slovenska zostane zachovaná povinnosť zabezpečovať územnú rezervu pre koridor vodného spojenia E 81 Váh – E 30 Odra vrátane prístavu v Čadci, bude ŽSK povinný túto požiadavku premietnuť do záväznej časti územnoplánovacej dokumentácie na regionálnej úrovni. Takýto postup by však viedol k neopodstatnenému obmedzeniu územného rozvoja dotknutého územia – ako je napríklad uvedené vyššie v prípade rýchlostnej cesty R5 - bez reálneho predpokladu realizácie predmetnej vodnej cesty.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ŽSK poukazuje na to, že obdobným spôsobom postupovala ČR, keď  v rámci Aktualizácie č. 4 Politiky územného rozvoje Českej republiky ( schválená vládou ČR uznesením č. 618 zo dňa 12. 7. 2021) bol zrušený koridor vodnej cesty Dunaj – Odra – Labe. V roku 2024 ČR  podala UNECE návrh na vypustenie medzinárodných vodných ciest E20 a E30 z prílohy I. Dohody AGN. Tento návrh bol prijatý v roku 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Doplnenie úpravy záväzných regulatívov Koncepcie územného rozvoja Slovenska je spracované v podstatne vyššej miere podrobnosti, než zodpovedá postaveniu a obsahu tohto strategického dokumentu, pričom v niektorých prípadoch zasahuje až na úroveň záväznej časti územnoplánovacej dokumentácie regiónu /  mesta. Koncepcia územného rozvoja Slovenska v záväznej časti obsahuje návrh zásad priestorového usporiadania a funkčného využívania územia, ktoré usmerňujú požiadavky odvetvových koncepcií a stratégií v súlade s princípmi trvalo udržateľného rozvoja a ochrany životného prostredia. Z uvedeného dôvodu nie je opodstatnené, aby KÚRS stanovovala možnosti rozvoja nákladných, prekládkových a terminálových kapacít kombinovanej dopravy formou vytvárania nových alebo rozširovania existujúcich kapacít v konkrétne určených lokalitách, resp. pozastavenia ďalších rozvojových kapacít, napríklad v lokalite Pálenisko a Zimný prístav. Táto úroveň detailu riešenia presahuje rámec strategického dokumentu celoštátneho významu a patrí do následných stupňov územnoplánovacej dokumentácie a sektorového plánovania.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