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5A283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4ABE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43B1F5" w14:textId="6060AB29" w:rsidR="0075782C" w:rsidRPr="007807D0" w:rsidRDefault="00054C41" w:rsidP="004626E2">
      <w:pPr>
        <w:spacing w:after="12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084ABE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75782C" w:rsidRPr="00084AB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807D0" w:rsidRPr="005F7C31">
        <w:rPr>
          <w:rFonts w:ascii="Times New Roman" w:eastAsia="Times New Roman" w:hAnsi="Times New Roman"/>
          <w:sz w:val="24"/>
          <w:szCs w:val="24"/>
          <w:lang w:eastAsia="sk-SK"/>
        </w:rPr>
        <w:t>Návrh smernic</w:t>
      </w:r>
      <w:r w:rsidR="007807D0">
        <w:rPr>
          <w:rFonts w:ascii="Times New Roman" w:eastAsia="Times New Roman" w:hAnsi="Times New Roman"/>
          <w:sz w:val="24"/>
          <w:szCs w:val="24"/>
          <w:lang w:eastAsia="sk-SK"/>
        </w:rPr>
        <w:t xml:space="preserve">e Európskeho parlamentu a Rady, </w:t>
      </w:r>
      <w:r w:rsidR="007807D0" w:rsidRPr="005F7C31">
        <w:rPr>
          <w:rFonts w:ascii="Times New Roman" w:eastAsia="Times New Roman" w:hAnsi="Times New Roman"/>
          <w:sz w:val="24"/>
          <w:szCs w:val="24"/>
          <w:lang w:eastAsia="sk-SK"/>
        </w:rPr>
        <w:t>ktorou sa menia a dopĺňajú smernice Európskeho parlamentu a Rady 2008/98/ES, 2010/75/EÚ, (EÚ) 2015/2193 a (EÚ) 2024/1785, pokiaľ ide o zjednodušenie niektorých požiadaviek a zníženie administratívnej záťaže</w:t>
      </w:r>
      <w:r w:rsidR="007807D0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73384937" w14:textId="1BBEF68E" w:rsidR="00054C41" w:rsidRPr="00084ABE" w:rsidRDefault="0075782C" w:rsidP="004626E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4ABE">
        <w:rPr>
          <w:sz w:val="20"/>
        </w:rPr>
        <w:t xml:space="preserve"> </w:t>
      </w:r>
      <w:r w:rsidR="00054C41" w:rsidRPr="00084ABE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Pr="00084AB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84ABE">
        <w:rPr>
          <w:rFonts w:ascii="Times New Roman" w:eastAsia="Calibri" w:hAnsi="Times New Roman" w:cs="Times New Roman"/>
          <w:sz w:val="24"/>
          <w:szCs w:val="24"/>
        </w:rPr>
        <w:t>Ministerstvo životného prostredia Slovenskej republiky</w:t>
      </w:r>
    </w:p>
    <w:p w14:paraId="515DBCE3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4ABE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084ABE" w:rsidRDefault="00054C41" w:rsidP="004626E2">
      <w:pPr>
        <w:tabs>
          <w:tab w:val="left" w:pos="8025"/>
        </w:tabs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084ABE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 w:rsidRPr="00084ABE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 w:rsidRPr="00084ABE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084ABE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 w:rsidRPr="00084AB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 w:rsidRPr="00084AB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084ABE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084ABE">
        <w:rPr>
          <w:rFonts w:ascii="Times New Roman" w:eastAsia="Calibri" w:hAnsi="Times New Roman" w:cs="Times New Roman"/>
          <w:i/>
          <w:sz w:val="24"/>
          <w:szCs w:val="24"/>
        </w:rPr>
        <w:t>, (ďalej len „Kalkulačka nákladov“):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084AB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4E3648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50EBE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7DC6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CAE0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FEB30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E54FF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084AB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7F0AC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8CD7A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084AB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CF71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DD77A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A. Dane, odvody, clá a poplatky, ktorých cieľom je znižovať negatívne </w:t>
            </w: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52A02341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6D0CD235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084AB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ED282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928E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B. Iné 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487A6A29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014C60F5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084AB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78407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EE3E" w14:textId="52C52C9B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3C30CB29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5BE47E6F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084AB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2F790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03BCF" w14:textId="0543F070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2B37B676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328365FD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084AB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6137F" w14:textId="77777777" w:rsidR="006A4E85" w:rsidRPr="00084ABE" w:rsidRDefault="006A4E85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A5AE" w14:textId="77777777" w:rsidR="006A4E85" w:rsidRPr="00084ABE" w:rsidRDefault="006A4E85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5D626B39" w:rsidR="006A4E85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79D342E5" w:rsidR="006A4E85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C929AE" w:rsidRPr="00084AB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5240B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D49376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8BFAC3A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00E48210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084AB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7E590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AB98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99773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B3D738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543AE9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64F180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084AB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80DC1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073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084AB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F348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E706" w14:textId="77777777" w:rsidR="00C929AE" w:rsidRPr="00084ABE" w:rsidRDefault="006A4E85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2DAD26F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6150A4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3000CF1D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084AB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92B53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3DFED09" w14:textId="77777777" w:rsidR="00C929AE" w:rsidRPr="00084ABE" w:rsidRDefault="006A4E85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3130C196" w:rsidR="006150A4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6150A4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68F2CDE6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084AB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005DD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DB6FE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20198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23FD74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BF5827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A5CAAE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084AB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DAC7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B60B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084AB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0400A" w14:textId="77777777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395BF89" w14:textId="3C21B0B5" w:rsidR="00C929AE" w:rsidRPr="00084ABE" w:rsidRDefault="006A4E85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084A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4BA89282" w:rsidR="00C929AE" w:rsidRPr="00084ABE" w:rsidRDefault="00C929AE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6150A4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083A8FAD" w:rsidR="00C929AE" w:rsidRPr="00084ABE" w:rsidRDefault="006150A4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  <w:r w:rsidR="00C929AE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0C4E1024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084ABE" w:rsidSect="00142154">
          <w:headerReference w:type="default" r:id="rId10"/>
          <w:footerReference w:type="default" r:id="rId11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084ABE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84ABE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 xml:space="preserve">(dôvod zvýšenia/zníženia nákladov na PP a dôvod ponechania nákladov na PP, ktoré sú </w:t>
            </w: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SK/EÚ úplná </w:t>
            </w:r>
            <w:proofErr w:type="spellStart"/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84ABE" w:rsidRDefault="006564C3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084ABE" w:rsidRDefault="00D114ED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84A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84A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084AB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DE6ACB" w:rsidRPr="00084ABE" w14:paraId="609FED73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7D629DAC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4B47CD37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C988908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22CDA76A" w14:textId="77777777" w:rsidR="00DE6ACB" w:rsidRPr="00084ABE" w:rsidRDefault="00DE6ACB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69C4721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74618A9C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5D0F89C4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38251139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01129C91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420D0685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08BFFDBA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758C9B" w14:textId="77777777" w:rsidR="00DE6ACB" w:rsidRPr="00084ABE" w:rsidRDefault="00DE6ACB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084ABE" w14:paraId="022095BC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302744A6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D81551D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5AB3E50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65823171" w14:textId="77777777" w:rsidR="00801596" w:rsidRPr="00084ABE" w:rsidDel="00801596" w:rsidRDefault="00801596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AFA699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439720A9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CCCE83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71B2646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57980520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7E097137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B494DF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564076F6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084ABE" w14:paraId="4D05B96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6F09B9B9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326D60E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63EECDFF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5B619397" w14:textId="77777777" w:rsidR="00801596" w:rsidRPr="00084ABE" w:rsidDel="00801596" w:rsidRDefault="00801596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67ED88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331066E7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48865C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5457341D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30771B5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645FEA0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EA14B08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CC858DC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084ABE" w14:paraId="48195AE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FA76BB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04DBC1D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7DA73847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326F55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589E62F8" w14:textId="77777777" w:rsidR="00801596" w:rsidRPr="00084ABE" w:rsidDel="00801596" w:rsidRDefault="00801596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F479A8F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0901515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2996373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188F02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1D718C37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81CEC7A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78A8DDA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014B7D7A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084ABE" w14:paraId="7D495C8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FC148DB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0514BEF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07EE0509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5143E9CF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356D853D" w14:textId="77777777" w:rsidR="00801596" w:rsidRPr="00084ABE" w:rsidDel="00801596" w:rsidRDefault="00801596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9D433C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3D2938FA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17BA309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F2A96C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0FE6B8D8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14DEF91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45EC50E3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5E7EBAF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084ABE" w14:paraId="67FD2956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26FC3F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14BCDC2E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2C578C3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5AAA047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6DD38128" w14:textId="77777777" w:rsidR="00801596" w:rsidRPr="00084ABE" w:rsidDel="00801596" w:rsidRDefault="00801596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0ED2AA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61B4BCC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6DBA927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2991518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46F12C04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2D3260FB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00BF5AA0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044CA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084ABE" w14:paraId="26381EE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627B3E9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vAlign w:val="center"/>
          </w:tcPr>
          <w:p w14:paraId="6C2DF28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39BDC257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FD55E58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vAlign w:val="center"/>
          </w:tcPr>
          <w:p w14:paraId="77912E88" w14:textId="77777777" w:rsidR="00801596" w:rsidRPr="00084ABE" w:rsidDel="00801596" w:rsidRDefault="00801596" w:rsidP="004626E2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B30C13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noWrap/>
            <w:vAlign w:val="center"/>
          </w:tcPr>
          <w:p w14:paraId="4AE2E156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CEB6F10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noWrap/>
            <w:vAlign w:val="center"/>
          </w:tcPr>
          <w:p w14:paraId="6F10BC4F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noWrap/>
            <w:vAlign w:val="center"/>
          </w:tcPr>
          <w:p w14:paraId="70151A82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noWrap/>
            <w:vAlign w:val="center"/>
          </w:tcPr>
          <w:p w14:paraId="74A6D825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noWrap/>
            <w:vAlign w:val="center"/>
          </w:tcPr>
          <w:p w14:paraId="3FBF0B70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F26953E" w14:textId="77777777" w:rsidR="00801596" w:rsidRPr="00084ABE" w:rsidRDefault="00801596" w:rsidP="004626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520734CD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084ABE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084ABE" w:rsidRDefault="00511F8F" w:rsidP="004626E2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41FDC667" w14:textId="668FE7AA" w:rsidR="00054C41" w:rsidRPr="00084ABE" w:rsidRDefault="00054C41" w:rsidP="004626E2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Osobitne pri každej regulácii s vplyvom na PP zhodnotenom v tabuľke č. 2 uveďte doplňujúce informácie tak, aby mohol byť skontrolovaný spôsob a správnosť výpočtov. Uveďte najmä, ako ste vypočítali vplyvy a z akého zdroja ste čerpali početnosti (uveďte aj </w:t>
      </w:r>
      <w:proofErr w:type="spellStart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link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na konkrétne štatistiky, ak sú dostupné na internete). Jednotlivé regulácie môžu mať jeden alebo viac typov nákladov (A. Dane, odvody, clá</w:t>
      </w:r>
      <w:r w:rsidR="00A000DA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a poplatky, ktorých cieľom je znižovať negatívne </w:t>
      </w:r>
      <w:proofErr w:type="spellStart"/>
      <w:r w:rsidR="00A000DA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externality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B. </w:t>
      </w:r>
      <w:r w:rsidR="00A000DA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Iné p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oplatky, C. </w:t>
      </w:r>
      <w:r w:rsidR="00024EE4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Sankcie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D. </w:t>
      </w:r>
      <w:r w:rsidR="00024EE4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Nepriame finančné náklady</w:t>
      </w:r>
      <w:r w:rsidR="00A94A0F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E. 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Administratívne náklady). Rozčleňte ich a vypočítajte v súlade s metodickým postupom. </w:t>
      </w:r>
    </w:p>
    <w:p w14:paraId="3FB1450B" w14:textId="77777777" w:rsidR="001E24E8" w:rsidRPr="00084ABE" w:rsidRDefault="001E24E8" w:rsidP="004626E2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</w:p>
    <w:p w14:paraId="0EB298DB" w14:textId="77777777" w:rsidR="00512BA7" w:rsidRPr="00084ABE" w:rsidRDefault="00511F8F" w:rsidP="004626E2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 w:rsidRPr="00084ABE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084AB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749EC593" w14:textId="77777777" w:rsidR="000C5419" w:rsidRPr="00084ABE" w:rsidRDefault="000C5419" w:rsidP="004626E2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Požadované informácie </w:t>
      </w:r>
      <w:r w:rsidR="00F153D7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osobitne ku každému identifikovanému </w:t>
      </w:r>
      <w:proofErr w:type="spellStart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goldplatingu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(ku každej hodnotenej regulácii s </w:t>
      </w:r>
      <w:proofErr w:type="spellStart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goldplatingom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osobitne). </w:t>
      </w:r>
    </w:p>
    <w:p w14:paraId="0A0E8534" w14:textId="77777777" w:rsidR="0016512E" w:rsidRPr="00084ABE" w:rsidRDefault="0016512E" w:rsidP="004626E2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</w:t>
      </w:r>
      <w:r w:rsidR="004239D1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odôvodnenie </w:t>
      </w:r>
      <w:proofErr w:type="spellStart"/>
      <w:r w:rsidR="004239D1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goldplatingu</w:t>
      </w:r>
      <w:proofErr w:type="spellEnd"/>
      <w:r w:rsidR="004239D1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z hľadiska jeho nespochybniteľnej nevyhnutnosti.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Odôvodnenie doložte dôkladným hodnotením prínosov a</w:t>
      </w:r>
      <w:r w:rsidR="005D39D8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 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nákladov</w:t>
      </w:r>
      <w:r w:rsidR="005D39D8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. Uveďte zvážené alternatívne riešenia.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.</w:t>
      </w:r>
    </w:p>
    <w:p w14:paraId="6A18C579" w14:textId="0633763E" w:rsidR="000C5419" w:rsidRPr="00084ABE" w:rsidRDefault="00990813" w:rsidP="004626E2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Zároveň </w:t>
      </w:r>
      <w:r w:rsidR="00D5309D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uveďte</w:t>
      </w:r>
      <w:r w:rsidR="000C5419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konkrétne informácie súvisiace s </w:t>
      </w:r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kategóriou </w:t>
      </w:r>
      <w:proofErr w:type="spellStart"/>
      <w:r w:rsidR="000C5419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goldplatingu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podľa </w:t>
      </w:r>
      <w:r w:rsidR="00D114ED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>jednotnej metodiky</w:t>
      </w:r>
      <w:r w:rsidR="000C5419" w:rsidRPr="00084ABE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, najmä: na aké subjekty sa nad rámec navrhuje rozšíriť pôsobnosť smernice a z akého dôvodu; aké požiadavky sa navyšujú a na aké subjekty nad rámec minimálnych požiadaviek smernice; aká  menej prísnejšia výnimka alebo úprava vyplývajúca zo smernice nebola využitá a prečo; z akého dôvodu sa navrhujú prísnejšie sankčné režimy; z akého dôvodu sa navrhuje skoršia transpozícia; z akého dôvodu sa ponechávajú v platnosti už existujúce prísnejšie vnútroštátne požiadavky. </w:t>
      </w:r>
    </w:p>
    <w:p w14:paraId="535CABE4" w14:textId="77777777" w:rsidR="00D114ED" w:rsidRPr="00084ABE" w:rsidRDefault="00D114ED" w:rsidP="004626E2">
      <w:pPr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084ABE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Využitie </w:t>
      </w:r>
      <w:proofErr w:type="spellStart"/>
      <w:r w:rsidRPr="00084ABE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goldplatingu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pri transpozícii alebo implementácii legislatívy EÚ je v zásade nežiadúce, keďže takýto postup môže viesť k zníženiu konkurencieschopnosti domácich podnikov v porovnaní s podnikmi z krajín, kde právne predpisy nie sú natoľko prísne. Využitie </w:t>
      </w:r>
      <w:proofErr w:type="spellStart"/>
      <w:r w:rsidRPr="00084ABE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goldplatingu</w:t>
      </w:r>
      <w:proofErr w:type="spellEnd"/>
      <w:r w:rsidRPr="00084ABE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predkladateľom je preto prípustné iba vo výnimočných prípadoch, riadne odôvodnených a vysvetlených v analýze vplyvov na podnikateľské prostredie z hľadiska jeho nevyhnutnosti, spoločenského významu, nákladov, prekonzultovaných s dotknutými podnikateľmi a posúdených Komisiou.</w:t>
      </w:r>
    </w:p>
    <w:p w14:paraId="69CB5DAB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6C06E6" w14:textId="77777777" w:rsidR="00024EE4" w:rsidRPr="00084ABE" w:rsidRDefault="00024EE4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BD96D6C" w14:textId="77777777" w:rsidR="00024EE4" w:rsidRPr="00084ABE" w:rsidRDefault="00024EE4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4AB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3.2 Vyhodnotenie konzultácií s podnikateľskými subjektmi pred predbežným pripomienkovým konaním</w:t>
      </w:r>
    </w:p>
    <w:p w14:paraId="49287B99" w14:textId="57C4B778" w:rsidR="006C1F99" w:rsidRPr="00084ABE" w:rsidRDefault="006C1F99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8FCAD96" w14:textId="31BF3A4F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 w:rsidRPr="00084ABE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5CAF52B4" w14:textId="7432C9B9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>Dochádza k</w:t>
      </w:r>
      <w:r w:rsidR="00DD788C">
        <w:rPr>
          <w:rFonts w:ascii="Times New Roman" w:eastAsia="Calibri" w:hAnsi="Times New Roman" w:cs="Times New Roman"/>
          <w:i/>
          <w:sz w:val="24"/>
          <w:szCs w:val="24"/>
        </w:rPr>
        <w:t> </w:t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>vytvoreniu</w:t>
      </w:r>
      <w:r w:rsidR="00DD788C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resp. k zmene bariér na trhu? </w:t>
      </w:r>
      <w:r w:rsidR="002D68CA" w:rsidRPr="00084ABE">
        <w:rPr>
          <w:rFonts w:ascii="Times New Roman" w:eastAsia="Calibri" w:hAnsi="Times New Roman" w:cs="Times New Roman"/>
          <w:i/>
          <w:sz w:val="24"/>
          <w:szCs w:val="24"/>
        </w:rPr>
        <w:t>NIE</w:t>
      </w:r>
    </w:p>
    <w:p w14:paraId="4D049DE7" w14:textId="79DB49DC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</w:t>
      </w:r>
      <w:proofErr w:type="spellStart"/>
      <w:r w:rsidRPr="00084ABE">
        <w:rPr>
          <w:rFonts w:ascii="Times New Roman" w:eastAsia="Calibri" w:hAnsi="Times New Roman" w:cs="Times New Roman"/>
          <w:i/>
          <w:sz w:val="24"/>
          <w:szCs w:val="24"/>
        </w:rPr>
        <w:t>mikro</w:t>
      </w:r>
      <w:proofErr w:type="spellEnd"/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, malé a stredné podniky tzv. MSP)? </w:t>
      </w:r>
      <w:r w:rsidR="002D68CA" w:rsidRPr="00084ABE">
        <w:rPr>
          <w:rFonts w:ascii="Times New Roman" w:eastAsia="Calibri" w:hAnsi="Times New Roman" w:cs="Times New Roman"/>
          <w:i/>
          <w:sz w:val="24"/>
          <w:szCs w:val="24"/>
        </w:rPr>
        <w:t>NIE</w:t>
      </w:r>
    </w:p>
    <w:p w14:paraId="452A90F1" w14:textId="1C2B67A4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  <w:r w:rsidR="00831C82">
        <w:rPr>
          <w:rFonts w:ascii="Times New Roman" w:eastAsia="Calibri" w:hAnsi="Times New Roman" w:cs="Times New Roman"/>
          <w:i/>
          <w:sz w:val="24"/>
          <w:szCs w:val="24"/>
        </w:rPr>
        <w:t>NIE</w:t>
      </w:r>
    </w:p>
    <w:p w14:paraId="0D074838" w14:textId="4FB843B2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  <w:r w:rsidR="002D68CA" w:rsidRPr="00084ABE">
        <w:rPr>
          <w:rFonts w:ascii="Times New Roman" w:eastAsia="Calibri" w:hAnsi="Times New Roman" w:cs="Times New Roman"/>
          <w:i/>
          <w:sz w:val="24"/>
          <w:szCs w:val="24"/>
        </w:rPr>
        <w:t>NIE</w:t>
      </w:r>
    </w:p>
    <w:p w14:paraId="6B6A3793" w14:textId="19596A60" w:rsidR="007259CB" w:rsidRPr="00084ABE" w:rsidRDefault="007259CB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  <w:r w:rsidR="002D68CA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6A3F45">
        <w:rPr>
          <w:rFonts w:ascii="Times New Roman" w:eastAsia="Calibri" w:hAnsi="Times New Roman" w:cs="Times New Roman"/>
          <w:i/>
          <w:sz w:val="24"/>
          <w:szCs w:val="24"/>
        </w:rPr>
        <w:t>NIE</w:t>
      </w:r>
    </w:p>
    <w:p w14:paraId="64E2FB2F" w14:textId="660DEC37" w:rsidR="00BA19B0" w:rsidRPr="00084ABE" w:rsidRDefault="00BA19B0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Ak bol identifikovaný </w:t>
      </w:r>
      <w:proofErr w:type="spellStart"/>
      <w:r w:rsidRPr="00084ABE">
        <w:rPr>
          <w:rFonts w:ascii="Times New Roman" w:eastAsia="Calibri" w:hAnsi="Times New Roman" w:cs="Times New Roman"/>
          <w:i/>
          <w:sz w:val="24"/>
          <w:szCs w:val="24"/>
        </w:rPr>
        <w:t>goldplating</w:t>
      </w:r>
      <w:proofErr w:type="spellEnd"/>
      <w:r w:rsidR="00581EB9" w:rsidRPr="00084ABE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C14655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prispieva k zníženiu konkurencieschopnosti a produktivity?</w:t>
      </w:r>
      <w:r w:rsidR="00581EB9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2D68CA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NIE </w:t>
      </w:r>
      <w:r w:rsidR="00581EB9" w:rsidRPr="00084ABE">
        <w:rPr>
          <w:rFonts w:ascii="Times New Roman" w:eastAsia="Calibri" w:hAnsi="Times New Roman" w:cs="Times New Roman"/>
          <w:i/>
          <w:sz w:val="24"/>
          <w:szCs w:val="24"/>
        </w:rPr>
        <w:t>Akým spôsobom?</w:t>
      </w:r>
    </w:p>
    <w:p w14:paraId="05F7FDF7" w14:textId="77777777" w:rsidR="00831C82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  <w:r w:rsidR="002D68CA" w:rsidRPr="00084ABE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14:paraId="582B379B" w14:textId="20EB3B69" w:rsidR="007E0455" w:rsidRPr="005E6FF7" w:rsidRDefault="007E0455" w:rsidP="004626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788C">
        <w:rPr>
          <w:rFonts w:ascii="Times New Roman" w:hAnsi="Times New Roman" w:cs="Times New Roman"/>
          <w:sz w:val="24"/>
          <w:szCs w:val="24"/>
        </w:rPr>
        <w:t>Predpokladá sa pozitívny vplyv, keďže návrh sa zameriava na zjednodušenie administratívnej záťaže a zvýšenie efektivity právnych predpisov v oblasti životného prostredia</w:t>
      </w:r>
      <w:r w:rsidR="005E6FF7" w:rsidRPr="00DD788C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. </w:t>
      </w:r>
      <w:r w:rsidRPr="00DD788C">
        <w:rPr>
          <w:rFonts w:ascii="Times New Roman" w:hAnsi="Times New Roman" w:cs="Times New Roman"/>
          <w:sz w:val="24"/>
          <w:szCs w:val="24"/>
        </w:rPr>
        <w:t xml:space="preserve">Hodnotenie pozitívneho vplyvu je vykonané na kvalitatívnej úrovni. </w:t>
      </w:r>
      <w:r w:rsidR="00F94999" w:rsidRPr="00DD788C">
        <w:rPr>
          <w:rFonts w:ascii="Times New Roman" w:hAnsi="Times New Roman" w:cs="Times New Roman"/>
          <w:sz w:val="24"/>
          <w:szCs w:val="24"/>
        </w:rPr>
        <w:t>Kvalitatívne hodnotenie vychádza z posúdenia  potenciálneho mechanizmu vplyvu jednotlivých navrhovaných opatrení na podnikateľské subjekty, pričom sa zohľadňovali najmä tri aspekty: (i) rozsah zníženia administratívnych a regulačných povinností, (ii) miera flexibility pri plnení environmentálnych požiadaviek a (iii) potenciál opatrení podporiť efektívnejšie využívanie personálnych a administratívnych kapacít podnikateľských subjektov</w:t>
      </w:r>
      <w:r w:rsidR="00F94999" w:rsidRPr="00DD788C">
        <w:t xml:space="preserve">. </w:t>
      </w:r>
      <w:r w:rsidRPr="00DD788C">
        <w:rPr>
          <w:rFonts w:ascii="Times New Roman" w:hAnsi="Times New Roman" w:cs="Times New Roman"/>
          <w:sz w:val="24"/>
          <w:szCs w:val="24"/>
        </w:rPr>
        <w:t>Návrh smernice je predmetom legislatívneho procesu Európskej únie a jeho konečné znenie môže byť predmetom ďalších rokovaní. V súčasnosti preto nie je možné spoľahlivo určiť rozsah administratívnych úspor ani počet dotknutých podnikateľských subjektov. Z uvedeného dôvodu neboli identifikované kvantifikovateľné zmeny nákladov podnikateľského prostredia podľa metodiky analýzy vplyvov.</w:t>
      </w:r>
    </w:p>
    <w:p w14:paraId="40CB70DB" w14:textId="026D20FE" w:rsidR="007E0455" w:rsidRPr="00DD788C" w:rsidRDefault="005E6FF7" w:rsidP="004626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E6FF7">
        <w:rPr>
          <w:rFonts w:ascii="Times New Roman" w:hAnsi="Times New Roman" w:cs="Times New Roman"/>
          <w:sz w:val="24"/>
          <w:szCs w:val="24"/>
        </w:rPr>
        <w:t>Navrhované opatrenia majú potenciál pozitívne ovplyvniť produktivitu podnikateľských subjektov prostredníctvom zjednodušenia administratívnych požiadaviek, vyššej flexibility regulačného rámca a vytvorenia priaznivejších podmienok na implementáciu environmentálnych požiada</w:t>
      </w:r>
      <w:r w:rsidR="00DD788C">
        <w:rPr>
          <w:rFonts w:ascii="Times New Roman" w:hAnsi="Times New Roman" w:cs="Times New Roman"/>
          <w:sz w:val="24"/>
          <w:szCs w:val="24"/>
        </w:rPr>
        <w:t xml:space="preserve">viek. </w:t>
      </w:r>
      <w:r w:rsidR="007E0455" w:rsidRPr="00DD788C">
        <w:rPr>
          <w:rFonts w:ascii="Times New Roman" w:hAnsi="Times New Roman" w:cs="Times New Roman"/>
          <w:sz w:val="24"/>
          <w:szCs w:val="24"/>
        </w:rPr>
        <w:t>Očakáva sa, že podnikateľské subjekty budú môcť časť administratívnych kapacít presmerovať na svoju hlavnú podnikateľskú činnosť. Rozsah týchto prínosov však v súčasnom štádiu legislatívneho procesu nie je možné spoľahlivo kvantifikovať.</w:t>
      </w:r>
    </w:p>
    <w:p w14:paraId="2DD877E4" w14:textId="0CEBE184" w:rsidR="007807D0" w:rsidRPr="005E6FF7" w:rsidRDefault="007E0455" w:rsidP="004626E2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DD788C">
        <w:rPr>
          <w:rFonts w:ascii="Times New Roman" w:hAnsi="Times New Roman" w:cs="Times New Roman"/>
          <w:sz w:val="24"/>
          <w:szCs w:val="24"/>
        </w:rPr>
        <w:t xml:space="preserve">Materiál zároveň podporuje uľahčenie autorizácie inovatívnych a čistejších technológií vrátane technológií využívajúcich vodík a </w:t>
      </w:r>
      <w:proofErr w:type="spellStart"/>
      <w:r w:rsidRPr="00DD788C">
        <w:rPr>
          <w:rFonts w:ascii="Times New Roman" w:hAnsi="Times New Roman" w:cs="Times New Roman"/>
          <w:sz w:val="24"/>
          <w:szCs w:val="24"/>
        </w:rPr>
        <w:t>nízkouhlíkových</w:t>
      </w:r>
      <w:proofErr w:type="spellEnd"/>
      <w:r w:rsidRPr="00DD788C">
        <w:rPr>
          <w:rFonts w:ascii="Times New Roman" w:hAnsi="Times New Roman" w:cs="Times New Roman"/>
          <w:sz w:val="24"/>
          <w:szCs w:val="24"/>
        </w:rPr>
        <w:t xml:space="preserve"> výrobných procesov, čo môže prispieť k modernizácii priemyslu a zvýšeniu konkurencieschopnosti Slovenskej republiky. Navrhované opatrenia môžu mať pozitívny vplyv aj na malé a stredné podniky, keďže smerujú k zjednodušeniu administratívnych a regulačných požiadaviek pri zachovaní vysokej úrovne ochrany životného prostredia. Ich konkrétny prínos bude závisieť od konečného znenia smernice a spôsobu jej implementácie v členských štátoch. Pozitívne hodnotenie konkurencieschopnosti a produktivity vychádza z charakteru navrhovaných zjednodušení regulačných požiadaviek a nepredstavuje kvantifikované vyčíslenie finančných úspor</w:t>
      </w:r>
      <w:r w:rsidRPr="00DD788C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  <w:r w:rsidRPr="005E6FF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14:paraId="78681465" w14:textId="77777777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84ABE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03371E2D" w:rsidR="00054C41" w:rsidRPr="00084ABE" w:rsidRDefault="00F40A89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sdt>
                <w:sdtPr>
                  <w:rPr>
                    <w:rFonts w:ascii="Times New Roman" w:eastAsia="Calibri" w:hAnsi="Times New Roman" w:cs="Times New Roman"/>
                    <w:i/>
                    <w:sz w:val="24"/>
                    <w:szCs w:val="24"/>
                  </w:rPr>
                  <w:id w:val="-203940563"/>
                </w:sdtPr>
                <w:sdtEndPr/>
                <w:sdtContent>
                  <w:sdt>
                    <w:sdtPr>
                      <w:rPr>
                        <w:rFonts w:ascii="Times New Roman" w:eastAsia="Calibri" w:hAnsi="Times New Roman" w:cs="Times New Roman"/>
                        <w:i/>
                        <w:sz w:val="24"/>
                        <w:szCs w:val="24"/>
                      </w:rPr>
                      <w:id w:val="-2009744512"/>
                    </w:sdtPr>
                    <w:sdtEndPr/>
                    <w:sdtContent>
                      <w:r w:rsidR="002D7FEB" w:rsidRPr="002D7FEB">
                        <w:rPr>
                          <w:rFonts w:ascii="Times New Roman" w:eastAsia="Calibri" w:hAnsi="Times New Roman" w:cs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eastAsia="Calibri" w:hAnsi="Times New Roman" w:cs="Times New Roman"/>
                            <w:i/>
                            <w:sz w:val="24"/>
                            <w:szCs w:val="24"/>
                          </w:rPr>
                          <w:id w:val="967168077"/>
                        </w:sdtPr>
                        <w:sdtEndPr/>
                        <w:sdtContent>
                          <w:r w:rsidR="002D7FEB" w:rsidRPr="00084ABE">
                            <w:rPr>
                              <w:rFonts w:ascii="Segoe UI Symbol" w:eastAsia="Calibri" w:hAnsi="Segoe UI Symbol" w:cs="Segoe UI Symbol"/>
                              <w:i/>
                              <w:sz w:val="24"/>
                              <w:szCs w:val="24"/>
                            </w:rPr>
                            <w:t>☒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="00054C41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sdt>
                <w:sdtPr>
                  <w:rPr>
                    <w:rFonts w:ascii="Times New Roman" w:eastAsia="Calibri" w:hAnsi="Times New Roman" w:cs="Times New Roman"/>
                    <w:i/>
                    <w:sz w:val="24"/>
                    <w:szCs w:val="24"/>
                  </w:rPr>
                  <w:id w:val="1103295959"/>
                </w:sdtPr>
                <w:sdtEndPr/>
                <w:sdtContent>
                  <w:sdt>
                    <w:sdtPr>
                      <w:rPr>
                        <w:rFonts w:ascii="Times New Roman" w:eastAsia="Calibri" w:hAnsi="Times New Roman" w:cs="Times New Roman"/>
                        <w:i/>
                        <w:sz w:val="24"/>
                        <w:szCs w:val="24"/>
                      </w:rPr>
                      <w:id w:val="-1589773819"/>
                    </w:sdtPr>
                    <w:sdtEndPr/>
                    <w:sdtContent>
                      <w:r w:rsidR="002D7FEB" w:rsidRPr="002D7FEB">
                        <w:rPr>
                          <w:rFonts w:ascii="Times New Roman" w:eastAsia="Calibri" w:hAnsi="Times New Roman" w:cs="Times New Roman"/>
                          <w:i/>
                          <w:sz w:val="24"/>
                          <w:szCs w:val="24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eastAsia="Calibri" w:hAnsi="Times New Roman" w:cs="Times New Roman"/>
                            <w:i/>
                            <w:sz w:val="24"/>
                            <w:szCs w:val="24"/>
                          </w:rPr>
                          <w:id w:val="-1433357412"/>
                        </w:sdtPr>
                        <w:sdtEndPr/>
                        <w:sdtContent>
                          <w:r w:rsidR="002D7FEB" w:rsidRPr="00084ABE">
                            <w:rPr>
                              <w:rFonts w:ascii="Segoe UI Symbol" w:eastAsia="Calibri" w:hAnsi="Segoe UI Symbol" w:cs="Segoe UI Symbol"/>
                              <w:i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="00054C41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084ABE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084ABE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084ABE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6D5EC0" w:rsidRDefault="00054C41" w:rsidP="004626E2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6D5EC0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6D5EC0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D5EC0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0B272ABF" w14:textId="77777777" w:rsidR="00054C41" w:rsidRPr="006D5EC0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D5EC0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46E07610" w:rsidR="00054C41" w:rsidRPr="00084ABE" w:rsidRDefault="00F40A89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sdt>
                <w:sdtPr>
                  <w:rPr>
                    <w:rFonts w:ascii="Times New Roman" w:eastAsia="Calibri" w:hAnsi="Times New Roman" w:cs="Times New Roman"/>
                    <w:i/>
                    <w:sz w:val="24"/>
                    <w:szCs w:val="24"/>
                  </w:rPr>
                  <w:id w:val="1609857572"/>
                </w:sdtPr>
                <w:sdtEndPr/>
                <w:sdtContent>
                  <w:r w:rsidR="006D5EC0" w:rsidRPr="006D5EC0">
                    <w:rPr>
                      <w:rFonts w:ascii="Segoe UI Symbol" w:eastAsia="Calibri" w:hAnsi="Segoe UI Symbol" w:cs="Segoe UI Symbol"/>
                      <w:i/>
                      <w:sz w:val="24"/>
                      <w:szCs w:val="24"/>
                    </w:rPr>
                    <w:t>☒</w:t>
                  </w:r>
                </w:sdtContent>
              </w:sdt>
              <w:r w:rsidR="006D5EC0" w:rsidRPr="006D5EC0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 xml:space="preserve"> </w:t>
              </w:r>
            </w:sdtContent>
          </w:sdt>
        </w:sdtContent>
      </w:sdt>
      <w:r w:rsidR="00054C41" w:rsidRPr="006D5EC0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6D5EC0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822114450"/>
            </w:sdtPr>
            <w:sdtEndPr/>
            <w:sdtContent>
              <w:r w:rsidR="006D5EC0" w:rsidRPr="006D5EC0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  <w:r w:rsidR="006D5EC0" w:rsidRPr="006D5EC0">
            <w:rPr>
              <w:rFonts w:ascii="Times New Roman" w:eastAsia="Calibri" w:hAnsi="Times New Roman" w:cs="Times New Roman"/>
              <w:i/>
              <w:sz w:val="24"/>
              <w:szCs w:val="24"/>
            </w:rPr>
            <w:t xml:space="preserve"> nemení</w:t>
          </w:r>
        </w:sdtContent>
      </w:sdt>
      <w:r w:rsidR="00054C41" w:rsidRPr="006D5EC0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6D5EC0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6D5EC0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084ABE" w:rsidRDefault="00054C41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084ABE" w:rsidRDefault="00E30D85" w:rsidP="004626E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1D421B12" w:rsidR="00054C41" w:rsidRPr="00084ABE" w:rsidRDefault="00054C41" w:rsidP="004626E2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4ABE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2E62C464" w14:textId="64ABDAF8" w:rsidR="007807D0" w:rsidRPr="005E6FF7" w:rsidRDefault="007807D0" w:rsidP="00462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Návrh</w:t>
      </w:r>
      <w:r w:rsidRPr="007807D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prináša viaceré opatrenia smerujúce k zjednodušeniu administratívnej záťaže a zvýšeniu efektivity regulačného rámca v oblasti životného prostredia.</w:t>
      </w:r>
      <w:r w:rsidR="007E045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E0455" w:rsidRPr="00DD788C">
        <w:rPr>
          <w:rFonts w:ascii="Times New Roman" w:hAnsi="Times New Roman" w:cs="Times New Roman"/>
          <w:sz w:val="24"/>
          <w:szCs w:val="24"/>
        </w:rPr>
        <w:t>Uvedené pozitívne vplyvy predstavujú kvalitatívne hodnotenie založené na charaktere navrhovaných opatrení. Keďže ide o návrh smernice Európskej únie, ktorý je predmetom rokovaní, nie je v súčasnosti možné spoľahlivo kvantifikovať rozsah administratívnych úspor ani identifikovať všetky dotknuté podnikateľské subjekty</w:t>
      </w:r>
      <w:r w:rsidR="007E0455" w:rsidRPr="00DD788C">
        <w:rPr>
          <w:sz w:val="24"/>
          <w:szCs w:val="24"/>
        </w:rPr>
        <w:t>.</w:t>
      </w:r>
    </w:p>
    <w:p w14:paraId="760C74D2" w14:textId="77777777" w:rsidR="003F6EB4" w:rsidRDefault="007807D0" w:rsidP="00462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807D0">
        <w:rPr>
          <w:rFonts w:ascii="Times New Roman" w:eastAsia="Times New Roman" w:hAnsi="Times New Roman" w:cs="Times New Roman"/>
          <w:sz w:val="24"/>
          <w:szCs w:val="24"/>
          <w:lang w:eastAsia="sk-SK"/>
        </w:rPr>
        <w:t>Pozitívny vplyv na podnikateľské p</w:t>
      </w:r>
      <w:r w:rsidR="003F6EB4">
        <w:rPr>
          <w:rFonts w:ascii="Times New Roman" w:eastAsia="Times New Roman" w:hAnsi="Times New Roman" w:cs="Times New Roman"/>
          <w:sz w:val="24"/>
          <w:szCs w:val="24"/>
          <w:lang w:eastAsia="sk-SK"/>
        </w:rPr>
        <w:t>rostredie sa predpokladá najmä:</w:t>
      </w:r>
    </w:p>
    <w:p w14:paraId="19114A16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zjednodušením administratívnych povinností pri využívaní systému environ</w:t>
      </w:r>
      <w:r w:rsidR="003F6EB4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mentálneho manažérstva (EMS),</w:t>
      </w:r>
    </w:p>
    <w:p w14:paraId="1FCDF786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možnosťou zavedenia jedného systému EMS pre viacero prevádzok</w:t>
      </w:r>
      <w:r w:rsidR="003F6EB4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 rovnakým prevádzkovateľom,</w:t>
      </w:r>
    </w:p>
    <w:p w14:paraId="26E5F22B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zrušením niektorých administratívnych povinností, ako vedenie registra nebezpečných látok, hodnotenia chemických rizík</w:t>
      </w:r>
      <w:r w:rsidR="003F6EB4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vykonávanie auditov EMS,</w:t>
      </w:r>
    </w:p>
    <w:p w14:paraId="39B6C767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odkladom implementácie EMS do roku 2030, čím sa vytvára dostatočný čas na prípravu prevádzkovateľ</w:t>
      </w:r>
      <w:r w:rsidR="003F6EB4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ov a orgánov verejnej správy,</w:t>
      </w:r>
    </w:p>
    <w:p w14:paraId="01604167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uľahčením autorizácie inovatí</w:t>
      </w:r>
      <w:r w:rsidR="003F6EB4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vnych a čistejších technológií,</w:t>
      </w:r>
    </w:p>
    <w:p w14:paraId="0B91DD0F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podporou </w:t>
      </w:r>
      <w:proofErr w:type="spellStart"/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nízkouhlíkových</w:t>
      </w:r>
      <w:proofErr w:type="spellEnd"/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technológií a dekarbo</w:t>
      </w:r>
      <w:r w:rsidR="003F6EB4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nizácie priemyselných procesov,</w:t>
      </w:r>
    </w:p>
    <w:p w14:paraId="0A3CD68F" w14:textId="77777777" w:rsidR="003F6EB4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zjednodušením zahrnutia ekologických chovov hydiny a úpravou prepočítavacieho koeficientu pre neodstavené prasiatka pri</w:t>
      </w:r>
      <w:r w:rsidR="004F1F10"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výpočte dobytčích jednotiek,</w:t>
      </w:r>
    </w:p>
    <w:p w14:paraId="1E14F916" w14:textId="40F821FE" w:rsidR="007807D0" w:rsidRPr="00292A5C" w:rsidRDefault="007807D0" w:rsidP="004626E2">
      <w:pPr>
        <w:pStyle w:val="Odsekzoznamu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92A5C">
        <w:rPr>
          <w:rFonts w:ascii="Times New Roman" w:eastAsia="Times New Roman" w:hAnsi="Times New Roman" w:cs="Times New Roman"/>
          <w:sz w:val="24"/>
          <w:szCs w:val="24"/>
          <w:lang w:eastAsia="sk-SK"/>
        </w:rPr>
        <w:t>a zavedením prechodných ustanovení umožňujúcich postupnú implementáciu nových požiadaviek.</w:t>
      </w:r>
    </w:p>
    <w:p w14:paraId="25A482C8" w14:textId="063856E2" w:rsidR="007807D0" w:rsidRDefault="005E6FF7" w:rsidP="00462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smeruje k zachovaniu vysokej úrovne ochrany životného prostredia pri súčasnom potenciálnom znížení regulačnej a administratívnej záťaže</w:t>
      </w:r>
      <w:r w:rsidR="007807D0"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. Očakáva</w:t>
      </w:r>
      <w:r w:rsidR="007807D0" w:rsidRPr="007807D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pozitívny vplyv na právnu istotu, predvídateľnosť povoľovacích procesov, konkurencieschopnosť priemyselných prevádzok a na malé a stredné podniky.</w:t>
      </w:r>
    </w:p>
    <w:p w14:paraId="327C0350" w14:textId="166D7E93" w:rsidR="003F6EB4" w:rsidRPr="003F6EB4" w:rsidRDefault="003F6EB4" w:rsidP="004626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3F6EB4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Z hľadiska zmien súvisiacich s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 priemyselnými emisiami</w:t>
      </w:r>
      <w:r w:rsidRPr="003F6EB4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:</w:t>
      </w:r>
    </w:p>
    <w:p w14:paraId="3B15102C" w14:textId="77777777" w:rsidR="003F6EB4" w:rsidRDefault="003F6EB4" w:rsidP="004626E2">
      <w:pPr>
        <w:pStyle w:val="Odsekzoznamu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Komisia navrhuje, že ustanovený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emisný limit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NOx zo spaľovania plynných palív okrem zemného plynu sa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>palivá s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>obsahom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viac 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20 % (objemu) vodíka nebude vzťahovať. Avšak v takom prípade celkové množstvo emisií NOx vypustených do ovzdušia počas jedného roka z príslušného zariadenia nesmie byť vyššie ako keby 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emisie z príslušného zariadenia zostali v súlade s limitnými hodnotami emisií stanovenými v tomto bode pre NOx pri spaľovaní zemného plynu, bez toho, aby boli dotknuté prísnejšie opatrenia požadované podľa článku 18. To znamená, že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Komisia síce nebude vyžadovať koncentračný 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emisný limit, ale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naďalej požaduje sledovanie emisnej úrovne NOx, tzn. bude sa uplatňovať </w:t>
      </w:r>
      <w:r w:rsidRPr="00CE2E12">
        <w:rPr>
          <w:rFonts w:ascii="Times New Roman" w:eastAsia="Times New Roman" w:hAnsi="Times New Roman" w:cs="Times New Roman"/>
          <w:sz w:val="24"/>
          <w:szCs w:val="24"/>
          <w:lang w:eastAsia="sk-SK"/>
        </w:rPr>
        <w:t>hmotnostný limit vyjadrený v tonách za rok.</w:t>
      </w:r>
    </w:p>
    <w:p w14:paraId="321A3563" w14:textId="77777777" w:rsidR="003F6EB4" w:rsidRPr="00EE753E" w:rsidRDefault="003F6EB4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6DE59B" w14:textId="1639240C" w:rsidR="00DD788C" w:rsidRPr="00DD788C" w:rsidRDefault="00DD788C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Toto ustanovenie nebude mať vo výsledku pozitívny vplyv na podnikateľské prostredie, ale ani negatívny vplyv. Podľa súčasne platnej smernice by sa na dané zariadenie vzťahoval ustanovený limit pre </w:t>
      </w:r>
      <w:proofErr w:type="spellStart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NOx</w:t>
      </w:r>
      <w:proofErr w:type="spellEnd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čo znamená, že v súčasnosti musí byť na danom zariadení vykonávané meranie na jeho preukázanie. Na preukázanie ročného množstva emisií </w:t>
      </w:r>
      <w:proofErr w:type="spellStart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NOx</w:t>
      </w:r>
      <w:proofErr w:type="spellEnd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bude taktiež potrebné vykonať diskontinuálne meranie. A to, z dôvodu, že bude potrebné zistiť emisný faktor pre vypúšťané emisie </w:t>
      </w:r>
      <w:proofErr w:type="spellStart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NOx</w:t>
      </w:r>
      <w:proofErr w:type="spellEnd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. V súčasnosti máme na národnej úrovni dostupný len  všeobecný emisný faktor pre spaľovanie zemného plynu (ktorý vychádza z meraní) a pre tieto palivá s obsahom vodíka nie je k dispozícii.</w:t>
      </w:r>
    </w:p>
    <w:p w14:paraId="5E0E40BA" w14:textId="77777777" w:rsidR="00DD788C" w:rsidRPr="00DD788C" w:rsidRDefault="00DD788C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Zároveň nie je isté, či na dodržanie tejto požiadavky ročného hmotnostného limitu aj tak nebude potrebné inštalovať nejaké odlučovacie zriadenie rovnako ako pri plnení požiadaviek podľa súčasne platného znenia smernice.</w:t>
      </w:r>
    </w:p>
    <w:p w14:paraId="37D449B5" w14:textId="2C000E12" w:rsidR="003F6EB4" w:rsidRDefault="00DD788C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Okrem toho v prípade zariadení LCP sa na dané zariadenia vzťahujú závery o BAT, kde zatiaľ nie je ustanovené, že je možné upustiť od emisného limitu pre NOX zo spaľovania plynných palív s obsahom ako 20 % (objemu) vodíka. Ide najmä o plyny zo spracovania železa a ocele, procesné palivá z chemického priemyslu a zo </w:t>
      </w:r>
      <w:proofErr w:type="spellStart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splyňovacích</w:t>
      </w:r>
      <w:proofErr w:type="spellEnd"/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zariadení.</w:t>
      </w:r>
    </w:p>
    <w:p w14:paraId="1928957E" w14:textId="77777777" w:rsidR="00DD788C" w:rsidRPr="00EE753E" w:rsidRDefault="00DD788C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1C76E0" w14:textId="77777777" w:rsidR="003F6EB4" w:rsidRDefault="003F6EB4" w:rsidP="004626E2">
      <w:pPr>
        <w:pStyle w:val="Odsekzoznamu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Komisia navrhuje zníženie frekvencie monitorovania niektorých záložných spaľovacích zariadení.</w:t>
      </w:r>
    </w:p>
    <w:p w14:paraId="6D094C35" w14:textId="77777777" w:rsidR="003F6EB4" w:rsidRDefault="003F6EB4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8BD8F7B" w14:textId="4CAB1A4B" w:rsidR="003F6EB4" w:rsidRDefault="003F6EB4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Toto ustanovenie rovnako nebude mať vo výsledku pozitívny </w:t>
      </w:r>
      <w:r w:rsidR="004626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ani negatívny </w:t>
      </w: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vplyv na podnikateľské prostredie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pretože čo sa týka zjemnenej požiadavky na monitorovanie záložných generátorov, tá by sa uplatňovala iba na dieselové motory alebo dvojpalivové motory začlenené ako nové zariadenia s prevádzkou od 500 h do 1 500 h ročne a emisie NOx. Avšak </w:t>
      </w:r>
      <w:proofErr w:type="spellStart"/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pr</w:t>
      </w:r>
      <w:proofErr w:type="spellEnd"/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. III. časť I. bod 2.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smernice 2015/2193</w:t>
      </w: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, okrem počtu prevádzkových hodín ustanovuje, že frekvencia meraní nemôže byť nižšia ako 5 rokov. Podľa našich skúseností pri niektorých záložných zariadenia</w:t>
      </w:r>
      <w:r w:rsidR="004626E2">
        <w:rPr>
          <w:rFonts w:ascii="Times New Roman" w:eastAsia="Times New Roman" w:hAnsi="Times New Roman" w:cs="Times New Roman"/>
          <w:sz w:val="24"/>
          <w:szCs w:val="24"/>
          <w:lang w:eastAsia="sk-SK"/>
        </w:rPr>
        <w:t>ch</w:t>
      </w: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sa spúšťajú ako záloha pri výnimočných situáciách a zvyčajne sú počas roka v chode iba z dôvodu ich preskúšania</w:t>
      </w:r>
      <w:r w:rsidR="004626E2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bookmarkStart w:id="1" w:name="_GoBack"/>
      <w:bookmarkEnd w:id="1"/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počet prevádzkových hodín pohybuje na úrovni 100 -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E753E">
        <w:rPr>
          <w:rFonts w:ascii="Times New Roman" w:eastAsia="Times New Roman" w:hAnsi="Times New Roman" w:cs="Times New Roman"/>
          <w:sz w:val="24"/>
          <w:szCs w:val="24"/>
          <w:lang w:eastAsia="sk-SK"/>
        </w:rPr>
        <w:t>200 h ročne. To znamená, že počas 5 rokov je to menej ako 1000 h, čiže 1500 h by bolo dosiahnutých až za približne 7,5 roka. Na základe uvedeného konštatujeme, že pre prevádzkovateľov takýchto zariadení v skutočnosti nedôjde k zjemneniu požiadavky.</w:t>
      </w:r>
    </w:p>
    <w:p w14:paraId="45CDB92F" w14:textId="77777777" w:rsidR="007E0455" w:rsidRDefault="007E0455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7054DC" w14:textId="0680BE5D" w:rsidR="00054C41" w:rsidRPr="00DD788C" w:rsidRDefault="007E0455" w:rsidP="004626E2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D788C">
        <w:rPr>
          <w:rFonts w:ascii="Times New Roman" w:eastAsia="Times New Roman" w:hAnsi="Times New Roman" w:cs="Times New Roman"/>
          <w:sz w:val="24"/>
          <w:szCs w:val="24"/>
          <w:lang w:eastAsia="sk-SK"/>
        </w:rPr>
        <w:t>Napriek tomu, že nie všetky jednotlivé navrhované opatrenia prinášajú pozitívny vplyv na podnikateľské prostredie, celkové hodnotenie návrhu sa považuje za pozitívne vzhľadom na prevažujúci charakter opatrení smerujúcich k znižovaniu administratívnej záťaže a zjednodušeniu regulačných požiadaviek.</w:t>
      </w:r>
    </w:p>
    <w:p w14:paraId="4E7462F3" w14:textId="77777777" w:rsidR="00054C41" w:rsidRPr="00084ABE" w:rsidRDefault="00054C41" w:rsidP="004626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sk-SK"/>
        </w:rPr>
      </w:pPr>
    </w:p>
    <w:p w14:paraId="47A4B2DA" w14:textId="77777777" w:rsidR="00142154" w:rsidRPr="00084ABE" w:rsidRDefault="00142154" w:rsidP="004626E2">
      <w:pPr>
        <w:jc w:val="both"/>
      </w:pPr>
    </w:p>
    <w:sectPr w:rsidR="00142154" w:rsidRPr="00084ABE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C4F9D" w14:textId="77777777" w:rsidR="00F40A89" w:rsidRDefault="00F40A89" w:rsidP="00054C41">
      <w:pPr>
        <w:spacing w:after="0" w:line="240" w:lineRule="auto"/>
      </w:pPr>
      <w:r>
        <w:separator/>
      </w:r>
    </w:p>
  </w:endnote>
  <w:endnote w:type="continuationSeparator" w:id="0">
    <w:p w14:paraId="5E58AB86" w14:textId="77777777" w:rsidR="00F40A89" w:rsidRDefault="00F40A89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7F67E10C" w:rsidR="006150A4" w:rsidRPr="006045CB" w:rsidRDefault="006150A4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26E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6150A4" w:rsidRPr="00FF7125" w:rsidRDefault="006150A4" w:rsidP="00054C41">
    <w:pPr>
      <w:pStyle w:val="Pta"/>
      <w:rPr>
        <w:sz w:val="24"/>
        <w:szCs w:val="24"/>
      </w:rPr>
    </w:pPr>
  </w:p>
  <w:p w14:paraId="20FE6A4A" w14:textId="77777777" w:rsidR="006150A4" w:rsidRDefault="006150A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DBC11" w14:textId="77777777" w:rsidR="00F40A89" w:rsidRDefault="00F40A89" w:rsidP="00054C41">
      <w:pPr>
        <w:spacing w:after="0" w:line="240" w:lineRule="auto"/>
      </w:pPr>
      <w:r>
        <w:separator/>
      </w:r>
    </w:p>
  </w:footnote>
  <w:footnote w:type="continuationSeparator" w:id="0">
    <w:p w14:paraId="3E3056EB" w14:textId="77777777" w:rsidR="00F40A89" w:rsidRDefault="00F40A89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6150A4" w:rsidRPr="000A6B7F" w:rsidRDefault="006150A4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6150A4" w:rsidRPr="00804BC8" w:rsidRDefault="006150A4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6150A4" w:rsidRDefault="006150A4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8E6B" w14:textId="77777777" w:rsidR="006150A4" w:rsidRPr="006045CB" w:rsidRDefault="006150A4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6150A4" w:rsidRPr="006045CB" w:rsidRDefault="006150A4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5053E"/>
    <w:multiLevelType w:val="hybridMultilevel"/>
    <w:tmpl w:val="AFFC01C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95F35"/>
    <w:multiLevelType w:val="hybridMultilevel"/>
    <w:tmpl w:val="D7846CCA"/>
    <w:lvl w:ilvl="0" w:tplc="8648F7AA">
      <w:start w:val="4"/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Times New Roman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1674B5"/>
    <w:multiLevelType w:val="hybridMultilevel"/>
    <w:tmpl w:val="3440D8B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C013F"/>
    <w:multiLevelType w:val="hybridMultilevel"/>
    <w:tmpl w:val="AD2AA258"/>
    <w:lvl w:ilvl="0" w:tplc="C5F045DE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30E39"/>
    <w:multiLevelType w:val="multilevel"/>
    <w:tmpl w:val="9A36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874FC"/>
    <w:multiLevelType w:val="hybridMultilevel"/>
    <w:tmpl w:val="4BD6D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70693B1F"/>
    <w:multiLevelType w:val="hybridMultilevel"/>
    <w:tmpl w:val="46DE34C4"/>
    <w:lvl w:ilvl="0" w:tplc="86A018C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7D6842EE"/>
    <w:multiLevelType w:val="hybridMultilevel"/>
    <w:tmpl w:val="EE18B194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7"/>
  </w:num>
  <w:num w:numId="4">
    <w:abstractNumId w:val="14"/>
  </w:num>
  <w:num w:numId="5">
    <w:abstractNumId w:val="11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8"/>
  </w:num>
  <w:num w:numId="14">
    <w:abstractNumId w:val="10"/>
  </w:num>
  <w:num w:numId="15">
    <w:abstractNumId w:val="5"/>
  </w:num>
  <w:num w:numId="16">
    <w:abstractNumId w:val="4"/>
  </w:num>
  <w:num w:numId="17">
    <w:abstractNumId w:val="7"/>
  </w:num>
  <w:num w:numId="18">
    <w:abstractNumId w:val="9"/>
  </w:num>
  <w:num w:numId="19">
    <w:abstractNumId w:val="6"/>
  </w:num>
  <w:num w:numId="20">
    <w:abstractNumId w:val="15"/>
  </w:num>
  <w:num w:numId="21">
    <w:abstractNumId w:val="12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57B1E"/>
    <w:rsid w:val="00060DA1"/>
    <w:rsid w:val="00061E85"/>
    <w:rsid w:val="000629D8"/>
    <w:rsid w:val="00062E56"/>
    <w:rsid w:val="000820E0"/>
    <w:rsid w:val="00084ABE"/>
    <w:rsid w:val="00091A43"/>
    <w:rsid w:val="0009490E"/>
    <w:rsid w:val="000A6B7F"/>
    <w:rsid w:val="000C5419"/>
    <w:rsid w:val="000C5E9A"/>
    <w:rsid w:val="000D15F0"/>
    <w:rsid w:val="000F2B7A"/>
    <w:rsid w:val="0011003B"/>
    <w:rsid w:val="001133DA"/>
    <w:rsid w:val="00115D8C"/>
    <w:rsid w:val="00126A2B"/>
    <w:rsid w:val="00127AFA"/>
    <w:rsid w:val="00142154"/>
    <w:rsid w:val="001476A4"/>
    <w:rsid w:val="00162C6C"/>
    <w:rsid w:val="00163A89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207F43"/>
    <w:rsid w:val="002232D3"/>
    <w:rsid w:val="00225A83"/>
    <w:rsid w:val="00231B8F"/>
    <w:rsid w:val="00241016"/>
    <w:rsid w:val="0026140F"/>
    <w:rsid w:val="00270EA5"/>
    <w:rsid w:val="002712B9"/>
    <w:rsid w:val="00284B8C"/>
    <w:rsid w:val="00292A5C"/>
    <w:rsid w:val="0029483F"/>
    <w:rsid w:val="002C2FC0"/>
    <w:rsid w:val="002D29F8"/>
    <w:rsid w:val="002D68CA"/>
    <w:rsid w:val="002D7FEB"/>
    <w:rsid w:val="002F2D4C"/>
    <w:rsid w:val="002F5CE0"/>
    <w:rsid w:val="00302A17"/>
    <w:rsid w:val="00314D25"/>
    <w:rsid w:val="00315BE2"/>
    <w:rsid w:val="003322EE"/>
    <w:rsid w:val="00337630"/>
    <w:rsid w:val="00340CFD"/>
    <w:rsid w:val="003413D5"/>
    <w:rsid w:val="00342621"/>
    <w:rsid w:val="0034778D"/>
    <w:rsid w:val="00354379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58B8"/>
    <w:rsid w:val="003F06D7"/>
    <w:rsid w:val="003F6EB4"/>
    <w:rsid w:val="00400224"/>
    <w:rsid w:val="00400BA5"/>
    <w:rsid w:val="00410E62"/>
    <w:rsid w:val="00414FA7"/>
    <w:rsid w:val="00420090"/>
    <w:rsid w:val="004239D1"/>
    <w:rsid w:val="004248D8"/>
    <w:rsid w:val="00430AD8"/>
    <w:rsid w:val="00445638"/>
    <w:rsid w:val="00446432"/>
    <w:rsid w:val="00446512"/>
    <w:rsid w:val="00450A91"/>
    <w:rsid w:val="004626E2"/>
    <w:rsid w:val="00466D7A"/>
    <w:rsid w:val="00467365"/>
    <w:rsid w:val="0048237B"/>
    <w:rsid w:val="00484D16"/>
    <w:rsid w:val="00491853"/>
    <w:rsid w:val="004A14CD"/>
    <w:rsid w:val="004A2C6B"/>
    <w:rsid w:val="004C0D5F"/>
    <w:rsid w:val="004D20CB"/>
    <w:rsid w:val="004D65B2"/>
    <w:rsid w:val="004D681D"/>
    <w:rsid w:val="004E2324"/>
    <w:rsid w:val="004F16F2"/>
    <w:rsid w:val="004F1F10"/>
    <w:rsid w:val="004F63E6"/>
    <w:rsid w:val="005103DA"/>
    <w:rsid w:val="00511F8F"/>
    <w:rsid w:val="00512BA7"/>
    <w:rsid w:val="00515726"/>
    <w:rsid w:val="00551685"/>
    <w:rsid w:val="00562527"/>
    <w:rsid w:val="00562A1E"/>
    <w:rsid w:val="00563427"/>
    <w:rsid w:val="00581EB9"/>
    <w:rsid w:val="005B4654"/>
    <w:rsid w:val="005B4E6E"/>
    <w:rsid w:val="005B56E4"/>
    <w:rsid w:val="005C2C2C"/>
    <w:rsid w:val="005C795C"/>
    <w:rsid w:val="005D0E50"/>
    <w:rsid w:val="005D39D8"/>
    <w:rsid w:val="005E0842"/>
    <w:rsid w:val="005E1C45"/>
    <w:rsid w:val="005E6FF7"/>
    <w:rsid w:val="0060775E"/>
    <w:rsid w:val="0061097B"/>
    <w:rsid w:val="006150A4"/>
    <w:rsid w:val="0061612F"/>
    <w:rsid w:val="006177C8"/>
    <w:rsid w:val="0062600A"/>
    <w:rsid w:val="0063777D"/>
    <w:rsid w:val="00643358"/>
    <w:rsid w:val="00643865"/>
    <w:rsid w:val="00646084"/>
    <w:rsid w:val="006564C3"/>
    <w:rsid w:val="006578CB"/>
    <w:rsid w:val="006A3F45"/>
    <w:rsid w:val="006A4E85"/>
    <w:rsid w:val="006A60C0"/>
    <w:rsid w:val="006A712F"/>
    <w:rsid w:val="006B5D74"/>
    <w:rsid w:val="006C1F99"/>
    <w:rsid w:val="006C25BE"/>
    <w:rsid w:val="006D5EC0"/>
    <w:rsid w:val="006D7AD8"/>
    <w:rsid w:val="006F12A3"/>
    <w:rsid w:val="006F1D57"/>
    <w:rsid w:val="0070364C"/>
    <w:rsid w:val="00710EDF"/>
    <w:rsid w:val="0072221D"/>
    <w:rsid w:val="0072357C"/>
    <w:rsid w:val="007259CB"/>
    <w:rsid w:val="00726031"/>
    <w:rsid w:val="00751DA9"/>
    <w:rsid w:val="0075325F"/>
    <w:rsid w:val="00755E69"/>
    <w:rsid w:val="0075782C"/>
    <w:rsid w:val="007648EE"/>
    <w:rsid w:val="00766079"/>
    <w:rsid w:val="0077106D"/>
    <w:rsid w:val="007764F9"/>
    <w:rsid w:val="007807D0"/>
    <w:rsid w:val="00780ACC"/>
    <w:rsid w:val="00787A11"/>
    <w:rsid w:val="00797B40"/>
    <w:rsid w:val="007A0C9D"/>
    <w:rsid w:val="007B1815"/>
    <w:rsid w:val="007B40FB"/>
    <w:rsid w:val="007B62AF"/>
    <w:rsid w:val="007E0455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31C82"/>
    <w:rsid w:val="0084596B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D006F"/>
    <w:rsid w:val="008E1AD0"/>
    <w:rsid w:val="008E29B1"/>
    <w:rsid w:val="008E315F"/>
    <w:rsid w:val="008E6B82"/>
    <w:rsid w:val="008F067F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00AEC"/>
    <w:rsid w:val="00A1736E"/>
    <w:rsid w:val="00A216DF"/>
    <w:rsid w:val="00A31E90"/>
    <w:rsid w:val="00A33F2C"/>
    <w:rsid w:val="00A50EE3"/>
    <w:rsid w:val="00A63706"/>
    <w:rsid w:val="00A83E11"/>
    <w:rsid w:val="00A94A0F"/>
    <w:rsid w:val="00AA3C6D"/>
    <w:rsid w:val="00AB57C4"/>
    <w:rsid w:val="00B11CF5"/>
    <w:rsid w:val="00B209FA"/>
    <w:rsid w:val="00B21D1F"/>
    <w:rsid w:val="00B23DC5"/>
    <w:rsid w:val="00B240E8"/>
    <w:rsid w:val="00B410BA"/>
    <w:rsid w:val="00B41173"/>
    <w:rsid w:val="00B43D68"/>
    <w:rsid w:val="00B44A3A"/>
    <w:rsid w:val="00B5600C"/>
    <w:rsid w:val="00B66E33"/>
    <w:rsid w:val="00B72FB1"/>
    <w:rsid w:val="00B822CF"/>
    <w:rsid w:val="00B85429"/>
    <w:rsid w:val="00B953DA"/>
    <w:rsid w:val="00BA19B0"/>
    <w:rsid w:val="00BB3870"/>
    <w:rsid w:val="00BB45A7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14AA2"/>
    <w:rsid w:val="00C21399"/>
    <w:rsid w:val="00C220B3"/>
    <w:rsid w:val="00C35F69"/>
    <w:rsid w:val="00C40509"/>
    <w:rsid w:val="00C446E2"/>
    <w:rsid w:val="00C4653F"/>
    <w:rsid w:val="00C535F5"/>
    <w:rsid w:val="00C560C4"/>
    <w:rsid w:val="00C626F1"/>
    <w:rsid w:val="00C6748F"/>
    <w:rsid w:val="00C67D49"/>
    <w:rsid w:val="00C74337"/>
    <w:rsid w:val="00C75DC8"/>
    <w:rsid w:val="00C929AE"/>
    <w:rsid w:val="00CA4344"/>
    <w:rsid w:val="00CA6348"/>
    <w:rsid w:val="00CB1232"/>
    <w:rsid w:val="00CB17A0"/>
    <w:rsid w:val="00CC3B7D"/>
    <w:rsid w:val="00CD5AE4"/>
    <w:rsid w:val="00CD5E86"/>
    <w:rsid w:val="00CE3B21"/>
    <w:rsid w:val="00CF046B"/>
    <w:rsid w:val="00CF4D09"/>
    <w:rsid w:val="00D005F2"/>
    <w:rsid w:val="00D03A8E"/>
    <w:rsid w:val="00D114ED"/>
    <w:rsid w:val="00D21015"/>
    <w:rsid w:val="00D3032C"/>
    <w:rsid w:val="00D31A3B"/>
    <w:rsid w:val="00D5309D"/>
    <w:rsid w:val="00D61B9A"/>
    <w:rsid w:val="00D631FA"/>
    <w:rsid w:val="00D67761"/>
    <w:rsid w:val="00D71064"/>
    <w:rsid w:val="00D811BB"/>
    <w:rsid w:val="00D82356"/>
    <w:rsid w:val="00D84EEE"/>
    <w:rsid w:val="00D90A61"/>
    <w:rsid w:val="00D946EF"/>
    <w:rsid w:val="00D95553"/>
    <w:rsid w:val="00DC355F"/>
    <w:rsid w:val="00DD1E4C"/>
    <w:rsid w:val="00DD788C"/>
    <w:rsid w:val="00DE331A"/>
    <w:rsid w:val="00DE6ACB"/>
    <w:rsid w:val="00DF02CE"/>
    <w:rsid w:val="00DF1462"/>
    <w:rsid w:val="00E030DA"/>
    <w:rsid w:val="00E214C0"/>
    <w:rsid w:val="00E30D85"/>
    <w:rsid w:val="00E444EB"/>
    <w:rsid w:val="00E504C3"/>
    <w:rsid w:val="00E54BB4"/>
    <w:rsid w:val="00E554CF"/>
    <w:rsid w:val="00E77A69"/>
    <w:rsid w:val="00E81A42"/>
    <w:rsid w:val="00E961E8"/>
    <w:rsid w:val="00E96244"/>
    <w:rsid w:val="00E96DE0"/>
    <w:rsid w:val="00EA404D"/>
    <w:rsid w:val="00EA7560"/>
    <w:rsid w:val="00EB16E2"/>
    <w:rsid w:val="00EB2BEC"/>
    <w:rsid w:val="00EB4506"/>
    <w:rsid w:val="00EB74BF"/>
    <w:rsid w:val="00EC0704"/>
    <w:rsid w:val="00EC508B"/>
    <w:rsid w:val="00EC7D51"/>
    <w:rsid w:val="00ED6B5D"/>
    <w:rsid w:val="00EE4C99"/>
    <w:rsid w:val="00F02655"/>
    <w:rsid w:val="00F153D7"/>
    <w:rsid w:val="00F1599C"/>
    <w:rsid w:val="00F2433F"/>
    <w:rsid w:val="00F244DC"/>
    <w:rsid w:val="00F378F4"/>
    <w:rsid w:val="00F40A89"/>
    <w:rsid w:val="00F47912"/>
    <w:rsid w:val="00F541B6"/>
    <w:rsid w:val="00F57702"/>
    <w:rsid w:val="00F61361"/>
    <w:rsid w:val="00F613E8"/>
    <w:rsid w:val="00F74D3C"/>
    <w:rsid w:val="00F74FC9"/>
    <w:rsid w:val="00F91F47"/>
    <w:rsid w:val="00F94999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7578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y"/>
    <w:uiPriority w:val="1"/>
    <w:qFormat/>
    <w:rsid w:val="007578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textovprepojenie">
    <w:name w:val="Hyperlink"/>
    <w:basedOn w:val="Predvolenpsmoodseku"/>
    <w:uiPriority w:val="99"/>
    <w:unhideWhenUsed/>
    <w:rsid w:val="000629D8"/>
    <w:rPr>
      <w:color w:val="0563C1" w:themeColor="hyperlink"/>
      <w:u w:val="single"/>
    </w:rPr>
  </w:style>
  <w:style w:type="paragraph" w:customStyle="1" w:styleId="isselectedend">
    <w:name w:val="isselectedend"/>
    <w:basedOn w:val="Normlny"/>
    <w:rsid w:val="0078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7F6E05D-6C6C-44C7-BC55-EB972540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2005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Jakábová Jana</cp:lastModifiedBy>
  <cp:revision>4</cp:revision>
  <cp:lastPrinted>2026-07-07T08:50:00Z</cp:lastPrinted>
  <dcterms:created xsi:type="dcterms:W3CDTF">2026-07-09T14:22:00Z</dcterms:created>
  <dcterms:modified xsi:type="dcterms:W3CDTF">2026-07-28T09:41:00Z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