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22442" w:rsidRDefault="00F96B2D">
      <w:pPr>
        <w:ind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DÔVODOVÁ SPRÁVA</w:t>
      </w:r>
    </w:p>
    <w:p w14:paraId="00000008" w14:textId="77777777" w:rsidR="00722442" w:rsidRDefault="00722442">
      <w:pPr>
        <w:shd w:val="clear" w:color="auto" w:fill="auto"/>
        <w:spacing w:before="0" w:after="0"/>
        <w:ind w:firstLine="0"/>
        <w:rPr>
          <w:rFonts w:ascii="Times New Roman" w:eastAsia="Times New Roman" w:hAnsi="Times New Roman" w:cs="Times New Roman"/>
          <w:sz w:val="24"/>
          <w:szCs w:val="24"/>
        </w:rPr>
      </w:pPr>
    </w:p>
    <w:p w14:paraId="00000009" w14:textId="1CF16BC1" w:rsidR="00722442" w:rsidRDefault="006F7607" w:rsidP="006F7607">
      <w:pPr>
        <w:ind w:left="360"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 </w:t>
      </w:r>
      <w:r w:rsidR="00F96B2D">
        <w:rPr>
          <w:rFonts w:ascii="Times New Roman" w:eastAsia="Times New Roman" w:hAnsi="Times New Roman" w:cs="Times New Roman"/>
          <w:b/>
          <w:sz w:val="24"/>
          <w:szCs w:val="24"/>
        </w:rPr>
        <w:t>Osobitná časť</w:t>
      </w:r>
    </w:p>
    <w:p w14:paraId="0000000A" w14:textId="77777777" w:rsidR="00722442" w:rsidRDefault="00F96B2D">
      <w:pPr>
        <w:ind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K čl. I</w:t>
      </w:r>
    </w:p>
    <w:p w14:paraId="0000000B"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bodom 1 až 4:</w:t>
      </w:r>
      <w:r>
        <w:rPr>
          <w:rFonts w:ascii="Times New Roman" w:eastAsia="Times New Roman" w:hAnsi="Times New Roman" w:cs="Times New Roman"/>
          <w:sz w:val="24"/>
          <w:szCs w:val="24"/>
        </w:rPr>
        <w:t xml:space="preserve"> </w:t>
      </w:r>
    </w:p>
    <w:p w14:paraId="0000000C"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Z návrhu sa vypúšťajú ustanovenia, ktoré dávajú rade fondu právomoci rozhodovať o poskytovaní finančných prostriedkov, voliť a odvolať členov dozornej komisie a zriaďovať, zlučovať a zrušovať odborné komisie. Kompetencie sa prenášajú na riaditeľa fondu.</w:t>
      </w:r>
    </w:p>
    <w:p w14:paraId="0000000D" w14:textId="77777777" w:rsidR="00722442" w:rsidRDefault="00722442">
      <w:pPr>
        <w:spacing w:before="0" w:after="0"/>
        <w:ind w:firstLine="0"/>
        <w:rPr>
          <w:rFonts w:ascii="Times New Roman" w:eastAsia="Times New Roman" w:hAnsi="Times New Roman" w:cs="Times New Roman"/>
          <w:sz w:val="24"/>
          <w:szCs w:val="24"/>
          <w:u w:val="single"/>
        </w:rPr>
      </w:pPr>
    </w:p>
    <w:p w14:paraId="0000000E"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5:</w:t>
      </w:r>
      <w:r>
        <w:rPr>
          <w:rFonts w:ascii="Times New Roman" w:eastAsia="Times New Roman" w:hAnsi="Times New Roman" w:cs="Times New Roman"/>
          <w:sz w:val="24"/>
          <w:szCs w:val="24"/>
        </w:rPr>
        <w:t xml:space="preserve"> </w:t>
      </w:r>
    </w:p>
    <w:p w14:paraId="0000000F"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Znižuje sa počet členov rady fondu na 9. Všetci členovia rady, ktorých vymenúva minister kultúry, musia byť vymenovaní výlučne na základe návrhu, pričom dôraz sa kladie na odbornú reprezentáciu jednotlivých umeleckých a kultúrnych oblastí. Táto zmena podporuje efektívnejšie a apolitické fungovanie rady fondu.</w:t>
      </w:r>
    </w:p>
    <w:p w14:paraId="00000010" w14:textId="77777777" w:rsidR="00722442" w:rsidRDefault="00722442">
      <w:pPr>
        <w:spacing w:before="0" w:after="0"/>
        <w:ind w:firstLine="0"/>
        <w:rPr>
          <w:rFonts w:ascii="Times New Roman" w:eastAsia="Times New Roman" w:hAnsi="Times New Roman" w:cs="Times New Roman"/>
          <w:sz w:val="24"/>
          <w:szCs w:val="24"/>
          <w:u w:val="single"/>
        </w:rPr>
      </w:pPr>
    </w:p>
    <w:p w14:paraId="00000011"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6:</w:t>
      </w:r>
      <w:r>
        <w:rPr>
          <w:rFonts w:ascii="Times New Roman" w:eastAsia="Times New Roman" w:hAnsi="Times New Roman" w:cs="Times New Roman"/>
          <w:sz w:val="24"/>
          <w:szCs w:val="24"/>
        </w:rPr>
        <w:t xml:space="preserve"> </w:t>
      </w:r>
    </w:p>
    <w:p w14:paraId="00000012"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Vypúšťa sa odsek týkajúci sa konfliktu záujmov členov rady fondu, keďže rada už nebude vstupovať do rozhodovania o poskytnutí finančných prostriedkov.</w:t>
      </w:r>
    </w:p>
    <w:p w14:paraId="00000013" w14:textId="77777777" w:rsidR="00722442" w:rsidRDefault="00722442">
      <w:pPr>
        <w:spacing w:before="0" w:after="0"/>
        <w:ind w:firstLine="0"/>
        <w:rPr>
          <w:rFonts w:ascii="Times New Roman" w:eastAsia="Times New Roman" w:hAnsi="Times New Roman" w:cs="Times New Roman"/>
          <w:sz w:val="24"/>
          <w:szCs w:val="24"/>
          <w:u w:val="single"/>
        </w:rPr>
      </w:pPr>
    </w:p>
    <w:p w14:paraId="00000014"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7:</w:t>
      </w:r>
      <w:r>
        <w:rPr>
          <w:rFonts w:ascii="Times New Roman" w:eastAsia="Times New Roman" w:hAnsi="Times New Roman" w:cs="Times New Roman"/>
          <w:sz w:val="24"/>
          <w:szCs w:val="24"/>
        </w:rPr>
        <w:t xml:space="preserve"> </w:t>
      </w:r>
    </w:p>
    <w:p w14:paraId="00000015"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Legislatívno-technická úprava v nadväznosti na úpravu v § 4 ods. 2.</w:t>
      </w:r>
    </w:p>
    <w:p w14:paraId="00000016" w14:textId="77777777" w:rsidR="00722442" w:rsidRDefault="00722442">
      <w:pPr>
        <w:spacing w:before="0" w:after="0"/>
        <w:ind w:firstLine="0"/>
        <w:rPr>
          <w:rFonts w:ascii="Times New Roman" w:eastAsia="Times New Roman" w:hAnsi="Times New Roman" w:cs="Times New Roman"/>
          <w:sz w:val="24"/>
          <w:szCs w:val="24"/>
          <w:u w:val="single"/>
        </w:rPr>
      </w:pPr>
    </w:p>
    <w:p w14:paraId="00000017"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bohu 8:</w:t>
      </w:r>
      <w:r>
        <w:rPr>
          <w:rFonts w:ascii="Times New Roman" w:eastAsia="Times New Roman" w:hAnsi="Times New Roman" w:cs="Times New Roman"/>
          <w:sz w:val="24"/>
          <w:szCs w:val="24"/>
        </w:rPr>
        <w:t xml:space="preserve"> </w:t>
      </w:r>
    </w:p>
    <w:p w14:paraId="00000018"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Dopĺňa sa kompetencia dozornej komisie vyjadrovať stanovisko k podnetom žiadateľa voči rozhodnutiu voči rozhodnutiu riaditeľa podľa § 18 ods. 8 písm. b), ak žiadateľ namieta nedodržanie pravidiel a zásad podpornej činnosti fondu.</w:t>
      </w:r>
    </w:p>
    <w:p w14:paraId="00000019" w14:textId="77777777" w:rsidR="00722442" w:rsidRDefault="00722442">
      <w:pPr>
        <w:spacing w:before="0" w:after="0"/>
        <w:ind w:firstLine="0"/>
        <w:rPr>
          <w:rFonts w:ascii="Times New Roman" w:eastAsia="Times New Roman" w:hAnsi="Times New Roman" w:cs="Times New Roman"/>
          <w:sz w:val="24"/>
          <w:szCs w:val="24"/>
          <w:u w:val="single"/>
        </w:rPr>
      </w:pPr>
    </w:p>
    <w:p w14:paraId="0000001A"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bodom 9 až 11</w:t>
      </w:r>
      <w:r>
        <w:rPr>
          <w:rFonts w:ascii="Times New Roman" w:eastAsia="Times New Roman" w:hAnsi="Times New Roman" w:cs="Times New Roman"/>
          <w:sz w:val="24"/>
          <w:szCs w:val="24"/>
        </w:rPr>
        <w:t xml:space="preserve">: </w:t>
      </w:r>
    </w:p>
    <w:p w14:paraId="0000001B"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Nové znenia ustanovení upravujú zloženie a spôsob vymenovania členov dozornej komisie, pričom sa zabezpečuje ich väčšia nezávislosť.</w:t>
      </w:r>
    </w:p>
    <w:p w14:paraId="0000001C" w14:textId="77777777" w:rsidR="00722442" w:rsidRDefault="00722442">
      <w:pPr>
        <w:spacing w:before="0" w:after="0"/>
        <w:ind w:firstLine="0"/>
        <w:rPr>
          <w:rFonts w:ascii="Times New Roman" w:eastAsia="Times New Roman" w:hAnsi="Times New Roman" w:cs="Times New Roman"/>
          <w:sz w:val="24"/>
          <w:szCs w:val="24"/>
          <w:u w:val="single"/>
        </w:rPr>
      </w:pPr>
    </w:p>
    <w:p w14:paraId="0000001D"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bodom 12 až 21</w:t>
      </w:r>
      <w:r>
        <w:rPr>
          <w:rFonts w:ascii="Times New Roman" w:eastAsia="Times New Roman" w:hAnsi="Times New Roman" w:cs="Times New Roman"/>
          <w:sz w:val="24"/>
          <w:szCs w:val="24"/>
        </w:rPr>
        <w:t xml:space="preserve">: </w:t>
      </w:r>
    </w:p>
    <w:p w14:paraId="0000001E"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Kompetencia rozhodovania o poskytnutí finančných prostriedkov sa presúva na riaditeľa fondu, pričom kľúčovú úlohu v procese posudzovania projektov budú zohrávať odborné komisie svojimi stanoviskami. Tieto zmeny reflektujú potrebu odborného a efektívneho rozhodovania o žiadostiach.</w:t>
      </w:r>
    </w:p>
    <w:p w14:paraId="0000001F" w14:textId="77777777" w:rsidR="00722442" w:rsidRDefault="00722442">
      <w:pPr>
        <w:spacing w:before="0" w:after="0"/>
        <w:ind w:firstLine="0"/>
        <w:rPr>
          <w:rFonts w:ascii="Times New Roman" w:eastAsia="Times New Roman" w:hAnsi="Times New Roman" w:cs="Times New Roman"/>
          <w:sz w:val="24"/>
          <w:szCs w:val="24"/>
          <w:u w:val="single"/>
        </w:rPr>
      </w:pPr>
    </w:p>
    <w:p w14:paraId="00000020"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22</w:t>
      </w:r>
      <w:r>
        <w:rPr>
          <w:rFonts w:ascii="Times New Roman" w:eastAsia="Times New Roman" w:hAnsi="Times New Roman" w:cs="Times New Roman"/>
          <w:sz w:val="24"/>
          <w:szCs w:val="24"/>
        </w:rPr>
        <w:t xml:space="preserve">: </w:t>
      </w:r>
    </w:p>
    <w:p w14:paraId="00000021"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Zavádza sa možnosť obmedziť poskytovanie finančných prostriedkov subjektom, ktorých štatutárny orgán opakovane nedodržiava povinnosti voči fondu. Tento krok zlepšuje právnu ochranu fondu pred neplnením záväzkov.</w:t>
      </w:r>
    </w:p>
    <w:p w14:paraId="00000022" w14:textId="77777777" w:rsidR="00722442" w:rsidRDefault="00722442">
      <w:pPr>
        <w:spacing w:before="0" w:after="0"/>
        <w:ind w:firstLine="0"/>
        <w:rPr>
          <w:rFonts w:ascii="Times New Roman" w:eastAsia="Times New Roman" w:hAnsi="Times New Roman" w:cs="Times New Roman"/>
          <w:sz w:val="24"/>
          <w:szCs w:val="24"/>
          <w:u w:val="single"/>
        </w:rPr>
      </w:pPr>
    </w:p>
    <w:p w14:paraId="00000023"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23:</w:t>
      </w:r>
      <w:r>
        <w:rPr>
          <w:rFonts w:ascii="Times New Roman" w:eastAsia="Times New Roman" w:hAnsi="Times New Roman" w:cs="Times New Roman"/>
          <w:sz w:val="24"/>
          <w:szCs w:val="24"/>
        </w:rPr>
        <w:t xml:space="preserve"> </w:t>
      </w:r>
    </w:p>
    <w:p w14:paraId="00000024"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Ustanovuje sa možnosť žiadateľa podať podnet na dozornú komisiu z dôvodu nedodržania pravidiel a zásad podpornej činnosti fondu voči rozhodnutiu rady o neposkytnutí finančných prostriedkov. Podnet môže žiadateľ podať v lehote do troch týždňov od zverejnenia rozhodnutia rady.</w:t>
      </w:r>
    </w:p>
    <w:p w14:paraId="00000025" w14:textId="77777777" w:rsidR="00722442" w:rsidRDefault="00722442">
      <w:pPr>
        <w:spacing w:before="0" w:after="0"/>
        <w:ind w:firstLine="0"/>
        <w:rPr>
          <w:rFonts w:ascii="Times New Roman" w:eastAsia="Times New Roman" w:hAnsi="Times New Roman" w:cs="Times New Roman"/>
          <w:sz w:val="24"/>
          <w:szCs w:val="24"/>
          <w:u w:val="single"/>
        </w:rPr>
      </w:pPr>
    </w:p>
    <w:p w14:paraId="00000026"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24:</w:t>
      </w:r>
      <w:r>
        <w:rPr>
          <w:rFonts w:ascii="Times New Roman" w:eastAsia="Times New Roman" w:hAnsi="Times New Roman" w:cs="Times New Roman"/>
          <w:sz w:val="24"/>
          <w:szCs w:val="24"/>
        </w:rPr>
        <w:t xml:space="preserve"> </w:t>
      </w:r>
    </w:p>
    <w:p w14:paraId="00000027"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Ide o úpravu v nadväznosti na prenos kompetencií z rady na riaditeľa fondu.</w:t>
      </w:r>
    </w:p>
    <w:p w14:paraId="00000028" w14:textId="77777777" w:rsidR="00722442" w:rsidRDefault="00722442">
      <w:pPr>
        <w:spacing w:before="0" w:after="0"/>
        <w:ind w:firstLine="0"/>
        <w:rPr>
          <w:rFonts w:ascii="Times New Roman" w:eastAsia="Times New Roman" w:hAnsi="Times New Roman" w:cs="Times New Roman"/>
          <w:sz w:val="24"/>
          <w:szCs w:val="24"/>
          <w:u w:val="single"/>
        </w:rPr>
      </w:pPr>
    </w:p>
    <w:p w14:paraId="00000029"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25:</w:t>
      </w:r>
      <w:r>
        <w:rPr>
          <w:rFonts w:ascii="Times New Roman" w:eastAsia="Times New Roman" w:hAnsi="Times New Roman" w:cs="Times New Roman"/>
          <w:sz w:val="24"/>
          <w:szCs w:val="24"/>
        </w:rPr>
        <w:t xml:space="preserve"> </w:t>
      </w:r>
    </w:p>
    <w:p w14:paraId="0000002A"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Dopĺňa sa ustanovenie umožňujúce financovanie odmien členov odborných komisií z podpory fondu. Výkon členstva v odbornej komisii je neoddeliteľne spätý s podpornou činnosťou fondu, keďže odborné komisie zohrávajú kľúčovú úlohu pri posudzovaní žiadostí a poskytovaní kvalifikovaných stanovísk. Dopĺňané ustanovenie jednoznačne vyjasňuje túto situáciu a zabezpečuje súlad s doterajšou praxou a požiadavkami transparentnosti.</w:t>
      </w:r>
    </w:p>
    <w:p w14:paraId="0000002B" w14:textId="77777777" w:rsidR="00722442" w:rsidRDefault="00722442">
      <w:pPr>
        <w:spacing w:before="0" w:after="0"/>
        <w:ind w:firstLine="0"/>
        <w:rPr>
          <w:rFonts w:ascii="Times New Roman" w:eastAsia="Times New Roman" w:hAnsi="Times New Roman" w:cs="Times New Roman"/>
          <w:sz w:val="24"/>
          <w:szCs w:val="24"/>
          <w:u w:val="single"/>
        </w:rPr>
      </w:pPr>
    </w:p>
    <w:p w14:paraId="0000002C"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26:</w:t>
      </w:r>
      <w:r>
        <w:rPr>
          <w:rFonts w:ascii="Times New Roman" w:eastAsia="Times New Roman" w:hAnsi="Times New Roman" w:cs="Times New Roman"/>
          <w:sz w:val="24"/>
          <w:szCs w:val="24"/>
        </w:rPr>
        <w:t xml:space="preserve"> </w:t>
      </w:r>
    </w:p>
    <w:p w14:paraId="0000002D"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Legislatívno-technická úprava v nadväznosti na úpravu v § 4 ods. 2.</w:t>
      </w:r>
    </w:p>
    <w:p w14:paraId="0000002E" w14:textId="77777777" w:rsidR="00722442" w:rsidRDefault="00722442">
      <w:pPr>
        <w:spacing w:before="0" w:after="0"/>
        <w:ind w:firstLine="0"/>
        <w:rPr>
          <w:rFonts w:ascii="Times New Roman" w:eastAsia="Times New Roman" w:hAnsi="Times New Roman" w:cs="Times New Roman"/>
          <w:sz w:val="24"/>
          <w:szCs w:val="24"/>
          <w:u w:val="single"/>
        </w:rPr>
      </w:pPr>
    </w:p>
    <w:p w14:paraId="0000002F"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27:</w:t>
      </w:r>
      <w:r>
        <w:rPr>
          <w:rFonts w:ascii="Times New Roman" w:eastAsia="Times New Roman" w:hAnsi="Times New Roman" w:cs="Times New Roman"/>
          <w:sz w:val="24"/>
          <w:szCs w:val="24"/>
        </w:rPr>
        <w:t xml:space="preserve"> </w:t>
      </w:r>
    </w:p>
    <w:p w14:paraId="00000030"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Zníženie percenta na pôvodný stav, tzn. stav pred prijatím poslednej novely (zákon č. 169/2022 Z. z.).</w:t>
      </w:r>
    </w:p>
    <w:p w14:paraId="00000031" w14:textId="77777777" w:rsidR="00722442" w:rsidRDefault="00722442">
      <w:pPr>
        <w:spacing w:before="0" w:after="0"/>
        <w:ind w:firstLine="0"/>
        <w:rPr>
          <w:rFonts w:ascii="Times New Roman" w:eastAsia="Times New Roman" w:hAnsi="Times New Roman" w:cs="Times New Roman"/>
          <w:sz w:val="24"/>
          <w:szCs w:val="24"/>
          <w:u w:val="single"/>
        </w:rPr>
      </w:pPr>
    </w:p>
    <w:p w14:paraId="00000032"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28:</w:t>
      </w:r>
      <w:r>
        <w:rPr>
          <w:rFonts w:ascii="Times New Roman" w:eastAsia="Times New Roman" w:hAnsi="Times New Roman" w:cs="Times New Roman"/>
          <w:sz w:val="24"/>
          <w:szCs w:val="24"/>
        </w:rPr>
        <w:t xml:space="preserve"> </w:t>
      </w:r>
    </w:p>
    <w:p w14:paraId="00000033"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Legislatívno-technická úprava v nadväznosti na zmenu v § 13 ods. 2.</w:t>
      </w:r>
    </w:p>
    <w:p w14:paraId="00000034" w14:textId="77777777" w:rsidR="00722442" w:rsidRDefault="00722442">
      <w:pPr>
        <w:spacing w:before="0" w:after="0"/>
        <w:ind w:firstLine="0"/>
        <w:rPr>
          <w:rFonts w:ascii="Times New Roman" w:eastAsia="Times New Roman" w:hAnsi="Times New Roman" w:cs="Times New Roman"/>
          <w:sz w:val="24"/>
          <w:szCs w:val="24"/>
          <w:u w:val="single"/>
        </w:rPr>
      </w:pPr>
    </w:p>
    <w:p w14:paraId="00000035" w14:textId="77777777" w:rsidR="00722442" w:rsidRDefault="00F96B2D">
      <w:pPr>
        <w:spacing w:before="0" w:after="0"/>
        <w:ind w:firstLine="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K bodu 29:</w:t>
      </w:r>
    </w:p>
    <w:p w14:paraId="00000036"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Navrhuje sa, že fond zverejní na svojom webovom sídle doklad preukazujúci splnenie podmienky odbornej praxe člena rady fondu, tzn. splnenie najmenej päťročnej odbornej praxe v oblasti umenia, kultúry alebo kreatívneho priemyslu, ktorý mu na žiadosť poskytne ministerstvo kultúry.</w:t>
      </w:r>
    </w:p>
    <w:p w14:paraId="00000037" w14:textId="77777777" w:rsidR="00722442" w:rsidRDefault="00722442">
      <w:pPr>
        <w:spacing w:before="0" w:after="0"/>
        <w:ind w:firstLine="0"/>
        <w:rPr>
          <w:rFonts w:ascii="Times New Roman" w:eastAsia="Times New Roman" w:hAnsi="Times New Roman" w:cs="Times New Roman"/>
          <w:sz w:val="24"/>
          <w:szCs w:val="24"/>
        </w:rPr>
      </w:pPr>
    </w:p>
    <w:p w14:paraId="00000038"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K bodu 30:</w:t>
      </w:r>
      <w:r>
        <w:rPr>
          <w:rFonts w:ascii="Times New Roman" w:eastAsia="Times New Roman" w:hAnsi="Times New Roman" w:cs="Times New Roman"/>
          <w:sz w:val="24"/>
          <w:szCs w:val="24"/>
        </w:rPr>
        <w:t xml:space="preserve"> </w:t>
      </w:r>
    </w:p>
    <w:p w14:paraId="00000039" w14:textId="77777777" w:rsidR="00722442" w:rsidRDefault="00F96B2D">
      <w:pPr>
        <w:spacing w:before="0"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V praxi sa ukázalo, že na základe súčasného ustanovenia sú dotknuté body pozastavené už piaty rok, čo v praxi znamená, že prijímatelia dotácií napríklad nepredkladajú k vyúčtovaniu dotácie účtovné doklady, hoci aktuálne vyhlásená krízová situácia nemá taký dopad na kultúru, aby bránila riadnemu vyúčtovaniu vrátane účtovných dokladov. Táto úprava zužuje rozsah výnimiek na prípady, kde je krízová situácia skutočne relevantná.</w:t>
      </w:r>
    </w:p>
    <w:p w14:paraId="0000003A" w14:textId="77777777" w:rsidR="00722442" w:rsidRDefault="00F96B2D">
      <w:pPr>
        <w:ind w:firstLine="0"/>
        <w:rPr>
          <w:rFonts w:ascii="Times New Roman" w:eastAsia="Times New Roman" w:hAnsi="Times New Roman" w:cs="Times New Roman"/>
          <w:b/>
          <w:sz w:val="24"/>
          <w:szCs w:val="24"/>
        </w:rPr>
      </w:pPr>
      <w:r>
        <w:rPr>
          <w:rFonts w:ascii="Times New Roman" w:eastAsia="Times New Roman" w:hAnsi="Times New Roman" w:cs="Times New Roman"/>
          <w:b/>
          <w:sz w:val="24"/>
          <w:szCs w:val="24"/>
        </w:rPr>
        <w:t>K čl. II</w:t>
      </w:r>
    </w:p>
    <w:p w14:paraId="0000003B" w14:textId="303181CB" w:rsidR="00722442" w:rsidRDefault="00F96B2D">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Navrhuje sa účinnosť zákona od 1.6. 2026, čo zabezpečuje dostatočný čas na adaptáciu procesov v súlade s novelou.</w:t>
      </w:r>
    </w:p>
    <w:p w14:paraId="0000003C" w14:textId="77777777" w:rsidR="00722442" w:rsidRDefault="00722442">
      <w:pPr>
        <w:ind w:firstLine="0"/>
        <w:rPr>
          <w:rFonts w:ascii="Times New Roman" w:eastAsia="Times New Roman" w:hAnsi="Times New Roman" w:cs="Times New Roman"/>
          <w:b/>
          <w:sz w:val="24"/>
          <w:szCs w:val="24"/>
        </w:rPr>
      </w:pPr>
    </w:p>
    <w:p w14:paraId="0000003D" w14:textId="77777777" w:rsidR="00722442" w:rsidRDefault="00722442">
      <w:pPr>
        <w:ind w:firstLine="0"/>
        <w:rPr>
          <w:rFonts w:ascii="Times New Roman" w:eastAsia="Times New Roman" w:hAnsi="Times New Roman" w:cs="Times New Roman"/>
          <w:sz w:val="24"/>
          <w:szCs w:val="24"/>
        </w:rPr>
      </w:pPr>
    </w:p>
    <w:sectPr w:rsidR="00722442">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C2525"/>
    <w:multiLevelType w:val="multilevel"/>
    <w:tmpl w:val="4F00048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442"/>
    <w:rsid w:val="006F7607"/>
    <w:rsid w:val="00722442"/>
    <w:rsid w:val="00F96B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F71CA"/>
  <w15:docId w15:val="{FD5FB1D4-B1DD-4547-B8C6-14C9253D9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sk" w:eastAsia="sk-SK" w:bidi="ar-SA"/>
      </w:rPr>
    </w:rPrDefault>
    <w:pPrDefault>
      <w:pPr>
        <w:shd w:val="clear" w:color="auto" w:fill="FFFFFF"/>
        <w:spacing w:before="240" w:after="240" w:line="276" w:lineRule="auto"/>
        <w:ind w:firstLine="56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style>
  <w:style w:type="paragraph" w:styleId="Nadpis1">
    <w:name w:val="heading 1"/>
    <w:basedOn w:val="Normlny"/>
    <w:next w:val="Normlny"/>
    <w:pPr>
      <w:keepNext/>
      <w:keepLines/>
      <w:spacing w:before="400" w:after="120"/>
      <w:outlineLvl w:val="0"/>
    </w:pPr>
    <w:rPr>
      <w:sz w:val="40"/>
      <w:szCs w:val="40"/>
    </w:rPr>
  </w:style>
  <w:style w:type="paragraph" w:styleId="Nadpis2">
    <w:name w:val="heading 2"/>
    <w:basedOn w:val="Normlny"/>
    <w:next w:val="Normlny"/>
    <w:pPr>
      <w:keepNext/>
      <w:keepLines/>
      <w:spacing w:before="360" w:after="120"/>
      <w:outlineLvl w:val="1"/>
    </w:pPr>
    <w:rPr>
      <w:sz w:val="32"/>
      <w:szCs w:val="32"/>
    </w:rPr>
  </w:style>
  <w:style w:type="paragraph" w:styleId="Nadpis3">
    <w:name w:val="heading 3"/>
    <w:basedOn w:val="Normlny"/>
    <w:next w:val="Normlny"/>
    <w:pPr>
      <w:keepNext/>
      <w:keepLines/>
      <w:spacing w:before="320" w:after="80"/>
      <w:outlineLvl w:val="2"/>
    </w:pPr>
    <w:rPr>
      <w:color w:val="434343"/>
      <w:sz w:val="28"/>
      <w:szCs w:val="28"/>
    </w:rPr>
  </w:style>
  <w:style w:type="paragraph" w:styleId="Nadpis4">
    <w:name w:val="heading 4"/>
    <w:basedOn w:val="Normlny"/>
    <w:next w:val="Normlny"/>
    <w:pPr>
      <w:keepNext/>
      <w:keepLines/>
      <w:spacing w:before="280" w:after="80"/>
      <w:outlineLvl w:val="3"/>
    </w:pPr>
    <w:rPr>
      <w:color w:val="666666"/>
      <w:sz w:val="24"/>
      <w:szCs w:val="24"/>
    </w:rPr>
  </w:style>
  <w:style w:type="paragraph" w:styleId="Nadpis5">
    <w:name w:val="heading 5"/>
    <w:basedOn w:val="Normlny"/>
    <w:next w:val="Normlny"/>
    <w:pPr>
      <w:keepNext/>
      <w:keepLines/>
      <w:spacing w:after="80"/>
      <w:outlineLvl w:val="4"/>
    </w:pPr>
    <w:rPr>
      <w:color w:val="666666"/>
    </w:rPr>
  </w:style>
  <w:style w:type="paragraph" w:styleId="Nadpis6">
    <w:name w:val="heading 6"/>
    <w:basedOn w:val="Normlny"/>
    <w:next w:val="Normlny"/>
    <w:pPr>
      <w:keepNext/>
      <w:keepLines/>
      <w:spacing w:after="80"/>
      <w:outlineLvl w:val="5"/>
    </w:pPr>
    <w:rPr>
      <w:i/>
      <w:color w:val="66666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pPr>
      <w:keepNext/>
      <w:keepLines/>
      <w:spacing w:before="0" w:after="60"/>
    </w:pPr>
    <w:rPr>
      <w:sz w:val="52"/>
      <w:szCs w:val="52"/>
    </w:rPr>
  </w:style>
  <w:style w:type="paragraph" w:styleId="Podtitul">
    <w:name w:val="Subtitle"/>
    <w:basedOn w:val="Normlny"/>
    <w:next w:val="Normlny"/>
    <w:pPr>
      <w:keepNext/>
      <w:keepLines/>
      <w:spacing w:before="0"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559</Words>
  <Characters>3191</Characters>
  <Application>Microsoft Office Word</Application>
  <DocSecurity>0</DocSecurity>
  <Lines>26</Lines>
  <Paragraphs>7</Paragraphs>
  <ScaleCrop>false</ScaleCrop>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Vico Lucia</dc:creator>
  <cp:lastModifiedBy>Vico Lucia</cp:lastModifiedBy>
  <cp:revision>2</cp:revision>
  <dcterms:created xsi:type="dcterms:W3CDTF">2026-09-30T07:30:00Z</dcterms:created>
  <dcterms:modified xsi:type="dcterms:W3CDTF">2026-09-30T07:30:00Z</dcterms:modified>
</cp:coreProperties>
</file>