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2711DC2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A75549" w:rsidRPr="00C929AE" w14:paraId="7BEF3D83" w14:textId="77777777" w:rsidTr="00A46973">
        <w:trPr>
          <w:gridAfter w:val="2"/>
          <w:wAfter w:w="583" w:type="dxa"/>
          <w:trHeight w:val="451"/>
        </w:trPr>
        <w:tc>
          <w:tcPr>
            <w:tcW w:w="146" w:type="dxa"/>
            <w:tcBorders>
              <w:top w:val="nil"/>
              <w:left w:val="nil"/>
              <w:bottom w:val="nil"/>
              <w:right w:val="nil"/>
            </w:tcBorders>
            <w:noWrap/>
            <w:vAlign w:val="bottom"/>
            <w:hideMark/>
          </w:tcPr>
          <w:p w14:paraId="5BA7F0AC"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hideMark/>
          </w:tcPr>
          <w:p w14:paraId="54C8CD7A" w14:textId="6EC5106C" w:rsidR="00A75549" w:rsidRPr="00A13A31" w:rsidRDefault="00A75549" w:rsidP="00A75549">
            <w:pPr>
              <w:spacing w:after="0" w:line="240" w:lineRule="auto"/>
              <w:jc w:val="center"/>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TYP NÁKLADOV</w:t>
            </w:r>
          </w:p>
        </w:tc>
        <w:tc>
          <w:tcPr>
            <w:tcW w:w="2623" w:type="dxa"/>
            <w:tcBorders>
              <w:top w:val="single" w:sz="8" w:space="0" w:color="auto"/>
              <w:left w:val="nil"/>
              <w:bottom w:val="single" w:sz="8" w:space="0" w:color="auto"/>
              <w:right w:val="single" w:sz="4" w:space="0" w:color="auto"/>
            </w:tcBorders>
            <w:shd w:val="clear" w:color="000000" w:fill="FFC000"/>
            <w:vAlign w:val="center"/>
            <w:hideMark/>
          </w:tcPr>
          <w:p w14:paraId="367F96BD" w14:textId="2CFF3719"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Zvýšenie nákladov v € na PP</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57C6AD32" w14:textId="2C1E6070"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Zníženie nákladov v € na PP</w:t>
            </w:r>
          </w:p>
        </w:tc>
      </w:tr>
      <w:tr w:rsidR="00A75549" w:rsidRPr="00C929AE" w14:paraId="0F790483" w14:textId="77777777" w:rsidTr="00A46973">
        <w:trPr>
          <w:gridAfter w:val="2"/>
          <w:wAfter w:w="583" w:type="dxa"/>
          <w:trHeight w:val="600"/>
        </w:trPr>
        <w:tc>
          <w:tcPr>
            <w:tcW w:w="146" w:type="dxa"/>
            <w:tcBorders>
              <w:top w:val="nil"/>
              <w:left w:val="nil"/>
              <w:bottom w:val="nil"/>
              <w:right w:val="nil"/>
            </w:tcBorders>
            <w:noWrap/>
            <w:vAlign w:val="bottom"/>
            <w:hideMark/>
          </w:tcPr>
          <w:p w14:paraId="2417CF71"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0B17AD50"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proofErr w:type="spellStart"/>
            <w:r w:rsidRPr="00A13A31">
              <w:rPr>
                <w:rFonts w:ascii="Times New Roman" w:hAnsi="Times New Roman" w:cs="Times New Roman"/>
                <w:b/>
                <w:bCs/>
                <w:i/>
                <w:iCs/>
                <w:color w:val="000000"/>
                <w:sz w:val="20"/>
                <w:szCs w:val="20"/>
              </w:rPr>
              <w:t>A.Dane</w:t>
            </w:r>
            <w:proofErr w:type="spellEnd"/>
            <w:r w:rsidRPr="00A13A31">
              <w:rPr>
                <w:rFonts w:ascii="Times New Roman" w:hAnsi="Times New Roman" w:cs="Times New Roman"/>
                <w:b/>
                <w:bCs/>
                <w:i/>
                <w:iCs/>
                <w:color w:val="000000"/>
                <w:sz w:val="20"/>
                <w:szCs w:val="20"/>
              </w:rPr>
              <w:t xml:space="preserve">, odvody, clá a poplatky, ktorých cieľom je znižovať negatívne </w:t>
            </w:r>
            <w:proofErr w:type="spellStart"/>
            <w:r w:rsidRPr="00A13A31">
              <w:rPr>
                <w:rFonts w:ascii="Times New Roman" w:hAnsi="Times New Roman" w:cs="Times New Roman"/>
                <w:b/>
                <w:bCs/>
                <w:i/>
                <w:iCs/>
                <w:color w:val="000000"/>
                <w:sz w:val="20"/>
                <w:szCs w:val="20"/>
              </w:rPr>
              <w:t>externality</w:t>
            </w:r>
            <w:proofErr w:type="spellEnd"/>
          </w:p>
        </w:tc>
        <w:tc>
          <w:tcPr>
            <w:tcW w:w="2623" w:type="dxa"/>
            <w:tcBorders>
              <w:top w:val="nil"/>
              <w:left w:val="nil"/>
              <w:bottom w:val="single" w:sz="4" w:space="0" w:color="auto"/>
              <w:right w:val="single" w:sz="4" w:space="0" w:color="auto"/>
            </w:tcBorders>
            <w:shd w:val="clear" w:color="000000" w:fill="FFC000"/>
            <w:vAlign w:val="center"/>
            <w:hideMark/>
          </w:tcPr>
          <w:p w14:paraId="36C02A5A" w14:textId="633845E5"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0525A008" w14:textId="6A809BC1"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37B64D12" w14:textId="77777777" w:rsidTr="00A46973">
        <w:trPr>
          <w:gridAfter w:val="2"/>
          <w:wAfter w:w="583" w:type="dxa"/>
          <w:trHeight w:val="420"/>
        </w:trPr>
        <w:tc>
          <w:tcPr>
            <w:tcW w:w="146" w:type="dxa"/>
            <w:tcBorders>
              <w:top w:val="nil"/>
              <w:left w:val="nil"/>
              <w:bottom w:val="nil"/>
              <w:right w:val="nil"/>
            </w:tcBorders>
            <w:noWrap/>
            <w:vAlign w:val="bottom"/>
            <w:hideMark/>
          </w:tcPr>
          <w:p w14:paraId="30AED282"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670123DD"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B. Iné poplatky</w:t>
            </w:r>
          </w:p>
        </w:tc>
        <w:tc>
          <w:tcPr>
            <w:tcW w:w="2623" w:type="dxa"/>
            <w:tcBorders>
              <w:top w:val="nil"/>
              <w:left w:val="nil"/>
              <w:bottom w:val="single" w:sz="4" w:space="0" w:color="auto"/>
              <w:right w:val="single" w:sz="4" w:space="0" w:color="auto"/>
            </w:tcBorders>
            <w:shd w:val="clear" w:color="000000" w:fill="FFC000"/>
            <w:vAlign w:val="center"/>
            <w:hideMark/>
          </w:tcPr>
          <w:p w14:paraId="38D91672" w14:textId="2504C59F"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B3EEA7A" w14:textId="77AE0A23"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21231540" w14:textId="77777777" w:rsidTr="00A46973">
        <w:trPr>
          <w:gridAfter w:val="2"/>
          <w:wAfter w:w="583" w:type="dxa"/>
          <w:trHeight w:val="435"/>
        </w:trPr>
        <w:tc>
          <w:tcPr>
            <w:tcW w:w="146" w:type="dxa"/>
            <w:tcBorders>
              <w:top w:val="nil"/>
              <w:left w:val="nil"/>
              <w:bottom w:val="nil"/>
              <w:right w:val="nil"/>
            </w:tcBorders>
            <w:noWrap/>
            <w:vAlign w:val="bottom"/>
            <w:hideMark/>
          </w:tcPr>
          <w:p w14:paraId="67B78407"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0D40D4D5"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C. Sankcie a pokuty</w:t>
            </w:r>
          </w:p>
        </w:tc>
        <w:tc>
          <w:tcPr>
            <w:tcW w:w="2623" w:type="dxa"/>
            <w:tcBorders>
              <w:top w:val="nil"/>
              <w:left w:val="nil"/>
              <w:bottom w:val="single" w:sz="4" w:space="0" w:color="auto"/>
              <w:right w:val="single" w:sz="4" w:space="0" w:color="auto"/>
            </w:tcBorders>
            <w:shd w:val="clear" w:color="000000" w:fill="FFC000"/>
            <w:vAlign w:val="center"/>
            <w:hideMark/>
          </w:tcPr>
          <w:p w14:paraId="69D07100" w14:textId="0D049D6B"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C8BFAD7" w14:textId="7F3693C1"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280383DA" w14:textId="77777777" w:rsidTr="00A46973">
        <w:trPr>
          <w:gridAfter w:val="2"/>
          <w:wAfter w:w="583" w:type="dxa"/>
          <w:trHeight w:val="480"/>
        </w:trPr>
        <w:tc>
          <w:tcPr>
            <w:tcW w:w="146" w:type="dxa"/>
            <w:tcBorders>
              <w:top w:val="nil"/>
              <w:left w:val="nil"/>
              <w:bottom w:val="nil"/>
              <w:right w:val="nil"/>
            </w:tcBorders>
            <w:noWrap/>
            <w:vAlign w:val="bottom"/>
            <w:hideMark/>
          </w:tcPr>
          <w:p w14:paraId="59F2F790"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C06D8D0"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D. Nepriame finančné náklady</w:t>
            </w:r>
          </w:p>
        </w:tc>
        <w:tc>
          <w:tcPr>
            <w:tcW w:w="2623" w:type="dxa"/>
            <w:tcBorders>
              <w:top w:val="nil"/>
              <w:left w:val="nil"/>
              <w:bottom w:val="single" w:sz="4" w:space="0" w:color="auto"/>
              <w:right w:val="single" w:sz="4" w:space="0" w:color="auto"/>
            </w:tcBorders>
            <w:shd w:val="clear" w:color="000000" w:fill="FFC000"/>
            <w:vAlign w:val="center"/>
            <w:hideMark/>
          </w:tcPr>
          <w:p w14:paraId="5ED34EA3" w14:textId="261D9338"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100 000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6B7CA645" w14:textId="03D98623"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547BC8DA" w14:textId="77777777" w:rsidTr="00A46973">
        <w:trPr>
          <w:gridAfter w:val="2"/>
          <w:wAfter w:w="583" w:type="dxa"/>
          <w:trHeight w:val="480"/>
        </w:trPr>
        <w:tc>
          <w:tcPr>
            <w:tcW w:w="146" w:type="dxa"/>
            <w:tcBorders>
              <w:top w:val="nil"/>
              <w:left w:val="nil"/>
              <w:bottom w:val="nil"/>
              <w:right w:val="nil"/>
            </w:tcBorders>
            <w:noWrap/>
            <w:vAlign w:val="bottom"/>
          </w:tcPr>
          <w:p w14:paraId="29E6137F"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nil"/>
              <w:right w:val="single" w:sz="4" w:space="0" w:color="auto"/>
            </w:tcBorders>
            <w:vAlign w:val="center"/>
          </w:tcPr>
          <w:p w14:paraId="7A86A5AE" w14:textId="313A951D"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E. Administratívne náklady</w:t>
            </w:r>
          </w:p>
        </w:tc>
        <w:tc>
          <w:tcPr>
            <w:tcW w:w="2623" w:type="dxa"/>
            <w:tcBorders>
              <w:top w:val="nil"/>
              <w:left w:val="nil"/>
              <w:bottom w:val="nil"/>
              <w:right w:val="single" w:sz="4" w:space="0" w:color="auto"/>
            </w:tcBorders>
            <w:shd w:val="clear" w:color="000000" w:fill="FFC000"/>
            <w:vAlign w:val="center"/>
          </w:tcPr>
          <w:p w14:paraId="1A8F0D68" w14:textId="0DCC7250"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179</w:t>
            </w:r>
          </w:p>
        </w:tc>
        <w:tc>
          <w:tcPr>
            <w:tcW w:w="2622" w:type="dxa"/>
            <w:gridSpan w:val="3"/>
            <w:tcBorders>
              <w:top w:val="nil"/>
              <w:left w:val="nil"/>
              <w:bottom w:val="nil"/>
              <w:right w:val="single" w:sz="8" w:space="0" w:color="auto"/>
            </w:tcBorders>
            <w:shd w:val="clear" w:color="000000" w:fill="92D050"/>
            <w:vAlign w:val="center"/>
          </w:tcPr>
          <w:p w14:paraId="7D0218BB" w14:textId="704DB8C9"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10B7BDC5" w14:textId="77777777" w:rsidTr="00A46973">
        <w:trPr>
          <w:gridAfter w:val="2"/>
          <w:wAfter w:w="583" w:type="dxa"/>
          <w:trHeight w:val="600"/>
        </w:trPr>
        <w:tc>
          <w:tcPr>
            <w:tcW w:w="146" w:type="dxa"/>
            <w:tcBorders>
              <w:top w:val="nil"/>
              <w:left w:val="nil"/>
              <w:bottom w:val="nil"/>
              <w:right w:val="nil"/>
            </w:tcBorders>
            <w:noWrap/>
            <w:vAlign w:val="bottom"/>
            <w:hideMark/>
          </w:tcPr>
          <w:p w14:paraId="2BD5240B"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hideMark/>
          </w:tcPr>
          <w:p w14:paraId="2AD49376" w14:textId="3500A56C"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Spolu = A+B+C+D+E</w:t>
            </w:r>
          </w:p>
        </w:tc>
        <w:tc>
          <w:tcPr>
            <w:tcW w:w="2623" w:type="dxa"/>
            <w:tcBorders>
              <w:top w:val="single" w:sz="8" w:space="0" w:color="auto"/>
              <w:left w:val="nil"/>
              <w:bottom w:val="single" w:sz="8" w:space="0" w:color="auto"/>
              <w:right w:val="single" w:sz="4" w:space="0" w:color="auto"/>
            </w:tcBorders>
            <w:shd w:val="clear" w:color="000000" w:fill="FFC000"/>
            <w:vAlign w:val="center"/>
            <w:hideMark/>
          </w:tcPr>
          <w:p w14:paraId="3829EB10" w14:textId="74F70B93"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100 179</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3B2B8C72" w14:textId="14D95E45"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3B916623" w14:textId="77777777" w:rsidTr="00A46973">
        <w:trPr>
          <w:trHeight w:val="270"/>
        </w:trPr>
        <w:tc>
          <w:tcPr>
            <w:tcW w:w="146" w:type="dxa"/>
            <w:tcBorders>
              <w:top w:val="nil"/>
              <w:left w:val="nil"/>
              <w:bottom w:val="nil"/>
              <w:right w:val="nil"/>
            </w:tcBorders>
            <w:noWrap/>
            <w:vAlign w:val="bottom"/>
            <w:hideMark/>
          </w:tcPr>
          <w:p w14:paraId="73F7E590"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center"/>
            <w:hideMark/>
          </w:tcPr>
          <w:p w14:paraId="082EAB98" w14:textId="77777777" w:rsidR="00A75549" w:rsidRPr="00A13A31"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A75549" w:rsidRPr="00C929AE" w:rsidRDefault="00A75549" w:rsidP="00A75549">
            <w:pPr>
              <w:spacing w:after="0" w:line="240" w:lineRule="auto"/>
              <w:rPr>
                <w:rFonts w:ascii="Times New Roman" w:eastAsia="Times New Roman" w:hAnsi="Times New Roman" w:cs="Times New Roman"/>
                <w:i/>
                <w:iCs/>
                <w:color w:val="000000"/>
                <w:sz w:val="20"/>
                <w:szCs w:val="20"/>
                <w:lang w:eastAsia="sk-SK"/>
              </w:rPr>
            </w:pPr>
          </w:p>
        </w:tc>
      </w:tr>
      <w:tr w:rsidR="00A75549" w:rsidRPr="00C929AE" w14:paraId="52849A6C" w14:textId="77777777" w:rsidTr="00A46973">
        <w:trPr>
          <w:gridAfter w:val="2"/>
          <w:wAfter w:w="583" w:type="dxa"/>
          <w:trHeight w:val="412"/>
        </w:trPr>
        <w:tc>
          <w:tcPr>
            <w:tcW w:w="146" w:type="dxa"/>
            <w:tcBorders>
              <w:top w:val="nil"/>
              <w:left w:val="nil"/>
              <w:bottom w:val="nil"/>
              <w:right w:val="nil"/>
            </w:tcBorders>
            <w:noWrap/>
            <w:vAlign w:val="bottom"/>
            <w:hideMark/>
          </w:tcPr>
          <w:p w14:paraId="54080DC1"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hideMark/>
          </w:tcPr>
          <w:p w14:paraId="54048073" w14:textId="5A7A25BE" w:rsidR="00A75549" w:rsidRPr="00A13A31" w:rsidRDefault="00A75549" w:rsidP="00A75549">
            <w:pPr>
              <w:spacing w:after="0" w:line="240" w:lineRule="auto"/>
              <w:rPr>
                <w:rFonts w:ascii="Times New Roman" w:eastAsia="Times New Roman" w:hAnsi="Times New Roman" w:cs="Times New Roman"/>
                <w:i/>
                <w:iCs/>
                <w:color w:val="000000"/>
                <w:lang w:eastAsia="sk-SK"/>
              </w:rPr>
            </w:pPr>
            <w:r w:rsidRPr="00A13A31">
              <w:rPr>
                <w:rFonts w:ascii="Times New Roman" w:hAnsi="Times New Roman" w:cs="Times New Roman"/>
                <w:b/>
                <w:bCs/>
                <w:i/>
                <w:iCs/>
                <w:color w:val="000000"/>
                <w:sz w:val="20"/>
                <w:szCs w:val="20"/>
              </w:rPr>
              <w:t>Harmonizácia práva EÚ</w:t>
            </w:r>
          </w:p>
        </w:tc>
        <w:tc>
          <w:tcPr>
            <w:tcW w:w="2623" w:type="dxa"/>
            <w:tcBorders>
              <w:top w:val="single" w:sz="8" w:space="0" w:color="auto"/>
              <w:left w:val="nil"/>
              <w:bottom w:val="single" w:sz="8" w:space="0" w:color="auto"/>
              <w:right w:val="single" w:sz="4" w:space="0" w:color="auto"/>
            </w:tcBorders>
            <w:shd w:val="clear" w:color="000000" w:fill="FFC000"/>
            <w:vAlign w:val="center"/>
            <w:hideMark/>
          </w:tcPr>
          <w:p w14:paraId="4BC0A5BA" w14:textId="6F946FEF"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Zvýšenie nákladov v € na PP</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38A2A444" w14:textId="3C8A7B16"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Zníženie nákladov v € na PP</w:t>
            </w:r>
          </w:p>
        </w:tc>
      </w:tr>
      <w:tr w:rsidR="00A75549" w:rsidRPr="00C929AE" w14:paraId="26126FD6" w14:textId="77777777" w:rsidTr="00A46973">
        <w:trPr>
          <w:gridAfter w:val="2"/>
          <w:wAfter w:w="583" w:type="dxa"/>
          <w:trHeight w:val="840"/>
        </w:trPr>
        <w:tc>
          <w:tcPr>
            <w:tcW w:w="146" w:type="dxa"/>
            <w:tcBorders>
              <w:top w:val="nil"/>
              <w:left w:val="nil"/>
              <w:bottom w:val="nil"/>
              <w:right w:val="nil"/>
            </w:tcBorders>
            <w:noWrap/>
            <w:vAlign w:val="bottom"/>
            <w:hideMark/>
          </w:tcPr>
          <w:p w14:paraId="4424F348"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nil"/>
              <w:right w:val="single" w:sz="4" w:space="0" w:color="auto"/>
            </w:tcBorders>
            <w:vAlign w:val="center"/>
            <w:hideMark/>
          </w:tcPr>
          <w:p w14:paraId="5895E706" w14:textId="5D0C83D7"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F. Úplná harmonizácia práva EÚ</w:t>
            </w:r>
            <w:r w:rsidRPr="00A13A31">
              <w:rPr>
                <w:rFonts w:ascii="Times New Roman" w:hAnsi="Times New Roman" w:cs="Times New Roman"/>
                <w:b/>
                <w:bCs/>
                <w:i/>
                <w:iCs/>
                <w:color w:val="000000"/>
                <w:sz w:val="20"/>
                <w:szCs w:val="20"/>
              </w:rPr>
              <w:br/>
            </w:r>
            <w:r w:rsidRPr="00A13A31">
              <w:rPr>
                <w:rFonts w:ascii="Times New Roman" w:hAnsi="Times New Roman" w:cs="Times New Roman"/>
                <w:i/>
                <w:iCs/>
                <w:color w:val="000000"/>
                <w:sz w:val="16"/>
                <w:szCs w:val="16"/>
              </w:rPr>
              <w:t xml:space="preserve">(okrem daní, odvodov, ciel a poplatkov, ktorých cieľom je znižovať negatívne </w:t>
            </w:r>
            <w:proofErr w:type="spellStart"/>
            <w:r w:rsidRPr="00A13A31">
              <w:rPr>
                <w:rFonts w:ascii="Times New Roman" w:hAnsi="Times New Roman" w:cs="Times New Roman"/>
                <w:i/>
                <w:iCs/>
                <w:color w:val="000000"/>
                <w:sz w:val="16"/>
                <w:szCs w:val="16"/>
              </w:rPr>
              <w:t>externality</w:t>
            </w:r>
            <w:proofErr w:type="spellEnd"/>
            <w:r w:rsidRPr="00A13A31">
              <w:rPr>
                <w:rFonts w:ascii="Times New Roman" w:hAnsi="Times New Roman" w:cs="Times New Roman"/>
                <w:i/>
                <w:iCs/>
                <w:color w:val="000000"/>
                <w:sz w:val="16"/>
                <w:szCs w:val="16"/>
              </w:rPr>
              <w:t>)</w:t>
            </w:r>
          </w:p>
        </w:tc>
        <w:tc>
          <w:tcPr>
            <w:tcW w:w="2623" w:type="dxa"/>
            <w:tcBorders>
              <w:top w:val="nil"/>
              <w:left w:val="nil"/>
              <w:bottom w:val="nil"/>
              <w:right w:val="single" w:sz="4" w:space="0" w:color="auto"/>
            </w:tcBorders>
            <w:shd w:val="clear" w:color="000000" w:fill="FFC000"/>
            <w:vAlign w:val="center"/>
            <w:hideMark/>
          </w:tcPr>
          <w:p w14:paraId="09CCB12B" w14:textId="32F68538"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c>
          <w:tcPr>
            <w:tcW w:w="2622" w:type="dxa"/>
            <w:gridSpan w:val="3"/>
            <w:tcBorders>
              <w:top w:val="nil"/>
              <w:left w:val="nil"/>
              <w:bottom w:val="nil"/>
              <w:right w:val="single" w:sz="8" w:space="0" w:color="auto"/>
            </w:tcBorders>
            <w:shd w:val="clear" w:color="000000" w:fill="92D050"/>
            <w:vAlign w:val="center"/>
            <w:hideMark/>
          </w:tcPr>
          <w:p w14:paraId="0CB565E3" w14:textId="53DF1C5D"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2B062396" w14:textId="77777777" w:rsidTr="00A46973">
        <w:trPr>
          <w:gridAfter w:val="2"/>
          <w:wAfter w:w="583" w:type="dxa"/>
          <w:trHeight w:val="486"/>
        </w:trPr>
        <w:tc>
          <w:tcPr>
            <w:tcW w:w="146" w:type="dxa"/>
            <w:tcBorders>
              <w:top w:val="nil"/>
              <w:left w:val="nil"/>
              <w:bottom w:val="nil"/>
              <w:right w:val="nil"/>
            </w:tcBorders>
            <w:noWrap/>
            <w:vAlign w:val="bottom"/>
            <w:hideMark/>
          </w:tcPr>
          <w:p w14:paraId="2C592B53"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hideMark/>
          </w:tcPr>
          <w:p w14:paraId="73DFED09" w14:textId="63D6A990" w:rsidR="00A75549" w:rsidRPr="00A13A31" w:rsidRDefault="00A75549" w:rsidP="00A75549">
            <w:pPr>
              <w:spacing w:after="0" w:line="240" w:lineRule="auto"/>
              <w:rPr>
                <w:rFonts w:ascii="Times New Roman" w:eastAsia="Times New Roman" w:hAnsi="Times New Roman" w:cs="Times New Roman"/>
                <w:b/>
                <w:bCs/>
                <w:i/>
                <w:iCs/>
                <w:color w:val="000000"/>
                <w:sz w:val="20"/>
                <w:szCs w:val="20"/>
                <w:lang w:eastAsia="sk-SK"/>
              </w:rPr>
            </w:pPr>
            <w:r w:rsidRPr="00A13A31">
              <w:rPr>
                <w:rFonts w:ascii="Times New Roman" w:hAnsi="Times New Roman" w:cs="Times New Roman"/>
                <w:b/>
                <w:bCs/>
                <w:i/>
                <w:iCs/>
                <w:color w:val="000000"/>
                <w:sz w:val="20"/>
                <w:szCs w:val="20"/>
              </w:rPr>
              <w:t xml:space="preserve">G. </w:t>
            </w:r>
            <w:proofErr w:type="spellStart"/>
            <w:r w:rsidRPr="00A13A31">
              <w:rPr>
                <w:rFonts w:ascii="Times New Roman" w:hAnsi="Times New Roman" w:cs="Times New Roman"/>
                <w:b/>
                <w:bCs/>
                <w:i/>
                <w:iCs/>
                <w:color w:val="000000"/>
                <w:sz w:val="20"/>
                <w:szCs w:val="20"/>
              </w:rPr>
              <w:t>Goldplating</w:t>
            </w:r>
            <w:proofErr w:type="spellEnd"/>
          </w:p>
        </w:tc>
        <w:tc>
          <w:tcPr>
            <w:tcW w:w="2623" w:type="dxa"/>
            <w:tcBorders>
              <w:top w:val="single" w:sz="8" w:space="0" w:color="auto"/>
              <w:left w:val="nil"/>
              <w:bottom w:val="single" w:sz="8" w:space="0" w:color="auto"/>
              <w:right w:val="single" w:sz="4" w:space="0" w:color="auto"/>
            </w:tcBorders>
            <w:shd w:val="clear" w:color="000000" w:fill="FFC000"/>
            <w:vAlign w:val="center"/>
            <w:hideMark/>
          </w:tcPr>
          <w:p w14:paraId="709562F6" w14:textId="09F5DCCC"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2E025867" w14:textId="618062CA"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0</w:t>
            </w:r>
          </w:p>
        </w:tc>
      </w:tr>
      <w:tr w:rsidR="00A75549" w:rsidRPr="00C929AE" w14:paraId="665D2803" w14:textId="77777777" w:rsidTr="00A46973">
        <w:trPr>
          <w:trHeight w:val="360"/>
        </w:trPr>
        <w:tc>
          <w:tcPr>
            <w:tcW w:w="146" w:type="dxa"/>
            <w:tcBorders>
              <w:top w:val="nil"/>
              <w:left w:val="nil"/>
              <w:bottom w:val="nil"/>
              <w:right w:val="nil"/>
            </w:tcBorders>
            <w:noWrap/>
            <w:vAlign w:val="bottom"/>
            <w:hideMark/>
          </w:tcPr>
          <w:p w14:paraId="259005DD"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A75549" w:rsidRPr="00A13A31"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bottom"/>
            <w:hideMark/>
          </w:tcPr>
          <w:p w14:paraId="68BF5827" w14:textId="77777777"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A75549" w:rsidRPr="00C929AE" w:rsidRDefault="00A75549" w:rsidP="00A75549">
            <w:pPr>
              <w:spacing w:after="0" w:line="240" w:lineRule="auto"/>
              <w:rPr>
                <w:rFonts w:ascii="Times New Roman" w:eastAsia="Times New Roman" w:hAnsi="Times New Roman" w:cs="Times New Roman"/>
                <w:i/>
                <w:iCs/>
                <w:color w:val="000000"/>
                <w:sz w:val="20"/>
                <w:szCs w:val="20"/>
                <w:lang w:eastAsia="sk-SK"/>
              </w:rPr>
            </w:pPr>
          </w:p>
        </w:tc>
      </w:tr>
      <w:tr w:rsidR="00A75549" w:rsidRPr="00C929AE" w14:paraId="578385C8" w14:textId="77777777" w:rsidTr="00A46973">
        <w:trPr>
          <w:gridAfter w:val="2"/>
          <w:wAfter w:w="583" w:type="dxa"/>
          <w:trHeight w:val="390"/>
        </w:trPr>
        <w:tc>
          <w:tcPr>
            <w:tcW w:w="146" w:type="dxa"/>
            <w:tcBorders>
              <w:top w:val="nil"/>
              <w:left w:val="nil"/>
              <w:bottom w:val="nil"/>
              <w:right w:val="nil"/>
            </w:tcBorders>
            <w:noWrap/>
            <w:vAlign w:val="bottom"/>
            <w:hideMark/>
          </w:tcPr>
          <w:p w14:paraId="1ED4DAC7"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vAlign w:val="bottom"/>
            <w:hideMark/>
          </w:tcPr>
          <w:p w14:paraId="66D9B60B" w14:textId="178BF391"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p>
        </w:tc>
        <w:tc>
          <w:tcPr>
            <w:tcW w:w="2623" w:type="dxa"/>
            <w:tcBorders>
              <w:top w:val="nil"/>
              <w:left w:val="nil"/>
              <w:bottom w:val="nil"/>
              <w:right w:val="nil"/>
            </w:tcBorders>
            <w:vAlign w:val="center"/>
            <w:hideMark/>
          </w:tcPr>
          <w:p w14:paraId="4929B536" w14:textId="6F0BB91F" w:rsidR="00A75549" w:rsidRPr="00A13A31" w:rsidRDefault="00A75549" w:rsidP="00A75549">
            <w:pPr>
              <w:spacing w:after="0" w:line="240" w:lineRule="auto"/>
              <w:jc w:val="center"/>
              <w:rPr>
                <w:rFonts w:ascii="Times New Roman" w:eastAsia="Times New Roman" w:hAnsi="Times New Roman" w:cs="Times New Roman"/>
                <w:color w:val="000000"/>
                <w:sz w:val="20"/>
                <w:szCs w:val="20"/>
                <w:lang w:eastAsia="sk-SK"/>
              </w:rPr>
            </w:pPr>
          </w:p>
        </w:tc>
        <w:tc>
          <w:tcPr>
            <w:tcW w:w="2622" w:type="dxa"/>
            <w:gridSpan w:val="3"/>
            <w:tcBorders>
              <w:top w:val="nil"/>
              <w:left w:val="nil"/>
              <w:bottom w:val="nil"/>
              <w:right w:val="nil"/>
            </w:tcBorders>
            <w:vAlign w:val="center"/>
            <w:hideMark/>
          </w:tcPr>
          <w:p w14:paraId="6019C410" w14:textId="2FC9C3FD" w:rsidR="00A75549" w:rsidRPr="00A13A31" w:rsidRDefault="00A75549" w:rsidP="00A75549">
            <w:pPr>
              <w:spacing w:after="0" w:line="240" w:lineRule="auto"/>
              <w:jc w:val="center"/>
              <w:rPr>
                <w:rFonts w:ascii="Times New Roman" w:eastAsia="Times New Roman" w:hAnsi="Times New Roman" w:cs="Times New Roman"/>
                <w:color w:val="000000"/>
                <w:sz w:val="20"/>
                <w:szCs w:val="20"/>
                <w:lang w:eastAsia="sk-SK"/>
              </w:rPr>
            </w:pPr>
          </w:p>
        </w:tc>
      </w:tr>
      <w:tr w:rsidR="00A75549" w:rsidRPr="00C929AE" w14:paraId="4C7053DD" w14:textId="77777777" w:rsidTr="00A46973">
        <w:trPr>
          <w:gridAfter w:val="2"/>
          <w:wAfter w:w="583" w:type="dxa"/>
          <w:trHeight w:val="390"/>
        </w:trPr>
        <w:tc>
          <w:tcPr>
            <w:tcW w:w="146" w:type="dxa"/>
            <w:tcBorders>
              <w:top w:val="nil"/>
              <w:left w:val="nil"/>
              <w:bottom w:val="nil"/>
              <w:right w:val="nil"/>
            </w:tcBorders>
            <w:noWrap/>
            <w:vAlign w:val="bottom"/>
            <w:hideMark/>
          </w:tcPr>
          <w:p w14:paraId="6BB0400A" w14:textId="77777777" w:rsidR="00A75549" w:rsidRPr="00C929AE" w:rsidRDefault="00A75549" w:rsidP="00A75549">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395BF89" w14:textId="56D3969B" w:rsidR="00A75549" w:rsidRPr="00A13A31" w:rsidRDefault="00A75549" w:rsidP="00A75549">
            <w:pPr>
              <w:spacing w:after="0" w:line="240" w:lineRule="auto"/>
              <w:rPr>
                <w:rFonts w:ascii="Times New Roman" w:eastAsia="Times New Roman" w:hAnsi="Times New Roman" w:cs="Times New Roman"/>
                <w:i/>
                <w:iCs/>
                <w:color w:val="000000"/>
                <w:sz w:val="20"/>
                <w:szCs w:val="20"/>
                <w:lang w:eastAsia="sk-SK"/>
              </w:rPr>
            </w:pPr>
            <w:r w:rsidRPr="00A13A31">
              <w:rPr>
                <w:rFonts w:ascii="Times New Roman" w:hAnsi="Times New Roman" w:cs="Times New Roman"/>
                <w:i/>
                <w:iCs/>
                <w:color w:val="000000"/>
                <w:sz w:val="20"/>
                <w:szCs w:val="20"/>
              </w:rPr>
              <w:t>VÝPOČET PRAVIDLA 1in2out:</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02E1C703" w14:textId="22573BB0"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IN</w:t>
            </w:r>
          </w:p>
        </w:tc>
        <w:tc>
          <w:tcPr>
            <w:tcW w:w="2622" w:type="dxa"/>
            <w:gridSpan w:val="3"/>
            <w:tcBorders>
              <w:top w:val="single" w:sz="8" w:space="0" w:color="auto"/>
              <w:left w:val="nil"/>
              <w:bottom w:val="single" w:sz="4" w:space="0" w:color="auto"/>
              <w:right w:val="single" w:sz="8" w:space="0" w:color="auto"/>
            </w:tcBorders>
            <w:shd w:val="clear" w:color="000000" w:fill="92D050"/>
            <w:vAlign w:val="center"/>
            <w:hideMark/>
          </w:tcPr>
          <w:p w14:paraId="2A9C6235" w14:textId="2ACD6469" w:rsidR="00A75549" w:rsidRPr="00A13A31" w:rsidRDefault="00A75549" w:rsidP="00A75549">
            <w:pPr>
              <w:spacing w:after="0" w:line="240" w:lineRule="auto"/>
              <w:jc w:val="center"/>
              <w:rPr>
                <w:rFonts w:ascii="Times New Roman" w:eastAsia="Times New Roman" w:hAnsi="Times New Roman" w:cs="Times New Roman"/>
                <w:b/>
                <w:bCs/>
                <w:color w:val="000000"/>
                <w:sz w:val="20"/>
                <w:szCs w:val="20"/>
                <w:lang w:eastAsia="sk-SK"/>
              </w:rPr>
            </w:pPr>
            <w:r w:rsidRPr="00A13A31">
              <w:rPr>
                <w:rFonts w:ascii="Times New Roman" w:hAnsi="Times New Roman" w:cs="Times New Roman"/>
                <w:b/>
                <w:bCs/>
                <w:color w:val="000000"/>
                <w:sz w:val="20"/>
                <w:szCs w:val="20"/>
              </w:rPr>
              <w:t>OUT</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even" r:id="rId11"/>
          <w:footerReference w:type="default" r:id="rId12"/>
          <w:footerReference w:type="first" r:id="rId13"/>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67A98623" w:rsidR="00DE6ACB" w:rsidRPr="00895898" w:rsidRDefault="002C783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1. </w:t>
            </w:r>
          </w:p>
        </w:tc>
        <w:tc>
          <w:tcPr>
            <w:tcW w:w="1740" w:type="dxa"/>
            <w:vAlign w:val="center"/>
          </w:tcPr>
          <w:p w14:paraId="7D629DAC" w14:textId="1381BA40" w:rsidR="00DE6ACB" w:rsidRPr="00895898" w:rsidRDefault="002C783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Vytvorenie registra – informačný systém CDCP</w:t>
            </w:r>
          </w:p>
        </w:tc>
        <w:tc>
          <w:tcPr>
            <w:tcW w:w="992" w:type="dxa"/>
          </w:tcPr>
          <w:p w14:paraId="4B47CD37" w14:textId="65F3924E" w:rsidR="00DE6ACB" w:rsidRPr="00895898" w:rsidRDefault="002C783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566/2001 </w:t>
            </w:r>
            <w:proofErr w:type="spellStart"/>
            <w:r>
              <w:rPr>
                <w:rFonts w:ascii="Times New Roman" w:eastAsia="Times New Roman" w:hAnsi="Times New Roman" w:cs="Times New Roman"/>
                <w:sz w:val="20"/>
                <w:szCs w:val="20"/>
                <w:lang w:eastAsia="sk-SK"/>
              </w:rPr>
              <w:t>Z.z</w:t>
            </w:r>
            <w:proofErr w:type="spellEnd"/>
            <w:r>
              <w:rPr>
                <w:rFonts w:ascii="Times New Roman" w:eastAsia="Times New Roman" w:hAnsi="Times New Roman" w:cs="Times New Roman"/>
                <w:sz w:val="20"/>
                <w:szCs w:val="20"/>
                <w:lang w:eastAsia="sk-SK"/>
              </w:rPr>
              <w:t>.</w:t>
            </w:r>
          </w:p>
        </w:tc>
        <w:tc>
          <w:tcPr>
            <w:tcW w:w="1134" w:type="dxa"/>
          </w:tcPr>
          <w:p w14:paraId="1C988908" w14:textId="2F6E2302" w:rsidR="00DE6ACB" w:rsidRPr="00895898" w:rsidRDefault="002C783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53g – 53l</w:t>
            </w:r>
          </w:p>
        </w:tc>
        <w:tc>
          <w:tcPr>
            <w:tcW w:w="1843" w:type="dxa"/>
            <w:vAlign w:val="center"/>
          </w:tcPr>
          <w:p w14:paraId="22CDA76A" w14:textId="6AE3D07D" w:rsidR="00DE6ACB" w:rsidRPr="00895898" w:rsidRDefault="002C7833"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SK</w:t>
            </w:r>
          </w:p>
        </w:tc>
        <w:tc>
          <w:tcPr>
            <w:tcW w:w="992" w:type="dxa"/>
            <w:vAlign w:val="center"/>
          </w:tcPr>
          <w:p w14:paraId="469C4721" w14:textId="12384796" w:rsidR="00DE6ACB" w:rsidRPr="00895898" w:rsidRDefault="00682FF8"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1.júl 2027</w:t>
            </w:r>
          </w:p>
        </w:tc>
        <w:tc>
          <w:tcPr>
            <w:tcW w:w="1160" w:type="dxa"/>
            <w:noWrap/>
            <w:vAlign w:val="center"/>
          </w:tcPr>
          <w:p w14:paraId="74618A9C" w14:textId="35EC401D" w:rsidR="00DE6ACB" w:rsidRPr="00895898" w:rsidRDefault="00682FF8"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CDCP</w:t>
            </w:r>
          </w:p>
        </w:tc>
        <w:tc>
          <w:tcPr>
            <w:tcW w:w="1108" w:type="dxa"/>
          </w:tcPr>
          <w:p w14:paraId="5D0F89C4" w14:textId="43647BE4" w:rsidR="00DE6ACB" w:rsidRPr="00895898" w:rsidRDefault="00682FF8"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p>
        </w:tc>
        <w:tc>
          <w:tcPr>
            <w:tcW w:w="851" w:type="dxa"/>
            <w:noWrap/>
            <w:vAlign w:val="center"/>
          </w:tcPr>
          <w:p w14:paraId="38251139" w14:textId="25DBE78A" w:rsidR="00DE6ACB" w:rsidRPr="00895898" w:rsidRDefault="00682FF8"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100.000</w:t>
            </w:r>
          </w:p>
        </w:tc>
        <w:tc>
          <w:tcPr>
            <w:tcW w:w="843" w:type="dxa"/>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420D0685" w14:textId="4E9F699E" w:rsidR="00DE6ACB" w:rsidRPr="00895898" w:rsidRDefault="00682FF8" w:rsidP="00CE3B21">
            <w:pPr>
              <w:spacing w:after="0" w:line="240" w:lineRule="auto"/>
              <w:rPr>
                <w:rFonts w:ascii="Times New Roman" w:eastAsia="Times New Roman" w:hAnsi="Times New Roman" w:cs="Times New Roman"/>
                <w:sz w:val="20"/>
                <w:szCs w:val="20"/>
                <w:lang w:eastAsia="sk-SK"/>
              </w:rPr>
            </w:pPr>
            <w:r w:rsidRPr="00682FF8">
              <w:rPr>
                <w:rFonts w:ascii="Times New Roman" w:eastAsia="Times New Roman" w:hAnsi="Times New Roman" w:cs="Times New Roman"/>
                <w:sz w:val="20"/>
                <w:szCs w:val="20"/>
                <w:lang w:eastAsia="sk-SK"/>
              </w:rPr>
              <w:t>In (zvyšuje náklady)</w:t>
            </w:r>
          </w:p>
        </w:tc>
        <w:tc>
          <w:tcPr>
            <w:tcW w:w="708" w:type="dxa"/>
            <w:noWrap/>
            <w:vAlign w:val="center"/>
          </w:tcPr>
          <w:p w14:paraId="08BFFDBA" w14:textId="54A3B3BB" w:rsidR="00DE6ACB" w:rsidRPr="00895898" w:rsidRDefault="00682FF8"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1134" w:type="dxa"/>
            <w:vAlign w:val="center"/>
          </w:tcPr>
          <w:p w14:paraId="48758C9B" w14:textId="2732E4E7" w:rsidR="00DE6ACB" w:rsidRPr="00895898" w:rsidRDefault="00682FF8"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5EE761F2" w:rsidR="00801596" w:rsidRPr="00895898" w:rsidRDefault="008C657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p>
        </w:tc>
        <w:tc>
          <w:tcPr>
            <w:tcW w:w="1740" w:type="dxa"/>
            <w:vAlign w:val="center"/>
          </w:tcPr>
          <w:p w14:paraId="302744A6" w14:textId="32FE842D" w:rsidR="00801596" w:rsidRPr="00895898" w:rsidRDefault="008C657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Vytvorenie registra - CDCP</w:t>
            </w:r>
          </w:p>
        </w:tc>
        <w:tc>
          <w:tcPr>
            <w:tcW w:w="992" w:type="dxa"/>
          </w:tcPr>
          <w:p w14:paraId="6D81551D" w14:textId="77EEB481" w:rsidR="00801596" w:rsidRPr="00895898" w:rsidRDefault="008C657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566/2001 Z. z. </w:t>
            </w:r>
          </w:p>
        </w:tc>
        <w:tc>
          <w:tcPr>
            <w:tcW w:w="1134" w:type="dxa"/>
          </w:tcPr>
          <w:p w14:paraId="15AB3E50" w14:textId="196233D3" w:rsidR="00801596" w:rsidRPr="00895898" w:rsidRDefault="008C657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53g-53l</w:t>
            </w:r>
          </w:p>
        </w:tc>
        <w:tc>
          <w:tcPr>
            <w:tcW w:w="1843" w:type="dxa"/>
            <w:vAlign w:val="center"/>
          </w:tcPr>
          <w:p w14:paraId="65823171" w14:textId="1FA1AB59" w:rsidR="00801596" w:rsidDel="00801596" w:rsidRDefault="008C6573"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SK</w:t>
            </w:r>
          </w:p>
        </w:tc>
        <w:tc>
          <w:tcPr>
            <w:tcW w:w="992" w:type="dxa"/>
            <w:vAlign w:val="center"/>
          </w:tcPr>
          <w:p w14:paraId="4EAFA699" w14:textId="443C7F18" w:rsidR="00801596" w:rsidRPr="008C6573" w:rsidRDefault="008C6573" w:rsidP="008C6573">
            <w:pPr>
              <w:rPr>
                <w:lang w:eastAsia="sk-SK"/>
              </w:rPr>
            </w:pPr>
            <w:r w:rsidRPr="008C6573">
              <w:rPr>
                <w:lang w:eastAsia="sk-SK"/>
              </w:rPr>
              <w:t>1</w:t>
            </w:r>
            <w:r w:rsidRPr="008C6573">
              <w:rPr>
                <w:rFonts w:ascii="Times New Roman" w:eastAsia="Times New Roman" w:hAnsi="Times New Roman" w:cs="Times New Roman"/>
                <w:color w:val="000000"/>
                <w:sz w:val="20"/>
                <w:szCs w:val="20"/>
                <w:lang w:eastAsia="sk-SK"/>
              </w:rPr>
              <w:t>.júl 2027</w:t>
            </w:r>
          </w:p>
        </w:tc>
        <w:tc>
          <w:tcPr>
            <w:tcW w:w="1160" w:type="dxa"/>
            <w:noWrap/>
            <w:vAlign w:val="center"/>
          </w:tcPr>
          <w:p w14:paraId="439720A9" w14:textId="5969B71E" w:rsidR="00801596" w:rsidRPr="00895898" w:rsidRDefault="008C6573"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CDCP</w:t>
            </w:r>
          </w:p>
        </w:tc>
        <w:tc>
          <w:tcPr>
            <w:tcW w:w="1108" w:type="dxa"/>
          </w:tcPr>
          <w:p w14:paraId="17CCCE83" w14:textId="47A2E9D7" w:rsidR="00801596" w:rsidRPr="00895898" w:rsidRDefault="008C657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p>
        </w:tc>
        <w:tc>
          <w:tcPr>
            <w:tcW w:w="851" w:type="dxa"/>
            <w:noWrap/>
            <w:vAlign w:val="center"/>
          </w:tcPr>
          <w:p w14:paraId="271B2646" w14:textId="1F7E721C" w:rsidR="00801596" w:rsidRPr="00895898" w:rsidRDefault="008C657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179</w:t>
            </w:r>
          </w:p>
        </w:tc>
        <w:tc>
          <w:tcPr>
            <w:tcW w:w="843" w:type="dxa"/>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E097137" w14:textId="56E387FC" w:rsidR="00801596" w:rsidRPr="00895898" w:rsidRDefault="008C6573" w:rsidP="00CE3B21">
            <w:pPr>
              <w:spacing w:after="0" w:line="240" w:lineRule="auto"/>
              <w:rPr>
                <w:rFonts w:ascii="Times New Roman" w:eastAsia="Times New Roman" w:hAnsi="Times New Roman" w:cs="Times New Roman"/>
                <w:sz w:val="20"/>
                <w:szCs w:val="20"/>
                <w:lang w:eastAsia="sk-SK"/>
              </w:rPr>
            </w:pPr>
            <w:r w:rsidRPr="008C6573">
              <w:rPr>
                <w:rFonts w:ascii="Times New Roman" w:eastAsia="Times New Roman" w:hAnsi="Times New Roman" w:cs="Times New Roman"/>
                <w:sz w:val="20"/>
                <w:szCs w:val="20"/>
                <w:lang w:eastAsia="sk-SK"/>
              </w:rPr>
              <w:t>In (zvyšuje náklady)</w:t>
            </w:r>
          </w:p>
        </w:tc>
        <w:tc>
          <w:tcPr>
            <w:tcW w:w="708" w:type="dxa"/>
            <w:noWrap/>
            <w:vAlign w:val="center"/>
          </w:tcPr>
          <w:p w14:paraId="4B494DF4" w14:textId="71E4C036" w:rsidR="00801596" w:rsidRPr="00895898" w:rsidRDefault="008C6573"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1134" w:type="dxa"/>
            <w:vAlign w:val="center"/>
          </w:tcPr>
          <w:p w14:paraId="564076F6" w14:textId="6FAEC682" w:rsidR="00801596" w:rsidRPr="00895898" w:rsidRDefault="008C6573"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17E71A60" w14:textId="54F8A007" w:rsidR="008C6573" w:rsidRDefault="000632AD" w:rsidP="008C6573">
      <w:pPr>
        <w:jc w:val="both"/>
        <w:rPr>
          <w:rFonts w:ascii="Times New Roman" w:eastAsia="Calibri" w:hAnsi="Times New Roman" w:cs="Times New Roman"/>
          <w:bCs/>
          <w:color w:val="000000"/>
          <w:sz w:val="24"/>
          <w:szCs w:val="24"/>
        </w:rPr>
      </w:pPr>
      <w:r w:rsidRPr="00642E0D">
        <w:rPr>
          <w:rFonts w:ascii="Times New Roman" w:eastAsia="Calibri" w:hAnsi="Times New Roman" w:cs="Times New Roman"/>
          <w:bCs/>
          <w:color w:val="000000"/>
          <w:sz w:val="24"/>
          <w:szCs w:val="24"/>
          <w:u w:val="single"/>
        </w:rPr>
        <w:t xml:space="preserve">K čl. </w:t>
      </w:r>
      <w:r w:rsidR="00D222B9" w:rsidRPr="00642E0D">
        <w:rPr>
          <w:rFonts w:ascii="Times New Roman" w:eastAsia="Calibri" w:hAnsi="Times New Roman" w:cs="Times New Roman"/>
          <w:bCs/>
          <w:color w:val="000000"/>
          <w:sz w:val="24"/>
          <w:szCs w:val="24"/>
          <w:u w:val="single"/>
        </w:rPr>
        <w:t>LII</w:t>
      </w:r>
      <w:r w:rsidR="001A1CCB" w:rsidRPr="00642E0D">
        <w:rPr>
          <w:rFonts w:ascii="Times New Roman" w:eastAsia="Calibri" w:hAnsi="Times New Roman" w:cs="Times New Roman"/>
          <w:bCs/>
          <w:color w:val="000000"/>
          <w:sz w:val="24"/>
          <w:szCs w:val="24"/>
          <w:u w:val="single"/>
        </w:rPr>
        <w:t xml:space="preserve">, LXII </w:t>
      </w:r>
      <w:r w:rsidR="00DB5B33" w:rsidRPr="00642E0D">
        <w:rPr>
          <w:rFonts w:ascii="Times New Roman" w:eastAsia="Calibri" w:hAnsi="Times New Roman" w:cs="Times New Roman"/>
          <w:bCs/>
          <w:color w:val="000000"/>
          <w:sz w:val="24"/>
          <w:szCs w:val="24"/>
          <w:u w:val="single"/>
        </w:rPr>
        <w:t>a</w:t>
      </w:r>
      <w:r w:rsidR="00642E0D" w:rsidRPr="00642E0D">
        <w:rPr>
          <w:rFonts w:ascii="Times New Roman" w:eastAsia="Calibri" w:hAnsi="Times New Roman" w:cs="Times New Roman"/>
          <w:bCs/>
          <w:color w:val="000000"/>
          <w:sz w:val="24"/>
          <w:szCs w:val="24"/>
          <w:u w:val="single"/>
        </w:rPr>
        <w:t> </w:t>
      </w:r>
      <w:r w:rsidR="00DB5B33" w:rsidRPr="00642E0D">
        <w:rPr>
          <w:rFonts w:ascii="Times New Roman" w:eastAsia="Calibri" w:hAnsi="Times New Roman" w:cs="Times New Roman"/>
          <w:bCs/>
          <w:color w:val="000000"/>
          <w:sz w:val="24"/>
          <w:szCs w:val="24"/>
          <w:u w:val="single"/>
        </w:rPr>
        <w:t>L</w:t>
      </w:r>
      <w:r w:rsidR="00642E0D" w:rsidRPr="00642E0D">
        <w:rPr>
          <w:rFonts w:ascii="Times New Roman" w:eastAsia="Calibri" w:hAnsi="Times New Roman" w:cs="Times New Roman"/>
          <w:bCs/>
          <w:color w:val="000000"/>
          <w:sz w:val="24"/>
          <w:szCs w:val="24"/>
          <w:u w:val="single"/>
        </w:rPr>
        <w:t>XXVI</w:t>
      </w:r>
      <w:r w:rsidR="00642E0D">
        <w:rPr>
          <w:rFonts w:ascii="Times New Roman" w:eastAsia="Calibri" w:hAnsi="Times New Roman" w:cs="Times New Roman"/>
          <w:bCs/>
          <w:color w:val="000000"/>
          <w:sz w:val="24"/>
          <w:szCs w:val="24"/>
        </w:rPr>
        <w:t xml:space="preserve">: </w:t>
      </w:r>
      <w:r w:rsidR="008C6573" w:rsidRPr="00A75549">
        <w:rPr>
          <w:rFonts w:ascii="Times New Roman" w:eastAsia="Calibri" w:hAnsi="Times New Roman" w:cs="Times New Roman"/>
          <w:bCs/>
          <w:color w:val="000000"/>
          <w:sz w:val="24"/>
          <w:szCs w:val="24"/>
        </w:rPr>
        <w:t xml:space="preserve">V zmysle § 793 a § 1664 nového Občianskeho zákonníka ak je predmetom zmluvného predkupného práva zriadeného s </w:t>
      </w:r>
      <w:proofErr w:type="spellStart"/>
      <w:r w:rsidR="008C6573" w:rsidRPr="00A75549">
        <w:rPr>
          <w:rFonts w:ascii="Times New Roman" w:eastAsia="Calibri" w:hAnsi="Times New Roman" w:cs="Times New Roman"/>
          <w:bCs/>
          <w:color w:val="000000"/>
          <w:sz w:val="24"/>
          <w:szCs w:val="24"/>
        </w:rPr>
        <w:t>vecnoprávnym</w:t>
      </w:r>
      <w:proofErr w:type="spellEnd"/>
      <w:r w:rsidR="008C6573" w:rsidRPr="00A75549">
        <w:rPr>
          <w:rFonts w:ascii="Times New Roman" w:eastAsia="Calibri" w:hAnsi="Times New Roman" w:cs="Times New Roman"/>
          <w:bCs/>
          <w:color w:val="000000"/>
          <w:sz w:val="24"/>
          <w:szCs w:val="24"/>
        </w:rPr>
        <w:t xml:space="preserve"> účinkom vec, ktorá je predmetom evidencie v osobitnom registri, predkupné právo vzniká zápisom v tomto registri. Uvedené sa vzťahuje aj na zaknihované cenné papiere. Rovnaká povinnosť sa týka aj výhrady spätnej kúpy, ktorú možno dohodnúť aj ako vecné právo, ktoré sa musí zapísať do verejného registra. Na základe uvedeného vzniká Centrálnemu depozitárovi cenných papierov (CDCP) povinnosť vytvoriť nové registre. Odhadované náklady </w:t>
      </w:r>
      <w:r w:rsidR="00970B4B" w:rsidRPr="00A75549">
        <w:rPr>
          <w:rFonts w:ascii="Times New Roman" w:eastAsia="Calibri" w:hAnsi="Times New Roman" w:cs="Times New Roman"/>
          <w:bCs/>
          <w:color w:val="000000"/>
          <w:sz w:val="24"/>
          <w:szCs w:val="24"/>
        </w:rPr>
        <w:t>informačného systému na implementáciu zmien vyplývajúcich z návrhu zákona sa predpokladajú vo výške 100.000,- Eur (zdroj: CDCP).</w:t>
      </w:r>
      <w:r w:rsidR="00A75549">
        <w:rPr>
          <w:rFonts w:ascii="Times New Roman" w:eastAsia="Calibri" w:hAnsi="Times New Roman" w:cs="Times New Roman"/>
          <w:bCs/>
          <w:color w:val="000000"/>
          <w:sz w:val="24"/>
          <w:szCs w:val="24"/>
        </w:rPr>
        <w:t xml:space="preserve"> V tejto súvislosti je potrebné sa oboznámiť s novou právnou úpravou. </w:t>
      </w:r>
    </w:p>
    <w:p w14:paraId="17EB9BC3" w14:textId="77777777" w:rsidR="008C6573" w:rsidRPr="008C6573" w:rsidRDefault="008C6573" w:rsidP="008C6573">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6C24181A" w14:textId="4079377C" w:rsidR="00642E0D" w:rsidRPr="00642E0D" w:rsidRDefault="00D114ED" w:rsidP="00054C41">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w:t>
      </w:r>
      <w:r w:rsidRPr="00F244DC">
        <w:rPr>
          <w:rFonts w:ascii="Times New Roman" w:eastAsia="Calibri" w:hAnsi="Times New Roman" w:cs="Times New Roman"/>
          <w:bCs/>
          <w:i/>
          <w:iCs/>
          <w:sz w:val="24"/>
          <w:szCs w:val="24"/>
        </w:rPr>
        <w:lastRenderedPageBreak/>
        <w:t>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054C41">
      <w:pPr>
        <w:spacing w:after="0"/>
        <w:jc w:val="both"/>
        <w:rPr>
          <w:rFonts w:ascii="Times New Roman" w:eastAsia="Calibri" w:hAnsi="Times New Roman" w:cs="Times New Roman"/>
          <w:i/>
          <w:sz w:val="24"/>
          <w:szCs w:val="24"/>
        </w:rPr>
      </w:pPr>
    </w:p>
    <w:p w14:paraId="6EC33C6D" w14:textId="0FB7B9C4" w:rsidR="00C61F34" w:rsidRDefault="00C61F34"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Predbežná informácia k návrhu zákona o zmene a doplnení niektorých zákonov v súvislosti s prijatím Občianskeho zákonníka bola zverejnená 1. júna 2026 na portáli Slov-lex pod číslom PI/2026/136(</w:t>
      </w:r>
      <w:hyperlink r:id="rId14" w:history="1">
        <w:r w:rsidRPr="006276B8">
          <w:rPr>
            <w:rStyle w:val="Hypertextovprepojenie"/>
            <w:rFonts w:ascii="Times New Roman" w:eastAsia="Calibri" w:hAnsi="Times New Roman" w:cs="Times New Roman"/>
            <w:iCs/>
            <w:sz w:val="24"/>
            <w:szCs w:val="24"/>
          </w:rPr>
          <w:t>https://www.slov-lex.sk/elegislativa/legislativne-procesy/SK/PI/2026/136</w:t>
        </w:r>
      </w:hyperlink>
      <w:r>
        <w:rPr>
          <w:rFonts w:ascii="Times New Roman" w:eastAsia="Calibri" w:hAnsi="Times New Roman" w:cs="Times New Roman"/>
          <w:iCs/>
          <w:sz w:val="24"/>
          <w:szCs w:val="24"/>
        </w:rPr>
        <w:t>). Oznámenie o začatí konzultácií s dotknutými podnikateľskými subjektami bolo zverejnené 11. septembra 2026 na webovom sídle Ministerstva spravodlivosti Slovenskej republiky (</w:t>
      </w:r>
      <w:hyperlink r:id="rId15" w:history="1">
        <w:r w:rsidRPr="006276B8">
          <w:rPr>
            <w:rStyle w:val="Hypertextovprepojenie"/>
            <w:rFonts w:ascii="Times New Roman" w:eastAsia="Calibri" w:hAnsi="Times New Roman" w:cs="Times New Roman"/>
            <w:iCs/>
            <w:sz w:val="24"/>
            <w:szCs w:val="24"/>
          </w:rPr>
          <w:t>https://www.justice.gov.sk/aktualne-temy/oznamenie-o-zacati-konzultacii-k-navrhu-zakona-o-zmene-a-doplneni-niektorych-zakonov-v-suvislosti-s-prijatim-obcianskeho-zakonnika/</w:t>
        </w:r>
      </w:hyperlink>
      <w:r>
        <w:rPr>
          <w:rFonts w:ascii="Times New Roman" w:eastAsia="Calibri" w:hAnsi="Times New Roman" w:cs="Times New Roman"/>
          <w:iCs/>
          <w:sz w:val="24"/>
          <w:szCs w:val="24"/>
        </w:rPr>
        <w:t xml:space="preserve">). Podnikateľské subjekty a ich zástupcovia sa mohli do konzultácií zapojiť zaslaním kontaktných údajov svojich zástupcov na určenú e-mailovú adresu. </w:t>
      </w:r>
    </w:p>
    <w:p w14:paraId="397DB50E" w14:textId="033E5C9D" w:rsidR="00C61F34" w:rsidRDefault="00C61F34"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Konzultačné stretnutie sa uskutočnilo dňa 2. októbra 2026 o 9:00 hod. formou </w:t>
      </w:r>
      <w:proofErr w:type="spellStart"/>
      <w:r>
        <w:rPr>
          <w:rFonts w:ascii="Times New Roman" w:eastAsia="Calibri" w:hAnsi="Times New Roman" w:cs="Times New Roman"/>
          <w:iCs/>
          <w:sz w:val="24"/>
          <w:szCs w:val="24"/>
        </w:rPr>
        <w:t>videohovoru</w:t>
      </w:r>
      <w:proofErr w:type="spellEnd"/>
      <w:r>
        <w:rPr>
          <w:rFonts w:ascii="Times New Roman" w:eastAsia="Calibri" w:hAnsi="Times New Roman" w:cs="Times New Roman"/>
          <w:iCs/>
          <w:sz w:val="24"/>
          <w:szCs w:val="24"/>
        </w:rPr>
        <w:t xml:space="preserve"> za účasti SLASPO, RÚZ, APZD, Klubu 500, </w:t>
      </w:r>
      <w:proofErr w:type="spellStart"/>
      <w:r>
        <w:rPr>
          <w:rFonts w:ascii="Times New Roman" w:eastAsia="Calibri" w:hAnsi="Times New Roman" w:cs="Times New Roman"/>
          <w:iCs/>
          <w:sz w:val="24"/>
          <w:szCs w:val="24"/>
        </w:rPr>
        <w:t>AmCham</w:t>
      </w:r>
      <w:proofErr w:type="spellEnd"/>
      <w:r>
        <w:rPr>
          <w:rFonts w:ascii="Times New Roman" w:eastAsia="Calibri" w:hAnsi="Times New Roman" w:cs="Times New Roman"/>
          <w:iCs/>
          <w:sz w:val="24"/>
          <w:szCs w:val="24"/>
        </w:rPr>
        <w:t xml:space="preserve">, SKDP a SZBD a zástupcov dotknutých rezortov. </w:t>
      </w:r>
    </w:p>
    <w:p w14:paraId="11D9007E" w14:textId="5A9966C7" w:rsidR="00C61F34" w:rsidRDefault="00C61F34"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Na stretnutí zaznel harmonogram legislatívneho procesu a vecné zameranie návrhu implementačného zákona, ktorý má zahŕňať len úpravy súvisiace s prijatím nového Občianskeho zákonníka a nič nad rámec týchto úprav. Následne zástupcovia jednotlivých rezortov predstavili hlavné pripravované zmeny právnych predpisov vo svojej gescii. </w:t>
      </w:r>
    </w:p>
    <w:p w14:paraId="4F04178E" w14:textId="2FC8FCA8" w:rsidR="00C61F34" w:rsidRPr="00C61F34" w:rsidRDefault="00C61F34"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V závere stretnutia bol avizovaný súbeh predbežného pripomienkového konania a medzirezortného pripomienkového konania. Účastníci boli informovaní o priebežnom vyhodnocovaní pripomienok v spolupráci s Rekodifikačnou komisiou a dotknutými rezortmi. Avizovalo sa, že konzultácie budú pokračovať až do predloženia materiálu na rokovanie Legislatívnej rady vlády Slovenskej republiky. </w:t>
      </w:r>
    </w:p>
    <w:p w14:paraId="4A1E507C" w14:textId="77777777" w:rsidR="00203C41" w:rsidRPr="00203C41" w:rsidRDefault="00203C41" w:rsidP="00054C41">
      <w:pPr>
        <w:spacing w:after="0"/>
        <w:jc w:val="both"/>
        <w:rPr>
          <w:rFonts w:ascii="Times New Roman" w:eastAsia="Calibri" w:hAnsi="Times New Roman" w:cs="Times New Roman"/>
          <w:color w:val="FF0000"/>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C0F10C5" w:rsidR="00054C41" w:rsidRPr="00D8247C" w:rsidRDefault="0059351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970B4B">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2EADE785" w:rsidR="00054C41" w:rsidRPr="00D8247C" w:rsidRDefault="0059351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970B4B">
                <w:rPr>
                  <w:rFonts w:ascii="Times New Roman" w:eastAsia="Calibri" w:hAnsi="Times New Roman" w:cs="Times New Roman"/>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73992637" w14:textId="77777777" w:rsidR="006325C7" w:rsidRPr="00367177" w:rsidRDefault="006325C7" w:rsidP="00203C41">
      <w:pPr>
        <w:spacing w:after="0" w:line="240" w:lineRule="auto"/>
        <w:jc w:val="both"/>
        <w:rPr>
          <w:rFonts w:ascii="Times New Roman" w:eastAsia="Times New Roman" w:hAnsi="Times New Roman" w:cs="Times New Roman"/>
          <w:sz w:val="24"/>
          <w:szCs w:val="24"/>
          <w:u w:val="single"/>
          <w:lang w:eastAsia="sk-SK"/>
        </w:rPr>
      </w:pPr>
      <w:r w:rsidRPr="00367177">
        <w:rPr>
          <w:rFonts w:ascii="Times New Roman" w:eastAsia="Times New Roman" w:hAnsi="Times New Roman" w:cs="Times New Roman"/>
          <w:sz w:val="24"/>
          <w:szCs w:val="24"/>
          <w:u w:val="single"/>
          <w:lang w:eastAsia="sk-SK"/>
        </w:rPr>
        <w:t>K čl. V</w:t>
      </w:r>
    </w:p>
    <w:p w14:paraId="6AEAC796" w14:textId="7FEEF1FB" w:rsidR="006325C7" w:rsidRDefault="006325C7"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rámci úpravy sporového konania návrh reaguje na novú úpravu synalagmatických záväzkov, ktorá môže mať pozitívny vplyv na podnikateľské prostredie z dôvodu zavedenia povinnosti súdu priamo uložiť žalovanému povinnosť plniť oproti vzájomnej povinnosti alebo vzájomnému plneniu žalobcu a z dôvodu úpravy vykonateľnosti rozhodnutia vo vzťahu k nahradeniu prejavu vôle.</w:t>
      </w:r>
    </w:p>
    <w:p w14:paraId="19DEC492" w14:textId="76CE90E9" w:rsidR="006325C7" w:rsidRDefault="006325C7"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úpravy neodkladných opatrení vo veciach práva duševného vlastníctva a nekalej súťaže pozitívne reaguje na potreby v rámci podnikateľského prostredia a na prijatú hmotnoprávnu úpravu.</w:t>
      </w:r>
    </w:p>
    <w:p w14:paraId="4E6ADAD7" w14:textId="77777777" w:rsidR="00B040A7" w:rsidRDefault="00B040A7" w:rsidP="00203C41">
      <w:pPr>
        <w:spacing w:after="0" w:line="240" w:lineRule="auto"/>
        <w:jc w:val="both"/>
        <w:rPr>
          <w:rFonts w:ascii="Times New Roman" w:eastAsia="Times New Roman" w:hAnsi="Times New Roman" w:cs="Times New Roman"/>
          <w:sz w:val="24"/>
          <w:szCs w:val="24"/>
          <w:lang w:eastAsia="sk-SK"/>
        </w:rPr>
      </w:pPr>
    </w:p>
    <w:p w14:paraId="481B137F" w14:textId="64935B08" w:rsidR="00B040A7" w:rsidRPr="00367177" w:rsidRDefault="00B040A7" w:rsidP="00203C41">
      <w:pPr>
        <w:spacing w:after="0" w:line="240" w:lineRule="auto"/>
        <w:jc w:val="both"/>
        <w:rPr>
          <w:rFonts w:ascii="Times New Roman" w:eastAsia="Times New Roman" w:hAnsi="Times New Roman" w:cs="Times New Roman"/>
          <w:sz w:val="24"/>
          <w:szCs w:val="24"/>
          <w:u w:val="single"/>
          <w:lang w:eastAsia="sk-SK"/>
        </w:rPr>
      </w:pPr>
      <w:r w:rsidRPr="00367177">
        <w:rPr>
          <w:rFonts w:ascii="Times New Roman" w:eastAsia="Times New Roman" w:hAnsi="Times New Roman" w:cs="Times New Roman"/>
          <w:sz w:val="24"/>
          <w:szCs w:val="24"/>
          <w:u w:val="single"/>
          <w:lang w:eastAsia="sk-SK"/>
        </w:rPr>
        <w:t>K čl. VI</w:t>
      </w:r>
    </w:p>
    <w:p w14:paraId="0CC6261E" w14:textId="2B7E19D3" w:rsidR="006325C7" w:rsidRDefault="006325C7"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rovnako reaguje na novú hmotnoprávnu úpravu vo vzťahu k právnickým osobám a osobitne upravuje konania v niektorých veciach právnických osôb, pričom zohľadňuje skutočnosť, že Obchodný zákonník v časti právnických osôb ostáva v zásade nemenný. </w:t>
      </w:r>
    </w:p>
    <w:p w14:paraId="2CADD765" w14:textId="77777777" w:rsidR="00B040A7" w:rsidRDefault="00B040A7" w:rsidP="00203C41">
      <w:pPr>
        <w:spacing w:after="0" w:line="240" w:lineRule="auto"/>
        <w:jc w:val="both"/>
        <w:rPr>
          <w:rFonts w:ascii="Times New Roman" w:eastAsia="Times New Roman" w:hAnsi="Times New Roman" w:cs="Times New Roman"/>
          <w:sz w:val="24"/>
          <w:szCs w:val="24"/>
          <w:lang w:eastAsia="sk-SK"/>
        </w:rPr>
      </w:pPr>
    </w:p>
    <w:p w14:paraId="424DBDFC" w14:textId="07809542" w:rsidR="00B21D1F" w:rsidRPr="00367177" w:rsidRDefault="00203C41" w:rsidP="00203C41">
      <w:pPr>
        <w:spacing w:after="0" w:line="240" w:lineRule="auto"/>
        <w:jc w:val="both"/>
        <w:rPr>
          <w:rFonts w:ascii="Times New Roman" w:eastAsia="Times New Roman" w:hAnsi="Times New Roman" w:cs="Times New Roman"/>
          <w:sz w:val="24"/>
          <w:szCs w:val="24"/>
          <w:u w:val="single"/>
          <w:lang w:eastAsia="sk-SK"/>
        </w:rPr>
      </w:pPr>
      <w:r w:rsidRPr="00367177">
        <w:rPr>
          <w:rFonts w:ascii="Times New Roman" w:eastAsia="Times New Roman" w:hAnsi="Times New Roman" w:cs="Times New Roman"/>
          <w:sz w:val="24"/>
          <w:szCs w:val="24"/>
          <w:u w:val="single"/>
          <w:lang w:eastAsia="sk-SK"/>
        </w:rPr>
        <w:lastRenderedPageBreak/>
        <w:t>K čl. XXXIII</w:t>
      </w:r>
    </w:p>
    <w:p w14:paraId="6A2B6CA6" w14:textId="36E1CE27" w:rsidR="00203C41" w:rsidRDefault="00203C41"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 rámci úpravy Exekučného poriadku, ktorý reaguje na zmenu hmotnoprávnej úpravy je možné medzi pozitívne vplyvy zaradiť možnosť vedenia náhradnej exekúcie v prípade úspešného odporovania, pričom návrh procesnoprávne reaguje na uvedenú situáciu a zavádza tzv. náhradnú exekúciu. Vedenie tejto exekúcie je však bezprostredne závislé na získaní exekučného titulu a úspešnom odporovaní. </w:t>
      </w:r>
    </w:p>
    <w:p w14:paraId="0FAE8743" w14:textId="333D2AFE" w:rsidR="00203C41" w:rsidRDefault="00203C41"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ďalej reaguje na zmeny v dedičskom práve, ktoré však nezakladajú priame vplyvy na podnikateľské prostredie. Okrem uvedeného návrh procesnoprávne reaguje na zmenu a úpravu spoločného imania manželov, kde je nevyhnutné reagovať pri výkone rozhodnutia na možnosť exekvovať len polovicu spoločného imania, ak je povinným osoba v manželskom zväzku a exekútor rozhodne o postihnutí spoločného imania manželov. Pozitívny vplyv má najmä zavedenie možnosti exekvovať aj prostriedky na účte manžela povinného, maximálne však do polovice prostriedkov na účte. Ako negatívny vplyv možno označiť tú skutočnosť, že procesnoprávne sa už nebude môcť exekvovať celé imanie manželov (bezpodielové spoluvlastníctvo manželov), uvedené však priamo vyplýva z hmotnoprávnej úpravy obsiahnutej v Občianskom zákonníku.</w:t>
      </w:r>
    </w:p>
    <w:p w14:paraId="4CA72BBD" w14:textId="642DED23" w:rsidR="00203C41" w:rsidRDefault="00203C41"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Exekučného poriadku ďalej </w:t>
      </w:r>
      <w:r w:rsidR="00311310">
        <w:rPr>
          <w:rFonts w:ascii="Times New Roman" w:eastAsia="Times New Roman" w:hAnsi="Times New Roman" w:cs="Times New Roman"/>
          <w:sz w:val="24"/>
          <w:szCs w:val="24"/>
          <w:lang w:eastAsia="sk-SK"/>
        </w:rPr>
        <w:t>reaguje na úpravu vlastníckeho záložného práva. Úprava však nezakladá vplyvy.</w:t>
      </w:r>
    </w:p>
    <w:p w14:paraId="50EF41F6" w14:textId="54FA4EA2" w:rsidR="00311310" w:rsidRDefault="00311310"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rámci predaja hnuteľných vecí a nehnuteľných vecí sa zavádza po vzore z insolvencie právo výkupu, čo môže mať pozitívny vplyv vo forme rýchlejšieho uspokojenia pohľadávky veriteľa.</w:t>
      </w:r>
    </w:p>
    <w:p w14:paraId="44678A23" w14:textId="77777777" w:rsidR="00367177" w:rsidRDefault="00367177" w:rsidP="00311310">
      <w:pPr>
        <w:spacing w:after="0" w:line="240" w:lineRule="auto"/>
        <w:jc w:val="both"/>
        <w:rPr>
          <w:rFonts w:ascii="Times New Roman" w:eastAsia="Times New Roman" w:hAnsi="Times New Roman" w:cs="Times New Roman"/>
          <w:sz w:val="24"/>
          <w:szCs w:val="24"/>
          <w:lang w:eastAsia="sk-SK"/>
        </w:rPr>
      </w:pPr>
    </w:p>
    <w:p w14:paraId="235F6035" w14:textId="00A1C875" w:rsidR="00367177" w:rsidRPr="00367177" w:rsidRDefault="00367177" w:rsidP="00367177">
      <w:pPr>
        <w:spacing w:after="0" w:line="240" w:lineRule="auto"/>
        <w:jc w:val="both"/>
        <w:rPr>
          <w:rFonts w:ascii="Times New Roman" w:eastAsia="Times New Roman" w:hAnsi="Times New Roman" w:cs="Times New Roman"/>
          <w:sz w:val="24"/>
          <w:szCs w:val="24"/>
          <w:u w:val="single"/>
          <w:lang w:eastAsia="sk-SK"/>
        </w:rPr>
      </w:pPr>
      <w:r w:rsidRPr="00367177">
        <w:rPr>
          <w:rFonts w:ascii="Times New Roman" w:eastAsia="Times New Roman" w:hAnsi="Times New Roman" w:cs="Times New Roman"/>
          <w:sz w:val="24"/>
          <w:szCs w:val="24"/>
          <w:u w:val="single"/>
          <w:lang w:eastAsia="sk-SK"/>
        </w:rPr>
        <w:t>K čl. XVIII</w:t>
      </w:r>
    </w:p>
    <w:p w14:paraId="5F2FCE78" w14:textId="77777777" w:rsidR="00367177" w:rsidRPr="00367177" w:rsidRDefault="00367177" w:rsidP="00367177">
      <w:p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 xml:space="preserve">Prijatím legislatívnych zmien v zákone č. 455/1991 Zb. o živnostenskom podnikaní (živnostenský zákon) v znení neskorších predpisov dôjde k  zníženiu miery regulácie vstupu do podnikateľského prostredia. </w:t>
      </w:r>
    </w:p>
    <w:p w14:paraId="4810B03A" w14:textId="77777777" w:rsidR="00367177" w:rsidRPr="00367177" w:rsidRDefault="00367177" w:rsidP="00367177">
      <w:p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 xml:space="preserve">Stanovením výnimky z naplnenia všeobecných podmienok prevádzkovania živnosti podľa § 6 ods. 1 písm. a) a b) živnostenského zákona pre prípady maloletých, u ktorých súd fyzickej osobe, ktorá nedovŕšila vek 18 rokov právoplatným rozhodnutím, ktorým bol schválený súhlas jej zákonného zástupcu na podnikanie priznáva čiastočnú spôsobilosť na právne úkony súvisiace s podnikaním podľa § 171 ods. 3 a 4 Občianskeho zákonníka, dochádza k rozšíreniu okruhu subjektov oprávnených prevádzkovať živnosť o tieto osoby. Vzhľadom na to sa predpokladá potenciálny nárast záujmu o podnikanie u daného okruhu osôb, na základe čoho možno predpokladať pozitívny vplyv na podnikateľské prostredie. </w:t>
      </w:r>
    </w:p>
    <w:p w14:paraId="43458AB8" w14:textId="77777777" w:rsidR="00367177" w:rsidRPr="00367177" w:rsidRDefault="00367177" w:rsidP="00367177">
      <w:p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 xml:space="preserve">Pozitívny  vplyv na podnikateľské prostredie však v súčasnosti nemožno s ohľadom na jeho komplexnosť a absenciu analýzy zdrojovej základne dát a relevantných údajov kvantifikovať. Pozitívny vplyv na podnikateľské prostredie bude možné objektívne kvantifikovať až následne na základe aplikačnej praxe, nakoľko množina dotknutých potenciálnych subjektov je z  požiadaviek a znalostí aktuálnej praxe neurčená. Expertný odhad počtu nových živnostníkov z dotknutej skupiny nie je možné určiť ani odhadom, nakoľko k nemu v súčasnosti neexistuje žiadny zdroj údajov, či štatistika. </w:t>
      </w:r>
    </w:p>
    <w:p w14:paraId="4682047E" w14:textId="5DE79307" w:rsidR="00367177" w:rsidRPr="00203C41" w:rsidRDefault="00367177" w:rsidP="00367177">
      <w:p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Návrh zákona nezvyšuje finančné náklady podnikateľských subjektov. Návrh zákona nevytvára dodatočné náklady pre adresátov noriem v ňom obsiahnutých, nevytvára dodatočné náklady na nákup tovarov a služieb, ani nezvyšuje náklady súvisiace so zamestnávaním.</w:t>
      </w:r>
    </w:p>
    <w:p w14:paraId="4D7883A6" w14:textId="77777777" w:rsidR="00367177" w:rsidRDefault="00367177" w:rsidP="00311310">
      <w:pPr>
        <w:spacing w:after="0" w:line="240" w:lineRule="auto"/>
        <w:jc w:val="both"/>
        <w:rPr>
          <w:rFonts w:ascii="Times New Roman" w:eastAsia="Times New Roman" w:hAnsi="Times New Roman" w:cs="Times New Roman"/>
          <w:sz w:val="24"/>
          <w:szCs w:val="24"/>
          <w:u w:val="single"/>
          <w:lang w:eastAsia="sk-SK"/>
        </w:rPr>
      </w:pPr>
    </w:p>
    <w:p w14:paraId="29D70024" w14:textId="2359F77F" w:rsidR="00311310" w:rsidRPr="00367177" w:rsidRDefault="00311310" w:rsidP="00311310">
      <w:pPr>
        <w:spacing w:after="0" w:line="240" w:lineRule="auto"/>
        <w:jc w:val="both"/>
        <w:rPr>
          <w:rFonts w:ascii="Times New Roman" w:eastAsia="Times New Roman" w:hAnsi="Times New Roman" w:cs="Times New Roman"/>
          <w:sz w:val="24"/>
          <w:szCs w:val="24"/>
          <w:u w:val="single"/>
          <w:lang w:eastAsia="sk-SK"/>
        </w:rPr>
      </w:pPr>
      <w:r w:rsidRPr="00367177">
        <w:rPr>
          <w:rFonts w:ascii="Times New Roman" w:eastAsia="Times New Roman" w:hAnsi="Times New Roman" w:cs="Times New Roman"/>
          <w:sz w:val="24"/>
          <w:szCs w:val="24"/>
          <w:u w:val="single"/>
          <w:lang w:eastAsia="sk-SK"/>
        </w:rPr>
        <w:t>K čl. XCVI</w:t>
      </w:r>
    </w:p>
    <w:p w14:paraId="21A7763E" w14:textId="6EFBCC44" w:rsidR="00311310" w:rsidRDefault="00311310" w:rsidP="00203C41">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 rámci úpravy </w:t>
      </w:r>
      <w:proofErr w:type="spellStart"/>
      <w:r>
        <w:rPr>
          <w:rFonts w:ascii="Times New Roman" w:eastAsia="Times New Roman" w:hAnsi="Times New Roman" w:cs="Times New Roman"/>
          <w:sz w:val="24"/>
          <w:szCs w:val="24"/>
          <w:lang w:eastAsia="sk-SK"/>
        </w:rPr>
        <w:t>insolvenčného</w:t>
      </w:r>
      <w:proofErr w:type="spellEnd"/>
      <w:r>
        <w:rPr>
          <w:rFonts w:ascii="Times New Roman" w:eastAsia="Times New Roman" w:hAnsi="Times New Roman" w:cs="Times New Roman"/>
          <w:sz w:val="24"/>
          <w:szCs w:val="24"/>
          <w:lang w:eastAsia="sk-SK"/>
        </w:rPr>
        <w:t xml:space="preserve"> konania návrh úpravy reaguje na vlastnícke záložné právo a na úpravu správcu zabezpečenia, čo môže mať pozitívny vplyv na podnikateľské prostredie, najmä vo vzťahu k správcovi zabezpečenia, pričom uvedený proces má zjednodušiť uplatňovanie pohľadávok v insolvencii. V rámci oddlženia návrh reaguje na úpravu spoločného imania </w:t>
      </w:r>
      <w:r>
        <w:rPr>
          <w:rFonts w:ascii="Times New Roman" w:eastAsia="Times New Roman" w:hAnsi="Times New Roman" w:cs="Times New Roman"/>
          <w:sz w:val="24"/>
          <w:szCs w:val="24"/>
          <w:lang w:eastAsia="sk-SK"/>
        </w:rPr>
        <w:lastRenderedPageBreak/>
        <w:t xml:space="preserve">manželov, pričom pravidlo o postihnutí najviac polovice spoločného imania je pretavené do práva výkupu. Inak platí status </w:t>
      </w:r>
      <w:proofErr w:type="spellStart"/>
      <w:r>
        <w:rPr>
          <w:rFonts w:ascii="Times New Roman" w:eastAsia="Times New Roman" w:hAnsi="Times New Roman" w:cs="Times New Roman"/>
          <w:sz w:val="24"/>
          <w:szCs w:val="24"/>
          <w:lang w:eastAsia="sk-SK"/>
        </w:rPr>
        <w:t>quo</w:t>
      </w:r>
      <w:proofErr w:type="spellEnd"/>
      <w:r>
        <w:rPr>
          <w:rFonts w:ascii="Times New Roman" w:eastAsia="Times New Roman" w:hAnsi="Times New Roman" w:cs="Times New Roman"/>
          <w:sz w:val="24"/>
          <w:szCs w:val="24"/>
          <w:lang w:eastAsia="sk-SK"/>
        </w:rPr>
        <w:t>.</w:t>
      </w:r>
    </w:p>
    <w:p w14:paraId="3F074D83" w14:textId="77777777" w:rsidR="00367177" w:rsidRDefault="00367177" w:rsidP="00203C41">
      <w:pPr>
        <w:spacing w:after="0" w:line="240" w:lineRule="auto"/>
        <w:jc w:val="both"/>
        <w:rPr>
          <w:rFonts w:ascii="Times New Roman" w:eastAsia="Times New Roman" w:hAnsi="Times New Roman" w:cs="Times New Roman"/>
          <w:sz w:val="24"/>
          <w:szCs w:val="24"/>
          <w:lang w:eastAsia="sk-SK"/>
        </w:rPr>
      </w:pPr>
    </w:p>
    <w:p w14:paraId="46A48D2F" w14:textId="448C36E0" w:rsidR="00367177" w:rsidRPr="00367177" w:rsidRDefault="00367177" w:rsidP="00367177">
      <w:pPr>
        <w:spacing w:after="0" w:line="240" w:lineRule="auto"/>
        <w:jc w:val="both"/>
        <w:rPr>
          <w:rFonts w:ascii="Times New Roman" w:eastAsia="Times New Roman" w:hAnsi="Times New Roman" w:cs="Times New Roman"/>
          <w:sz w:val="24"/>
          <w:szCs w:val="24"/>
          <w:u w:val="single"/>
          <w:lang w:eastAsia="sk-SK"/>
        </w:rPr>
      </w:pPr>
      <w:r w:rsidRPr="00367177">
        <w:rPr>
          <w:rFonts w:ascii="Times New Roman" w:eastAsia="Times New Roman" w:hAnsi="Times New Roman" w:cs="Times New Roman"/>
          <w:sz w:val="24"/>
          <w:szCs w:val="24"/>
          <w:u w:val="single"/>
          <w:lang w:eastAsia="sk-SK"/>
        </w:rPr>
        <w:t>K čl. LXXXVI</w:t>
      </w:r>
    </w:p>
    <w:p w14:paraId="31C92688" w14:textId="555FBA9B" w:rsidR="00367177" w:rsidRPr="00367177" w:rsidRDefault="00367177" w:rsidP="00367177">
      <w:p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1.</w:t>
      </w:r>
      <w:r>
        <w:rPr>
          <w:rFonts w:ascii="Times New Roman" w:eastAsia="Times New Roman" w:hAnsi="Times New Roman" w:cs="Times New Roman"/>
          <w:sz w:val="24"/>
          <w:szCs w:val="24"/>
          <w:lang w:eastAsia="sk-SK"/>
        </w:rPr>
        <w:t xml:space="preserve"> </w:t>
      </w:r>
      <w:r w:rsidRPr="00367177">
        <w:rPr>
          <w:rFonts w:ascii="Times New Roman" w:eastAsia="Times New Roman" w:hAnsi="Times New Roman" w:cs="Times New Roman"/>
          <w:b/>
          <w:bCs/>
          <w:sz w:val="24"/>
          <w:szCs w:val="24"/>
          <w:lang w:eastAsia="sk-SK"/>
        </w:rPr>
        <w:t>Posúdenie dopadov na podnikateľské subjekty</w:t>
      </w:r>
      <w:r w:rsidRPr="00367177">
        <w:rPr>
          <w:rFonts w:ascii="Times New Roman" w:eastAsia="Times New Roman" w:hAnsi="Times New Roman" w:cs="Times New Roman"/>
          <w:sz w:val="24"/>
          <w:szCs w:val="24"/>
          <w:lang w:eastAsia="sk-SK"/>
        </w:rPr>
        <w:t>:</w:t>
      </w:r>
    </w:p>
    <w:p w14:paraId="0FBC50B5" w14:textId="77777777" w:rsidR="00367177" w:rsidRDefault="00367177" w:rsidP="00367177">
      <w:pPr>
        <w:pStyle w:val="Odsekzoznamu"/>
        <w:numPr>
          <w:ilvl w:val="0"/>
          <w:numId w:val="19"/>
        </w:num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Návrh neukladá podnikateľským subjektom žiadne nové informačné povinnosti, poplatky, osvedčenia ani administratívne formality.</w:t>
      </w:r>
    </w:p>
    <w:p w14:paraId="2B9A3902" w14:textId="77777777" w:rsidR="00367177" w:rsidRDefault="00367177" w:rsidP="00367177">
      <w:pPr>
        <w:pStyle w:val="Odsekzoznamu"/>
        <w:numPr>
          <w:ilvl w:val="0"/>
          <w:numId w:val="19"/>
        </w:num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Pre podnikateľov v pozícii vlastníkov susediacich pozemkov sa vecný rozsah zákonných povinností nemení – dochádza len k terminologickému zosúladeniu (služobnosť strpieť vstup podľa § 54 vodného zákona). Nárok na jednorazovú peňažnú náhradu za obmedzenie vlastníctva (§ 26 ods. 9 vodného zákona) zostáva plne zachovaný.</w:t>
      </w:r>
    </w:p>
    <w:p w14:paraId="099FA87E" w14:textId="49F73432" w:rsidR="00367177" w:rsidRPr="00367177" w:rsidRDefault="00367177" w:rsidP="00367177">
      <w:pPr>
        <w:pStyle w:val="Odsekzoznamu"/>
        <w:numPr>
          <w:ilvl w:val="0"/>
          <w:numId w:val="19"/>
        </w:num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Pre podniky pôsobiace v energetike, stavebníctve a vodárenstve prináša unifikácia zmluvných typov a zosúladenie služobností vyššiu mieru právnej istoty.</w:t>
      </w:r>
    </w:p>
    <w:p w14:paraId="4D0FA02C" w14:textId="7EF8DB07" w:rsidR="00367177" w:rsidRPr="00367177" w:rsidRDefault="00367177" w:rsidP="00367177">
      <w:pPr>
        <w:spacing w:after="0" w:line="240" w:lineRule="auto"/>
        <w:jc w:val="both"/>
        <w:rPr>
          <w:rFonts w:ascii="Times New Roman" w:eastAsia="Times New Roman" w:hAnsi="Times New Roman" w:cs="Times New Roman"/>
          <w:b/>
          <w:bCs/>
          <w:sz w:val="24"/>
          <w:szCs w:val="24"/>
          <w:lang w:eastAsia="sk-SK"/>
        </w:rPr>
      </w:pPr>
      <w:r w:rsidRPr="00367177">
        <w:rPr>
          <w:rFonts w:ascii="Times New Roman" w:eastAsia="Times New Roman" w:hAnsi="Times New Roman" w:cs="Times New Roman"/>
          <w:sz w:val="24"/>
          <w:szCs w:val="24"/>
          <w:lang w:eastAsia="sk-SK"/>
        </w:rPr>
        <w:t>2.</w:t>
      </w:r>
      <w:r>
        <w:rPr>
          <w:rFonts w:ascii="Times New Roman" w:eastAsia="Times New Roman" w:hAnsi="Times New Roman" w:cs="Times New Roman"/>
          <w:sz w:val="24"/>
          <w:szCs w:val="24"/>
          <w:lang w:eastAsia="sk-SK"/>
        </w:rPr>
        <w:t xml:space="preserve"> </w:t>
      </w:r>
      <w:r w:rsidRPr="00367177">
        <w:rPr>
          <w:rFonts w:ascii="Times New Roman" w:eastAsia="Times New Roman" w:hAnsi="Times New Roman" w:cs="Times New Roman"/>
          <w:b/>
          <w:bCs/>
          <w:sz w:val="24"/>
          <w:szCs w:val="24"/>
          <w:lang w:eastAsia="sk-SK"/>
        </w:rPr>
        <w:t>Test MSP:</w:t>
      </w:r>
    </w:p>
    <w:p w14:paraId="6B808CE0" w14:textId="56E20BC1" w:rsidR="00367177" w:rsidRPr="00367177" w:rsidRDefault="00367177" w:rsidP="00367177">
      <w:pPr>
        <w:pStyle w:val="Odsekzoznamu"/>
        <w:numPr>
          <w:ilvl w:val="0"/>
          <w:numId w:val="20"/>
        </w:num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 xml:space="preserve">Návrh nemá žiadny negatívny ani disproporčný vplyv na </w:t>
      </w:r>
      <w:proofErr w:type="spellStart"/>
      <w:r w:rsidRPr="00367177">
        <w:rPr>
          <w:rFonts w:ascii="Times New Roman" w:eastAsia="Times New Roman" w:hAnsi="Times New Roman" w:cs="Times New Roman"/>
          <w:sz w:val="24"/>
          <w:szCs w:val="24"/>
          <w:lang w:eastAsia="sk-SK"/>
        </w:rPr>
        <w:t>mikro</w:t>
      </w:r>
      <w:proofErr w:type="spellEnd"/>
      <w:r w:rsidRPr="00367177">
        <w:rPr>
          <w:rFonts w:ascii="Times New Roman" w:eastAsia="Times New Roman" w:hAnsi="Times New Roman" w:cs="Times New Roman"/>
          <w:sz w:val="24"/>
          <w:szCs w:val="24"/>
          <w:lang w:eastAsia="sk-SK"/>
        </w:rPr>
        <w:t>, malé a stredné podniky. Vypracovanie samostatného testu MSP sa v zmysle Jednotnej metodiky nevyžaduje.</w:t>
      </w:r>
    </w:p>
    <w:p w14:paraId="3DA965DC" w14:textId="0258740D" w:rsidR="00367177" w:rsidRPr="00367177" w:rsidRDefault="00367177" w:rsidP="00367177">
      <w:pPr>
        <w:spacing w:after="0" w:line="240" w:lineRule="auto"/>
        <w:jc w:val="both"/>
        <w:rPr>
          <w:rFonts w:ascii="Times New Roman" w:eastAsia="Times New Roman" w:hAnsi="Times New Roman" w:cs="Times New Roman"/>
          <w:b/>
          <w:bCs/>
          <w:sz w:val="24"/>
          <w:szCs w:val="24"/>
          <w:lang w:eastAsia="sk-SK"/>
        </w:rPr>
      </w:pPr>
      <w:r w:rsidRPr="00367177">
        <w:rPr>
          <w:rFonts w:ascii="Times New Roman" w:eastAsia="Times New Roman" w:hAnsi="Times New Roman" w:cs="Times New Roman"/>
          <w:sz w:val="24"/>
          <w:szCs w:val="24"/>
          <w:lang w:eastAsia="sk-SK"/>
        </w:rPr>
        <w:t>3.</w:t>
      </w:r>
      <w:r>
        <w:rPr>
          <w:rFonts w:ascii="Times New Roman" w:eastAsia="Times New Roman" w:hAnsi="Times New Roman" w:cs="Times New Roman"/>
          <w:sz w:val="24"/>
          <w:szCs w:val="24"/>
          <w:lang w:eastAsia="sk-SK"/>
        </w:rPr>
        <w:t xml:space="preserve"> </w:t>
      </w:r>
      <w:r w:rsidRPr="00367177">
        <w:rPr>
          <w:rFonts w:ascii="Times New Roman" w:eastAsia="Times New Roman" w:hAnsi="Times New Roman" w:cs="Times New Roman"/>
          <w:b/>
          <w:bCs/>
          <w:sz w:val="24"/>
          <w:szCs w:val="24"/>
          <w:lang w:eastAsia="sk-SK"/>
        </w:rPr>
        <w:t>Mechanizmus znižovania byrokracie (1in2out):</w:t>
      </w:r>
    </w:p>
    <w:p w14:paraId="4EA05DFD" w14:textId="4C3342EF" w:rsidR="00367177" w:rsidRPr="00367177" w:rsidRDefault="00367177" w:rsidP="00367177">
      <w:pPr>
        <w:pStyle w:val="Odsekzoznamu"/>
        <w:numPr>
          <w:ilvl w:val="0"/>
          <w:numId w:val="20"/>
        </w:numPr>
        <w:spacing w:after="0" w:line="240" w:lineRule="auto"/>
        <w:jc w:val="both"/>
        <w:rPr>
          <w:rFonts w:ascii="Times New Roman" w:eastAsia="Times New Roman" w:hAnsi="Times New Roman" w:cs="Times New Roman"/>
          <w:sz w:val="24"/>
          <w:szCs w:val="24"/>
          <w:lang w:eastAsia="sk-SK"/>
        </w:rPr>
      </w:pPr>
      <w:r w:rsidRPr="00367177">
        <w:rPr>
          <w:rFonts w:ascii="Times New Roman" w:eastAsia="Times New Roman" w:hAnsi="Times New Roman" w:cs="Times New Roman"/>
          <w:sz w:val="24"/>
          <w:szCs w:val="24"/>
          <w:lang w:eastAsia="sk-SK"/>
        </w:rPr>
        <w:t>Keďže hodnota nových nákladov (IN) je 0 EUR, predkladateľovi nevzniká povinnosť predkladať kompenzačné zníženie byrokracie (OUT).</w:t>
      </w:r>
    </w:p>
    <w:sectPr w:rsidR="00367177" w:rsidRPr="00367177"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1EA28" w14:textId="77777777" w:rsidR="0059351F" w:rsidRDefault="0059351F" w:rsidP="00054C41">
      <w:pPr>
        <w:spacing w:after="0" w:line="240" w:lineRule="auto"/>
      </w:pPr>
      <w:r>
        <w:separator/>
      </w:r>
    </w:p>
  </w:endnote>
  <w:endnote w:type="continuationSeparator" w:id="0">
    <w:p w14:paraId="4E144A6B" w14:textId="77777777" w:rsidR="0059351F" w:rsidRDefault="0059351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2A6F" w14:textId="2E33EB79" w:rsidR="00A75549" w:rsidRDefault="00A75549">
    <w:pPr>
      <w:pStyle w:val="Pta"/>
    </w:pPr>
    <w:r>
      <w:rPr>
        <w:noProof/>
        <w:lang w:eastAsia="sk-SK"/>
      </w:rPr>
      <mc:AlternateContent>
        <mc:Choice Requires="wps">
          <w:drawing>
            <wp:anchor distT="0" distB="0" distL="0" distR="0" simplePos="0" relativeHeight="251659264" behindDoc="0" locked="0" layoutInCell="1" allowOverlap="1" wp14:anchorId="18DD5900" wp14:editId="07FC814A">
              <wp:simplePos x="635" y="635"/>
              <wp:positionH relativeFrom="page">
                <wp:align>left</wp:align>
              </wp:positionH>
              <wp:positionV relativeFrom="page">
                <wp:align>bottom</wp:align>
              </wp:positionV>
              <wp:extent cx="644525" cy="357505"/>
              <wp:effectExtent l="0" t="0" r="3175" b="0"/>
              <wp:wrapNone/>
              <wp:docPr id="1746770158" name="Textové pole 5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586BDCCB" w14:textId="3D023243" w:rsidR="00A75549" w:rsidRPr="00A75549" w:rsidRDefault="00A75549" w:rsidP="00A75549">
                          <w:pPr>
                            <w:spacing w:after="0"/>
                            <w:rPr>
                              <w:rFonts w:ascii="Aptos" w:eastAsia="Aptos" w:hAnsi="Aptos" w:cs="Aptos"/>
                              <w:noProof/>
                              <w:color w:val="000000"/>
                              <w:sz w:val="20"/>
                              <w:szCs w:val="20"/>
                            </w:rPr>
                          </w:pPr>
                          <w:r w:rsidRPr="00A75549">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8DD5900" id="_x0000_t202" coordsize="21600,21600" o:spt="202" path="m,l,21600r21600,l21600,xe">
              <v:stroke joinstyle="miter"/>
              <v:path gradientshapeok="t" o:connecttype="rect"/>
            </v:shapetype>
            <v:shape id="Textové pole 53" o:spid="_x0000_s1026" type="#_x0000_t202" alt="Interné" style="position:absolute;margin-left:0;margin-top:0;width:50.7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" filled="f" stroked="f">
              <v:textbox style="mso-fit-shape-to-text:t" inset="20pt,0,0,15pt">
                <w:txbxContent>
                  <w:p w14:paraId="586BDCCB" w14:textId="3D023243" w:rsidR="00A75549" w:rsidRPr="00A75549" w:rsidRDefault="00A75549" w:rsidP="00A75549">
                    <w:pPr>
                      <w:spacing w:after="0"/>
                      <w:rPr>
                        <w:rFonts w:ascii="Aptos" w:eastAsia="Aptos" w:hAnsi="Aptos" w:cs="Aptos"/>
                        <w:noProof/>
                        <w:color w:val="000000"/>
                        <w:sz w:val="20"/>
                        <w:szCs w:val="20"/>
                      </w:rPr>
                    </w:pPr>
                    <w:r w:rsidRPr="00A75549">
                      <w:rPr>
                        <w:rFonts w:ascii="Aptos" w:eastAsia="Aptos" w:hAnsi="Aptos" w:cs="Aptos"/>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F2F5" w14:textId="5221966D" w:rsidR="00F244DC" w:rsidRPr="006045CB" w:rsidRDefault="00A75549" w:rsidP="00054C41">
    <w:pPr>
      <w:pStyle w:val="Pta"/>
      <w:jc w:val="right"/>
      <w:rPr>
        <w:rFonts w:ascii="Times New Roman" w:hAnsi="Times New Roman" w:cs="Times New Roman"/>
        <w:sz w:val="24"/>
        <w:szCs w:val="24"/>
      </w:rPr>
    </w:pPr>
    <w:r>
      <w:rPr>
        <w:noProof/>
        <w:lang w:eastAsia="sk-SK"/>
      </w:rPr>
      <mc:AlternateContent>
        <mc:Choice Requires="wps">
          <w:drawing>
            <wp:anchor distT="0" distB="0" distL="0" distR="0" simplePos="0" relativeHeight="251660288" behindDoc="0" locked="0" layoutInCell="1" allowOverlap="1" wp14:anchorId="404DCB32" wp14:editId="4F622143">
              <wp:simplePos x="904875" y="9715500"/>
              <wp:positionH relativeFrom="page">
                <wp:align>left</wp:align>
              </wp:positionH>
              <wp:positionV relativeFrom="page">
                <wp:align>bottom</wp:align>
              </wp:positionV>
              <wp:extent cx="644525" cy="357505"/>
              <wp:effectExtent l="0" t="0" r="3175" b="0"/>
              <wp:wrapNone/>
              <wp:docPr id="1274479920" name="Textové pole 54"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3FDE6417" w14:textId="51B28AEA" w:rsidR="00A75549" w:rsidRPr="00A75549" w:rsidRDefault="00A75549" w:rsidP="00A75549">
                          <w:pPr>
                            <w:spacing w:after="0"/>
                            <w:rPr>
                              <w:rFonts w:ascii="Aptos" w:eastAsia="Aptos" w:hAnsi="Aptos" w:cs="Aptos"/>
                              <w:noProof/>
                              <w:color w:val="000000"/>
                              <w:sz w:val="20"/>
                              <w:szCs w:val="20"/>
                            </w:rPr>
                          </w:pPr>
                          <w:r w:rsidRPr="00A75549">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4DCB32" id="_x0000_t202" coordsize="21600,21600" o:spt="202" path="m,l,21600r21600,l21600,xe">
              <v:stroke joinstyle="miter"/>
              <v:path gradientshapeok="t" o:connecttype="rect"/>
            </v:shapetype>
            <v:shape id="Textové pole 54" o:spid="_x0000_s1027" type="#_x0000_t202" alt="Interné" style="position:absolute;left:0;text-align:left;margin-left:0;margin-top:0;width:50.7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" filled="f" stroked="f">
              <v:textbox style="mso-fit-shape-to-text:t" inset="20pt,0,0,15pt">
                <w:txbxContent>
                  <w:p w14:paraId="3FDE6417" w14:textId="51B28AEA" w:rsidR="00A75549" w:rsidRPr="00A75549" w:rsidRDefault="00A75549" w:rsidP="00A75549">
                    <w:pPr>
                      <w:spacing w:after="0"/>
                      <w:rPr>
                        <w:rFonts w:ascii="Aptos" w:eastAsia="Aptos" w:hAnsi="Aptos" w:cs="Aptos"/>
                        <w:noProof/>
                        <w:color w:val="000000"/>
                        <w:sz w:val="20"/>
                        <w:szCs w:val="20"/>
                      </w:rPr>
                    </w:pPr>
                    <w:r w:rsidRPr="00A75549">
                      <w:rPr>
                        <w:rFonts w:ascii="Aptos" w:eastAsia="Aptos" w:hAnsi="Aptos" w:cs="Aptos"/>
                        <w:noProof/>
                        <w:color w:val="000000"/>
                        <w:sz w:val="20"/>
                        <w:szCs w:val="20"/>
                      </w:rPr>
                      <w:t>Interné</w:t>
                    </w:r>
                  </w:p>
                </w:txbxContent>
              </v:textbox>
              <w10:wrap anchorx="page" anchory="page"/>
            </v:shape>
          </w:pict>
        </mc:Fallback>
      </mc:AlternateContent>
    </w:r>
    <w:sdt>
      <w:sdtPr>
        <w:id w:val="726035099"/>
        <w:docPartObj>
          <w:docPartGallery w:val="Page Numbers (Bottom of Page)"/>
          <w:docPartUnique/>
        </w:docPartObj>
      </w:sdtPr>
      <w:sdtEndPr>
        <w:rPr>
          <w:rFonts w:ascii="Times New Roman" w:hAnsi="Times New Roman" w:cs="Times New Roman"/>
          <w:sz w:val="24"/>
          <w:szCs w:val="24"/>
        </w:rPr>
      </w:sdtEndPr>
      <w:sdtContent>
        <w:r w:rsidR="00F244DC" w:rsidRPr="006045CB">
          <w:rPr>
            <w:rFonts w:ascii="Times New Roman" w:hAnsi="Times New Roman" w:cs="Times New Roman"/>
            <w:sz w:val="24"/>
            <w:szCs w:val="24"/>
          </w:rPr>
          <w:fldChar w:fldCharType="begin"/>
        </w:r>
        <w:r w:rsidR="00F244DC" w:rsidRPr="006045CB">
          <w:rPr>
            <w:rFonts w:ascii="Times New Roman" w:hAnsi="Times New Roman" w:cs="Times New Roman"/>
            <w:sz w:val="24"/>
            <w:szCs w:val="24"/>
          </w:rPr>
          <w:instrText>PAGE   \* MERGEFORMAT</w:instrText>
        </w:r>
        <w:r w:rsidR="00F244DC" w:rsidRPr="006045CB">
          <w:rPr>
            <w:rFonts w:ascii="Times New Roman" w:hAnsi="Times New Roman" w:cs="Times New Roman"/>
            <w:sz w:val="24"/>
            <w:szCs w:val="24"/>
          </w:rPr>
          <w:fldChar w:fldCharType="separate"/>
        </w:r>
        <w:r w:rsidR="006325C7">
          <w:rPr>
            <w:rFonts w:ascii="Times New Roman" w:hAnsi="Times New Roman" w:cs="Times New Roman"/>
            <w:noProof/>
            <w:sz w:val="24"/>
            <w:szCs w:val="24"/>
          </w:rPr>
          <w:t>6</w:t>
        </w:r>
        <w:r w:rsidR="00F244DC" w:rsidRPr="006045CB">
          <w:rPr>
            <w:rFonts w:ascii="Times New Roman" w:hAnsi="Times New Roman" w:cs="Times New Roman"/>
            <w:sz w:val="24"/>
            <w:szCs w:val="24"/>
          </w:rPr>
          <w:fldChar w:fldCharType="end"/>
        </w:r>
      </w:sdtContent>
    </w:sdt>
  </w:p>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A6439" w14:textId="1EF1B54F" w:rsidR="00A75549" w:rsidRDefault="00A75549">
    <w:pPr>
      <w:pStyle w:val="Pta"/>
    </w:pPr>
    <w:r>
      <w:rPr>
        <w:noProof/>
        <w:lang w:eastAsia="sk-SK"/>
      </w:rPr>
      <mc:AlternateContent>
        <mc:Choice Requires="wps">
          <w:drawing>
            <wp:anchor distT="0" distB="0" distL="0" distR="0" simplePos="0" relativeHeight="251658240" behindDoc="0" locked="0" layoutInCell="1" allowOverlap="1" wp14:anchorId="39C55B5C" wp14:editId="04FD0AE6">
              <wp:simplePos x="635" y="635"/>
              <wp:positionH relativeFrom="page">
                <wp:align>left</wp:align>
              </wp:positionH>
              <wp:positionV relativeFrom="page">
                <wp:align>bottom</wp:align>
              </wp:positionV>
              <wp:extent cx="644525" cy="357505"/>
              <wp:effectExtent l="0" t="0" r="3175" b="0"/>
              <wp:wrapNone/>
              <wp:docPr id="210782516" name="Textové pole 5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743D8746" w14:textId="777B8123" w:rsidR="00A75549" w:rsidRPr="00A75549" w:rsidRDefault="00A75549" w:rsidP="00A75549">
                          <w:pPr>
                            <w:spacing w:after="0"/>
                            <w:rPr>
                              <w:rFonts w:ascii="Aptos" w:eastAsia="Aptos" w:hAnsi="Aptos" w:cs="Aptos"/>
                              <w:noProof/>
                              <w:color w:val="000000"/>
                              <w:sz w:val="20"/>
                              <w:szCs w:val="20"/>
                            </w:rPr>
                          </w:pPr>
                          <w:r w:rsidRPr="00A75549">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9C55B5C" id="_x0000_t202" coordsize="21600,21600" o:spt="202" path="m,l,21600r21600,l21600,xe">
              <v:stroke joinstyle="miter"/>
              <v:path gradientshapeok="t" o:connecttype="rect"/>
            </v:shapetype>
            <v:shape id="Textové pole 52" o:spid="_x0000_s1028" type="#_x0000_t202" alt="Interné" style="position:absolute;margin-left:0;margin-top:0;width:50.7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" filled="f" stroked="f">
              <v:textbox style="mso-fit-shape-to-text:t" inset="20pt,0,0,15pt">
                <w:txbxContent>
                  <w:p w14:paraId="743D8746" w14:textId="777B8123" w:rsidR="00A75549" w:rsidRPr="00A75549" w:rsidRDefault="00A75549" w:rsidP="00A75549">
                    <w:pPr>
                      <w:spacing w:after="0"/>
                      <w:rPr>
                        <w:rFonts w:ascii="Aptos" w:eastAsia="Aptos" w:hAnsi="Aptos" w:cs="Aptos"/>
                        <w:noProof/>
                        <w:color w:val="000000"/>
                        <w:sz w:val="20"/>
                        <w:szCs w:val="20"/>
                      </w:rPr>
                    </w:pPr>
                    <w:r w:rsidRPr="00A75549">
                      <w:rPr>
                        <w:rFonts w:ascii="Aptos" w:eastAsia="Aptos" w:hAnsi="Aptos" w:cs="Aptos"/>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4C135" w14:textId="77777777" w:rsidR="0059351F" w:rsidRDefault="0059351F" w:rsidP="00054C41">
      <w:pPr>
        <w:spacing w:after="0" w:line="240" w:lineRule="auto"/>
      </w:pPr>
      <w:r>
        <w:separator/>
      </w:r>
    </w:p>
  </w:footnote>
  <w:footnote w:type="continuationSeparator" w:id="0">
    <w:p w14:paraId="4A0EEE83" w14:textId="77777777" w:rsidR="0059351F" w:rsidRDefault="0059351F"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06E758E"/>
    <w:multiLevelType w:val="hybridMultilevel"/>
    <w:tmpl w:val="31F4B6D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AD921D4"/>
    <w:multiLevelType w:val="hybridMultilevel"/>
    <w:tmpl w:val="F216D2F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DCE7AB7"/>
    <w:multiLevelType w:val="hybridMultilevel"/>
    <w:tmpl w:val="9EA82028"/>
    <w:lvl w:ilvl="0" w:tplc="D7BE256A">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 w15:restartNumberingAfterBreak="0">
    <w:nsid w:val="66911F20"/>
    <w:multiLevelType w:val="hybridMultilevel"/>
    <w:tmpl w:val="9E7C8D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E823742"/>
    <w:multiLevelType w:val="hybridMultilevel"/>
    <w:tmpl w:val="394C92A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716F7ECC"/>
    <w:multiLevelType w:val="hybridMultilevel"/>
    <w:tmpl w:val="E8CA31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982037617">
    <w:abstractNumId w:val="2"/>
  </w:num>
  <w:num w:numId="2" w16cid:durableId="551890947">
    <w:abstractNumId w:val="14"/>
  </w:num>
  <w:num w:numId="3" w16cid:durableId="1817607142">
    <w:abstractNumId w:val="16"/>
  </w:num>
  <w:num w:numId="4" w16cid:durableId="1125350449">
    <w:abstractNumId w:val="13"/>
  </w:num>
  <w:num w:numId="5" w16cid:durableId="862398630">
    <w:abstractNumId w:val="8"/>
  </w:num>
  <w:num w:numId="6" w16cid:durableId="588929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1856471">
    <w:abstractNumId w:val="16"/>
  </w:num>
  <w:num w:numId="8" w16cid:durableId="4604168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4613740">
    <w:abstractNumId w:val="11"/>
  </w:num>
  <w:num w:numId="10" w16cid:durableId="1574969531">
    <w:abstractNumId w:val="5"/>
  </w:num>
  <w:num w:numId="11" w16cid:durableId="789906392">
    <w:abstractNumId w:val="6"/>
  </w:num>
  <w:num w:numId="12" w16cid:durableId="955988619">
    <w:abstractNumId w:val="0"/>
  </w:num>
  <w:num w:numId="13" w16cid:durableId="1215775629">
    <w:abstractNumId w:val="17"/>
  </w:num>
  <w:num w:numId="14" w16cid:durableId="108745663">
    <w:abstractNumId w:val="7"/>
  </w:num>
  <w:num w:numId="15" w16cid:durableId="471606617">
    <w:abstractNumId w:val="15"/>
  </w:num>
  <w:num w:numId="16" w16cid:durableId="1534155409">
    <w:abstractNumId w:val="9"/>
  </w:num>
  <w:num w:numId="17" w16cid:durableId="1801455272">
    <w:abstractNumId w:val="1"/>
  </w:num>
  <w:num w:numId="18" w16cid:durableId="904946764">
    <w:abstractNumId w:val="12"/>
  </w:num>
  <w:num w:numId="19" w16cid:durableId="1264262809">
    <w:abstractNumId w:val="4"/>
  </w:num>
  <w:num w:numId="20" w16cid:durableId="17985971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4A53"/>
    <w:rsid w:val="00054C41"/>
    <w:rsid w:val="00060DA1"/>
    <w:rsid w:val="00061E85"/>
    <w:rsid w:val="000632AD"/>
    <w:rsid w:val="00075EAF"/>
    <w:rsid w:val="000820E0"/>
    <w:rsid w:val="00091A43"/>
    <w:rsid w:val="0009490E"/>
    <w:rsid w:val="000A5DE1"/>
    <w:rsid w:val="000A6B7F"/>
    <w:rsid w:val="000C5419"/>
    <w:rsid w:val="000C5E9A"/>
    <w:rsid w:val="000D15F0"/>
    <w:rsid w:val="0011003B"/>
    <w:rsid w:val="001133DA"/>
    <w:rsid w:val="00126A2B"/>
    <w:rsid w:val="00142154"/>
    <w:rsid w:val="001476A4"/>
    <w:rsid w:val="00162C6C"/>
    <w:rsid w:val="0016512E"/>
    <w:rsid w:val="00186231"/>
    <w:rsid w:val="0018715C"/>
    <w:rsid w:val="001A1561"/>
    <w:rsid w:val="001A1CCB"/>
    <w:rsid w:val="001B4C03"/>
    <w:rsid w:val="001C7B91"/>
    <w:rsid w:val="001D1083"/>
    <w:rsid w:val="001D3FA0"/>
    <w:rsid w:val="001E24E8"/>
    <w:rsid w:val="001E53CB"/>
    <w:rsid w:val="00203C41"/>
    <w:rsid w:val="00207F43"/>
    <w:rsid w:val="002151AF"/>
    <w:rsid w:val="002232D3"/>
    <w:rsid w:val="00225A83"/>
    <w:rsid w:val="00231B8F"/>
    <w:rsid w:val="00270EA5"/>
    <w:rsid w:val="002712B9"/>
    <w:rsid w:val="002741C7"/>
    <w:rsid w:val="00284B8C"/>
    <w:rsid w:val="0029483F"/>
    <w:rsid w:val="002B51C4"/>
    <w:rsid w:val="002B5FEE"/>
    <w:rsid w:val="002C2FC0"/>
    <w:rsid w:val="002C7833"/>
    <w:rsid w:val="00302A17"/>
    <w:rsid w:val="00311310"/>
    <w:rsid w:val="00314D25"/>
    <w:rsid w:val="00315BE2"/>
    <w:rsid w:val="003322EE"/>
    <w:rsid w:val="00337630"/>
    <w:rsid w:val="00340CFD"/>
    <w:rsid w:val="003413D5"/>
    <w:rsid w:val="00342621"/>
    <w:rsid w:val="00344B71"/>
    <w:rsid w:val="00357F22"/>
    <w:rsid w:val="00367177"/>
    <w:rsid w:val="0036748D"/>
    <w:rsid w:val="00376039"/>
    <w:rsid w:val="0038255E"/>
    <w:rsid w:val="00391648"/>
    <w:rsid w:val="0039304E"/>
    <w:rsid w:val="0039334E"/>
    <w:rsid w:val="00394AD2"/>
    <w:rsid w:val="003A02AF"/>
    <w:rsid w:val="003A3124"/>
    <w:rsid w:val="003A686F"/>
    <w:rsid w:val="003D7C84"/>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C645C"/>
    <w:rsid w:val="004D20CB"/>
    <w:rsid w:val="004D65B2"/>
    <w:rsid w:val="004D681D"/>
    <w:rsid w:val="004E2324"/>
    <w:rsid w:val="004F63E6"/>
    <w:rsid w:val="005103DA"/>
    <w:rsid w:val="00511F8F"/>
    <w:rsid w:val="00512BA7"/>
    <w:rsid w:val="00515726"/>
    <w:rsid w:val="00562527"/>
    <w:rsid w:val="00562A1E"/>
    <w:rsid w:val="00563427"/>
    <w:rsid w:val="00581EB9"/>
    <w:rsid w:val="0059259B"/>
    <w:rsid w:val="0059351F"/>
    <w:rsid w:val="005B4E6E"/>
    <w:rsid w:val="005B56E4"/>
    <w:rsid w:val="005C795C"/>
    <w:rsid w:val="005D0E50"/>
    <w:rsid w:val="005D39D8"/>
    <w:rsid w:val="0061097B"/>
    <w:rsid w:val="0061612F"/>
    <w:rsid w:val="006177C8"/>
    <w:rsid w:val="0062600A"/>
    <w:rsid w:val="006325C7"/>
    <w:rsid w:val="0063777D"/>
    <w:rsid w:val="00642E0D"/>
    <w:rsid w:val="00643358"/>
    <w:rsid w:val="00646084"/>
    <w:rsid w:val="006564C3"/>
    <w:rsid w:val="006578CB"/>
    <w:rsid w:val="00682FF8"/>
    <w:rsid w:val="006A4E85"/>
    <w:rsid w:val="006A60C0"/>
    <w:rsid w:val="006A712F"/>
    <w:rsid w:val="006B5D74"/>
    <w:rsid w:val="006C25BE"/>
    <w:rsid w:val="006D7AD8"/>
    <w:rsid w:val="006F1D57"/>
    <w:rsid w:val="0070364C"/>
    <w:rsid w:val="00710EDF"/>
    <w:rsid w:val="0072221D"/>
    <w:rsid w:val="0072357C"/>
    <w:rsid w:val="00725614"/>
    <w:rsid w:val="007259CB"/>
    <w:rsid w:val="00726031"/>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2F8A"/>
    <w:rsid w:val="00804BC8"/>
    <w:rsid w:val="00806E23"/>
    <w:rsid w:val="00807981"/>
    <w:rsid w:val="00823F5A"/>
    <w:rsid w:val="00832786"/>
    <w:rsid w:val="00845D3B"/>
    <w:rsid w:val="008634E9"/>
    <w:rsid w:val="008801B5"/>
    <w:rsid w:val="00880578"/>
    <w:rsid w:val="00882407"/>
    <w:rsid w:val="008920C3"/>
    <w:rsid w:val="00894052"/>
    <w:rsid w:val="00895F12"/>
    <w:rsid w:val="008A7B87"/>
    <w:rsid w:val="008B4AA1"/>
    <w:rsid w:val="008C1C71"/>
    <w:rsid w:val="008C6573"/>
    <w:rsid w:val="008C7E8C"/>
    <w:rsid w:val="008E1AD0"/>
    <w:rsid w:val="008E315F"/>
    <w:rsid w:val="008E6B82"/>
    <w:rsid w:val="008F6ADE"/>
    <w:rsid w:val="0091269B"/>
    <w:rsid w:val="00923C0C"/>
    <w:rsid w:val="0095170D"/>
    <w:rsid w:val="00952CF6"/>
    <w:rsid w:val="00960413"/>
    <w:rsid w:val="00970B4B"/>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3A31"/>
    <w:rsid w:val="00A1736E"/>
    <w:rsid w:val="00A216DF"/>
    <w:rsid w:val="00A33F2C"/>
    <w:rsid w:val="00A50EE3"/>
    <w:rsid w:val="00A75549"/>
    <w:rsid w:val="00A83E11"/>
    <w:rsid w:val="00A8467C"/>
    <w:rsid w:val="00A94A0F"/>
    <w:rsid w:val="00AA3C6D"/>
    <w:rsid w:val="00AB57C4"/>
    <w:rsid w:val="00AE0459"/>
    <w:rsid w:val="00B040A7"/>
    <w:rsid w:val="00B11CF5"/>
    <w:rsid w:val="00B14FF2"/>
    <w:rsid w:val="00B209FA"/>
    <w:rsid w:val="00B21D1F"/>
    <w:rsid w:val="00B410BA"/>
    <w:rsid w:val="00B43D68"/>
    <w:rsid w:val="00B44A3A"/>
    <w:rsid w:val="00B5600C"/>
    <w:rsid w:val="00B6388E"/>
    <w:rsid w:val="00B66E33"/>
    <w:rsid w:val="00B72FB1"/>
    <w:rsid w:val="00B953DA"/>
    <w:rsid w:val="00BA19B0"/>
    <w:rsid w:val="00BA6DA1"/>
    <w:rsid w:val="00BA783B"/>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1F3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222B9"/>
    <w:rsid w:val="00D3032C"/>
    <w:rsid w:val="00D31A3B"/>
    <w:rsid w:val="00D5309D"/>
    <w:rsid w:val="00D631FA"/>
    <w:rsid w:val="00D71064"/>
    <w:rsid w:val="00D811BB"/>
    <w:rsid w:val="00D82356"/>
    <w:rsid w:val="00D84EEE"/>
    <w:rsid w:val="00D90A61"/>
    <w:rsid w:val="00D946EF"/>
    <w:rsid w:val="00D95553"/>
    <w:rsid w:val="00DB5B33"/>
    <w:rsid w:val="00DC355F"/>
    <w:rsid w:val="00DD1E4C"/>
    <w:rsid w:val="00DE331A"/>
    <w:rsid w:val="00DE6ACB"/>
    <w:rsid w:val="00DF02CE"/>
    <w:rsid w:val="00DF1462"/>
    <w:rsid w:val="00DF3BF9"/>
    <w:rsid w:val="00E030DA"/>
    <w:rsid w:val="00E214C0"/>
    <w:rsid w:val="00E30D85"/>
    <w:rsid w:val="00E444EB"/>
    <w:rsid w:val="00E77A69"/>
    <w:rsid w:val="00E81A42"/>
    <w:rsid w:val="00E94C68"/>
    <w:rsid w:val="00E961E8"/>
    <w:rsid w:val="00E96244"/>
    <w:rsid w:val="00E96DE0"/>
    <w:rsid w:val="00EB2BEC"/>
    <w:rsid w:val="00EB74BF"/>
    <w:rsid w:val="00EC0704"/>
    <w:rsid w:val="00EC508B"/>
    <w:rsid w:val="00ED6B5D"/>
    <w:rsid w:val="00EE4C99"/>
    <w:rsid w:val="00F153D7"/>
    <w:rsid w:val="00F1599C"/>
    <w:rsid w:val="00F17898"/>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C61F34"/>
    <w:rPr>
      <w:color w:val="0563C1" w:themeColor="hyperlink"/>
      <w:u w:val="single"/>
    </w:rPr>
  </w:style>
  <w:style w:type="character" w:styleId="Nevyrieenzmienka">
    <w:name w:val="Unresolved Mention"/>
    <w:basedOn w:val="Predvolenpsmoodseku"/>
    <w:uiPriority w:val="99"/>
    <w:semiHidden/>
    <w:unhideWhenUsed/>
    <w:rsid w:val="00C61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justice.gov.sk/aktualne-temy/oznamenie-o-zacati-konzultacii-k-navrhu-zakona-o-zmene-a-doplneni-niektorych-zakonov-v-suvislosti-s-prijatim-obcianskeho-zakonnika/"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s://www.slov-lex.sk/elegislativa/legislativne-procesy/SK/PI/2026/136"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9A70BAA-2B63-4804-AA7F-AA405B3A8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2300</Words>
  <Characters>13115</Characters>
  <Application>Microsoft Office Word</Application>
  <DocSecurity>0</DocSecurity>
  <Lines>109</Lines>
  <Paragraphs>30</Paragraphs>
  <ScaleCrop>false</ScaleCrop>
  <Company/>
  <LinksUpToDate>false</LinksUpToDate>
  <CharactersWithSpaces>15385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2026-10-06T11:18:00Z</dcterms:created>
  <dcterms:modified xsi:type="dcterms:W3CDTF">2026-10-06T11:18:00Z</dcterms:modified>
</cp:coreProperties>
</file>