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3B5D3199" w14:textId="624155BD" w:rsidR="002E6306" w:rsidRDefault="00054C41" w:rsidP="00054C41">
      <w:pPr>
        <w:jc w:val="both"/>
        <w:rPr>
          <w:rFonts w:ascii="Times New Roman" w:hAnsi="Times New Roman" w:cs="Times New Roman"/>
          <w:sz w:val="24"/>
          <w:szCs w:val="24"/>
        </w:rPr>
      </w:pPr>
      <w:r w:rsidRPr="001F1B43">
        <w:rPr>
          <w:rFonts w:ascii="Times New Roman" w:eastAsia="Calibri" w:hAnsi="Times New Roman" w:cs="Times New Roman"/>
          <w:b/>
          <w:sz w:val="24"/>
          <w:szCs w:val="24"/>
        </w:rPr>
        <w:t>Názov materiálu:</w:t>
      </w:r>
      <w:r w:rsidR="002278AD">
        <w:rPr>
          <w:rFonts w:ascii="Times New Roman" w:eastAsia="Calibri" w:hAnsi="Times New Roman" w:cs="Times New Roman"/>
          <w:b/>
          <w:sz w:val="24"/>
          <w:szCs w:val="24"/>
        </w:rPr>
        <w:t xml:space="preserve"> </w:t>
      </w:r>
      <w:r w:rsidR="002E6306" w:rsidRPr="002E6306">
        <w:rPr>
          <w:rStyle w:val="Zstupntext"/>
          <w:color w:val="auto"/>
          <w:sz w:val="24"/>
          <w:szCs w:val="24"/>
        </w:rPr>
        <w:t xml:space="preserve">Návrh zákona, ktorým sa </w:t>
      </w:r>
      <w:r w:rsidR="002E6306" w:rsidRPr="002E6306">
        <w:rPr>
          <w:rFonts w:ascii="Times New Roman" w:hAnsi="Times New Roman" w:cs="Times New Roman"/>
          <w:sz w:val="24"/>
          <w:szCs w:val="24"/>
        </w:rPr>
        <w:t xml:space="preserve">mení a dopĺňa zákon č. 56/2018 Z. z. o posudzovaní zhody výrobku, sprístupňovaní určeného výrobku na trhu a o zmene a doplnení niektorých zákonov v znení neskorších predpisov </w:t>
      </w:r>
      <w:r w:rsidR="0091105D" w:rsidRPr="0091105D">
        <w:rPr>
          <w:rFonts w:ascii="Times New Roman" w:hAnsi="Times New Roman" w:cs="Times New Roman"/>
          <w:sz w:val="24"/>
          <w:szCs w:val="24"/>
        </w:rPr>
        <w:t xml:space="preserve">a ktorým sa menia a dopĺňajú niektoré zákony </w:t>
      </w:r>
      <w:bookmarkStart w:id="0" w:name="_GoBack"/>
      <w:bookmarkEnd w:id="0"/>
      <w:r w:rsidR="002E6306" w:rsidRPr="002E6306">
        <w:rPr>
          <w:rFonts w:ascii="Times New Roman" w:hAnsi="Times New Roman" w:cs="Times New Roman"/>
          <w:sz w:val="24"/>
          <w:szCs w:val="24"/>
        </w:rPr>
        <w:t>(ďalej len „návrh zákona“)</w:t>
      </w:r>
    </w:p>
    <w:p w14:paraId="2711DC2C" w14:textId="22C623DE" w:rsidR="00054C41" w:rsidRPr="002E6306" w:rsidRDefault="00054C41" w:rsidP="00054C41">
      <w:pPr>
        <w:jc w:val="both"/>
        <w:rPr>
          <w:rFonts w:ascii="Times New Roman" w:eastAsia="Calibri" w:hAnsi="Times New Roman" w:cs="Times New Roman"/>
          <w:b/>
          <w:sz w:val="24"/>
          <w:szCs w:val="24"/>
        </w:rPr>
      </w:pPr>
      <w:r w:rsidRPr="002E6306">
        <w:rPr>
          <w:rFonts w:ascii="Times New Roman" w:eastAsia="Calibri" w:hAnsi="Times New Roman" w:cs="Times New Roman"/>
          <w:b/>
          <w:sz w:val="24"/>
          <w:szCs w:val="24"/>
        </w:rPr>
        <w:t>Predkladateľ:</w:t>
      </w:r>
      <w:r w:rsidR="002278AD" w:rsidRPr="002E6306">
        <w:rPr>
          <w:rFonts w:ascii="Times New Roman" w:eastAsia="Calibri" w:hAnsi="Times New Roman" w:cs="Times New Roman"/>
          <w:b/>
          <w:sz w:val="24"/>
          <w:szCs w:val="24"/>
        </w:rPr>
        <w:t xml:space="preserve"> </w:t>
      </w:r>
      <w:r w:rsidR="002278AD" w:rsidRPr="002E6306">
        <w:rPr>
          <w:rFonts w:ascii="Times New Roman" w:eastAsia="Calibri" w:hAnsi="Times New Roman" w:cs="Times New Roman"/>
          <w:sz w:val="24"/>
          <w:szCs w:val="24"/>
        </w:rPr>
        <w:t>Úrad pre normalizáciu, metrológiu a skúšobníctvo Slovenskej republiky</w:t>
      </w:r>
      <w:r w:rsidR="00F45BC0">
        <w:rPr>
          <w:rFonts w:ascii="Times New Roman" w:eastAsia="Calibri" w:hAnsi="Times New Roman" w:cs="Times New Roman"/>
          <w:sz w:val="24"/>
          <w:szCs w:val="24"/>
        </w:rPr>
        <w:t xml:space="preserve"> (ďalej len „úrad“)</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r w:rsidR="00C929AE" w:rsidRPr="00804BC8">
        <w:rPr>
          <w:rFonts w:ascii="Times New Roman" w:eastAsia="Calibri" w:hAnsi="Times New Roman" w:cs="Times New Roman"/>
          <w:i/>
          <w:sz w:val="24"/>
          <w:szCs w:val="24"/>
        </w:rPr>
        <w:t>goldplatingu</w:t>
      </w:r>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0F790483"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Dane, odvody, clá a poplatky,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7B64D12" w14:textId="77777777" w:rsidTr="00804BC8">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C929AE" w:rsidRPr="00C929AE" w:rsidRDefault="00C929AE" w:rsidP="00F378F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1231540" w14:textId="77777777" w:rsidTr="00804BC8">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sidR="00CA4344">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80383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C929AE" w:rsidRPr="00C929AE" w:rsidRDefault="00C929AE" w:rsidP="006A4E85">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sidR="00024EE4">
              <w:rPr>
                <w:rFonts w:ascii="Times New Roman" w:eastAsia="Times New Roman" w:hAnsi="Times New Roman" w:cs="Times New Roman"/>
                <w:b/>
                <w:bCs/>
                <w:i/>
                <w:iCs/>
                <w:color w:val="000000"/>
                <w:sz w:val="20"/>
                <w:szCs w:val="20"/>
                <w:lang w:eastAsia="sk-SK"/>
              </w:rPr>
              <w:t>Nepriame finančné náklady</w:t>
            </w:r>
            <w:r w:rsidR="006A4E85">
              <w:rPr>
                <w:rFonts w:ascii="Times New Roman" w:eastAsia="Times New Roman" w:hAnsi="Times New Roman" w:cs="Times New Roman"/>
                <w:b/>
                <w:bCs/>
                <w:i/>
                <w:iCs/>
                <w:color w:val="000000"/>
                <w:sz w:val="20"/>
                <w:szCs w:val="20"/>
                <w:lang w:eastAsia="sk-SK"/>
              </w:rPr>
              <w:t xml:space="preserve">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6A4E85" w:rsidRPr="00C929AE" w14:paraId="547BC8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6A4E85" w:rsidRPr="00C929AE" w:rsidRDefault="006A4E85"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6A4E85"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6390EE7F" w:rsidR="006A4E85" w:rsidRPr="00C929AE" w:rsidRDefault="00563E84"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1070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77777777" w:rsidR="006A4E85" w:rsidRPr="00C929AE"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r>
      <w:tr w:rsidR="00C929AE" w:rsidRPr="00C929AE" w14:paraId="10B7BDC5"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006A4E85"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4A14F63B"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563E84">
              <w:rPr>
                <w:rFonts w:ascii="Times New Roman" w:eastAsia="Times New Roman" w:hAnsi="Times New Roman" w:cs="Times New Roman"/>
                <w:b/>
                <w:bCs/>
                <w:color w:val="000000"/>
                <w:sz w:val="20"/>
                <w:szCs w:val="20"/>
                <w:lang w:eastAsia="sk-SK"/>
              </w:rPr>
              <w:t>1070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B916623" w14:textId="77777777" w:rsidTr="003A3124">
        <w:trPr>
          <w:trHeight w:val="270"/>
        </w:trPr>
        <w:tc>
          <w:tcPr>
            <w:tcW w:w="146" w:type="dxa"/>
            <w:tcBorders>
              <w:top w:val="nil"/>
              <w:left w:val="nil"/>
              <w:bottom w:val="nil"/>
              <w:right w:val="nil"/>
            </w:tcBorders>
            <w:shd w:val="clear" w:color="auto" w:fill="auto"/>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26126FD6" w14:textId="77777777" w:rsidTr="00804BC8">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00C929AE" w:rsidRPr="00C929AE">
              <w:rPr>
                <w:rFonts w:ascii="Times New Roman" w:eastAsia="Times New Roman" w:hAnsi="Times New Roman" w:cs="Times New Roman"/>
                <w:b/>
                <w:bCs/>
                <w:i/>
                <w:iCs/>
                <w:color w:val="000000"/>
                <w:sz w:val="20"/>
                <w:szCs w:val="20"/>
                <w:lang w:eastAsia="sk-SK"/>
              </w:rPr>
              <w:t>. Úplná harmonizácia práva EÚ</w:t>
            </w:r>
            <w:r w:rsidR="00C929AE" w:rsidRPr="00C929AE">
              <w:rPr>
                <w:rFonts w:ascii="Times New Roman" w:eastAsia="Times New Roman" w:hAnsi="Times New Roman" w:cs="Times New Roman"/>
                <w:b/>
                <w:bCs/>
                <w:i/>
                <w:iCs/>
                <w:color w:val="000000"/>
                <w:sz w:val="20"/>
                <w:szCs w:val="20"/>
                <w:lang w:eastAsia="sk-SK"/>
              </w:rPr>
              <w:br/>
            </w:r>
            <w:r w:rsidR="00C929AE" w:rsidRPr="00C929AE">
              <w:rPr>
                <w:rFonts w:ascii="Times New Roman" w:eastAsia="Times New Roman" w:hAnsi="Times New Roman" w:cs="Times New Roman"/>
                <w:i/>
                <w:iCs/>
                <w:color w:val="000000"/>
                <w:sz w:val="16"/>
                <w:szCs w:val="16"/>
                <w:lang w:eastAsia="sk-SK"/>
              </w:rPr>
              <w:t>(okrem daní, odvodov, ciel a poplatkov,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B062396" w14:textId="77777777" w:rsidTr="00804BC8">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00C929AE" w:rsidRPr="00C929AE">
              <w:rPr>
                <w:rFonts w:ascii="Times New Roman" w:eastAsia="Times New Roman" w:hAnsi="Times New Roman" w:cs="Times New Roman"/>
                <w:b/>
                <w:bCs/>
                <w:i/>
                <w:iCs/>
                <w:color w:val="000000"/>
                <w:sz w:val="20"/>
                <w:szCs w:val="20"/>
                <w:lang w:eastAsia="sk-SK"/>
              </w:rPr>
              <w:t>. Goldplating</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665D2803" w14:textId="77777777" w:rsidTr="003A3124">
        <w:trPr>
          <w:trHeight w:val="360"/>
        </w:trPr>
        <w:tc>
          <w:tcPr>
            <w:tcW w:w="146" w:type="dxa"/>
            <w:tcBorders>
              <w:top w:val="nil"/>
              <w:left w:val="nil"/>
              <w:bottom w:val="nil"/>
              <w:right w:val="nil"/>
            </w:tcBorders>
            <w:shd w:val="clear" w:color="auto" w:fill="auto"/>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C929AE" w:rsidRPr="00C929AE" w14:paraId="4C7053DD"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C929AE" w:rsidRPr="00751DA9" w:rsidRDefault="006A4E85" w:rsidP="00C929AE">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sidR="00C929AE" w:rsidRPr="00751DA9">
              <w:rPr>
                <w:rFonts w:ascii="Times New Roman" w:eastAsia="Times New Roman" w:hAnsi="Times New Roman" w:cs="Times New Roman"/>
                <w:b/>
                <w:i/>
                <w:iCs/>
                <w:color w:val="000000"/>
                <w:sz w:val="20"/>
                <w:szCs w:val="20"/>
                <w:lang w:eastAsia="sk-SK"/>
              </w:rPr>
              <w:t>.</w:t>
            </w:r>
            <w:r w:rsidR="009F4175">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1F0A7D4A"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563E84">
              <w:rPr>
                <w:rFonts w:ascii="Times New Roman" w:eastAsia="Times New Roman" w:hAnsi="Times New Roman" w:cs="Times New Roman"/>
                <w:b/>
                <w:bCs/>
                <w:color w:val="000000"/>
                <w:sz w:val="20"/>
                <w:szCs w:val="20"/>
                <w:lang w:eastAsia="sk-SK"/>
              </w:rPr>
              <w:t>1070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40148C6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4884" w:type="dxa"/>
        <w:tblInd w:w="-5" w:type="dxa"/>
        <w:tblCellMar>
          <w:left w:w="70" w:type="dxa"/>
          <w:right w:w="70" w:type="dxa"/>
        </w:tblCellMar>
        <w:tblLook w:val="04A0" w:firstRow="1" w:lastRow="0" w:firstColumn="1" w:lastColumn="0" w:noHBand="0" w:noVBand="1"/>
      </w:tblPr>
      <w:tblGrid>
        <w:gridCol w:w="543"/>
        <w:gridCol w:w="2022"/>
        <w:gridCol w:w="1189"/>
        <w:gridCol w:w="1922"/>
        <w:gridCol w:w="1052"/>
        <w:gridCol w:w="935"/>
        <w:gridCol w:w="1373"/>
        <w:gridCol w:w="974"/>
        <w:gridCol w:w="791"/>
        <w:gridCol w:w="974"/>
        <w:gridCol w:w="1107"/>
        <w:gridCol w:w="839"/>
        <w:gridCol w:w="1163"/>
      </w:tblGrid>
      <w:tr w:rsidR="00475331" w:rsidRPr="00475331" w14:paraId="16082F0C" w14:textId="77777777" w:rsidTr="00475331">
        <w:trPr>
          <w:trHeight w:val="264"/>
        </w:trPr>
        <w:tc>
          <w:tcPr>
            <w:tcW w:w="56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0040BDE" w14:textId="77777777" w:rsidR="00475331" w:rsidRPr="00475331" w:rsidRDefault="00475331" w:rsidP="00475331">
            <w:pPr>
              <w:spacing w:after="0" w:line="240" w:lineRule="auto"/>
              <w:jc w:val="center"/>
              <w:rPr>
                <w:rFonts w:ascii="Times New Roman" w:eastAsia="Times New Roman" w:hAnsi="Times New Roman" w:cs="Times New Roman"/>
                <w:b/>
                <w:bCs/>
                <w:color w:val="000000"/>
                <w:sz w:val="20"/>
                <w:szCs w:val="20"/>
                <w:lang w:eastAsia="sk-SK"/>
              </w:rPr>
            </w:pPr>
            <w:r w:rsidRPr="00475331">
              <w:rPr>
                <w:rFonts w:ascii="Times New Roman" w:eastAsia="Times New Roman" w:hAnsi="Times New Roman" w:cs="Times New Roman"/>
                <w:b/>
                <w:bCs/>
                <w:color w:val="000000"/>
                <w:sz w:val="20"/>
                <w:szCs w:val="20"/>
                <w:lang w:eastAsia="sk-SK"/>
              </w:rPr>
              <w:t>P.č.</w:t>
            </w:r>
          </w:p>
        </w:tc>
        <w:tc>
          <w:tcPr>
            <w:tcW w:w="2113"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648255C" w14:textId="720A2DEB" w:rsidR="00475331" w:rsidRPr="00475331" w:rsidRDefault="00475331" w:rsidP="00475331">
            <w:pPr>
              <w:spacing w:after="0" w:line="240" w:lineRule="auto"/>
              <w:jc w:val="center"/>
              <w:rPr>
                <w:rFonts w:ascii="Times New Roman" w:eastAsia="Times New Roman" w:hAnsi="Times New Roman" w:cs="Times New Roman"/>
                <w:b/>
                <w:bCs/>
                <w:color w:val="000000"/>
                <w:sz w:val="20"/>
                <w:szCs w:val="20"/>
                <w:lang w:eastAsia="sk-SK"/>
              </w:rPr>
            </w:pPr>
            <w:r w:rsidRPr="00475331">
              <w:rPr>
                <w:rFonts w:ascii="Times New Roman" w:eastAsia="Times New Roman" w:hAnsi="Times New Roman" w:cs="Times New Roman"/>
                <w:b/>
                <w:bCs/>
                <w:color w:val="000000"/>
                <w:sz w:val="20"/>
                <w:szCs w:val="20"/>
                <w:lang w:eastAsia="sk-SK"/>
              </w:rPr>
              <w:t xml:space="preserve">Zrozumiteľný a stručný opis regulácie </w:t>
            </w:r>
            <w:r w:rsidRPr="00475331">
              <w:rPr>
                <w:rFonts w:ascii="Times New Roman" w:eastAsia="Times New Roman" w:hAnsi="Times New Roman" w:cs="Times New Roman"/>
                <w:b/>
                <w:bCs/>
                <w:color w:val="000000"/>
                <w:sz w:val="20"/>
                <w:szCs w:val="20"/>
                <w:lang w:eastAsia="sk-SK"/>
              </w:rPr>
              <w:br/>
              <w:t xml:space="preserve">(dôvod zvýšenia/zníženia nákladov na PP a dôvod ponechania nákladov na PP, ktoré </w:t>
            </w:r>
            <w:r w:rsidR="00F2675E" w:rsidRPr="00475331">
              <w:rPr>
                <w:rFonts w:ascii="Times New Roman" w:eastAsia="Times New Roman" w:hAnsi="Times New Roman" w:cs="Times New Roman"/>
                <w:b/>
                <w:bCs/>
                <w:color w:val="000000"/>
                <w:sz w:val="20"/>
                <w:szCs w:val="20"/>
                <w:lang w:eastAsia="sk-SK"/>
              </w:rPr>
              <w:t>sú</w:t>
            </w:r>
            <w:r w:rsidRPr="00475331">
              <w:rPr>
                <w:rFonts w:ascii="Times New Roman" w:eastAsia="Times New Roman" w:hAnsi="Times New Roman" w:cs="Times New Roman"/>
                <w:b/>
                <w:bCs/>
                <w:color w:val="000000"/>
                <w:sz w:val="20"/>
                <w:szCs w:val="20"/>
                <w:lang w:eastAsia="sk-SK"/>
              </w:rPr>
              <w:t xml:space="preserve"> goldplatingom)</w:t>
            </w:r>
          </w:p>
        </w:tc>
        <w:tc>
          <w:tcPr>
            <w:tcW w:w="1263"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68CDE880" w14:textId="77777777" w:rsidR="00475331" w:rsidRPr="00475331" w:rsidRDefault="00475331" w:rsidP="00475331">
            <w:pPr>
              <w:spacing w:after="0" w:line="240" w:lineRule="auto"/>
              <w:jc w:val="center"/>
              <w:rPr>
                <w:rFonts w:ascii="Times New Roman" w:eastAsia="Times New Roman" w:hAnsi="Times New Roman" w:cs="Times New Roman"/>
                <w:b/>
                <w:bCs/>
                <w:color w:val="000000"/>
                <w:sz w:val="20"/>
                <w:szCs w:val="20"/>
                <w:lang w:eastAsia="sk-SK"/>
              </w:rPr>
            </w:pPr>
            <w:r w:rsidRPr="00475331">
              <w:rPr>
                <w:rFonts w:ascii="Times New Roman" w:eastAsia="Times New Roman" w:hAnsi="Times New Roman" w:cs="Times New Roman"/>
                <w:b/>
                <w:bCs/>
                <w:color w:val="000000"/>
                <w:sz w:val="20"/>
                <w:szCs w:val="20"/>
                <w:lang w:eastAsia="sk-SK"/>
              </w:rPr>
              <w:t>Číslo normy</w:t>
            </w:r>
            <w:r w:rsidRPr="00475331">
              <w:rPr>
                <w:rFonts w:ascii="Times New Roman" w:eastAsia="Times New Roman" w:hAnsi="Times New Roman" w:cs="Times New Roman"/>
                <w:b/>
                <w:bCs/>
                <w:color w:val="000000"/>
                <w:sz w:val="20"/>
                <w:szCs w:val="20"/>
                <w:lang w:eastAsia="sk-SK"/>
              </w:rPr>
              <w:br/>
            </w:r>
            <w:r w:rsidRPr="00475331">
              <w:rPr>
                <w:rFonts w:ascii="Times New Roman" w:eastAsia="Times New Roman" w:hAnsi="Times New Roman" w:cs="Times New Roman"/>
                <w:color w:val="000000"/>
                <w:sz w:val="20"/>
                <w:szCs w:val="20"/>
                <w:lang w:eastAsia="sk-SK"/>
              </w:rPr>
              <w:t>(zákona, vyhlášky a pod.)</w:t>
            </w:r>
          </w:p>
        </w:tc>
        <w:tc>
          <w:tcPr>
            <w:tcW w:w="1976"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3E5D6B8A" w14:textId="77777777" w:rsidR="00475331" w:rsidRPr="00475331" w:rsidRDefault="00475331" w:rsidP="00475331">
            <w:pPr>
              <w:spacing w:after="0" w:line="240" w:lineRule="auto"/>
              <w:jc w:val="center"/>
              <w:rPr>
                <w:rFonts w:ascii="Times New Roman" w:eastAsia="Times New Roman" w:hAnsi="Times New Roman" w:cs="Times New Roman"/>
                <w:b/>
                <w:bCs/>
                <w:color w:val="000000"/>
                <w:sz w:val="20"/>
                <w:szCs w:val="20"/>
                <w:lang w:eastAsia="sk-SK"/>
              </w:rPr>
            </w:pPr>
            <w:r w:rsidRPr="00475331">
              <w:rPr>
                <w:rFonts w:ascii="Times New Roman" w:eastAsia="Times New Roman" w:hAnsi="Times New Roman" w:cs="Times New Roman"/>
                <w:b/>
                <w:bCs/>
                <w:color w:val="000000"/>
                <w:sz w:val="20"/>
                <w:szCs w:val="20"/>
                <w:lang w:eastAsia="sk-SK"/>
              </w:rPr>
              <w:t>Lokalizácia</w:t>
            </w:r>
            <w:r w:rsidRPr="00475331">
              <w:rPr>
                <w:rFonts w:ascii="Times New Roman" w:eastAsia="Times New Roman" w:hAnsi="Times New Roman" w:cs="Times New Roman"/>
                <w:b/>
                <w:bCs/>
                <w:color w:val="000000"/>
                <w:sz w:val="20"/>
                <w:szCs w:val="20"/>
                <w:lang w:eastAsia="sk-SK"/>
              </w:rPr>
              <w:br/>
              <w:t>(§, ods., čl.,...)</w:t>
            </w:r>
          </w:p>
        </w:tc>
        <w:tc>
          <w:tcPr>
            <w:tcW w:w="105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0F35C56" w14:textId="77777777" w:rsidR="00475331" w:rsidRPr="00475331" w:rsidRDefault="00475331" w:rsidP="00475331">
            <w:pPr>
              <w:spacing w:after="0" w:line="240" w:lineRule="auto"/>
              <w:jc w:val="center"/>
              <w:rPr>
                <w:rFonts w:ascii="Times New Roman" w:eastAsia="Times New Roman" w:hAnsi="Times New Roman" w:cs="Times New Roman"/>
                <w:b/>
                <w:bCs/>
                <w:color w:val="000000"/>
                <w:sz w:val="20"/>
                <w:szCs w:val="20"/>
                <w:lang w:eastAsia="sk-SK"/>
              </w:rPr>
            </w:pPr>
            <w:r w:rsidRPr="00475331">
              <w:rPr>
                <w:rFonts w:ascii="Times New Roman" w:eastAsia="Times New Roman" w:hAnsi="Times New Roman" w:cs="Times New Roman"/>
                <w:b/>
                <w:bCs/>
                <w:color w:val="000000"/>
                <w:sz w:val="20"/>
                <w:szCs w:val="20"/>
                <w:lang w:eastAsia="sk-SK"/>
              </w:rPr>
              <w:t xml:space="preserve">Pôvod regulácie: </w:t>
            </w:r>
            <w:r w:rsidRPr="00475331">
              <w:rPr>
                <w:rFonts w:ascii="Times New Roman" w:eastAsia="Times New Roman" w:hAnsi="Times New Roman" w:cs="Times New Roman"/>
                <w:b/>
                <w:bCs/>
                <w:color w:val="000000"/>
                <w:sz w:val="20"/>
                <w:szCs w:val="20"/>
                <w:lang w:eastAsia="sk-SK"/>
              </w:rPr>
              <w:br/>
            </w:r>
            <w:r w:rsidRPr="00475331">
              <w:rPr>
                <w:rFonts w:ascii="Times New Roman" w:eastAsia="Times New Roman" w:hAnsi="Times New Roman" w:cs="Times New Roman"/>
                <w:color w:val="000000"/>
                <w:sz w:val="20"/>
                <w:szCs w:val="20"/>
                <w:lang w:eastAsia="sk-SK"/>
              </w:rPr>
              <w:t>SK/EÚ úplná harm./</w:t>
            </w:r>
            <w:r w:rsidRPr="00475331">
              <w:rPr>
                <w:rFonts w:ascii="Times New Roman" w:eastAsia="Times New Roman" w:hAnsi="Times New Roman" w:cs="Times New Roman"/>
                <w:color w:val="000000"/>
                <w:sz w:val="20"/>
                <w:szCs w:val="20"/>
                <w:lang w:eastAsia="sk-SK"/>
              </w:rPr>
              <w:br/>
              <w:t>goldplating</w:t>
            </w:r>
          </w:p>
        </w:tc>
        <w:tc>
          <w:tcPr>
            <w:tcW w:w="93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32A027F" w14:textId="77777777" w:rsidR="00475331" w:rsidRPr="00475331" w:rsidRDefault="00475331" w:rsidP="00475331">
            <w:pPr>
              <w:spacing w:after="0" w:line="240" w:lineRule="auto"/>
              <w:jc w:val="center"/>
              <w:rPr>
                <w:rFonts w:ascii="Times New Roman" w:eastAsia="Times New Roman" w:hAnsi="Times New Roman" w:cs="Times New Roman"/>
                <w:b/>
                <w:bCs/>
                <w:color w:val="000000"/>
                <w:sz w:val="20"/>
                <w:szCs w:val="20"/>
                <w:lang w:eastAsia="sk-SK"/>
              </w:rPr>
            </w:pPr>
            <w:r w:rsidRPr="00475331">
              <w:rPr>
                <w:rFonts w:ascii="Times New Roman" w:eastAsia="Times New Roman" w:hAnsi="Times New Roman" w:cs="Times New Roman"/>
                <w:b/>
                <w:bCs/>
                <w:color w:val="000000"/>
                <w:sz w:val="20"/>
                <w:szCs w:val="20"/>
                <w:lang w:eastAsia="sk-SK"/>
              </w:rPr>
              <w:t>Účinnosť regulácie</w:t>
            </w:r>
          </w:p>
        </w:tc>
        <w:tc>
          <w:tcPr>
            <w:tcW w:w="1373"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DAE7EE7" w14:textId="77777777" w:rsidR="00475331" w:rsidRPr="00475331" w:rsidRDefault="00475331" w:rsidP="00475331">
            <w:pPr>
              <w:spacing w:after="0" w:line="240" w:lineRule="auto"/>
              <w:jc w:val="center"/>
              <w:rPr>
                <w:rFonts w:ascii="Times New Roman" w:eastAsia="Times New Roman" w:hAnsi="Times New Roman" w:cs="Times New Roman"/>
                <w:b/>
                <w:bCs/>
                <w:color w:val="000000"/>
                <w:sz w:val="20"/>
                <w:szCs w:val="20"/>
                <w:lang w:eastAsia="sk-SK"/>
              </w:rPr>
            </w:pPr>
            <w:r w:rsidRPr="00475331">
              <w:rPr>
                <w:rFonts w:ascii="Times New Roman" w:eastAsia="Times New Roman" w:hAnsi="Times New Roman" w:cs="Times New Roman"/>
                <w:b/>
                <w:bCs/>
                <w:color w:val="000000"/>
                <w:sz w:val="20"/>
                <w:szCs w:val="20"/>
                <w:lang w:eastAsia="sk-SK"/>
              </w:rPr>
              <w:t>Kategória dotk. subjektov</w:t>
            </w:r>
          </w:p>
        </w:tc>
        <w:tc>
          <w:tcPr>
            <w:tcW w:w="97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A4749AB" w14:textId="77777777" w:rsidR="00475331" w:rsidRPr="00475331" w:rsidRDefault="00475331" w:rsidP="00475331">
            <w:pPr>
              <w:spacing w:after="0" w:line="240" w:lineRule="auto"/>
              <w:jc w:val="center"/>
              <w:rPr>
                <w:rFonts w:ascii="Times New Roman" w:eastAsia="Times New Roman" w:hAnsi="Times New Roman" w:cs="Times New Roman"/>
                <w:b/>
                <w:bCs/>
                <w:color w:val="000000"/>
                <w:sz w:val="20"/>
                <w:szCs w:val="20"/>
                <w:lang w:eastAsia="sk-SK"/>
              </w:rPr>
            </w:pPr>
            <w:r w:rsidRPr="00475331">
              <w:rPr>
                <w:rFonts w:ascii="Times New Roman" w:eastAsia="Times New Roman" w:hAnsi="Times New Roman" w:cs="Times New Roman"/>
                <w:b/>
                <w:bCs/>
                <w:color w:val="000000"/>
                <w:sz w:val="20"/>
                <w:szCs w:val="20"/>
                <w:lang w:eastAsia="sk-SK"/>
              </w:rPr>
              <w:t xml:space="preserve">Počet dotk. subjektov spolu </w:t>
            </w:r>
          </w:p>
        </w:tc>
        <w:tc>
          <w:tcPr>
            <w:tcW w:w="791"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BE218BB" w14:textId="77777777" w:rsidR="00475331" w:rsidRPr="00475331" w:rsidRDefault="00475331" w:rsidP="00475331">
            <w:pPr>
              <w:spacing w:after="0" w:line="240" w:lineRule="auto"/>
              <w:jc w:val="center"/>
              <w:rPr>
                <w:rFonts w:ascii="Times New Roman" w:eastAsia="Times New Roman" w:hAnsi="Times New Roman" w:cs="Times New Roman"/>
                <w:b/>
                <w:bCs/>
                <w:color w:val="000000"/>
                <w:sz w:val="20"/>
                <w:szCs w:val="20"/>
                <w:lang w:eastAsia="sk-SK"/>
              </w:rPr>
            </w:pPr>
            <w:r w:rsidRPr="00475331">
              <w:rPr>
                <w:rFonts w:ascii="Times New Roman" w:eastAsia="Times New Roman" w:hAnsi="Times New Roman" w:cs="Times New Roman"/>
                <w:b/>
                <w:bCs/>
                <w:color w:val="000000"/>
                <w:sz w:val="20"/>
                <w:szCs w:val="20"/>
                <w:lang w:eastAsia="sk-SK"/>
              </w:rPr>
              <w:t>Vplyv na 1 podnik. v €</w:t>
            </w:r>
          </w:p>
        </w:tc>
        <w:tc>
          <w:tcPr>
            <w:tcW w:w="97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BDBC88D" w14:textId="77777777" w:rsidR="00475331" w:rsidRPr="00475331" w:rsidRDefault="00475331" w:rsidP="00475331">
            <w:pPr>
              <w:spacing w:after="0" w:line="240" w:lineRule="auto"/>
              <w:jc w:val="center"/>
              <w:rPr>
                <w:rFonts w:ascii="Times New Roman" w:eastAsia="Times New Roman" w:hAnsi="Times New Roman" w:cs="Times New Roman"/>
                <w:b/>
                <w:bCs/>
                <w:color w:val="000000"/>
                <w:sz w:val="20"/>
                <w:szCs w:val="20"/>
                <w:lang w:eastAsia="sk-SK"/>
              </w:rPr>
            </w:pPr>
            <w:r w:rsidRPr="00475331">
              <w:rPr>
                <w:rFonts w:ascii="Times New Roman" w:eastAsia="Times New Roman" w:hAnsi="Times New Roman" w:cs="Times New Roman"/>
                <w:b/>
                <w:bCs/>
                <w:color w:val="000000"/>
                <w:sz w:val="20"/>
                <w:szCs w:val="20"/>
                <w:lang w:eastAsia="sk-SK"/>
              </w:rPr>
              <w:t>Vplyv na kategóriu dotk. subjektov v €</w:t>
            </w:r>
          </w:p>
        </w:tc>
        <w:tc>
          <w:tcPr>
            <w:tcW w:w="1167"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9A9A490" w14:textId="77777777" w:rsidR="00475331" w:rsidRPr="00475331" w:rsidRDefault="00475331" w:rsidP="00475331">
            <w:pPr>
              <w:spacing w:after="0" w:line="240" w:lineRule="auto"/>
              <w:jc w:val="center"/>
              <w:rPr>
                <w:rFonts w:ascii="Times New Roman" w:eastAsia="Times New Roman" w:hAnsi="Times New Roman" w:cs="Times New Roman"/>
                <w:b/>
                <w:bCs/>
                <w:color w:val="000000"/>
                <w:sz w:val="20"/>
                <w:szCs w:val="20"/>
                <w:lang w:eastAsia="sk-SK"/>
              </w:rPr>
            </w:pPr>
            <w:r w:rsidRPr="00475331">
              <w:rPr>
                <w:rFonts w:ascii="Times New Roman" w:eastAsia="Times New Roman" w:hAnsi="Times New Roman" w:cs="Times New Roman"/>
                <w:b/>
                <w:bCs/>
                <w:color w:val="000000"/>
                <w:sz w:val="20"/>
                <w:szCs w:val="20"/>
                <w:lang w:eastAsia="sk-SK"/>
              </w:rPr>
              <w:t>Druh vplyvu</w:t>
            </w:r>
            <w:r w:rsidRPr="00475331">
              <w:rPr>
                <w:rFonts w:ascii="Times New Roman" w:eastAsia="Times New Roman" w:hAnsi="Times New Roman" w:cs="Times New Roman"/>
                <w:b/>
                <w:bCs/>
                <w:color w:val="000000"/>
                <w:sz w:val="20"/>
                <w:szCs w:val="20"/>
                <w:lang w:eastAsia="sk-SK"/>
              </w:rPr>
              <w:br/>
            </w:r>
            <w:r w:rsidRPr="00475331">
              <w:rPr>
                <w:rFonts w:ascii="Times New Roman" w:eastAsia="Times New Roman" w:hAnsi="Times New Roman" w:cs="Times New Roman"/>
                <w:color w:val="000000"/>
                <w:sz w:val="20"/>
                <w:szCs w:val="20"/>
                <w:lang w:eastAsia="sk-SK"/>
              </w:rPr>
              <w:t xml:space="preserve">In (zvyšuje náklady) / </w:t>
            </w:r>
            <w:r w:rsidRPr="00475331">
              <w:rPr>
                <w:rFonts w:ascii="Times New Roman" w:eastAsia="Times New Roman" w:hAnsi="Times New Roman" w:cs="Times New Roman"/>
                <w:color w:val="000000"/>
                <w:sz w:val="20"/>
                <w:szCs w:val="20"/>
                <w:lang w:eastAsia="sk-SK"/>
              </w:rPr>
              <w:br/>
              <w:t>Out (znižuje náklady) / Nemení sa</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1AEBE5" w14:textId="77777777" w:rsidR="00475331" w:rsidRPr="00475331" w:rsidRDefault="00475331" w:rsidP="00475331">
            <w:pPr>
              <w:spacing w:after="0" w:line="240" w:lineRule="auto"/>
              <w:jc w:val="center"/>
              <w:rPr>
                <w:rFonts w:ascii="Times New Roman" w:eastAsia="Times New Roman" w:hAnsi="Times New Roman" w:cs="Times New Roman"/>
                <w:b/>
                <w:bCs/>
                <w:color w:val="000000"/>
                <w:sz w:val="20"/>
                <w:szCs w:val="20"/>
                <w:lang w:eastAsia="sk-SK"/>
              </w:rPr>
            </w:pPr>
            <w:r w:rsidRPr="00475331">
              <w:rPr>
                <w:rFonts w:ascii="Times New Roman" w:eastAsia="Times New Roman" w:hAnsi="Times New Roman" w:cs="Times New Roman"/>
                <w:b/>
                <w:bCs/>
                <w:color w:val="000000"/>
                <w:sz w:val="20"/>
                <w:szCs w:val="20"/>
                <w:lang w:eastAsia="sk-SK"/>
              </w:rPr>
              <w:t xml:space="preserve">1in2out </w:t>
            </w:r>
            <w:r w:rsidRPr="00475331">
              <w:rPr>
                <w:rFonts w:ascii="Times New Roman" w:eastAsia="Times New Roman" w:hAnsi="Times New Roman" w:cs="Times New Roman"/>
                <w:b/>
                <w:bCs/>
                <w:color w:val="000000"/>
                <w:sz w:val="20"/>
                <w:szCs w:val="20"/>
                <w:lang w:eastAsia="sk-SK"/>
              </w:rPr>
              <w:br/>
              <w:t>celkom</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D8AA3F" w14:textId="77777777" w:rsidR="00475331" w:rsidRPr="00475331" w:rsidRDefault="00475331" w:rsidP="00475331">
            <w:pPr>
              <w:spacing w:after="0" w:line="240" w:lineRule="auto"/>
              <w:jc w:val="center"/>
              <w:rPr>
                <w:rFonts w:ascii="Times New Roman" w:eastAsia="Times New Roman" w:hAnsi="Times New Roman" w:cs="Times New Roman"/>
                <w:b/>
                <w:bCs/>
                <w:color w:val="000000"/>
                <w:sz w:val="20"/>
                <w:szCs w:val="20"/>
                <w:lang w:eastAsia="sk-SK"/>
              </w:rPr>
            </w:pPr>
            <w:r w:rsidRPr="00475331">
              <w:rPr>
                <w:rFonts w:ascii="Times New Roman" w:eastAsia="Times New Roman" w:hAnsi="Times New Roman" w:cs="Times New Roman"/>
                <w:b/>
                <w:bCs/>
                <w:color w:val="000000"/>
                <w:sz w:val="20"/>
                <w:szCs w:val="20"/>
                <w:lang w:eastAsia="sk-SK"/>
              </w:rPr>
              <w:t>Goldplating celkom</w:t>
            </w:r>
          </w:p>
        </w:tc>
      </w:tr>
      <w:tr w:rsidR="00475331" w:rsidRPr="00475331" w14:paraId="42EE71B4" w14:textId="77777777" w:rsidTr="00475331">
        <w:trPr>
          <w:trHeight w:val="450"/>
        </w:trPr>
        <w:tc>
          <w:tcPr>
            <w:tcW w:w="565" w:type="dxa"/>
            <w:vMerge/>
            <w:tcBorders>
              <w:top w:val="single" w:sz="4" w:space="0" w:color="auto"/>
              <w:left w:val="single" w:sz="4" w:space="0" w:color="auto"/>
              <w:bottom w:val="single" w:sz="4" w:space="0" w:color="auto"/>
              <w:right w:val="single" w:sz="4" w:space="0" w:color="auto"/>
            </w:tcBorders>
            <w:vAlign w:val="center"/>
            <w:hideMark/>
          </w:tcPr>
          <w:p w14:paraId="53019203"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2113" w:type="dxa"/>
            <w:vMerge/>
            <w:tcBorders>
              <w:top w:val="single" w:sz="4" w:space="0" w:color="auto"/>
              <w:left w:val="single" w:sz="4" w:space="0" w:color="auto"/>
              <w:bottom w:val="single" w:sz="4" w:space="0" w:color="auto"/>
              <w:right w:val="single" w:sz="4" w:space="0" w:color="auto"/>
            </w:tcBorders>
            <w:vAlign w:val="center"/>
            <w:hideMark/>
          </w:tcPr>
          <w:p w14:paraId="7E4B4ED5"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263" w:type="dxa"/>
            <w:vMerge/>
            <w:tcBorders>
              <w:top w:val="single" w:sz="4" w:space="0" w:color="auto"/>
              <w:left w:val="single" w:sz="4" w:space="0" w:color="auto"/>
              <w:bottom w:val="single" w:sz="4" w:space="0" w:color="000000"/>
              <w:right w:val="single" w:sz="4" w:space="0" w:color="auto"/>
            </w:tcBorders>
            <w:vAlign w:val="center"/>
            <w:hideMark/>
          </w:tcPr>
          <w:p w14:paraId="2A1C481A"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976" w:type="dxa"/>
            <w:vMerge/>
            <w:tcBorders>
              <w:top w:val="single" w:sz="4" w:space="0" w:color="auto"/>
              <w:left w:val="single" w:sz="4" w:space="0" w:color="auto"/>
              <w:bottom w:val="single" w:sz="4" w:space="0" w:color="000000"/>
              <w:right w:val="single" w:sz="4" w:space="0" w:color="auto"/>
            </w:tcBorders>
            <w:vAlign w:val="center"/>
            <w:hideMark/>
          </w:tcPr>
          <w:p w14:paraId="1A06D7B4"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14:paraId="138DC818"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414200EF"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373" w:type="dxa"/>
            <w:vMerge/>
            <w:tcBorders>
              <w:top w:val="single" w:sz="4" w:space="0" w:color="auto"/>
              <w:left w:val="single" w:sz="4" w:space="0" w:color="auto"/>
              <w:bottom w:val="single" w:sz="4" w:space="0" w:color="auto"/>
              <w:right w:val="single" w:sz="4" w:space="0" w:color="auto"/>
            </w:tcBorders>
            <w:vAlign w:val="center"/>
            <w:hideMark/>
          </w:tcPr>
          <w:p w14:paraId="1C2A9DDA"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29F6838C"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791" w:type="dxa"/>
            <w:vMerge/>
            <w:tcBorders>
              <w:top w:val="single" w:sz="4" w:space="0" w:color="auto"/>
              <w:left w:val="single" w:sz="4" w:space="0" w:color="auto"/>
              <w:bottom w:val="single" w:sz="4" w:space="0" w:color="auto"/>
              <w:right w:val="single" w:sz="4" w:space="0" w:color="auto"/>
            </w:tcBorders>
            <w:vAlign w:val="center"/>
            <w:hideMark/>
          </w:tcPr>
          <w:p w14:paraId="7121530B"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267BCE40"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167" w:type="dxa"/>
            <w:vMerge/>
            <w:tcBorders>
              <w:top w:val="single" w:sz="4" w:space="0" w:color="auto"/>
              <w:left w:val="single" w:sz="4" w:space="0" w:color="auto"/>
              <w:bottom w:val="single" w:sz="4" w:space="0" w:color="auto"/>
              <w:right w:val="single" w:sz="4" w:space="0" w:color="auto"/>
            </w:tcBorders>
            <w:vAlign w:val="center"/>
            <w:hideMark/>
          </w:tcPr>
          <w:p w14:paraId="76A42D76"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370FB43"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063E253"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r>
      <w:tr w:rsidR="00475331" w:rsidRPr="00475331" w14:paraId="6D9BF72E" w14:textId="77777777" w:rsidTr="00475331">
        <w:trPr>
          <w:trHeight w:val="450"/>
        </w:trPr>
        <w:tc>
          <w:tcPr>
            <w:tcW w:w="565" w:type="dxa"/>
            <w:vMerge/>
            <w:tcBorders>
              <w:top w:val="single" w:sz="4" w:space="0" w:color="auto"/>
              <w:left w:val="single" w:sz="4" w:space="0" w:color="auto"/>
              <w:bottom w:val="single" w:sz="4" w:space="0" w:color="auto"/>
              <w:right w:val="single" w:sz="4" w:space="0" w:color="auto"/>
            </w:tcBorders>
            <w:vAlign w:val="center"/>
            <w:hideMark/>
          </w:tcPr>
          <w:p w14:paraId="508CE16E"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2113" w:type="dxa"/>
            <w:vMerge/>
            <w:tcBorders>
              <w:top w:val="single" w:sz="4" w:space="0" w:color="auto"/>
              <w:left w:val="single" w:sz="4" w:space="0" w:color="auto"/>
              <w:bottom w:val="single" w:sz="4" w:space="0" w:color="auto"/>
              <w:right w:val="single" w:sz="4" w:space="0" w:color="auto"/>
            </w:tcBorders>
            <w:vAlign w:val="center"/>
            <w:hideMark/>
          </w:tcPr>
          <w:p w14:paraId="47B10709"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263" w:type="dxa"/>
            <w:vMerge/>
            <w:tcBorders>
              <w:top w:val="single" w:sz="4" w:space="0" w:color="auto"/>
              <w:left w:val="single" w:sz="4" w:space="0" w:color="auto"/>
              <w:bottom w:val="single" w:sz="4" w:space="0" w:color="000000"/>
              <w:right w:val="single" w:sz="4" w:space="0" w:color="auto"/>
            </w:tcBorders>
            <w:vAlign w:val="center"/>
            <w:hideMark/>
          </w:tcPr>
          <w:p w14:paraId="6D67C872"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976" w:type="dxa"/>
            <w:vMerge/>
            <w:tcBorders>
              <w:top w:val="single" w:sz="4" w:space="0" w:color="auto"/>
              <w:left w:val="single" w:sz="4" w:space="0" w:color="auto"/>
              <w:bottom w:val="single" w:sz="4" w:space="0" w:color="000000"/>
              <w:right w:val="single" w:sz="4" w:space="0" w:color="auto"/>
            </w:tcBorders>
            <w:vAlign w:val="center"/>
            <w:hideMark/>
          </w:tcPr>
          <w:p w14:paraId="4181B7FF"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14:paraId="287C91C5"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4DF10E21"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373" w:type="dxa"/>
            <w:vMerge/>
            <w:tcBorders>
              <w:top w:val="single" w:sz="4" w:space="0" w:color="auto"/>
              <w:left w:val="single" w:sz="4" w:space="0" w:color="auto"/>
              <w:bottom w:val="single" w:sz="4" w:space="0" w:color="auto"/>
              <w:right w:val="single" w:sz="4" w:space="0" w:color="auto"/>
            </w:tcBorders>
            <w:vAlign w:val="center"/>
            <w:hideMark/>
          </w:tcPr>
          <w:p w14:paraId="33B7E07B"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302B9604"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791" w:type="dxa"/>
            <w:vMerge/>
            <w:tcBorders>
              <w:top w:val="single" w:sz="4" w:space="0" w:color="auto"/>
              <w:left w:val="single" w:sz="4" w:space="0" w:color="auto"/>
              <w:bottom w:val="single" w:sz="4" w:space="0" w:color="auto"/>
              <w:right w:val="single" w:sz="4" w:space="0" w:color="auto"/>
            </w:tcBorders>
            <w:vAlign w:val="center"/>
            <w:hideMark/>
          </w:tcPr>
          <w:p w14:paraId="1326EE4C"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5790A117"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167" w:type="dxa"/>
            <w:vMerge/>
            <w:tcBorders>
              <w:top w:val="single" w:sz="4" w:space="0" w:color="auto"/>
              <w:left w:val="single" w:sz="4" w:space="0" w:color="auto"/>
              <w:bottom w:val="single" w:sz="4" w:space="0" w:color="auto"/>
              <w:right w:val="single" w:sz="4" w:space="0" w:color="auto"/>
            </w:tcBorders>
            <w:vAlign w:val="center"/>
            <w:hideMark/>
          </w:tcPr>
          <w:p w14:paraId="6280D422"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35701F5"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BF2D32B"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r>
      <w:tr w:rsidR="00475331" w:rsidRPr="00475331" w14:paraId="70E209E8" w14:textId="77777777" w:rsidTr="00475331">
        <w:trPr>
          <w:trHeight w:val="450"/>
        </w:trPr>
        <w:tc>
          <w:tcPr>
            <w:tcW w:w="565" w:type="dxa"/>
            <w:vMerge/>
            <w:tcBorders>
              <w:top w:val="single" w:sz="4" w:space="0" w:color="auto"/>
              <w:left w:val="single" w:sz="4" w:space="0" w:color="auto"/>
              <w:bottom w:val="single" w:sz="4" w:space="0" w:color="auto"/>
              <w:right w:val="single" w:sz="4" w:space="0" w:color="auto"/>
            </w:tcBorders>
            <w:vAlign w:val="center"/>
            <w:hideMark/>
          </w:tcPr>
          <w:p w14:paraId="13668265"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2113" w:type="dxa"/>
            <w:vMerge/>
            <w:tcBorders>
              <w:top w:val="single" w:sz="4" w:space="0" w:color="auto"/>
              <w:left w:val="single" w:sz="4" w:space="0" w:color="auto"/>
              <w:bottom w:val="single" w:sz="4" w:space="0" w:color="auto"/>
              <w:right w:val="single" w:sz="4" w:space="0" w:color="auto"/>
            </w:tcBorders>
            <w:vAlign w:val="center"/>
            <w:hideMark/>
          </w:tcPr>
          <w:p w14:paraId="5EA518B5"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263" w:type="dxa"/>
            <w:vMerge/>
            <w:tcBorders>
              <w:top w:val="single" w:sz="4" w:space="0" w:color="auto"/>
              <w:left w:val="single" w:sz="4" w:space="0" w:color="auto"/>
              <w:bottom w:val="single" w:sz="4" w:space="0" w:color="000000"/>
              <w:right w:val="single" w:sz="4" w:space="0" w:color="auto"/>
            </w:tcBorders>
            <w:vAlign w:val="center"/>
            <w:hideMark/>
          </w:tcPr>
          <w:p w14:paraId="7EB1C48C"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976" w:type="dxa"/>
            <w:vMerge/>
            <w:tcBorders>
              <w:top w:val="single" w:sz="4" w:space="0" w:color="auto"/>
              <w:left w:val="single" w:sz="4" w:space="0" w:color="auto"/>
              <w:bottom w:val="single" w:sz="4" w:space="0" w:color="000000"/>
              <w:right w:val="single" w:sz="4" w:space="0" w:color="auto"/>
            </w:tcBorders>
            <w:vAlign w:val="center"/>
            <w:hideMark/>
          </w:tcPr>
          <w:p w14:paraId="04CE252D"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14:paraId="7374DBA1"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651A96BD"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373" w:type="dxa"/>
            <w:vMerge/>
            <w:tcBorders>
              <w:top w:val="single" w:sz="4" w:space="0" w:color="auto"/>
              <w:left w:val="single" w:sz="4" w:space="0" w:color="auto"/>
              <w:bottom w:val="single" w:sz="4" w:space="0" w:color="auto"/>
              <w:right w:val="single" w:sz="4" w:space="0" w:color="auto"/>
            </w:tcBorders>
            <w:vAlign w:val="center"/>
            <w:hideMark/>
          </w:tcPr>
          <w:p w14:paraId="4815B630"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03FB2E00"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791" w:type="dxa"/>
            <w:vMerge/>
            <w:tcBorders>
              <w:top w:val="single" w:sz="4" w:space="0" w:color="auto"/>
              <w:left w:val="single" w:sz="4" w:space="0" w:color="auto"/>
              <w:bottom w:val="single" w:sz="4" w:space="0" w:color="auto"/>
              <w:right w:val="single" w:sz="4" w:space="0" w:color="auto"/>
            </w:tcBorders>
            <w:vAlign w:val="center"/>
            <w:hideMark/>
          </w:tcPr>
          <w:p w14:paraId="56207251"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35CE6FBC"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167" w:type="dxa"/>
            <w:vMerge/>
            <w:tcBorders>
              <w:top w:val="single" w:sz="4" w:space="0" w:color="auto"/>
              <w:left w:val="single" w:sz="4" w:space="0" w:color="auto"/>
              <w:bottom w:val="single" w:sz="4" w:space="0" w:color="auto"/>
              <w:right w:val="single" w:sz="4" w:space="0" w:color="auto"/>
            </w:tcBorders>
            <w:vAlign w:val="center"/>
            <w:hideMark/>
          </w:tcPr>
          <w:p w14:paraId="4BA13EC3"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3F192EA"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59DC6D7"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r>
      <w:tr w:rsidR="00475331" w:rsidRPr="00475331" w14:paraId="6E3D7E15" w14:textId="77777777" w:rsidTr="00475331">
        <w:trPr>
          <w:trHeight w:val="450"/>
        </w:trPr>
        <w:tc>
          <w:tcPr>
            <w:tcW w:w="565" w:type="dxa"/>
            <w:vMerge/>
            <w:tcBorders>
              <w:top w:val="single" w:sz="4" w:space="0" w:color="auto"/>
              <w:left w:val="single" w:sz="4" w:space="0" w:color="auto"/>
              <w:bottom w:val="single" w:sz="4" w:space="0" w:color="auto"/>
              <w:right w:val="single" w:sz="4" w:space="0" w:color="auto"/>
            </w:tcBorders>
            <w:vAlign w:val="center"/>
            <w:hideMark/>
          </w:tcPr>
          <w:p w14:paraId="2AA30763"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2113" w:type="dxa"/>
            <w:vMerge/>
            <w:tcBorders>
              <w:top w:val="single" w:sz="4" w:space="0" w:color="auto"/>
              <w:left w:val="single" w:sz="4" w:space="0" w:color="auto"/>
              <w:bottom w:val="single" w:sz="4" w:space="0" w:color="auto"/>
              <w:right w:val="single" w:sz="4" w:space="0" w:color="auto"/>
            </w:tcBorders>
            <w:vAlign w:val="center"/>
            <w:hideMark/>
          </w:tcPr>
          <w:p w14:paraId="4B5F2F6A"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263" w:type="dxa"/>
            <w:vMerge/>
            <w:tcBorders>
              <w:top w:val="single" w:sz="4" w:space="0" w:color="auto"/>
              <w:left w:val="single" w:sz="4" w:space="0" w:color="auto"/>
              <w:bottom w:val="single" w:sz="4" w:space="0" w:color="000000"/>
              <w:right w:val="single" w:sz="4" w:space="0" w:color="auto"/>
            </w:tcBorders>
            <w:vAlign w:val="center"/>
            <w:hideMark/>
          </w:tcPr>
          <w:p w14:paraId="1DAAD62B"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976" w:type="dxa"/>
            <w:vMerge/>
            <w:tcBorders>
              <w:top w:val="single" w:sz="4" w:space="0" w:color="auto"/>
              <w:left w:val="single" w:sz="4" w:space="0" w:color="auto"/>
              <w:bottom w:val="single" w:sz="4" w:space="0" w:color="000000"/>
              <w:right w:val="single" w:sz="4" w:space="0" w:color="auto"/>
            </w:tcBorders>
            <w:vAlign w:val="center"/>
            <w:hideMark/>
          </w:tcPr>
          <w:p w14:paraId="3DE6EF3C"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14:paraId="5F74B2CD"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1AFC52CB"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373" w:type="dxa"/>
            <w:vMerge/>
            <w:tcBorders>
              <w:top w:val="single" w:sz="4" w:space="0" w:color="auto"/>
              <w:left w:val="single" w:sz="4" w:space="0" w:color="auto"/>
              <w:bottom w:val="single" w:sz="4" w:space="0" w:color="auto"/>
              <w:right w:val="single" w:sz="4" w:space="0" w:color="auto"/>
            </w:tcBorders>
            <w:vAlign w:val="center"/>
            <w:hideMark/>
          </w:tcPr>
          <w:p w14:paraId="5D00F3EF"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089B0EE4"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791" w:type="dxa"/>
            <w:vMerge/>
            <w:tcBorders>
              <w:top w:val="single" w:sz="4" w:space="0" w:color="auto"/>
              <w:left w:val="single" w:sz="4" w:space="0" w:color="auto"/>
              <w:bottom w:val="single" w:sz="4" w:space="0" w:color="auto"/>
              <w:right w:val="single" w:sz="4" w:space="0" w:color="auto"/>
            </w:tcBorders>
            <w:vAlign w:val="center"/>
            <w:hideMark/>
          </w:tcPr>
          <w:p w14:paraId="3F96E5FE"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1B021EB6"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167" w:type="dxa"/>
            <w:vMerge/>
            <w:tcBorders>
              <w:top w:val="single" w:sz="4" w:space="0" w:color="auto"/>
              <w:left w:val="single" w:sz="4" w:space="0" w:color="auto"/>
              <w:bottom w:val="single" w:sz="4" w:space="0" w:color="auto"/>
              <w:right w:val="single" w:sz="4" w:space="0" w:color="auto"/>
            </w:tcBorders>
            <w:vAlign w:val="center"/>
            <w:hideMark/>
          </w:tcPr>
          <w:p w14:paraId="3B60F300"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1571A66"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559C74E6"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r>
      <w:tr w:rsidR="00475331" w:rsidRPr="00475331" w14:paraId="1AA958B4" w14:textId="77777777" w:rsidTr="00475331">
        <w:trPr>
          <w:trHeight w:val="450"/>
        </w:trPr>
        <w:tc>
          <w:tcPr>
            <w:tcW w:w="565" w:type="dxa"/>
            <w:vMerge/>
            <w:tcBorders>
              <w:top w:val="single" w:sz="4" w:space="0" w:color="auto"/>
              <w:left w:val="single" w:sz="4" w:space="0" w:color="auto"/>
              <w:bottom w:val="single" w:sz="4" w:space="0" w:color="auto"/>
              <w:right w:val="single" w:sz="4" w:space="0" w:color="auto"/>
            </w:tcBorders>
            <w:vAlign w:val="center"/>
            <w:hideMark/>
          </w:tcPr>
          <w:p w14:paraId="481AE65C"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2113" w:type="dxa"/>
            <w:vMerge/>
            <w:tcBorders>
              <w:top w:val="single" w:sz="4" w:space="0" w:color="auto"/>
              <w:left w:val="single" w:sz="4" w:space="0" w:color="auto"/>
              <w:bottom w:val="single" w:sz="4" w:space="0" w:color="auto"/>
              <w:right w:val="single" w:sz="4" w:space="0" w:color="auto"/>
            </w:tcBorders>
            <w:vAlign w:val="center"/>
            <w:hideMark/>
          </w:tcPr>
          <w:p w14:paraId="4B0445A4"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263" w:type="dxa"/>
            <w:vMerge/>
            <w:tcBorders>
              <w:top w:val="single" w:sz="4" w:space="0" w:color="auto"/>
              <w:left w:val="single" w:sz="4" w:space="0" w:color="auto"/>
              <w:bottom w:val="single" w:sz="4" w:space="0" w:color="000000"/>
              <w:right w:val="single" w:sz="4" w:space="0" w:color="auto"/>
            </w:tcBorders>
            <w:vAlign w:val="center"/>
            <w:hideMark/>
          </w:tcPr>
          <w:p w14:paraId="7DF085D5"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976" w:type="dxa"/>
            <w:vMerge/>
            <w:tcBorders>
              <w:top w:val="single" w:sz="4" w:space="0" w:color="auto"/>
              <w:left w:val="single" w:sz="4" w:space="0" w:color="auto"/>
              <w:bottom w:val="single" w:sz="4" w:space="0" w:color="000000"/>
              <w:right w:val="single" w:sz="4" w:space="0" w:color="auto"/>
            </w:tcBorders>
            <w:vAlign w:val="center"/>
            <w:hideMark/>
          </w:tcPr>
          <w:p w14:paraId="0F4B33BE"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052" w:type="dxa"/>
            <w:vMerge/>
            <w:tcBorders>
              <w:top w:val="single" w:sz="4" w:space="0" w:color="auto"/>
              <w:left w:val="single" w:sz="4" w:space="0" w:color="auto"/>
              <w:bottom w:val="single" w:sz="4" w:space="0" w:color="auto"/>
              <w:right w:val="single" w:sz="4" w:space="0" w:color="auto"/>
            </w:tcBorders>
            <w:vAlign w:val="center"/>
            <w:hideMark/>
          </w:tcPr>
          <w:p w14:paraId="530CC123"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935" w:type="dxa"/>
            <w:vMerge/>
            <w:tcBorders>
              <w:top w:val="single" w:sz="4" w:space="0" w:color="auto"/>
              <w:left w:val="single" w:sz="4" w:space="0" w:color="auto"/>
              <w:bottom w:val="single" w:sz="4" w:space="0" w:color="auto"/>
              <w:right w:val="single" w:sz="4" w:space="0" w:color="auto"/>
            </w:tcBorders>
            <w:vAlign w:val="center"/>
            <w:hideMark/>
          </w:tcPr>
          <w:p w14:paraId="2B5A2FA3"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373" w:type="dxa"/>
            <w:vMerge/>
            <w:tcBorders>
              <w:top w:val="single" w:sz="4" w:space="0" w:color="auto"/>
              <w:left w:val="single" w:sz="4" w:space="0" w:color="auto"/>
              <w:bottom w:val="single" w:sz="4" w:space="0" w:color="auto"/>
              <w:right w:val="single" w:sz="4" w:space="0" w:color="auto"/>
            </w:tcBorders>
            <w:vAlign w:val="center"/>
            <w:hideMark/>
          </w:tcPr>
          <w:p w14:paraId="3DE2447A"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2C69C201"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791" w:type="dxa"/>
            <w:vMerge/>
            <w:tcBorders>
              <w:top w:val="single" w:sz="4" w:space="0" w:color="auto"/>
              <w:left w:val="single" w:sz="4" w:space="0" w:color="auto"/>
              <w:bottom w:val="single" w:sz="4" w:space="0" w:color="auto"/>
              <w:right w:val="single" w:sz="4" w:space="0" w:color="auto"/>
            </w:tcBorders>
            <w:vAlign w:val="center"/>
            <w:hideMark/>
          </w:tcPr>
          <w:p w14:paraId="7044775A"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0DA3B37B"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1167" w:type="dxa"/>
            <w:vMerge/>
            <w:tcBorders>
              <w:top w:val="single" w:sz="4" w:space="0" w:color="auto"/>
              <w:left w:val="single" w:sz="4" w:space="0" w:color="auto"/>
              <w:bottom w:val="single" w:sz="4" w:space="0" w:color="auto"/>
              <w:right w:val="single" w:sz="4" w:space="0" w:color="auto"/>
            </w:tcBorders>
            <w:vAlign w:val="center"/>
            <w:hideMark/>
          </w:tcPr>
          <w:p w14:paraId="5C292BDB"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328456E9"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A070722" w14:textId="77777777" w:rsidR="00475331" w:rsidRPr="00475331" w:rsidRDefault="00475331" w:rsidP="00475331">
            <w:pPr>
              <w:spacing w:after="0" w:line="240" w:lineRule="auto"/>
              <w:rPr>
                <w:rFonts w:ascii="Times New Roman" w:eastAsia="Times New Roman" w:hAnsi="Times New Roman" w:cs="Times New Roman"/>
                <w:b/>
                <w:bCs/>
                <w:color w:val="000000"/>
                <w:sz w:val="20"/>
                <w:szCs w:val="20"/>
                <w:lang w:eastAsia="sk-SK"/>
              </w:rPr>
            </w:pPr>
          </w:p>
        </w:tc>
      </w:tr>
      <w:tr w:rsidR="00475331" w:rsidRPr="00475331" w14:paraId="203FB37D" w14:textId="77777777" w:rsidTr="00475331">
        <w:trPr>
          <w:trHeight w:val="330"/>
        </w:trPr>
        <w:tc>
          <w:tcPr>
            <w:tcW w:w="565" w:type="dxa"/>
            <w:tcBorders>
              <w:top w:val="nil"/>
              <w:left w:val="single" w:sz="4" w:space="0" w:color="auto"/>
              <w:bottom w:val="single" w:sz="4" w:space="0" w:color="auto"/>
              <w:right w:val="single" w:sz="4" w:space="0" w:color="auto"/>
            </w:tcBorders>
            <w:shd w:val="clear" w:color="auto" w:fill="auto"/>
            <w:vAlign w:val="center"/>
            <w:hideMark/>
          </w:tcPr>
          <w:p w14:paraId="6DBCB174" w14:textId="77777777" w:rsidR="00475331" w:rsidRPr="00475331" w:rsidRDefault="00475331" w:rsidP="00475331">
            <w:pPr>
              <w:spacing w:after="0" w:line="240" w:lineRule="auto"/>
              <w:jc w:val="center"/>
              <w:rPr>
                <w:rFonts w:ascii="Times New Roman" w:eastAsia="Times New Roman" w:hAnsi="Times New Roman" w:cs="Times New Roman"/>
                <w:color w:val="000000"/>
                <w:sz w:val="20"/>
                <w:szCs w:val="20"/>
                <w:lang w:eastAsia="sk-SK"/>
              </w:rPr>
            </w:pPr>
            <w:r w:rsidRPr="00475331">
              <w:rPr>
                <w:rFonts w:ascii="Times New Roman" w:eastAsia="Times New Roman" w:hAnsi="Times New Roman" w:cs="Times New Roman"/>
                <w:color w:val="000000"/>
                <w:sz w:val="20"/>
                <w:szCs w:val="20"/>
                <w:lang w:eastAsia="sk-SK"/>
              </w:rPr>
              <w:t>1</w:t>
            </w:r>
          </w:p>
        </w:tc>
        <w:tc>
          <w:tcPr>
            <w:tcW w:w="2113" w:type="dxa"/>
            <w:tcBorders>
              <w:top w:val="nil"/>
              <w:left w:val="nil"/>
              <w:bottom w:val="single" w:sz="4" w:space="0" w:color="auto"/>
              <w:right w:val="single" w:sz="4" w:space="0" w:color="auto"/>
            </w:tcBorders>
            <w:shd w:val="clear" w:color="auto" w:fill="auto"/>
            <w:vAlign w:val="center"/>
            <w:hideMark/>
          </w:tcPr>
          <w:p w14:paraId="7AF09497" w14:textId="77777777" w:rsidR="00475331" w:rsidRPr="00475331" w:rsidRDefault="00475331" w:rsidP="00475331">
            <w:pPr>
              <w:spacing w:after="0" w:line="240" w:lineRule="auto"/>
              <w:jc w:val="center"/>
              <w:rPr>
                <w:rFonts w:ascii="Times New Roman" w:eastAsia="Times New Roman" w:hAnsi="Times New Roman" w:cs="Times New Roman"/>
                <w:color w:val="000000"/>
                <w:sz w:val="20"/>
                <w:szCs w:val="20"/>
                <w:lang w:eastAsia="sk-SK"/>
              </w:rPr>
            </w:pPr>
            <w:r w:rsidRPr="00475331">
              <w:rPr>
                <w:rFonts w:ascii="Times New Roman" w:eastAsia="Times New Roman" w:hAnsi="Times New Roman" w:cs="Times New Roman"/>
                <w:color w:val="000000"/>
                <w:sz w:val="20"/>
                <w:szCs w:val="20"/>
                <w:lang w:eastAsia="sk-SK"/>
              </w:rPr>
              <w:t xml:space="preserve">Prvostupňové overenie výstupných dokumentov posudzovania zhody podľa osobitného predpisu47ak) na účely ďalšieho overenia podľa osobitného predpisu47al) </w:t>
            </w:r>
          </w:p>
        </w:tc>
        <w:tc>
          <w:tcPr>
            <w:tcW w:w="1263" w:type="dxa"/>
            <w:tcBorders>
              <w:top w:val="nil"/>
              <w:left w:val="nil"/>
              <w:bottom w:val="single" w:sz="4" w:space="0" w:color="auto"/>
              <w:right w:val="single" w:sz="4" w:space="0" w:color="auto"/>
            </w:tcBorders>
            <w:shd w:val="clear" w:color="auto" w:fill="auto"/>
            <w:vAlign w:val="center"/>
            <w:hideMark/>
          </w:tcPr>
          <w:p w14:paraId="7A8162F5" w14:textId="77777777" w:rsidR="00475331" w:rsidRPr="00475331" w:rsidRDefault="00475331" w:rsidP="00475331">
            <w:pPr>
              <w:spacing w:after="0" w:line="240" w:lineRule="auto"/>
              <w:jc w:val="center"/>
              <w:rPr>
                <w:rFonts w:ascii="Times New Roman" w:eastAsia="Times New Roman" w:hAnsi="Times New Roman" w:cs="Times New Roman"/>
                <w:color w:val="000000"/>
                <w:sz w:val="20"/>
                <w:szCs w:val="20"/>
                <w:lang w:eastAsia="sk-SK"/>
              </w:rPr>
            </w:pPr>
            <w:r w:rsidRPr="00475331">
              <w:rPr>
                <w:rFonts w:ascii="Times New Roman" w:eastAsia="Times New Roman" w:hAnsi="Times New Roman" w:cs="Times New Roman"/>
                <w:color w:val="000000"/>
                <w:sz w:val="20"/>
                <w:szCs w:val="20"/>
                <w:lang w:eastAsia="sk-SK"/>
              </w:rPr>
              <w:t>Čl. II</w:t>
            </w:r>
            <w:r w:rsidRPr="00475331">
              <w:rPr>
                <w:rFonts w:ascii="Times New Roman" w:eastAsia="Times New Roman" w:hAnsi="Times New Roman" w:cs="Times New Roman"/>
                <w:color w:val="000000"/>
                <w:sz w:val="20"/>
                <w:szCs w:val="20"/>
                <w:lang w:eastAsia="sk-SK"/>
              </w:rPr>
              <w:br/>
              <w:t>Návrh zákona</w:t>
            </w:r>
          </w:p>
        </w:tc>
        <w:tc>
          <w:tcPr>
            <w:tcW w:w="1976" w:type="dxa"/>
            <w:tcBorders>
              <w:top w:val="nil"/>
              <w:left w:val="nil"/>
              <w:bottom w:val="single" w:sz="4" w:space="0" w:color="auto"/>
              <w:right w:val="single" w:sz="4" w:space="0" w:color="auto"/>
            </w:tcBorders>
            <w:shd w:val="clear" w:color="auto" w:fill="auto"/>
            <w:vAlign w:val="center"/>
            <w:hideMark/>
          </w:tcPr>
          <w:p w14:paraId="50BE45D1" w14:textId="77777777" w:rsidR="00475331" w:rsidRPr="00475331" w:rsidRDefault="00475331" w:rsidP="00475331">
            <w:pPr>
              <w:spacing w:after="0" w:line="240" w:lineRule="auto"/>
              <w:jc w:val="center"/>
              <w:rPr>
                <w:rFonts w:ascii="Times New Roman" w:eastAsia="Times New Roman" w:hAnsi="Times New Roman" w:cs="Times New Roman"/>
                <w:color w:val="000000"/>
                <w:sz w:val="20"/>
                <w:szCs w:val="20"/>
                <w:lang w:eastAsia="sk-SK"/>
              </w:rPr>
            </w:pPr>
            <w:r w:rsidRPr="00475331">
              <w:rPr>
                <w:rFonts w:ascii="Times New Roman" w:eastAsia="Times New Roman" w:hAnsi="Times New Roman" w:cs="Times New Roman"/>
                <w:color w:val="000000"/>
                <w:sz w:val="20"/>
                <w:szCs w:val="20"/>
                <w:lang w:eastAsia="sk-SK"/>
              </w:rPr>
              <w:t>Sadzobník správnych poplatkov časť  XVII. METROLÓGIA A POSUDZOVANIE ZHODY, položka 237 písm. g)</w:t>
            </w:r>
          </w:p>
        </w:tc>
        <w:tc>
          <w:tcPr>
            <w:tcW w:w="1052" w:type="dxa"/>
            <w:tcBorders>
              <w:top w:val="nil"/>
              <w:left w:val="nil"/>
              <w:bottom w:val="single" w:sz="4" w:space="0" w:color="auto"/>
              <w:right w:val="single" w:sz="4" w:space="0" w:color="auto"/>
            </w:tcBorders>
            <w:shd w:val="clear" w:color="auto" w:fill="auto"/>
            <w:vAlign w:val="center"/>
            <w:hideMark/>
          </w:tcPr>
          <w:p w14:paraId="2E8943A9" w14:textId="77777777" w:rsidR="00475331" w:rsidRPr="00475331" w:rsidRDefault="00475331" w:rsidP="00475331">
            <w:pPr>
              <w:spacing w:after="0" w:line="240" w:lineRule="auto"/>
              <w:jc w:val="center"/>
              <w:rPr>
                <w:rFonts w:ascii="Times New Roman" w:eastAsia="Times New Roman" w:hAnsi="Times New Roman" w:cs="Times New Roman"/>
                <w:color w:val="000000"/>
                <w:sz w:val="20"/>
                <w:szCs w:val="20"/>
                <w:lang w:eastAsia="sk-SK"/>
              </w:rPr>
            </w:pPr>
            <w:r w:rsidRPr="00475331">
              <w:rPr>
                <w:rFonts w:ascii="Times New Roman" w:eastAsia="Times New Roman" w:hAnsi="Times New Roman" w:cs="Times New Roman"/>
                <w:color w:val="000000"/>
                <w:sz w:val="20"/>
                <w:szCs w:val="20"/>
                <w:lang w:eastAsia="sk-SK"/>
              </w:rPr>
              <w:t>1.SK</w:t>
            </w:r>
          </w:p>
        </w:tc>
        <w:tc>
          <w:tcPr>
            <w:tcW w:w="935" w:type="dxa"/>
            <w:tcBorders>
              <w:top w:val="nil"/>
              <w:left w:val="nil"/>
              <w:bottom w:val="single" w:sz="4" w:space="0" w:color="auto"/>
              <w:right w:val="single" w:sz="4" w:space="0" w:color="auto"/>
            </w:tcBorders>
            <w:shd w:val="clear" w:color="auto" w:fill="auto"/>
            <w:vAlign w:val="center"/>
            <w:hideMark/>
          </w:tcPr>
          <w:p w14:paraId="62F570FA" w14:textId="77777777" w:rsidR="00475331" w:rsidRPr="00475331" w:rsidRDefault="00475331" w:rsidP="00475331">
            <w:pPr>
              <w:spacing w:after="0" w:line="240" w:lineRule="auto"/>
              <w:jc w:val="center"/>
              <w:rPr>
                <w:rFonts w:ascii="Times New Roman" w:eastAsia="Times New Roman" w:hAnsi="Times New Roman" w:cs="Times New Roman"/>
                <w:color w:val="000000"/>
                <w:sz w:val="20"/>
                <w:szCs w:val="20"/>
                <w:lang w:eastAsia="sk-SK"/>
              </w:rPr>
            </w:pPr>
            <w:r w:rsidRPr="00475331">
              <w:rPr>
                <w:rFonts w:ascii="Times New Roman" w:eastAsia="Times New Roman" w:hAnsi="Times New Roman" w:cs="Times New Roman"/>
                <w:color w:val="000000"/>
                <w:sz w:val="20"/>
                <w:szCs w:val="20"/>
                <w:lang w:eastAsia="sk-SK"/>
              </w:rPr>
              <w:t>01.01.26</w:t>
            </w:r>
          </w:p>
        </w:tc>
        <w:tc>
          <w:tcPr>
            <w:tcW w:w="1373" w:type="dxa"/>
            <w:tcBorders>
              <w:top w:val="nil"/>
              <w:left w:val="nil"/>
              <w:bottom w:val="single" w:sz="4" w:space="0" w:color="auto"/>
              <w:right w:val="single" w:sz="4" w:space="0" w:color="auto"/>
            </w:tcBorders>
            <w:shd w:val="clear" w:color="auto" w:fill="auto"/>
            <w:vAlign w:val="center"/>
            <w:hideMark/>
          </w:tcPr>
          <w:p w14:paraId="7CFC04B4" w14:textId="2D6717C2" w:rsidR="00475331" w:rsidRPr="00475331" w:rsidRDefault="00475331" w:rsidP="00475331">
            <w:pPr>
              <w:spacing w:after="0" w:line="240" w:lineRule="auto"/>
              <w:jc w:val="center"/>
              <w:rPr>
                <w:rFonts w:ascii="Times New Roman" w:eastAsia="Times New Roman" w:hAnsi="Times New Roman" w:cs="Times New Roman"/>
                <w:color w:val="000000"/>
                <w:sz w:val="20"/>
                <w:szCs w:val="20"/>
                <w:lang w:eastAsia="sk-SK"/>
              </w:rPr>
            </w:pPr>
            <w:r w:rsidRPr="00475331">
              <w:rPr>
                <w:rFonts w:ascii="Times New Roman" w:eastAsia="Times New Roman" w:hAnsi="Times New Roman" w:cs="Times New Roman"/>
                <w:color w:val="000000"/>
                <w:sz w:val="20"/>
                <w:szCs w:val="20"/>
                <w:lang w:eastAsia="sk-SK"/>
              </w:rPr>
              <w:t>Autorizované a notifikované o</w:t>
            </w:r>
            <w:r>
              <w:rPr>
                <w:rFonts w:ascii="Times New Roman" w:eastAsia="Times New Roman" w:hAnsi="Times New Roman" w:cs="Times New Roman"/>
                <w:color w:val="000000"/>
                <w:sz w:val="20"/>
                <w:szCs w:val="20"/>
                <w:lang w:eastAsia="sk-SK"/>
              </w:rPr>
              <w:t xml:space="preserve">soby a klienti autorizovaných a </w:t>
            </w:r>
            <w:r w:rsidRPr="00475331">
              <w:rPr>
                <w:rFonts w:ascii="Times New Roman" w:eastAsia="Times New Roman" w:hAnsi="Times New Roman" w:cs="Times New Roman"/>
                <w:color w:val="000000"/>
                <w:sz w:val="20"/>
                <w:szCs w:val="20"/>
                <w:lang w:eastAsia="sk-SK"/>
              </w:rPr>
              <w:t>notifikovaných osôb</w:t>
            </w:r>
          </w:p>
        </w:tc>
        <w:tc>
          <w:tcPr>
            <w:tcW w:w="974" w:type="dxa"/>
            <w:tcBorders>
              <w:top w:val="nil"/>
              <w:left w:val="nil"/>
              <w:bottom w:val="single" w:sz="4" w:space="0" w:color="auto"/>
              <w:right w:val="single" w:sz="4" w:space="0" w:color="auto"/>
            </w:tcBorders>
            <w:shd w:val="clear" w:color="auto" w:fill="auto"/>
            <w:vAlign w:val="center"/>
            <w:hideMark/>
          </w:tcPr>
          <w:p w14:paraId="6B4D5E15" w14:textId="2E1A4AB4" w:rsidR="00475331" w:rsidRPr="00475331" w:rsidRDefault="00475331" w:rsidP="00475331">
            <w:pPr>
              <w:spacing w:after="0" w:line="240" w:lineRule="auto"/>
              <w:jc w:val="center"/>
              <w:rPr>
                <w:rFonts w:ascii="Times New Roman" w:eastAsia="Times New Roman" w:hAnsi="Times New Roman" w:cs="Times New Roman"/>
                <w:color w:val="000000"/>
                <w:sz w:val="20"/>
                <w:szCs w:val="20"/>
                <w:lang w:eastAsia="sk-SK"/>
              </w:rPr>
            </w:pPr>
            <w:r w:rsidRPr="00475331">
              <w:rPr>
                <w:rFonts w:ascii="Times New Roman" w:eastAsia="Times New Roman" w:hAnsi="Times New Roman" w:cs="Times New Roman"/>
                <w:color w:val="000000"/>
                <w:sz w:val="20"/>
                <w:szCs w:val="20"/>
                <w:lang w:eastAsia="sk-SK"/>
              </w:rPr>
              <w:t>30</w:t>
            </w:r>
          </w:p>
        </w:tc>
        <w:tc>
          <w:tcPr>
            <w:tcW w:w="791" w:type="dxa"/>
            <w:tcBorders>
              <w:top w:val="nil"/>
              <w:left w:val="nil"/>
              <w:bottom w:val="single" w:sz="4" w:space="0" w:color="auto"/>
              <w:right w:val="single" w:sz="4" w:space="0" w:color="auto"/>
            </w:tcBorders>
            <w:shd w:val="clear" w:color="000000" w:fill="FFFFFF"/>
            <w:vAlign w:val="center"/>
            <w:hideMark/>
          </w:tcPr>
          <w:p w14:paraId="121F2CAA" w14:textId="77777777" w:rsidR="00475331" w:rsidRPr="00475331" w:rsidRDefault="00475331" w:rsidP="00475331">
            <w:pPr>
              <w:spacing w:after="0" w:line="240" w:lineRule="auto"/>
              <w:jc w:val="center"/>
              <w:rPr>
                <w:rFonts w:ascii="Times New Roman" w:eastAsia="Times New Roman" w:hAnsi="Times New Roman" w:cs="Times New Roman"/>
                <w:color w:val="000000"/>
                <w:sz w:val="20"/>
                <w:szCs w:val="20"/>
                <w:lang w:eastAsia="sk-SK"/>
              </w:rPr>
            </w:pPr>
            <w:r w:rsidRPr="00475331">
              <w:rPr>
                <w:rFonts w:ascii="Times New Roman" w:eastAsia="Times New Roman" w:hAnsi="Times New Roman" w:cs="Times New Roman"/>
                <w:color w:val="000000"/>
                <w:sz w:val="20"/>
                <w:szCs w:val="20"/>
                <w:lang w:eastAsia="sk-SK"/>
              </w:rPr>
              <w:t>36</w:t>
            </w:r>
          </w:p>
        </w:tc>
        <w:tc>
          <w:tcPr>
            <w:tcW w:w="974" w:type="dxa"/>
            <w:tcBorders>
              <w:top w:val="nil"/>
              <w:left w:val="nil"/>
              <w:bottom w:val="single" w:sz="4" w:space="0" w:color="auto"/>
              <w:right w:val="single" w:sz="4" w:space="0" w:color="auto"/>
            </w:tcBorders>
            <w:shd w:val="clear" w:color="auto" w:fill="auto"/>
            <w:vAlign w:val="center"/>
            <w:hideMark/>
          </w:tcPr>
          <w:p w14:paraId="510131ED" w14:textId="77777777" w:rsidR="00475331" w:rsidRPr="00475331" w:rsidRDefault="00475331" w:rsidP="00475331">
            <w:pPr>
              <w:spacing w:after="0" w:line="240" w:lineRule="auto"/>
              <w:jc w:val="center"/>
              <w:rPr>
                <w:rFonts w:ascii="Times New Roman" w:eastAsia="Times New Roman" w:hAnsi="Times New Roman" w:cs="Times New Roman"/>
                <w:color w:val="000000"/>
                <w:sz w:val="20"/>
                <w:szCs w:val="20"/>
                <w:lang w:eastAsia="sk-SK"/>
              </w:rPr>
            </w:pPr>
            <w:r w:rsidRPr="00475331">
              <w:rPr>
                <w:rFonts w:ascii="Times New Roman" w:eastAsia="Times New Roman" w:hAnsi="Times New Roman" w:cs="Times New Roman"/>
                <w:color w:val="000000"/>
                <w:sz w:val="20"/>
                <w:szCs w:val="20"/>
                <w:lang w:eastAsia="sk-SK"/>
              </w:rPr>
              <w:t>1 070</w:t>
            </w:r>
          </w:p>
        </w:tc>
        <w:tc>
          <w:tcPr>
            <w:tcW w:w="1167" w:type="dxa"/>
            <w:tcBorders>
              <w:top w:val="nil"/>
              <w:left w:val="nil"/>
              <w:bottom w:val="single" w:sz="4" w:space="0" w:color="auto"/>
              <w:right w:val="single" w:sz="4" w:space="0" w:color="auto"/>
            </w:tcBorders>
            <w:shd w:val="clear" w:color="auto" w:fill="auto"/>
            <w:vAlign w:val="center"/>
            <w:hideMark/>
          </w:tcPr>
          <w:p w14:paraId="35E52578" w14:textId="77777777" w:rsidR="00475331" w:rsidRPr="00475331" w:rsidRDefault="00475331" w:rsidP="00475331">
            <w:pPr>
              <w:spacing w:after="0" w:line="240" w:lineRule="auto"/>
              <w:jc w:val="center"/>
              <w:rPr>
                <w:rFonts w:ascii="Times New Roman" w:eastAsia="Times New Roman" w:hAnsi="Times New Roman" w:cs="Times New Roman"/>
                <w:color w:val="000000"/>
                <w:sz w:val="20"/>
                <w:szCs w:val="20"/>
                <w:lang w:eastAsia="sk-SK"/>
              </w:rPr>
            </w:pPr>
            <w:r w:rsidRPr="00475331">
              <w:rPr>
                <w:rFonts w:ascii="Times New Roman" w:eastAsia="Times New Roman" w:hAnsi="Times New Roman" w:cs="Times New Roman"/>
                <w:color w:val="000000"/>
                <w:sz w:val="20"/>
                <w:szCs w:val="20"/>
                <w:lang w:eastAsia="sk-SK"/>
              </w:rPr>
              <w:t>In (zvyšuje náklady)</w:t>
            </w:r>
          </w:p>
        </w:tc>
        <w:tc>
          <w:tcPr>
            <w:tcW w:w="851" w:type="dxa"/>
            <w:tcBorders>
              <w:top w:val="nil"/>
              <w:left w:val="nil"/>
              <w:bottom w:val="single" w:sz="4" w:space="0" w:color="auto"/>
              <w:right w:val="single" w:sz="4" w:space="0" w:color="auto"/>
            </w:tcBorders>
            <w:shd w:val="clear" w:color="auto" w:fill="auto"/>
            <w:vAlign w:val="center"/>
            <w:hideMark/>
          </w:tcPr>
          <w:p w14:paraId="32DB344D" w14:textId="77777777" w:rsidR="00475331" w:rsidRPr="00475331" w:rsidRDefault="00475331" w:rsidP="00475331">
            <w:pPr>
              <w:spacing w:after="0" w:line="240" w:lineRule="auto"/>
              <w:jc w:val="center"/>
              <w:rPr>
                <w:rFonts w:ascii="Times New Roman" w:eastAsia="Times New Roman" w:hAnsi="Times New Roman" w:cs="Times New Roman"/>
                <w:sz w:val="20"/>
                <w:szCs w:val="20"/>
                <w:lang w:eastAsia="sk-SK"/>
              </w:rPr>
            </w:pPr>
            <w:r w:rsidRPr="00475331">
              <w:rPr>
                <w:rFonts w:ascii="Times New Roman" w:eastAsia="Times New Roman" w:hAnsi="Times New Roman" w:cs="Times New Roman"/>
                <w:sz w:val="20"/>
                <w:szCs w:val="20"/>
                <w:lang w:eastAsia="sk-SK"/>
              </w:rPr>
              <w:t>1 070</w:t>
            </w:r>
          </w:p>
        </w:tc>
        <w:tc>
          <w:tcPr>
            <w:tcW w:w="850" w:type="dxa"/>
            <w:tcBorders>
              <w:top w:val="nil"/>
              <w:left w:val="nil"/>
              <w:bottom w:val="single" w:sz="4" w:space="0" w:color="auto"/>
              <w:right w:val="single" w:sz="4" w:space="0" w:color="auto"/>
            </w:tcBorders>
            <w:shd w:val="clear" w:color="auto" w:fill="auto"/>
            <w:vAlign w:val="center"/>
            <w:hideMark/>
          </w:tcPr>
          <w:p w14:paraId="1E72414C" w14:textId="77777777" w:rsidR="00475331" w:rsidRPr="00475331" w:rsidRDefault="00475331" w:rsidP="00475331">
            <w:pPr>
              <w:spacing w:after="0" w:line="240" w:lineRule="auto"/>
              <w:jc w:val="center"/>
              <w:rPr>
                <w:rFonts w:ascii="Times New Roman" w:eastAsia="Times New Roman" w:hAnsi="Times New Roman" w:cs="Times New Roman"/>
                <w:color w:val="000000"/>
                <w:sz w:val="20"/>
                <w:szCs w:val="20"/>
                <w:lang w:eastAsia="sk-SK"/>
              </w:rPr>
            </w:pPr>
            <w:r w:rsidRPr="00475331">
              <w:rPr>
                <w:rFonts w:ascii="Times New Roman" w:eastAsia="Times New Roman" w:hAnsi="Times New Roman" w:cs="Times New Roman"/>
                <w:color w:val="000000"/>
                <w:sz w:val="20"/>
                <w:szCs w:val="20"/>
                <w:lang w:eastAsia="sk-SK"/>
              </w:rPr>
              <w:t>0</w:t>
            </w:r>
          </w:p>
        </w:tc>
      </w:tr>
    </w:tbl>
    <w:p w14:paraId="6F5B2D7F" w14:textId="30D6E70A" w:rsidR="00475331" w:rsidRDefault="00475331" w:rsidP="00054C41">
      <w:pPr>
        <w:jc w:val="both"/>
        <w:rPr>
          <w:rFonts w:ascii="Times New Roman" w:eastAsia="Calibri" w:hAnsi="Times New Roman" w:cs="Times New Roman"/>
          <w:i/>
          <w:sz w:val="24"/>
          <w:szCs w:val="24"/>
        </w:rPr>
      </w:pPr>
    </w:p>
    <w:p w14:paraId="3F6A31AA" w14:textId="51ED7B1C" w:rsidR="00475331" w:rsidRDefault="00475331" w:rsidP="00054C41">
      <w:pPr>
        <w:jc w:val="both"/>
        <w:rPr>
          <w:rFonts w:ascii="Times New Roman" w:eastAsia="Calibri" w:hAnsi="Times New Roman" w:cs="Times New Roman"/>
          <w:i/>
          <w:sz w:val="24"/>
          <w:szCs w:val="24"/>
        </w:rPr>
      </w:pPr>
    </w:p>
    <w:p w14:paraId="1E98D277" w14:textId="62839376" w:rsidR="00475331" w:rsidRDefault="00475331" w:rsidP="00054C41">
      <w:pPr>
        <w:jc w:val="both"/>
        <w:rPr>
          <w:rFonts w:ascii="Times New Roman" w:eastAsia="Calibri" w:hAnsi="Times New Roman" w:cs="Times New Roman"/>
          <w:i/>
          <w:sz w:val="24"/>
          <w:szCs w:val="24"/>
        </w:rPr>
      </w:pPr>
    </w:p>
    <w:p w14:paraId="6CBD006A" w14:textId="296ADCA0" w:rsidR="00475331" w:rsidRDefault="00475331" w:rsidP="00054C41">
      <w:pPr>
        <w:jc w:val="both"/>
        <w:rPr>
          <w:rFonts w:ascii="Times New Roman" w:eastAsia="Calibri" w:hAnsi="Times New Roman" w:cs="Times New Roman"/>
          <w:i/>
          <w:sz w:val="24"/>
          <w:szCs w:val="24"/>
        </w:rPr>
      </w:pPr>
    </w:p>
    <w:p w14:paraId="039EBBB2" w14:textId="77265F7A" w:rsidR="00475331" w:rsidRDefault="00475331" w:rsidP="00054C41">
      <w:pPr>
        <w:jc w:val="both"/>
        <w:rPr>
          <w:rFonts w:ascii="Times New Roman" w:eastAsia="Calibri" w:hAnsi="Times New Roman" w:cs="Times New Roman"/>
          <w:i/>
          <w:sz w:val="24"/>
          <w:szCs w:val="24"/>
        </w:rPr>
      </w:pPr>
    </w:p>
    <w:p w14:paraId="1629B93E" w14:textId="344C6F95" w:rsidR="00475331" w:rsidRDefault="00475331" w:rsidP="00054C41">
      <w:pPr>
        <w:jc w:val="both"/>
        <w:rPr>
          <w:rFonts w:ascii="Times New Roman" w:eastAsia="Calibri" w:hAnsi="Times New Roman" w:cs="Times New Roman"/>
          <w:i/>
          <w:sz w:val="24"/>
          <w:szCs w:val="24"/>
        </w:rPr>
      </w:pPr>
    </w:p>
    <w:p w14:paraId="736177F9" w14:textId="6C0FFFE2" w:rsidR="00475331" w:rsidRDefault="00475331" w:rsidP="00054C41">
      <w:pPr>
        <w:jc w:val="both"/>
        <w:rPr>
          <w:rFonts w:ascii="Times New Roman" w:eastAsia="Calibri" w:hAnsi="Times New Roman" w:cs="Times New Roman"/>
          <w:i/>
          <w:sz w:val="24"/>
          <w:szCs w:val="24"/>
        </w:rPr>
      </w:pPr>
    </w:p>
    <w:p w14:paraId="3CD86821" w14:textId="77777777" w:rsidR="00475331" w:rsidRDefault="00475331" w:rsidP="00054C41">
      <w:pPr>
        <w:jc w:val="both"/>
        <w:rPr>
          <w:rFonts w:ascii="Times New Roman" w:eastAsia="Calibri" w:hAnsi="Times New Roman" w:cs="Times New Roman"/>
          <w:i/>
          <w:sz w:val="24"/>
          <w:szCs w:val="24"/>
        </w:rPr>
      </w:pPr>
    </w:p>
    <w:p w14:paraId="798179FB" w14:textId="5499AD43"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620856F8" w14:textId="77777777" w:rsidR="00FE4810"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Doplňujúce informácie k spôsobu výpočtu vplyvov jednotlivých regulácií na zmenu nákladov</w:t>
      </w:r>
    </w:p>
    <w:p w14:paraId="3DD488A1" w14:textId="311A58B5" w:rsidR="00420FB8" w:rsidRPr="00420FB8" w:rsidRDefault="00420FB8"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Osobitne pri každej regulácii s vplyvom na PP zhodnotenom v tabuľke č. 2 uveďte doplňujúce informácie tak, aby mohol byť skontrolovaný spôsob a správnosť výpočtov. Uveďte najmä, ako ste vypočítali vplyvy a z akého zdroja ste čerpali početnosti (uveďte aj link na konkrétne štatistiky, ak sú dostupné na internete). Jednotlivé regulácie môžu mať jeden alebo viac typov nákladov (A. Dane, odvody, clá</w:t>
      </w:r>
      <w:r>
        <w:rPr>
          <w:rFonts w:ascii="Times New Roman" w:eastAsia="Calibri" w:hAnsi="Times New Roman" w:cs="Times New Roman"/>
          <w:bCs/>
          <w:i/>
          <w:iCs/>
          <w:color w:val="000000"/>
          <w:sz w:val="24"/>
          <w:szCs w:val="24"/>
        </w:rPr>
        <w:t xml:space="preserve"> </w:t>
      </w:r>
      <w:r w:rsidRPr="00A000DA">
        <w:rPr>
          <w:rFonts w:ascii="Times New Roman" w:eastAsia="Calibri" w:hAnsi="Times New Roman" w:cs="Times New Roman"/>
          <w:bCs/>
          <w:i/>
          <w:iCs/>
          <w:color w:val="000000"/>
          <w:sz w:val="24"/>
          <w:szCs w:val="24"/>
        </w:rPr>
        <w:t>a poplatky, ktorých cieľom je znižovať negatívne externality</w:t>
      </w:r>
      <w:r w:rsidRPr="00D8247C">
        <w:rPr>
          <w:rFonts w:ascii="Times New Roman" w:eastAsia="Calibri" w:hAnsi="Times New Roman" w:cs="Times New Roman"/>
          <w:bCs/>
          <w:i/>
          <w:iCs/>
          <w:color w:val="000000"/>
          <w:sz w:val="24"/>
          <w:szCs w:val="24"/>
        </w:rPr>
        <w:t xml:space="preserve">, B. </w:t>
      </w:r>
      <w:r>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Pr>
          <w:rFonts w:ascii="Times New Roman" w:eastAsia="Calibri" w:hAnsi="Times New Roman" w:cs="Times New Roman"/>
          <w:bCs/>
          <w:i/>
          <w:iCs/>
          <w:color w:val="000000"/>
          <w:sz w:val="24"/>
          <w:szCs w:val="24"/>
        </w:rPr>
        <w:t xml:space="preserve">Nepriame finančné náklady,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01864A33" w14:textId="03EE4435" w:rsidR="0087345B" w:rsidRDefault="00A709C3" w:rsidP="00816453">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Úrad </w:t>
      </w:r>
      <w:r w:rsidR="008C7DE9">
        <w:rPr>
          <w:rFonts w:ascii="Times New Roman" w:eastAsia="Calibri" w:hAnsi="Times New Roman" w:cs="Times New Roman"/>
          <w:bCs/>
          <w:iCs/>
          <w:color w:val="000000"/>
          <w:sz w:val="24"/>
          <w:szCs w:val="24"/>
        </w:rPr>
        <w:t xml:space="preserve">v predkladanom návrhu </w:t>
      </w:r>
      <w:r>
        <w:rPr>
          <w:rFonts w:ascii="Times New Roman" w:eastAsia="Calibri" w:hAnsi="Times New Roman" w:cs="Times New Roman"/>
          <w:bCs/>
          <w:iCs/>
          <w:color w:val="000000"/>
          <w:sz w:val="24"/>
          <w:szCs w:val="24"/>
        </w:rPr>
        <w:t>identifikoval</w:t>
      </w:r>
      <w:r w:rsidR="008C7DE9">
        <w:rPr>
          <w:rFonts w:ascii="Times New Roman" w:eastAsia="Calibri" w:hAnsi="Times New Roman" w:cs="Times New Roman"/>
          <w:bCs/>
          <w:iCs/>
          <w:color w:val="000000"/>
          <w:sz w:val="24"/>
          <w:szCs w:val="24"/>
        </w:rPr>
        <w:t xml:space="preserve"> 1 reguláciu s vplyvom na podnikateľské prostredie</w:t>
      </w:r>
      <w:r w:rsidR="00816453">
        <w:rPr>
          <w:rFonts w:ascii="Times New Roman" w:eastAsia="Calibri" w:hAnsi="Times New Roman" w:cs="Times New Roman"/>
          <w:bCs/>
          <w:iCs/>
          <w:color w:val="000000"/>
          <w:sz w:val="24"/>
          <w:szCs w:val="24"/>
        </w:rPr>
        <w:t xml:space="preserve">, ktorá je predmetom kalkulačky nákladov. Jedná sa o administratívne náklady, ktoré súvisia so </w:t>
      </w:r>
      <w:r>
        <w:rPr>
          <w:rFonts w:ascii="Times New Roman" w:eastAsia="Calibri" w:hAnsi="Times New Roman" w:cs="Times New Roman"/>
          <w:bCs/>
          <w:iCs/>
          <w:color w:val="000000"/>
          <w:sz w:val="24"/>
          <w:szCs w:val="24"/>
        </w:rPr>
        <w:t>zaveden</w:t>
      </w:r>
      <w:r w:rsidR="00816453">
        <w:rPr>
          <w:rFonts w:ascii="Times New Roman" w:eastAsia="Calibri" w:hAnsi="Times New Roman" w:cs="Times New Roman"/>
          <w:bCs/>
          <w:iCs/>
          <w:color w:val="000000"/>
          <w:sz w:val="24"/>
          <w:szCs w:val="24"/>
        </w:rPr>
        <w:t>ím</w:t>
      </w:r>
      <w:r>
        <w:rPr>
          <w:rFonts w:ascii="Times New Roman" w:eastAsia="Calibri" w:hAnsi="Times New Roman" w:cs="Times New Roman"/>
          <w:bCs/>
          <w:iCs/>
          <w:color w:val="000000"/>
          <w:sz w:val="24"/>
          <w:szCs w:val="24"/>
        </w:rPr>
        <w:t xml:space="preserve"> nového správneho poplatku za prvostupňové overenie výstupných dokumentov</w:t>
      </w:r>
      <w:r w:rsidR="00290F7D">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posudzovania zhody</w:t>
      </w:r>
      <w:r w:rsidR="0087345B">
        <w:rPr>
          <w:rFonts w:ascii="Times New Roman" w:eastAsia="Calibri" w:hAnsi="Times New Roman" w:cs="Times New Roman"/>
          <w:bCs/>
          <w:iCs/>
          <w:color w:val="000000"/>
          <w:sz w:val="24"/>
          <w:szCs w:val="24"/>
        </w:rPr>
        <w:t xml:space="preserve"> (ďalej len „správny poplatok“)</w:t>
      </w:r>
      <w:r w:rsidR="00475331">
        <w:rPr>
          <w:rFonts w:ascii="Times New Roman" w:eastAsia="Calibri" w:hAnsi="Times New Roman" w:cs="Times New Roman"/>
          <w:bCs/>
          <w:iCs/>
          <w:color w:val="000000"/>
          <w:sz w:val="24"/>
          <w:szCs w:val="24"/>
        </w:rPr>
        <w:t>, ktorý vyplynul z aplikačnej praxe.</w:t>
      </w:r>
    </w:p>
    <w:p w14:paraId="7FE83E48" w14:textId="5A5ECA5D" w:rsidR="00816453" w:rsidRPr="001E771B" w:rsidRDefault="00A709C3" w:rsidP="00816453">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Vydávanie výstupných dokumentov posudzovania zhody je </w:t>
      </w:r>
      <w:r w:rsidR="00290F7D">
        <w:rPr>
          <w:rFonts w:ascii="Times New Roman" w:eastAsia="Calibri" w:hAnsi="Times New Roman" w:cs="Times New Roman"/>
          <w:bCs/>
          <w:iCs/>
          <w:color w:val="000000"/>
          <w:sz w:val="24"/>
          <w:szCs w:val="24"/>
        </w:rPr>
        <w:t>upravené</w:t>
      </w:r>
      <w:r>
        <w:rPr>
          <w:rFonts w:ascii="Times New Roman" w:eastAsia="Calibri" w:hAnsi="Times New Roman" w:cs="Times New Roman"/>
          <w:bCs/>
          <w:iCs/>
          <w:color w:val="000000"/>
          <w:sz w:val="24"/>
          <w:szCs w:val="24"/>
        </w:rPr>
        <w:t xml:space="preserve"> v § 21 ods. 3 zákona č. 56/2018 Z. z. </w:t>
      </w:r>
      <w:r w:rsidR="00290F7D">
        <w:rPr>
          <w:rFonts w:ascii="Times New Roman" w:eastAsia="Calibri" w:hAnsi="Times New Roman" w:cs="Times New Roman"/>
          <w:bCs/>
          <w:iCs/>
          <w:color w:val="000000"/>
          <w:sz w:val="24"/>
          <w:szCs w:val="24"/>
        </w:rPr>
        <w:t xml:space="preserve">Výstupné dokumenty posudzovania zhody úrad prvostupňovo overuje </w:t>
      </w:r>
      <w:r>
        <w:rPr>
          <w:rFonts w:ascii="Times New Roman" w:eastAsia="Calibri" w:hAnsi="Times New Roman" w:cs="Times New Roman"/>
          <w:bCs/>
          <w:iCs/>
          <w:color w:val="000000"/>
          <w:sz w:val="24"/>
          <w:szCs w:val="24"/>
        </w:rPr>
        <w:t>na základe písomnej žiadosti o overenie výstupného dokumentu posudzovania zhody alebo iného dokumentu vydaného slovenskými autorizovanými alebo notifikovanými osobami</w:t>
      </w:r>
      <w:r w:rsidR="00290F7D">
        <w:rPr>
          <w:rFonts w:ascii="Times New Roman" w:eastAsia="Calibri" w:hAnsi="Times New Roman" w:cs="Times New Roman"/>
          <w:bCs/>
          <w:iCs/>
          <w:color w:val="000000"/>
          <w:sz w:val="24"/>
          <w:szCs w:val="24"/>
        </w:rPr>
        <w:t xml:space="preserve"> (ďalej len „AO/NO“)</w:t>
      </w:r>
      <w:r>
        <w:rPr>
          <w:rFonts w:ascii="Times New Roman" w:eastAsia="Calibri" w:hAnsi="Times New Roman" w:cs="Times New Roman"/>
          <w:bCs/>
          <w:iCs/>
          <w:color w:val="000000"/>
          <w:sz w:val="24"/>
          <w:szCs w:val="24"/>
        </w:rPr>
        <w:t xml:space="preserve">. </w:t>
      </w:r>
      <w:r w:rsidR="00FE4810">
        <w:rPr>
          <w:rFonts w:ascii="Times New Roman" w:eastAsia="Calibri" w:hAnsi="Times New Roman" w:cs="Times New Roman"/>
          <w:bCs/>
          <w:iCs/>
          <w:color w:val="000000"/>
          <w:sz w:val="24"/>
          <w:szCs w:val="24"/>
        </w:rPr>
        <w:t>P</w:t>
      </w:r>
      <w:r>
        <w:rPr>
          <w:rFonts w:ascii="Times New Roman" w:eastAsia="Calibri" w:hAnsi="Times New Roman" w:cs="Times New Roman"/>
          <w:bCs/>
          <w:iCs/>
          <w:color w:val="000000"/>
          <w:sz w:val="24"/>
          <w:szCs w:val="24"/>
        </w:rPr>
        <w:t>ísomnú žiadosť o overenie podá</w:t>
      </w:r>
      <w:r w:rsidR="00FE4810">
        <w:rPr>
          <w:rFonts w:ascii="Times New Roman" w:eastAsia="Calibri" w:hAnsi="Times New Roman" w:cs="Times New Roman"/>
          <w:bCs/>
          <w:iCs/>
          <w:color w:val="000000"/>
          <w:sz w:val="24"/>
          <w:szCs w:val="24"/>
        </w:rPr>
        <w:t>va</w:t>
      </w:r>
      <w:r>
        <w:rPr>
          <w:rFonts w:ascii="Times New Roman" w:eastAsia="Calibri" w:hAnsi="Times New Roman" w:cs="Times New Roman"/>
          <w:bCs/>
          <w:iCs/>
          <w:color w:val="000000"/>
          <w:sz w:val="24"/>
          <w:szCs w:val="24"/>
        </w:rPr>
        <w:t xml:space="preserve"> </w:t>
      </w:r>
      <w:r w:rsidR="00290F7D">
        <w:rPr>
          <w:rFonts w:ascii="Times New Roman" w:eastAsia="Calibri" w:hAnsi="Times New Roman" w:cs="Times New Roman"/>
          <w:bCs/>
          <w:iCs/>
          <w:color w:val="000000"/>
          <w:sz w:val="24"/>
          <w:szCs w:val="24"/>
        </w:rPr>
        <w:t>AO/NO</w:t>
      </w:r>
      <w:r>
        <w:rPr>
          <w:rFonts w:ascii="Times New Roman" w:eastAsia="Calibri" w:hAnsi="Times New Roman" w:cs="Times New Roman"/>
          <w:bCs/>
          <w:iCs/>
          <w:color w:val="000000"/>
          <w:sz w:val="24"/>
          <w:szCs w:val="24"/>
        </w:rPr>
        <w:t xml:space="preserve"> alebo klient </w:t>
      </w:r>
      <w:r w:rsidR="00290F7D">
        <w:rPr>
          <w:rFonts w:ascii="Times New Roman" w:eastAsia="Calibri" w:hAnsi="Times New Roman" w:cs="Times New Roman"/>
          <w:bCs/>
          <w:iCs/>
          <w:color w:val="000000"/>
          <w:sz w:val="24"/>
          <w:szCs w:val="24"/>
        </w:rPr>
        <w:t>AO/NO.</w:t>
      </w:r>
      <w:r>
        <w:rPr>
          <w:rFonts w:ascii="Times New Roman" w:eastAsia="Calibri" w:hAnsi="Times New Roman" w:cs="Times New Roman"/>
          <w:bCs/>
          <w:iCs/>
          <w:color w:val="000000"/>
          <w:sz w:val="24"/>
          <w:szCs w:val="24"/>
        </w:rPr>
        <w:t xml:space="preserve"> Klient AO/NO je subjekt, ktorému AO/NO vydala výstupný dokument posudzovania zhody.</w:t>
      </w:r>
      <w:r w:rsidR="00816453">
        <w:rPr>
          <w:rFonts w:ascii="Times New Roman" w:eastAsia="Calibri" w:hAnsi="Times New Roman" w:cs="Times New Roman"/>
          <w:bCs/>
          <w:iCs/>
          <w:color w:val="000000"/>
          <w:sz w:val="24"/>
          <w:szCs w:val="24"/>
        </w:rPr>
        <w:t xml:space="preserve"> </w:t>
      </w:r>
    </w:p>
    <w:p w14:paraId="5DFA0A74" w14:textId="69009766" w:rsidR="003673CD" w:rsidRPr="0087345B" w:rsidRDefault="00A709C3" w:rsidP="00054C41">
      <w:pPr>
        <w:jc w:val="both"/>
        <w:rPr>
          <w:rFonts w:ascii="Times New Roman" w:eastAsia="Calibri" w:hAnsi="Times New Roman" w:cs="Times New Roman"/>
          <w:bCs/>
          <w:iCs/>
          <w:color w:val="000000"/>
          <w:sz w:val="24"/>
          <w:szCs w:val="24"/>
        </w:rPr>
      </w:pPr>
      <w:r>
        <w:rPr>
          <w:rFonts w:ascii="Times New Roman" w:eastAsia="Calibri" w:hAnsi="Times New Roman" w:cs="Times New Roman"/>
          <w:bCs/>
          <w:iCs/>
          <w:color w:val="000000"/>
          <w:sz w:val="24"/>
          <w:szCs w:val="24"/>
        </w:rPr>
        <w:t xml:space="preserve"> </w:t>
      </w:r>
      <w:r w:rsidRPr="0087345B">
        <w:rPr>
          <w:rFonts w:ascii="Times New Roman" w:eastAsia="Calibri" w:hAnsi="Times New Roman" w:cs="Times New Roman"/>
          <w:bCs/>
          <w:iCs/>
          <w:color w:val="000000"/>
          <w:sz w:val="24"/>
          <w:szCs w:val="24"/>
        </w:rPr>
        <w:t>Pri identifikácii vplyv</w:t>
      </w:r>
      <w:r w:rsidR="00FE4810" w:rsidRPr="0087345B">
        <w:rPr>
          <w:rFonts w:ascii="Times New Roman" w:eastAsia="Calibri" w:hAnsi="Times New Roman" w:cs="Times New Roman"/>
          <w:bCs/>
          <w:iCs/>
          <w:color w:val="000000"/>
          <w:sz w:val="24"/>
          <w:szCs w:val="24"/>
        </w:rPr>
        <w:t>ov</w:t>
      </w:r>
      <w:r w:rsidRPr="0087345B">
        <w:rPr>
          <w:rFonts w:ascii="Times New Roman" w:eastAsia="Calibri" w:hAnsi="Times New Roman" w:cs="Times New Roman"/>
          <w:bCs/>
          <w:iCs/>
          <w:color w:val="000000"/>
          <w:sz w:val="24"/>
          <w:szCs w:val="24"/>
        </w:rPr>
        <w:t xml:space="preserve"> na podnikateľské prostredie úrad vychádzal z výročnej správy za rok 2024, kedy v roku 2023 </w:t>
      </w:r>
      <w:r w:rsidR="00563E84" w:rsidRPr="0087345B">
        <w:rPr>
          <w:rFonts w:ascii="Times New Roman" w:eastAsia="Calibri" w:hAnsi="Times New Roman" w:cs="Times New Roman"/>
          <w:bCs/>
          <w:iCs/>
          <w:color w:val="000000"/>
          <w:sz w:val="24"/>
          <w:szCs w:val="24"/>
        </w:rPr>
        <w:t xml:space="preserve">vykonal prvostupňové overenie </w:t>
      </w:r>
      <w:r w:rsidR="00FE4810" w:rsidRPr="0087345B">
        <w:rPr>
          <w:rFonts w:ascii="Times New Roman" w:eastAsia="Calibri" w:hAnsi="Times New Roman" w:cs="Times New Roman"/>
          <w:bCs/>
          <w:iCs/>
          <w:color w:val="000000"/>
          <w:sz w:val="24"/>
          <w:szCs w:val="24"/>
        </w:rPr>
        <w:t xml:space="preserve">na základe </w:t>
      </w:r>
      <w:r w:rsidR="00563E84" w:rsidRPr="0087345B">
        <w:rPr>
          <w:rFonts w:ascii="Times New Roman" w:eastAsia="Calibri" w:hAnsi="Times New Roman" w:cs="Times New Roman"/>
          <w:bCs/>
          <w:iCs/>
          <w:color w:val="000000"/>
          <w:sz w:val="24"/>
          <w:szCs w:val="24"/>
        </w:rPr>
        <w:t xml:space="preserve"> 8</w:t>
      </w:r>
      <w:r w:rsidR="00FE4810" w:rsidRPr="0087345B">
        <w:rPr>
          <w:rFonts w:ascii="Times New Roman" w:eastAsia="Calibri" w:hAnsi="Times New Roman" w:cs="Times New Roman"/>
          <w:bCs/>
          <w:iCs/>
          <w:color w:val="000000"/>
          <w:sz w:val="24"/>
          <w:szCs w:val="24"/>
        </w:rPr>
        <w:t xml:space="preserve"> podaných</w:t>
      </w:r>
      <w:r w:rsidR="00563E84" w:rsidRPr="0087345B">
        <w:rPr>
          <w:rFonts w:ascii="Times New Roman" w:eastAsia="Calibri" w:hAnsi="Times New Roman" w:cs="Times New Roman"/>
          <w:bCs/>
          <w:iCs/>
          <w:color w:val="000000"/>
          <w:sz w:val="24"/>
          <w:szCs w:val="24"/>
        </w:rPr>
        <w:t xml:space="preserve"> žiadost</w:t>
      </w:r>
      <w:r w:rsidR="00FE4810" w:rsidRPr="0087345B">
        <w:rPr>
          <w:rFonts w:ascii="Times New Roman" w:eastAsia="Calibri" w:hAnsi="Times New Roman" w:cs="Times New Roman"/>
          <w:bCs/>
          <w:iCs/>
          <w:color w:val="000000"/>
          <w:sz w:val="24"/>
          <w:szCs w:val="24"/>
        </w:rPr>
        <w:t xml:space="preserve">í </w:t>
      </w:r>
      <w:r w:rsidR="00563E84" w:rsidRPr="0087345B">
        <w:rPr>
          <w:rFonts w:ascii="Times New Roman" w:eastAsia="Calibri" w:hAnsi="Times New Roman" w:cs="Times New Roman"/>
          <w:bCs/>
          <w:iCs/>
          <w:color w:val="000000"/>
          <w:sz w:val="24"/>
          <w:szCs w:val="24"/>
        </w:rPr>
        <w:t xml:space="preserve">a v roku 2024 </w:t>
      </w:r>
      <w:r w:rsidR="00FE4810" w:rsidRPr="0087345B">
        <w:rPr>
          <w:rFonts w:ascii="Times New Roman" w:eastAsia="Calibri" w:hAnsi="Times New Roman" w:cs="Times New Roman"/>
          <w:bCs/>
          <w:iCs/>
          <w:color w:val="000000"/>
          <w:sz w:val="24"/>
          <w:szCs w:val="24"/>
        </w:rPr>
        <w:t>na základe 11 podaných žiadostí.</w:t>
      </w:r>
      <w:r w:rsidR="003673CD" w:rsidRPr="0087345B">
        <w:rPr>
          <w:rFonts w:ascii="Times New Roman" w:eastAsia="Calibri" w:hAnsi="Times New Roman" w:cs="Times New Roman"/>
          <w:bCs/>
          <w:iCs/>
          <w:color w:val="000000"/>
          <w:sz w:val="24"/>
          <w:szCs w:val="24"/>
        </w:rPr>
        <w:t xml:space="preserve"> Správny poplatok sa bude týkať približne 30 subjektov. Počet subjektov bol stanovený z aktuálneho počtu AO/NO, ktorých je 20 s prirátaním minimálne ďalších 10 žiadateľov, ktorí s</w:t>
      </w:r>
      <w:r w:rsidR="00816453" w:rsidRPr="0087345B">
        <w:rPr>
          <w:rFonts w:ascii="Times New Roman" w:eastAsia="Calibri" w:hAnsi="Times New Roman" w:cs="Times New Roman"/>
          <w:bCs/>
          <w:iCs/>
          <w:color w:val="000000"/>
          <w:sz w:val="24"/>
          <w:szCs w:val="24"/>
        </w:rPr>
        <w:t xml:space="preserve">ú klientmi AO/NO. </w:t>
      </w:r>
      <w:r w:rsidR="003673CD" w:rsidRPr="0087345B">
        <w:rPr>
          <w:rFonts w:ascii="Times New Roman" w:eastAsia="Calibri" w:hAnsi="Times New Roman" w:cs="Times New Roman"/>
          <w:bCs/>
          <w:iCs/>
          <w:color w:val="000000"/>
          <w:sz w:val="24"/>
          <w:szCs w:val="24"/>
        </w:rPr>
        <w:t>O</w:t>
      </w:r>
      <w:r w:rsidR="00563E84" w:rsidRPr="0087345B">
        <w:rPr>
          <w:rFonts w:ascii="Times New Roman" w:eastAsia="Calibri" w:hAnsi="Times New Roman" w:cs="Times New Roman"/>
          <w:bCs/>
          <w:iCs/>
          <w:color w:val="000000"/>
          <w:sz w:val="24"/>
          <w:szCs w:val="24"/>
        </w:rPr>
        <w:t>verenie</w:t>
      </w:r>
      <w:r w:rsidR="003673CD" w:rsidRPr="0087345B">
        <w:rPr>
          <w:rFonts w:ascii="Times New Roman" w:eastAsia="Calibri" w:hAnsi="Times New Roman" w:cs="Times New Roman"/>
          <w:bCs/>
          <w:iCs/>
          <w:color w:val="000000"/>
          <w:sz w:val="24"/>
          <w:szCs w:val="24"/>
        </w:rPr>
        <w:t xml:space="preserve"> v</w:t>
      </w:r>
      <w:r w:rsidR="00420FB8" w:rsidRPr="0087345B">
        <w:rPr>
          <w:rFonts w:ascii="Times New Roman" w:eastAsia="Calibri" w:hAnsi="Times New Roman" w:cs="Times New Roman"/>
          <w:bCs/>
          <w:iCs/>
          <w:color w:val="000000"/>
          <w:sz w:val="24"/>
          <w:szCs w:val="24"/>
        </w:rPr>
        <w:t>ý</w:t>
      </w:r>
      <w:r w:rsidR="003673CD" w:rsidRPr="0087345B">
        <w:rPr>
          <w:rFonts w:ascii="Times New Roman" w:eastAsia="Calibri" w:hAnsi="Times New Roman" w:cs="Times New Roman"/>
          <w:bCs/>
          <w:iCs/>
          <w:color w:val="000000"/>
          <w:sz w:val="24"/>
          <w:szCs w:val="24"/>
        </w:rPr>
        <w:t>stupných dokumentov</w:t>
      </w:r>
      <w:r w:rsidR="00290F7D" w:rsidRPr="0087345B">
        <w:rPr>
          <w:rFonts w:ascii="Times New Roman" w:eastAsia="Calibri" w:hAnsi="Times New Roman" w:cs="Times New Roman"/>
          <w:bCs/>
          <w:iCs/>
          <w:color w:val="000000"/>
          <w:sz w:val="24"/>
          <w:szCs w:val="24"/>
        </w:rPr>
        <w:t xml:space="preserve"> posudzovania zhody</w:t>
      </w:r>
      <w:r w:rsidR="00563E84" w:rsidRPr="0087345B">
        <w:rPr>
          <w:rFonts w:ascii="Times New Roman" w:eastAsia="Calibri" w:hAnsi="Times New Roman" w:cs="Times New Roman"/>
          <w:bCs/>
          <w:iCs/>
          <w:color w:val="000000"/>
          <w:sz w:val="24"/>
          <w:szCs w:val="24"/>
        </w:rPr>
        <w:t xml:space="preserve"> využívajú </w:t>
      </w:r>
      <w:r w:rsidR="003673CD" w:rsidRPr="0087345B">
        <w:rPr>
          <w:rFonts w:ascii="Times New Roman" w:eastAsia="Calibri" w:hAnsi="Times New Roman" w:cs="Times New Roman"/>
          <w:bCs/>
          <w:iCs/>
          <w:color w:val="000000"/>
          <w:sz w:val="24"/>
          <w:szCs w:val="24"/>
        </w:rPr>
        <w:t xml:space="preserve">najmä </w:t>
      </w:r>
      <w:r w:rsidR="00563E84" w:rsidRPr="0087345B">
        <w:rPr>
          <w:rFonts w:ascii="Times New Roman" w:eastAsia="Calibri" w:hAnsi="Times New Roman" w:cs="Times New Roman"/>
          <w:bCs/>
          <w:iCs/>
          <w:color w:val="000000"/>
          <w:sz w:val="24"/>
          <w:szCs w:val="24"/>
        </w:rPr>
        <w:t>AO/NO, neobvykle</w:t>
      </w:r>
      <w:r w:rsidR="00290F7D" w:rsidRPr="0087345B">
        <w:rPr>
          <w:rFonts w:ascii="Times New Roman" w:eastAsia="Calibri" w:hAnsi="Times New Roman" w:cs="Times New Roman"/>
          <w:bCs/>
          <w:iCs/>
          <w:color w:val="000000"/>
          <w:sz w:val="24"/>
          <w:szCs w:val="24"/>
        </w:rPr>
        <w:t xml:space="preserve"> aj</w:t>
      </w:r>
      <w:r w:rsidR="00563E84" w:rsidRPr="0087345B">
        <w:rPr>
          <w:rFonts w:ascii="Times New Roman" w:eastAsia="Calibri" w:hAnsi="Times New Roman" w:cs="Times New Roman"/>
          <w:bCs/>
          <w:iCs/>
          <w:color w:val="000000"/>
          <w:sz w:val="24"/>
          <w:szCs w:val="24"/>
        </w:rPr>
        <w:t xml:space="preserve"> </w:t>
      </w:r>
      <w:r w:rsidR="003673CD" w:rsidRPr="0087345B">
        <w:rPr>
          <w:rFonts w:ascii="Times New Roman" w:eastAsia="Calibri" w:hAnsi="Times New Roman" w:cs="Times New Roman"/>
          <w:bCs/>
          <w:iCs/>
          <w:color w:val="000000"/>
          <w:sz w:val="24"/>
          <w:szCs w:val="24"/>
        </w:rPr>
        <w:t>klienti</w:t>
      </w:r>
      <w:r w:rsidR="00134E33" w:rsidRPr="0087345B">
        <w:rPr>
          <w:rFonts w:ascii="Times New Roman" w:eastAsia="Calibri" w:hAnsi="Times New Roman" w:cs="Times New Roman"/>
          <w:bCs/>
          <w:iCs/>
          <w:color w:val="000000"/>
          <w:sz w:val="24"/>
          <w:szCs w:val="24"/>
        </w:rPr>
        <w:t xml:space="preserve"> AO/NO</w:t>
      </w:r>
      <w:r w:rsidR="00563E84" w:rsidRPr="0087345B">
        <w:rPr>
          <w:rFonts w:ascii="Times New Roman" w:eastAsia="Calibri" w:hAnsi="Times New Roman" w:cs="Times New Roman"/>
          <w:bCs/>
          <w:iCs/>
          <w:color w:val="000000"/>
          <w:sz w:val="24"/>
          <w:szCs w:val="24"/>
        </w:rPr>
        <w:t xml:space="preserve">. </w:t>
      </w:r>
    </w:p>
    <w:p w14:paraId="28EEF991" w14:textId="57B03C07" w:rsidR="003673CD" w:rsidRPr="0087345B" w:rsidRDefault="003673CD" w:rsidP="00054C41">
      <w:pPr>
        <w:jc w:val="both"/>
        <w:rPr>
          <w:rFonts w:ascii="Times New Roman" w:eastAsia="Calibri" w:hAnsi="Times New Roman" w:cs="Times New Roman"/>
          <w:bCs/>
          <w:iCs/>
          <w:color w:val="000000"/>
          <w:sz w:val="24"/>
          <w:szCs w:val="24"/>
        </w:rPr>
      </w:pPr>
      <w:r w:rsidRPr="0087345B">
        <w:rPr>
          <w:rFonts w:ascii="Times New Roman" w:eastAsia="Calibri" w:hAnsi="Times New Roman" w:cs="Times New Roman"/>
          <w:bCs/>
          <w:iCs/>
          <w:color w:val="000000"/>
          <w:sz w:val="24"/>
          <w:szCs w:val="24"/>
        </w:rPr>
        <w:t>Ú</w:t>
      </w:r>
      <w:r w:rsidR="00563E84" w:rsidRPr="0087345B">
        <w:rPr>
          <w:rFonts w:ascii="Times New Roman" w:eastAsia="Calibri" w:hAnsi="Times New Roman" w:cs="Times New Roman"/>
          <w:bCs/>
          <w:iCs/>
          <w:color w:val="000000"/>
          <w:sz w:val="24"/>
          <w:szCs w:val="24"/>
        </w:rPr>
        <w:t>rad má zato, že zavedením správneho poplatku nebude enormne zaťažené podnikateľ</w:t>
      </w:r>
      <w:r w:rsidR="00290F7D" w:rsidRPr="0087345B">
        <w:rPr>
          <w:rFonts w:ascii="Times New Roman" w:eastAsia="Calibri" w:hAnsi="Times New Roman" w:cs="Times New Roman"/>
          <w:bCs/>
          <w:iCs/>
          <w:color w:val="000000"/>
          <w:sz w:val="24"/>
          <w:szCs w:val="24"/>
        </w:rPr>
        <w:t>s</w:t>
      </w:r>
      <w:r w:rsidR="00563E84" w:rsidRPr="0087345B">
        <w:rPr>
          <w:rFonts w:ascii="Times New Roman" w:eastAsia="Calibri" w:hAnsi="Times New Roman" w:cs="Times New Roman"/>
          <w:bCs/>
          <w:iCs/>
          <w:color w:val="000000"/>
          <w:sz w:val="24"/>
          <w:szCs w:val="24"/>
        </w:rPr>
        <w:t>k</w:t>
      </w:r>
      <w:r w:rsidRPr="0087345B">
        <w:rPr>
          <w:rFonts w:ascii="Times New Roman" w:eastAsia="Calibri" w:hAnsi="Times New Roman" w:cs="Times New Roman"/>
          <w:bCs/>
          <w:iCs/>
          <w:color w:val="000000"/>
          <w:sz w:val="24"/>
          <w:szCs w:val="24"/>
        </w:rPr>
        <w:t xml:space="preserve">é </w:t>
      </w:r>
      <w:r w:rsidR="00563E84" w:rsidRPr="0087345B">
        <w:rPr>
          <w:rFonts w:ascii="Times New Roman" w:eastAsia="Calibri" w:hAnsi="Times New Roman" w:cs="Times New Roman"/>
          <w:bCs/>
          <w:iCs/>
          <w:color w:val="000000"/>
          <w:sz w:val="24"/>
          <w:szCs w:val="24"/>
        </w:rPr>
        <w:t>prostredie</w:t>
      </w:r>
      <w:r w:rsidR="00290F7D" w:rsidRPr="0087345B">
        <w:rPr>
          <w:rFonts w:ascii="Times New Roman" w:eastAsia="Calibri" w:hAnsi="Times New Roman" w:cs="Times New Roman"/>
          <w:bCs/>
          <w:iCs/>
          <w:color w:val="000000"/>
          <w:sz w:val="24"/>
          <w:szCs w:val="24"/>
        </w:rPr>
        <w:t xml:space="preserve"> a</w:t>
      </w:r>
      <w:r w:rsidR="00563E84" w:rsidRPr="0087345B">
        <w:rPr>
          <w:rFonts w:ascii="Times New Roman" w:eastAsia="Calibri" w:hAnsi="Times New Roman" w:cs="Times New Roman"/>
          <w:bCs/>
          <w:iCs/>
          <w:color w:val="000000"/>
          <w:sz w:val="24"/>
          <w:szCs w:val="24"/>
        </w:rPr>
        <w:t xml:space="preserve"> ani nevzniknú podnikateľským subjekto</w:t>
      </w:r>
      <w:r w:rsidRPr="0087345B">
        <w:rPr>
          <w:rFonts w:ascii="Times New Roman" w:eastAsia="Calibri" w:hAnsi="Times New Roman" w:cs="Times New Roman"/>
          <w:bCs/>
          <w:iCs/>
          <w:color w:val="000000"/>
          <w:sz w:val="24"/>
          <w:szCs w:val="24"/>
        </w:rPr>
        <w:t>m</w:t>
      </w:r>
      <w:r w:rsidR="00563E84" w:rsidRPr="0087345B">
        <w:rPr>
          <w:rFonts w:ascii="Times New Roman" w:eastAsia="Calibri" w:hAnsi="Times New Roman" w:cs="Times New Roman"/>
          <w:bCs/>
          <w:iCs/>
          <w:color w:val="000000"/>
          <w:sz w:val="24"/>
          <w:szCs w:val="24"/>
        </w:rPr>
        <w:t xml:space="preserve"> tak</w:t>
      </w:r>
      <w:r w:rsidR="00290F7D" w:rsidRPr="0087345B">
        <w:rPr>
          <w:rFonts w:ascii="Times New Roman" w:eastAsia="Calibri" w:hAnsi="Times New Roman" w:cs="Times New Roman"/>
          <w:bCs/>
          <w:iCs/>
          <w:color w:val="000000"/>
          <w:sz w:val="24"/>
          <w:szCs w:val="24"/>
        </w:rPr>
        <w:t>é</w:t>
      </w:r>
      <w:r w:rsidR="00563E84" w:rsidRPr="0087345B">
        <w:rPr>
          <w:rFonts w:ascii="Times New Roman" w:eastAsia="Calibri" w:hAnsi="Times New Roman" w:cs="Times New Roman"/>
          <w:bCs/>
          <w:iCs/>
          <w:color w:val="000000"/>
          <w:sz w:val="24"/>
          <w:szCs w:val="24"/>
        </w:rPr>
        <w:t xml:space="preserve"> vysoké náklady, ktoré by </w:t>
      </w:r>
      <w:r w:rsidR="00134E33" w:rsidRPr="0087345B">
        <w:rPr>
          <w:rFonts w:ascii="Times New Roman" w:eastAsia="Calibri" w:hAnsi="Times New Roman" w:cs="Times New Roman"/>
          <w:bCs/>
          <w:iCs/>
          <w:color w:val="000000"/>
          <w:sz w:val="24"/>
          <w:szCs w:val="24"/>
        </w:rPr>
        <w:t xml:space="preserve">negatívne </w:t>
      </w:r>
      <w:r w:rsidR="00563E84" w:rsidRPr="0087345B">
        <w:rPr>
          <w:rFonts w:ascii="Times New Roman" w:eastAsia="Calibri" w:hAnsi="Times New Roman" w:cs="Times New Roman"/>
          <w:bCs/>
          <w:iCs/>
          <w:color w:val="000000"/>
          <w:sz w:val="24"/>
          <w:szCs w:val="24"/>
        </w:rPr>
        <w:t xml:space="preserve">ovplyvnili ich podnikanie. </w:t>
      </w:r>
      <w:r w:rsidR="00816453" w:rsidRPr="0087345B">
        <w:rPr>
          <w:rFonts w:ascii="Times New Roman" w:eastAsia="Times New Roman" w:hAnsi="Times New Roman" w:cs="Times New Roman"/>
          <w:sz w:val="24"/>
          <w:szCs w:val="24"/>
          <w:lang w:eastAsia="sk-SK"/>
        </w:rPr>
        <w:t>AO/NO zvyčajne výstupný dokument posudzovania zhody transponujú</w:t>
      </w:r>
      <w:r w:rsidR="0087345B" w:rsidRPr="0087345B">
        <w:rPr>
          <w:rFonts w:ascii="Times New Roman" w:eastAsia="Times New Roman" w:hAnsi="Times New Roman" w:cs="Times New Roman"/>
          <w:sz w:val="24"/>
          <w:szCs w:val="24"/>
          <w:lang w:eastAsia="sk-SK"/>
        </w:rPr>
        <w:t xml:space="preserve"> </w:t>
      </w:r>
      <w:r w:rsidR="00816453" w:rsidRPr="0087345B">
        <w:rPr>
          <w:rFonts w:ascii="Times New Roman" w:eastAsia="Times New Roman" w:hAnsi="Times New Roman" w:cs="Times New Roman"/>
          <w:sz w:val="24"/>
          <w:szCs w:val="24"/>
          <w:lang w:eastAsia="sk-SK"/>
        </w:rPr>
        <w:t xml:space="preserve">aj do tretích krajín, čím sa im </w:t>
      </w:r>
      <w:r w:rsidR="0087345B" w:rsidRPr="0087345B">
        <w:rPr>
          <w:rFonts w:ascii="Times New Roman" w:eastAsia="Times New Roman" w:hAnsi="Times New Roman" w:cs="Times New Roman"/>
          <w:sz w:val="24"/>
          <w:szCs w:val="24"/>
          <w:lang w:eastAsia="sk-SK"/>
        </w:rPr>
        <w:t>zvyšujú</w:t>
      </w:r>
      <w:r w:rsidR="00816453" w:rsidRPr="0087345B">
        <w:rPr>
          <w:rFonts w:ascii="Times New Roman" w:eastAsia="Times New Roman" w:hAnsi="Times New Roman" w:cs="Times New Roman"/>
          <w:sz w:val="24"/>
          <w:szCs w:val="24"/>
          <w:lang w:eastAsia="sk-SK"/>
        </w:rPr>
        <w:t xml:space="preserve"> ich zisky a </w:t>
      </w:r>
      <w:r w:rsidR="0087345B" w:rsidRPr="0087345B">
        <w:rPr>
          <w:rFonts w:ascii="Times New Roman" w:eastAsia="Times New Roman" w:hAnsi="Times New Roman" w:cs="Times New Roman"/>
          <w:sz w:val="24"/>
          <w:szCs w:val="24"/>
          <w:lang w:eastAsia="sk-SK"/>
        </w:rPr>
        <w:t>ot</w:t>
      </w:r>
      <w:r w:rsidR="00475331">
        <w:rPr>
          <w:rFonts w:ascii="Times New Roman" w:eastAsia="Times New Roman" w:hAnsi="Times New Roman" w:cs="Times New Roman"/>
          <w:sz w:val="24"/>
          <w:szCs w:val="24"/>
          <w:lang w:eastAsia="sk-SK"/>
        </w:rPr>
        <w:t>v</w:t>
      </w:r>
      <w:r w:rsidR="0087345B" w:rsidRPr="0087345B">
        <w:rPr>
          <w:rFonts w:ascii="Times New Roman" w:eastAsia="Times New Roman" w:hAnsi="Times New Roman" w:cs="Times New Roman"/>
          <w:sz w:val="24"/>
          <w:szCs w:val="24"/>
          <w:lang w:eastAsia="sk-SK"/>
        </w:rPr>
        <w:t>á</w:t>
      </w:r>
      <w:r w:rsidR="00475331">
        <w:rPr>
          <w:rFonts w:ascii="Times New Roman" w:eastAsia="Times New Roman" w:hAnsi="Times New Roman" w:cs="Times New Roman"/>
          <w:sz w:val="24"/>
          <w:szCs w:val="24"/>
          <w:lang w:eastAsia="sk-SK"/>
        </w:rPr>
        <w:t>ra</w:t>
      </w:r>
      <w:r w:rsidR="0087345B" w:rsidRPr="0087345B">
        <w:rPr>
          <w:rFonts w:ascii="Times New Roman" w:eastAsia="Times New Roman" w:hAnsi="Times New Roman" w:cs="Times New Roman"/>
          <w:sz w:val="24"/>
          <w:szCs w:val="24"/>
          <w:lang w:eastAsia="sk-SK"/>
        </w:rPr>
        <w:t>jú</w:t>
      </w:r>
      <w:r w:rsidR="00816453" w:rsidRPr="0087345B">
        <w:rPr>
          <w:rFonts w:ascii="Times New Roman" w:eastAsia="Times New Roman" w:hAnsi="Times New Roman" w:cs="Times New Roman"/>
          <w:sz w:val="24"/>
          <w:szCs w:val="24"/>
          <w:lang w:eastAsia="sk-SK"/>
        </w:rPr>
        <w:t xml:space="preserve"> nové príležitosti pre podnikanie</w:t>
      </w:r>
      <w:r w:rsidR="00816453" w:rsidRPr="0087345B">
        <w:rPr>
          <w:rFonts w:ascii="Times New Roman" w:eastAsia="Calibri" w:hAnsi="Times New Roman" w:cs="Times New Roman"/>
          <w:bCs/>
          <w:iCs/>
          <w:color w:val="000000"/>
          <w:sz w:val="24"/>
          <w:szCs w:val="24"/>
        </w:rPr>
        <w:t xml:space="preserve"> v oblasti posudzovania zhody</w:t>
      </w:r>
      <w:r w:rsidR="0087345B" w:rsidRPr="0087345B">
        <w:rPr>
          <w:rFonts w:ascii="Times New Roman" w:eastAsia="Calibri" w:hAnsi="Times New Roman" w:cs="Times New Roman"/>
          <w:bCs/>
          <w:iCs/>
          <w:color w:val="000000"/>
          <w:sz w:val="24"/>
          <w:szCs w:val="24"/>
        </w:rPr>
        <w:t>.</w:t>
      </w:r>
      <w:r w:rsidR="00816453" w:rsidRPr="0087345B">
        <w:rPr>
          <w:rFonts w:ascii="Times New Roman" w:eastAsia="Calibri" w:hAnsi="Times New Roman" w:cs="Times New Roman"/>
          <w:bCs/>
          <w:iCs/>
          <w:color w:val="000000"/>
          <w:sz w:val="24"/>
          <w:szCs w:val="24"/>
        </w:rPr>
        <w:t xml:space="preserve"> </w:t>
      </w:r>
      <w:r w:rsidR="0087345B" w:rsidRPr="0087345B">
        <w:rPr>
          <w:rFonts w:ascii="Times New Roman" w:eastAsia="Calibri" w:hAnsi="Times New Roman" w:cs="Times New Roman"/>
          <w:bCs/>
          <w:iCs/>
          <w:color w:val="000000"/>
          <w:sz w:val="24"/>
          <w:szCs w:val="24"/>
        </w:rPr>
        <w:t>Z</w:t>
      </w:r>
      <w:r w:rsidR="00816453" w:rsidRPr="0087345B">
        <w:rPr>
          <w:rFonts w:ascii="Times New Roman" w:eastAsia="Calibri" w:hAnsi="Times New Roman" w:cs="Times New Roman"/>
          <w:bCs/>
          <w:iCs/>
          <w:color w:val="000000"/>
          <w:sz w:val="24"/>
          <w:szCs w:val="24"/>
        </w:rPr>
        <w:t> uvedeného dôvodu úrad hodnotí</w:t>
      </w:r>
      <w:r w:rsidR="00563E84" w:rsidRPr="0087345B">
        <w:rPr>
          <w:rFonts w:ascii="Times New Roman" w:eastAsia="Calibri" w:hAnsi="Times New Roman" w:cs="Times New Roman"/>
          <w:bCs/>
          <w:iCs/>
          <w:color w:val="000000"/>
          <w:sz w:val="24"/>
          <w:szCs w:val="24"/>
        </w:rPr>
        <w:t>, že stanovenie</w:t>
      </w:r>
      <w:r w:rsidR="00290F7D" w:rsidRPr="0087345B">
        <w:rPr>
          <w:rFonts w:ascii="Times New Roman" w:eastAsia="Calibri" w:hAnsi="Times New Roman" w:cs="Times New Roman"/>
          <w:bCs/>
          <w:iCs/>
          <w:color w:val="000000"/>
          <w:sz w:val="24"/>
          <w:szCs w:val="24"/>
        </w:rPr>
        <w:t xml:space="preserve"> správneho</w:t>
      </w:r>
      <w:r w:rsidR="00563E84" w:rsidRPr="0087345B">
        <w:rPr>
          <w:rFonts w:ascii="Times New Roman" w:eastAsia="Calibri" w:hAnsi="Times New Roman" w:cs="Times New Roman"/>
          <w:bCs/>
          <w:iCs/>
          <w:color w:val="000000"/>
          <w:sz w:val="24"/>
          <w:szCs w:val="24"/>
        </w:rPr>
        <w:t xml:space="preserve"> poplatku je pozitívnym nákladom pre podnikateľské subjekty, pretože im </w:t>
      </w:r>
      <w:r w:rsidR="00420FB8" w:rsidRPr="0087345B">
        <w:rPr>
          <w:rFonts w:ascii="Times New Roman" w:eastAsia="Calibri" w:hAnsi="Times New Roman" w:cs="Times New Roman"/>
          <w:bCs/>
          <w:iCs/>
          <w:color w:val="000000"/>
          <w:sz w:val="24"/>
          <w:szCs w:val="24"/>
        </w:rPr>
        <w:t>otvára</w:t>
      </w:r>
      <w:r w:rsidR="00563E84" w:rsidRPr="0087345B">
        <w:rPr>
          <w:rFonts w:ascii="Times New Roman" w:eastAsia="Calibri" w:hAnsi="Times New Roman" w:cs="Times New Roman"/>
          <w:bCs/>
          <w:iCs/>
          <w:color w:val="000000"/>
          <w:sz w:val="24"/>
          <w:szCs w:val="24"/>
        </w:rPr>
        <w:t xml:space="preserve"> trhové prostredie pre ďalšiu </w:t>
      </w:r>
      <w:r w:rsidR="00816453" w:rsidRPr="0087345B">
        <w:rPr>
          <w:rFonts w:ascii="Times New Roman" w:eastAsia="Calibri" w:hAnsi="Times New Roman" w:cs="Times New Roman"/>
          <w:bCs/>
          <w:iCs/>
          <w:color w:val="000000"/>
          <w:sz w:val="24"/>
          <w:szCs w:val="24"/>
        </w:rPr>
        <w:t xml:space="preserve">ich </w:t>
      </w:r>
      <w:r w:rsidR="00563E84" w:rsidRPr="0087345B">
        <w:rPr>
          <w:rFonts w:ascii="Times New Roman" w:eastAsia="Calibri" w:hAnsi="Times New Roman" w:cs="Times New Roman"/>
          <w:bCs/>
          <w:iCs/>
          <w:color w:val="000000"/>
          <w:sz w:val="24"/>
          <w:szCs w:val="24"/>
        </w:rPr>
        <w:t>obchodnú činnosť</w:t>
      </w:r>
      <w:r w:rsidR="00816453" w:rsidRPr="0087345B">
        <w:rPr>
          <w:rFonts w:ascii="Times New Roman" w:eastAsia="Calibri" w:hAnsi="Times New Roman" w:cs="Times New Roman"/>
          <w:bCs/>
          <w:iCs/>
          <w:color w:val="000000"/>
          <w:sz w:val="24"/>
          <w:szCs w:val="24"/>
        </w:rPr>
        <w:t xml:space="preserve"> v oblasti posudzovania zhody.</w:t>
      </w:r>
    </w:p>
    <w:p w14:paraId="125255E5" w14:textId="4E531943" w:rsidR="001E771B" w:rsidRDefault="0087345B" w:rsidP="00054C41">
      <w:pPr>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Výročné správy</w:t>
      </w:r>
      <w:r w:rsidR="003673CD">
        <w:rPr>
          <w:rFonts w:ascii="Times New Roman" w:eastAsia="Times New Roman" w:hAnsi="Times New Roman" w:cs="Times New Roman"/>
          <w:bCs/>
          <w:sz w:val="24"/>
          <w:szCs w:val="24"/>
          <w:lang w:eastAsia="sk-SK"/>
        </w:rPr>
        <w:t xml:space="preserve"> </w:t>
      </w:r>
      <w:r w:rsidR="00420FB8">
        <w:rPr>
          <w:rFonts w:ascii="Times New Roman" w:eastAsia="Times New Roman" w:hAnsi="Times New Roman" w:cs="Times New Roman"/>
          <w:bCs/>
          <w:sz w:val="24"/>
          <w:szCs w:val="24"/>
          <w:lang w:eastAsia="sk-SK"/>
        </w:rPr>
        <w:t>úradu</w:t>
      </w:r>
      <w:r w:rsidR="003673CD">
        <w:rPr>
          <w:rFonts w:ascii="Times New Roman" w:eastAsia="Times New Roman" w:hAnsi="Times New Roman" w:cs="Times New Roman"/>
          <w:bCs/>
          <w:sz w:val="24"/>
          <w:szCs w:val="24"/>
          <w:lang w:eastAsia="sk-SK"/>
        </w:rPr>
        <w:t xml:space="preserve"> sú dostupné na webovom sídle úradu</w:t>
      </w:r>
      <w:r w:rsidR="00420FB8">
        <w:rPr>
          <w:rFonts w:ascii="Times New Roman" w:eastAsia="Calibri" w:hAnsi="Times New Roman" w:cs="Times New Roman"/>
          <w:bCs/>
          <w:iCs/>
          <w:color w:val="000000"/>
          <w:sz w:val="24"/>
          <w:szCs w:val="24"/>
        </w:rPr>
        <w:t xml:space="preserve"> </w:t>
      </w:r>
      <w:hyperlink r:id="rId12" w:history="1">
        <w:r w:rsidR="00563E84" w:rsidRPr="00F507B5">
          <w:rPr>
            <w:rStyle w:val="Hypertextovprepojenie"/>
            <w:rFonts w:ascii="Times New Roman" w:eastAsia="Calibri" w:hAnsi="Times New Roman" w:cs="Times New Roman"/>
            <w:bCs/>
            <w:iCs/>
            <w:sz w:val="24"/>
            <w:szCs w:val="24"/>
          </w:rPr>
          <w:t>https://www.normoff.gov.sk/stranka/372/vyrocne-spravy//</w:t>
        </w:r>
      </w:hyperlink>
      <w:r w:rsidR="00420FB8">
        <w:rPr>
          <w:rFonts w:ascii="Times New Roman" w:eastAsia="Calibri" w:hAnsi="Times New Roman" w:cs="Times New Roman"/>
          <w:bCs/>
          <w:iCs/>
          <w:color w:val="000000"/>
          <w:sz w:val="24"/>
          <w:szCs w:val="24"/>
        </w:rPr>
        <w:t xml:space="preserve"> a prehľad AO/NO</w:t>
      </w:r>
      <w:r w:rsidR="00420FB8">
        <w:rPr>
          <w:rFonts w:ascii="Times New Roman" w:eastAsia="Times New Roman" w:hAnsi="Times New Roman" w:cs="Times New Roman"/>
          <w:bCs/>
          <w:sz w:val="24"/>
          <w:szCs w:val="24"/>
          <w:lang w:eastAsia="sk-SK"/>
        </w:rPr>
        <w:t xml:space="preserve"> je dostupný na webovom sídle úradu </w:t>
      </w:r>
      <w:hyperlink r:id="rId13" w:history="1">
        <w:r w:rsidR="00420FB8" w:rsidRPr="00420FB8">
          <w:rPr>
            <w:rStyle w:val="Hypertextovprepojenie"/>
            <w:rFonts w:ascii="Times New Roman" w:eastAsia="Times New Roman" w:hAnsi="Times New Roman" w:cs="Times New Roman"/>
            <w:bCs/>
            <w:sz w:val="24"/>
            <w:szCs w:val="24"/>
            <w:lang w:eastAsia="sk-SK"/>
          </w:rPr>
          <w:t>https://www.normoff.gov.sk/stranka/97/slovenske-notifikovane-osoby/</w:t>
        </w:r>
      </w:hyperlink>
      <w:r w:rsidR="001E771B">
        <w:rPr>
          <w:rFonts w:ascii="Times New Roman" w:eastAsia="Times New Roman" w:hAnsi="Times New Roman" w:cs="Times New Roman"/>
          <w:bCs/>
          <w:sz w:val="24"/>
          <w:szCs w:val="24"/>
          <w:lang w:eastAsia="sk-SK"/>
        </w:rPr>
        <w:t xml:space="preserve"> .</w:t>
      </w: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goldplating</w:t>
      </w:r>
      <w:r w:rsidR="0016512E">
        <w:rPr>
          <w:rFonts w:ascii="Times New Roman" w:eastAsia="Calibri" w:hAnsi="Times New Roman" w:cs="Times New Roman"/>
          <w:b/>
          <w:bCs/>
          <w:i/>
          <w:sz w:val="24"/>
          <w:szCs w:val="24"/>
          <w:u w:val="single"/>
        </w:rPr>
        <w:t>u</w:t>
      </w:r>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lastRenderedPageBreak/>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goldplatingu (ku každej hodnotenej regulácii s goldplatingom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goldplatingu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goldplatingu</w:t>
      </w:r>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42F11C0C" w14:textId="3DA13CA2" w:rsidR="001E771B"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Využitie goldplatingu pri transpozícii alebo implementácii legislatívy EÚ je v zásade nežiadúce, keďže takýto postup môže viesť k zníženiu konkurencieschopnosti domácich podnikov v porovnaní s podnikmi z krajín, kde právne predpisy nie sú natoľko prísne. Využitie goldplatingu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4BD96D6C" w14:textId="322B9F13" w:rsidR="00024EE4" w:rsidRDefault="001E771B" w:rsidP="00054C41">
      <w:pPr>
        <w:jc w:val="both"/>
        <w:rPr>
          <w:rFonts w:ascii="Times New Roman" w:eastAsia="Times New Roman" w:hAnsi="Times New Roman" w:cs="Times New Roman"/>
          <w:sz w:val="24"/>
          <w:szCs w:val="24"/>
          <w:lang w:eastAsia="sk-SK"/>
        </w:rPr>
      </w:pPr>
      <w:r w:rsidRPr="00A90F69">
        <w:rPr>
          <w:rFonts w:ascii="Times New Roman" w:eastAsia="Calibri" w:hAnsi="Times New Roman" w:cs="Times New Roman"/>
          <w:sz w:val="24"/>
          <w:szCs w:val="24"/>
        </w:rPr>
        <w:t>Predkladaným návrhom nedochádza ku gol</w:t>
      </w:r>
      <w:r w:rsidR="00475331" w:rsidRPr="00A90F69">
        <w:rPr>
          <w:rFonts w:ascii="Times New Roman" w:eastAsia="Calibri" w:hAnsi="Times New Roman" w:cs="Times New Roman"/>
          <w:sz w:val="24"/>
          <w:szCs w:val="24"/>
        </w:rPr>
        <w:t>d</w:t>
      </w:r>
      <w:r w:rsidRPr="00A90F69">
        <w:rPr>
          <w:rFonts w:ascii="Times New Roman" w:eastAsia="Calibri" w:hAnsi="Times New Roman" w:cs="Times New Roman"/>
          <w:sz w:val="24"/>
          <w:szCs w:val="24"/>
        </w:rPr>
        <w:t>platingu</w:t>
      </w:r>
      <w:r w:rsidR="003A2AA4" w:rsidRPr="00A90F69">
        <w:rPr>
          <w:rFonts w:ascii="Times New Roman" w:eastAsia="Calibri" w:hAnsi="Times New Roman" w:cs="Times New Roman"/>
          <w:sz w:val="24"/>
          <w:szCs w:val="24"/>
        </w:rPr>
        <w:t>.</w:t>
      </w:r>
      <w:r w:rsidR="00A90F69" w:rsidRPr="00A90F69">
        <w:rPr>
          <w:rFonts w:ascii="Times New Roman" w:eastAsia="Calibri" w:hAnsi="Times New Roman" w:cs="Times New Roman"/>
          <w:sz w:val="24"/>
          <w:szCs w:val="24"/>
        </w:rPr>
        <w:t xml:space="preserve"> </w:t>
      </w:r>
      <w:r w:rsidR="00A90F69" w:rsidRPr="00A90F69">
        <w:rPr>
          <w:rFonts w:ascii="Times New Roman" w:eastAsia="Times New Roman" w:hAnsi="Times New Roman" w:cs="Times New Roman"/>
          <w:sz w:val="24"/>
          <w:szCs w:val="24"/>
          <w:lang w:eastAsia="sk-SK"/>
        </w:rPr>
        <w:t>Úrad ako gestor implementovaných nariadení návrhom zákona upravuje nevyhnutné ustanovenia v zákone č. 56/2018 Z. z. a v súvisiacich právnych predpisoch, ktoré vyplývajú z týchto nariadení a ktorými Slovenskej republike vznikajú povinnosti.</w:t>
      </w:r>
    </w:p>
    <w:p w14:paraId="4E82736B" w14:textId="77777777" w:rsidR="00A90F69" w:rsidRPr="00A90F69" w:rsidRDefault="00A90F69" w:rsidP="00054C41">
      <w:pPr>
        <w:jc w:val="both"/>
        <w:rPr>
          <w:rFonts w:ascii="Times New Roman" w:eastAsia="Times New Roman" w:hAnsi="Times New Roman" w:cs="Times New Roman"/>
          <w:sz w:val="24"/>
          <w:szCs w:val="24"/>
          <w:lang w:eastAsia="sk-SK"/>
        </w:rPr>
      </w:pPr>
    </w:p>
    <w:p w14:paraId="39D55FBC" w14:textId="2985C080" w:rsidR="00054C41"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5F02EDA7" w14:textId="77777777" w:rsidR="001E771B" w:rsidRDefault="001E771B" w:rsidP="001E771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link na webovú stránku, na ktorej boli konzultácie zverejnené. </w:t>
      </w:r>
    </w:p>
    <w:p w14:paraId="0E640F17" w14:textId="77777777" w:rsidR="001E771B" w:rsidRDefault="001E771B" w:rsidP="001E771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Uveďte hlavné body konzultácií a ich závery. </w:t>
      </w:r>
    </w:p>
    <w:p w14:paraId="2FA39CA7" w14:textId="77777777" w:rsidR="001E771B" w:rsidRDefault="001E771B" w:rsidP="001E771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7DC7FEB" w14:textId="681D626D" w:rsidR="001E771B" w:rsidRDefault="001E771B" w:rsidP="00A90F69">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4A55CB9C" w14:textId="77777777" w:rsidR="00A90F69" w:rsidRPr="00A90F69" w:rsidRDefault="00A90F69" w:rsidP="00A90F69">
      <w:pPr>
        <w:spacing w:after="0"/>
        <w:jc w:val="both"/>
        <w:rPr>
          <w:rFonts w:ascii="Times New Roman" w:eastAsia="Calibri" w:hAnsi="Times New Roman" w:cs="Times New Roman"/>
          <w:i/>
          <w:sz w:val="24"/>
          <w:szCs w:val="24"/>
        </w:rPr>
      </w:pPr>
    </w:p>
    <w:p w14:paraId="08FCAD96" w14:textId="37CDF104" w:rsidR="00054C41" w:rsidRDefault="00727406" w:rsidP="00E716E6">
      <w:pPr>
        <w:jc w:val="both"/>
        <w:rPr>
          <w:rFonts w:ascii="Times New Roman" w:hAnsi="Times New Roman" w:cs="Times New Roman"/>
          <w:sz w:val="24"/>
          <w:szCs w:val="24"/>
        </w:rPr>
      </w:pPr>
      <w:r w:rsidRPr="001E771B">
        <w:rPr>
          <w:rFonts w:ascii="Times New Roman" w:hAnsi="Times New Roman" w:cs="Times New Roman"/>
          <w:sz w:val="24"/>
          <w:szCs w:val="24"/>
        </w:rPr>
        <w:t xml:space="preserve">Úrad </w:t>
      </w:r>
      <w:r w:rsidR="003673CD" w:rsidRPr="001E771B">
        <w:rPr>
          <w:rFonts w:ascii="Times New Roman" w:hAnsi="Times New Roman" w:cs="Times New Roman"/>
          <w:sz w:val="24"/>
          <w:szCs w:val="24"/>
        </w:rPr>
        <w:t>vykonal</w:t>
      </w:r>
      <w:r w:rsidR="00545A04" w:rsidRPr="001E771B">
        <w:rPr>
          <w:rFonts w:ascii="Times New Roman" w:hAnsi="Times New Roman" w:cs="Times New Roman"/>
          <w:sz w:val="24"/>
          <w:szCs w:val="24"/>
        </w:rPr>
        <w:t xml:space="preserve"> z vlastnej iniciatívy konzultácie s podnikateľskými subjektmi. Dňa 31.10.2024 bola zverejnená informácia o začatí konzultácií s podnikateľskými subjektmi na webovom sídle úradu a Ministerstva hospodárstva Slovenskej republiky, ktoré trvali do 30. novembra 2024. O konzultácie neprejavili záujem žiadne podnikateľské subjekty.</w:t>
      </w:r>
    </w:p>
    <w:p w14:paraId="72A3FE57" w14:textId="77777777" w:rsidR="001E771B" w:rsidRPr="001E771B" w:rsidRDefault="001E771B" w:rsidP="00E716E6">
      <w:pPr>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5CAF52B4" w14:textId="5119A599"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5FF2BBB7" w14:textId="2D0DBEEB" w:rsidR="00DB7F2D" w:rsidRPr="00E716E6" w:rsidRDefault="00DB7F2D" w:rsidP="00054C41">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Nie</w:t>
      </w:r>
      <w:r w:rsidR="003673CD">
        <w:rPr>
          <w:rFonts w:ascii="Times New Roman" w:eastAsia="Calibri" w:hAnsi="Times New Roman" w:cs="Times New Roman"/>
          <w:sz w:val="24"/>
          <w:szCs w:val="24"/>
        </w:rPr>
        <w:t>,</w:t>
      </w:r>
      <w:r>
        <w:rPr>
          <w:rFonts w:ascii="Times New Roman" w:eastAsia="Calibri" w:hAnsi="Times New Roman" w:cs="Times New Roman"/>
          <w:sz w:val="24"/>
          <w:szCs w:val="24"/>
        </w:rPr>
        <w:t xml:space="preserve"> nedochádza.</w:t>
      </w:r>
    </w:p>
    <w:p w14:paraId="4D049DE7" w14:textId="57AC0265" w:rsidR="00054C41" w:rsidRDefault="00054C41" w:rsidP="00A90F69">
      <w:pPr>
        <w:spacing w:before="120"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mikro, malé a stredné podniky tzv. MSP)? </w:t>
      </w:r>
    </w:p>
    <w:p w14:paraId="14DE6D0A" w14:textId="4E17DE2A" w:rsidR="00DB7F2D" w:rsidRPr="00E716E6" w:rsidRDefault="00DB7F2D" w:rsidP="00054C41">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Nie</w:t>
      </w:r>
      <w:r w:rsidR="003673CD">
        <w:rPr>
          <w:rFonts w:ascii="Times New Roman" w:eastAsia="Calibri" w:hAnsi="Times New Roman" w:cs="Times New Roman"/>
          <w:sz w:val="24"/>
          <w:szCs w:val="24"/>
        </w:rPr>
        <w:t>,</w:t>
      </w:r>
      <w:r>
        <w:rPr>
          <w:rFonts w:ascii="Times New Roman" w:eastAsia="Calibri" w:hAnsi="Times New Roman" w:cs="Times New Roman"/>
          <w:sz w:val="24"/>
          <w:szCs w:val="24"/>
        </w:rPr>
        <w:t xml:space="preserve"> nebude</w:t>
      </w:r>
      <w:r w:rsidR="003673CD">
        <w:rPr>
          <w:rFonts w:ascii="Times New Roman" w:eastAsia="Calibri" w:hAnsi="Times New Roman" w:cs="Times New Roman"/>
          <w:sz w:val="24"/>
          <w:szCs w:val="24"/>
        </w:rPr>
        <w:t>.  B</w:t>
      </w:r>
      <w:r>
        <w:rPr>
          <w:rFonts w:ascii="Times New Roman" w:eastAsia="Calibri" w:hAnsi="Times New Roman" w:cs="Times New Roman"/>
          <w:sz w:val="24"/>
          <w:szCs w:val="24"/>
        </w:rPr>
        <w:t>udú sa aplikovať rovnaké podmienky pre všetkých bez ohľadu na veľkosť podniku.</w:t>
      </w:r>
    </w:p>
    <w:p w14:paraId="33385264" w14:textId="77777777" w:rsidR="00DB7F2D" w:rsidRDefault="00054C41" w:rsidP="00A90F69">
      <w:pPr>
        <w:spacing w:before="120"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Ovplyvňuje zmena regulácie cezhraničné investície (príliv/odliv zahraničných investícií resp. uplatnenie slovenských podnikov na zahraničných trhoch)?</w:t>
      </w:r>
    </w:p>
    <w:p w14:paraId="452A90F1" w14:textId="5AD2C7FE" w:rsidR="00054C41" w:rsidRPr="00D8247C" w:rsidRDefault="007D0CA1" w:rsidP="00054C41">
      <w:pPr>
        <w:spacing w:after="0"/>
        <w:jc w:val="both"/>
        <w:rPr>
          <w:rFonts w:ascii="Times New Roman" w:eastAsia="Calibri" w:hAnsi="Times New Roman" w:cs="Times New Roman"/>
          <w:i/>
          <w:sz w:val="24"/>
          <w:szCs w:val="24"/>
        </w:rPr>
      </w:pPr>
      <w:r>
        <w:rPr>
          <w:rFonts w:ascii="Times New Roman" w:eastAsia="Calibri" w:hAnsi="Times New Roman" w:cs="Times New Roman"/>
          <w:sz w:val="24"/>
          <w:szCs w:val="24"/>
        </w:rPr>
        <w:t>Ovplyvňuje pozitívne</w:t>
      </w:r>
      <w:r w:rsidR="00DB7F2D">
        <w:rPr>
          <w:rFonts w:ascii="Times New Roman" w:eastAsia="Calibri" w:hAnsi="Times New Roman" w:cs="Times New Roman"/>
          <w:sz w:val="24"/>
          <w:szCs w:val="24"/>
        </w:rPr>
        <w:t xml:space="preserve">, </w:t>
      </w:r>
      <w:r>
        <w:rPr>
          <w:rFonts w:ascii="Times New Roman" w:eastAsia="Calibri" w:hAnsi="Times New Roman" w:cs="Times New Roman"/>
          <w:sz w:val="24"/>
          <w:szCs w:val="24"/>
        </w:rPr>
        <w:t>pretože</w:t>
      </w:r>
      <w:r w:rsidR="00DB7F2D">
        <w:rPr>
          <w:rFonts w:ascii="Times New Roman" w:eastAsia="Calibri" w:hAnsi="Times New Roman" w:cs="Times New Roman"/>
          <w:sz w:val="24"/>
          <w:szCs w:val="24"/>
        </w:rPr>
        <w:t xml:space="preserve"> vznikajú nové príležitosti pre všetky podnikateľské subjekty.</w:t>
      </w:r>
      <w:r w:rsidR="00054C41" w:rsidRPr="00D8247C">
        <w:rPr>
          <w:rFonts w:ascii="Times New Roman" w:eastAsia="Calibri" w:hAnsi="Times New Roman" w:cs="Times New Roman"/>
          <w:i/>
          <w:sz w:val="24"/>
          <w:szCs w:val="24"/>
        </w:rPr>
        <w:t xml:space="preserve"> </w:t>
      </w:r>
    </w:p>
    <w:p w14:paraId="0D074838" w14:textId="65211590" w:rsidR="00054C41" w:rsidRDefault="00054C41" w:rsidP="00A90F69">
      <w:pPr>
        <w:spacing w:before="120"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41451FC9" w14:textId="634F49F1" w:rsidR="00DB7F2D" w:rsidRPr="00E716E6" w:rsidRDefault="007D0CA1" w:rsidP="00054C41">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Nie, n</w:t>
      </w:r>
      <w:r w:rsidR="00DB7F2D">
        <w:rPr>
          <w:rFonts w:ascii="Times New Roman" w:eastAsia="Calibri" w:hAnsi="Times New Roman" w:cs="Times New Roman"/>
          <w:sz w:val="24"/>
          <w:szCs w:val="24"/>
        </w:rPr>
        <w:t>eovplyvňuje</w:t>
      </w:r>
      <w:r>
        <w:rPr>
          <w:rFonts w:ascii="Times New Roman" w:eastAsia="Calibri" w:hAnsi="Times New Roman" w:cs="Times New Roman"/>
          <w:sz w:val="24"/>
          <w:szCs w:val="24"/>
        </w:rPr>
        <w:t>.</w:t>
      </w:r>
    </w:p>
    <w:p w14:paraId="6B6A3793" w14:textId="2B518A08" w:rsidR="007259CB" w:rsidRDefault="007259CB" w:rsidP="00A90F69">
      <w:pPr>
        <w:spacing w:before="120"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72292214" w14:textId="73D48740" w:rsidR="00DB7F2D" w:rsidRPr="00E716E6" w:rsidRDefault="007D0CA1" w:rsidP="00054C41">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Nie, n</w:t>
      </w:r>
      <w:r w:rsidR="00DB7F2D">
        <w:rPr>
          <w:rFonts w:ascii="Times New Roman" w:eastAsia="Calibri" w:hAnsi="Times New Roman" w:cs="Times New Roman"/>
          <w:sz w:val="24"/>
          <w:szCs w:val="24"/>
        </w:rPr>
        <w:t>eovplyvňuje</w:t>
      </w:r>
      <w:r>
        <w:rPr>
          <w:rFonts w:ascii="Times New Roman" w:eastAsia="Calibri" w:hAnsi="Times New Roman" w:cs="Times New Roman"/>
          <w:sz w:val="24"/>
          <w:szCs w:val="24"/>
        </w:rPr>
        <w:t>.</w:t>
      </w:r>
    </w:p>
    <w:p w14:paraId="64E2FB2F" w14:textId="37AE4751" w:rsidR="00BA19B0" w:rsidRDefault="00BA19B0" w:rsidP="00A90F69">
      <w:pPr>
        <w:spacing w:before="120"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Ak bol identifikovaný goldplating</w:t>
      </w:r>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33F2BFA6" w14:textId="5FFE059C" w:rsidR="00DB7F2D" w:rsidRPr="00E716E6" w:rsidRDefault="007D0CA1" w:rsidP="00054C41">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Nie, goldplating n</w:t>
      </w:r>
      <w:r w:rsidR="00DB7F2D">
        <w:rPr>
          <w:rFonts w:ascii="Times New Roman" w:eastAsia="Calibri" w:hAnsi="Times New Roman" w:cs="Times New Roman"/>
          <w:sz w:val="24"/>
          <w:szCs w:val="24"/>
        </w:rPr>
        <w:t>ebol identifikovaný</w:t>
      </w:r>
      <w:r>
        <w:rPr>
          <w:rFonts w:ascii="Times New Roman" w:eastAsia="Calibri" w:hAnsi="Times New Roman" w:cs="Times New Roman"/>
          <w:sz w:val="24"/>
          <w:szCs w:val="24"/>
        </w:rPr>
        <w:t>.</w:t>
      </w:r>
      <w:r w:rsidR="00DB7F2D">
        <w:rPr>
          <w:rFonts w:ascii="Times New Roman" w:eastAsia="Calibri" w:hAnsi="Times New Roman" w:cs="Times New Roman"/>
          <w:sz w:val="24"/>
          <w:szCs w:val="24"/>
        </w:rPr>
        <w:t xml:space="preserve"> </w:t>
      </w:r>
    </w:p>
    <w:p w14:paraId="72CB32C8" w14:textId="21266B32" w:rsidR="00054C41" w:rsidRDefault="00054C41" w:rsidP="00A90F69">
      <w:pPr>
        <w:spacing w:before="120" w:after="0"/>
        <w:jc w:val="both"/>
        <w:rPr>
          <w:rFonts w:ascii="Times New Roman" w:eastAsia="Calibri" w:hAnsi="Times New Roman" w:cs="Times New Roman"/>
          <w:i/>
          <w:iCs/>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59EB2804" w14:textId="199CC339" w:rsidR="00DB7F2D" w:rsidRPr="00E716E6" w:rsidRDefault="00A47F56" w:rsidP="00054C41">
      <w:pPr>
        <w:spacing w:after="0"/>
        <w:jc w:val="both"/>
        <w:rPr>
          <w:rFonts w:ascii="Times New Roman" w:eastAsia="Calibri" w:hAnsi="Times New Roman" w:cs="Times New Roman"/>
          <w:sz w:val="24"/>
          <w:szCs w:val="24"/>
        </w:rPr>
      </w:pPr>
      <w:r w:rsidRPr="00A47F56">
        <w:rPr>
          <w:rFonts w:ascii="Times New Roman" w:eastAsia="Calibri" w:hAnsi="Times New Roman" w:cs="Times New Roman"/>
          <w:sz w:val="24"/>
          <w:szCs w:val="24"/>
        </w:rPr>
        <w:t>Implementáciou právnych predpisov EÚ sa podporuje inov</w:t>
      </w:r>
      <w:r w:rsidR="00134E33">
        <w:rPr>
          <w:rFonts w:ascii="Times New Roman" w:eastAsia="Calibri" w:hAnsi="Times New Roman" w:cs="Times New Roman"/>
          <w:sz w:val="24"/>
          <w:szCs w:val="24"/>
        </w:rPr>
        <w:t>ácia, zvyšuje transparentnosť a </w:t>
      </w:r>
      <w:r w:rsidRPr="00A47F56">
        <w:rPr>
          <w:rFonts w:ascii="Times New Roman" w:eastAsia="Calibri" w:hAnsi="Times New Roman" w:cs="Times New Roman"/>
          <w:sz w:val="24"/>
          <w:szCs w:val="24"/>
        </w:rPr>
        <w:t xml:space="preserve">zabezpečuje právna istota, pričom sa vytvárajú rovnaké podmienky pre všetkých podnikateľov. Prijatím návrhu zákona, ktorý zabezpečuje súlad s európskymi právnymi </w:t>
      </w:r>
      <w:r w:rsidR="007D0CA1">
        <w:rPr>
          <w:rFonts w:ascii="Times New Roman" w:eastAsia="Calibri" w:hAnsi="Times New Roman" w:cs="Times New Roman"/>
          <w:sz w:val="24"/>
          <w:szCs w:val="24"/>
        </w:rPr>
        <w:t>predpismi</w:t>
      </w:r>
      <w:r w:rsidRPr="00A47F56">
        <w:rPr>
          <w:rFonts w:ascii="Times New Roman" w:eastAsia="Calibri" w:hAnsi="Times New Roman" w:cs="Times New Roman"/>
          <w:sz w:val="24"/>
          <w:szCs w:val="24"/>
        </w:rPr>
        <w:t xml:space="preserve">, </w:t>
      </w:r>
      <w:r w:rsidR="007D0CA1">
        <w:rPr>
          <w:rFonts w:ascii="Times New Roman" w:eastAsia="Calibri" w:hAnsi="Times New Roman" w:cs="Times New Roman"/>
          <w:sz w:val="24"/>
          <w:szCs w:val="24"/>
        </w:rPr>
        <w:t xml:space="preserve">sa </w:t>
      </w:r>
      <w:r w:rsidRPr="00A47F56">
        <w:rPr>
          <w:rFonts w:ascii="Times New Roman" w:eastAsia="Calibri" w:hAnsi="Times New Roman" w:cs="Times New Roman"/>
          <w:sz w:val="24"/>
          <w:szCs w:val="24"/>
        </w:rPr>
        <w:t xml:space="preserve">môže Slovensko </w:t>
      </w:r>
      <w:r>
        <w:rPr>
          <w:rFonts w:ascii="Times New Roman" w:eastAsia="Calibri" w:hAnsi="Times New Roman" w:cs="Times New Roman"/>
          <w:sz w:val="24"/>
          <w:szCs w:val="24"/>
        </w:rPr>
        <w:t>st</w:t>
      </w:r>
      <w:r w:rsidR="007D0CA1">
        <w:rPr>
          <w:rFonts w:ascii="Times New Roman" w:eastAsia="Calibri" w:hAnsi="Times New Roman" w:cs="Times New Roman"/>
          <w:sz w:val="24"/>
          <w:szCs w:val="24"/>
        </w:rPr>
        <w:t>a</w:t>
      </w:r>
      <w:r>
        <w:rPr>
          <w:rFonts w:ascii="Times New Roman" w:eastAsia="Calibri" w:hAnsi="Times New Roman" w:cs="Times New Roman"/>
          <w:sz w:val="24"/>
          <w:szCs w:val="24"/>
        </w:rPr>
        <w:t xml:space="preserve">ť </w:t>
      </w:r>
      <w:r w:rsidR="00E417E9">
        <w:rPr>
          <w:rFonts w:ascii="Times New Roman" w:eastAsia="Calibri" w:hAnsi="Times New Roman" w:cs="Times New Roman"/>
          <w:sz w:val="24"/>
          <w:szCs w:val="24"/>
        </w:rPr>
        <w:t>rovnocenným</w:t>
      </w:r>
      <w:r>
        <w:rPr>
          <w:rFonts w:ascii="Times New Roman" w:eastAsia="Calibri" w:hAnsi="Times New Roman" w:cs="Times New Roman"/>
          <w:sz w:val="24"/>
          <w:szCs w:val="24"/>
        </w:rPr>
        <w:t xml:space="preserve"> </w:t>
      </w:r>
      <w:r w:rsidR="00E417E9">
        <w:rPr>
          <w:rFonts w:ascii="Times New Roman" w:eastAsia="Calibri" w:hAnsi="Times New Roman" w:cs="Times New Roman"/>
          <w:sz w:val="24"/>
          <w:szCs w:val="24"/>
        </w:rPr>
        <w:t>lídrom</w:t>
      </w:r>
      <w:r>
        <w:rPr>
          <w:rFonts w:ascii="Times New Roman" w:eastAsia="Calibri" w:hAnsi="Times New Roman" w:cs="Times New Roman"/>
          <w:sz w:val="24"/>
          <w:szCs w:val="24"/>
        </w:rPr>
        <w:t xml:space="preserve"> v porovnaní </w:t>
      </w:r>
      <w:r w:rsidR="00E417E9">
        <w:rPr>
          <w:rFonts w:ascii="Times New Roman" w:eastAsia="Calibri" w:hAnsi="Times New Roman" w:cs="Times New Roman"/>
          <w:sz w:val="24"/>
          <w:szCs w:val="24"/>
        </w:rPr>
        <w:t>so susediacimi krajinami EÚ. V nadväznosti na</w:t>
      </w:r>
      <w:r w:rsidR="007D0CA1">
        <w:rPr>
          <w:rFonts w:ascii="Times New Roman" w:eastAsia="Calibri" w:hAnsi="Times New Roman" w:cs="Times New Roman"/>
          <w:sz w:val="24"/>
          <w:szCs w:val="24"/>
        </w:rPr>
        <w:t xml:space="preserve"> </w:t>
      </w:r>
      <w:r w:rsidR="00E417E9">
        <w:rPr>
          <w:rFonts w:ascii="Times New Roman" w:eastAsia="Calibri" w:hAnsi="Times New Roman" w:cs="Times New Roman"/>
          <w:sz w:val="24"/>
          <w:szCs w:val="24"/>
        </w:rPr>
        <w:t>implementáciu právnych predpisov EÚ sa predpokladá lepšie podnikateľské prostredie a možnosti obchodovania na vnútornom trhu EÚ.</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2DFA1BC7" w:rsidR="00054C41" w:rsidRPr="00D8247C" w:rsidRDefault="00001DEE"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A47F56">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6F08725D" w:rsidR="00054C41" w:rsidRPr="00D8247C" w:rsidRDefault="00001DEE"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A47F56">
                <w:rPr>
                  <w:rFonts w:ascii="Times New Roman" w:eastAsia="Calibri" w:hAnsi="Times New Roman" w:cs="Times New Roman"/>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814BF91" w14:textId="06A61491" w:rsidR="00E30D85" w:rsidRPr="00D8247C" w:rsidRDefault="00E30D85" w:rsidP="00054C41">
      <w:pPr>
        <w:spacing w:after="0"/>
        <w:jc w:val="both"/>
        <w:rPr>
          <w:rFonts w:ascii="Times New Roman" w:eastAsia="Calibri" w:hAnsi="Times New Roman" w:cs="Times New Roman"/>
          <w:i/>
          <w:sz w:val="24"/>
          <w:szCs w:val="24"/>
        </w:rPr>
      </w:pPr>
    </w:p>
    <w:p w14:paraId="6D3D4DCF" w14:textId="75CB7EF4" w:rsidR="007377D0"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322F3B38" w14:textId="053EAABE" w:rsidR="007377D0" w:rsidRPr="00F2675E" w:rsidRDefault="007377D0" w:rsidP="00054C41">
      <w:pPr>
        <w:jc w:val="both"/>
        <w:rPr>
          <w:rFonts w:ascii="Times New Roman" w:hAnsi="Times New Roman" w:cs="Times New Roman"/>
          <w:sz w:val="24"/>
          <w:szCs w:val="24"/>
        </w:rPr>
      </w:pPr>
      <w:r w:rsidRPr="00F2675E">
        <w:rPr>
          <w:rFonts w:ascii="Times New Roman" w:eastAsia="Calibri" w:hAnsi="Times New Roman" w:cs="Times New Roman"/>
          <w:bCs/>
          <w:iCs/>
          <w:sz w:val="24"/>
          <w:szCs w:val="24"/>
        </w:rPr>
        <w:t>Návrh zákona implementuje alebo čiastočne implementuje viaceré európske právne predpisy</w:t>
      </w:r>
      <w:r w:rsidRPr="00F2675E">
        <w:rPr>
          <w:rFonts w:ascii="Times New Roman" w:hAnsi="Times New Roman" w:cs="Times New Roman"/>
          <w:sz w:val="24"/>
          <w:szCs w:val="24"/>
        </w:rPr>
        <w:t xml:space="preserve">, pričom sa obmedzuje len na implementáciu v rozsahu doplnenia nevyhnutnej právnej úpravy </w:t>
      </w:r>
      <w:r w:rsidRPr="00F2675E">
        <w:rPr>
          <w:rFonts w:ascii="Times New Roman" w:hAnsi="Times New Roman" w:cs="Times New Roman"/>
          <w:sz w:val="24"/>
          <w:szCs w:val="24"/>
        </w:rPr>
        <w:lastRenderedPageBreak/>
        <w:t>pre aplikovateľnosť a vymáhateľnosť nariadení. Práva o povinnosti hospodárskych subjektov sú obsiahnuté priamo v nariadeniach EÚ.</w:t>
      </w:r>
    </w:p>
    <w:p w14:paraId="480EBA15" w14:textId="44F7A4F4" w:rsidR="00CB65A4" w:rsidRPr="00F2675E" w:rsidRDefault="00674A0F" w:rsidP="004E2F2B">
      <w:pPr>
        <w:jc w:val="both"/>
        <w:rPr>
          <w:rFonts w:ascii="Times New Roman" w:hAnsi="Times New Roman" w:cs="Times New Roman"/>
          <w:sz w:val="24"/>
          <w:szCs w:val="24"/>
        </w:rPr>
      </w:pPr>
      <w:r w:rsidRPr="00F2675E">
        <w:rPr>
          <w:rFonts w:ascii="Times New Roman" w:hAnsi="Times New Roman" w:cs="Times New Roman"/>
          <w:sz w:val="24"/>
          <w:szCs w:val="24"/>
        </w:rPr>
        <w:t>Návrh zákona v časti týkajúcej sa implementácie nariadenia (EÚ) 2023/1542</w:t>
      </w:r>
      <w:r w:rsidR="00364AE2">
        <w:rPr>
          <w:rFonts w:ascii="Times New Roman" w:hAnsi="Times New Roman" w:cs="Times New Roman"/>
          <w:sz w:val="24"/>
          <w:szCs w:val="24"/>
        </w:rPr>
        <w:t xml:space="preserve"> v platnom znení</w:t>
      </w:r>
      <w:r w:rsidRPr="00F2675E">
        <w:rPr>
          <w:rFonts w:ascii="Times New Roman" w:hAnsi="Times New Roman" w:cs="Times New Roman"/>
          <w:sz w:val="24"/>
          <w:szCs w:val="24"/>
        </w:rPr>
        <w:t xml:space="preserve"> </w:t>
      </w:r>
      <w:r w:rsidR="007377D0" w:rsidRPr="00F2675E">
        <w:rPr>
          <w:rFonts w:ascii="Times New Roman" w:hAnsi="Times New Roman" w:cs="Times New Roman"/>
          <w:sz w:val="24"/>
          <w:szCs w:val="24"/>
        </w:rPr>
        <w:t xml:space="preserve">bude mať pozitívny </w:t>
      </w:r>
      <w:r w:rsidRPr="00F2675E">
        <w:rPr>
          <w:rFonts w:ascii="Times New Roman" w:hAnsi="Times New Roman" w:cs="Times New Roman"/>
          <w:sz w:val="24"/>
          <w:szCs w:val="24"/>
        </w:rPr>
        <w:t>vplyv</w:t>
      </w:r>
      <w:r w:rsidR="007377D0" w:rsidRPr="00F2675E">
        <w:rPr>
          <w:rFonts w:ascii="Times New Roman" w:hAnsi="Times New Roman" w:cs="Times New Roman"/>
          <w:sz w:val="24"/>
          <w:szCs w:val="24"/>
        </w:rPr>
        <w:t xml:space="preserve"> </w:t>
      </w:r>
      <w:r w:rsidRPr="00F2675E">
        <w:rPr>
          <w:rFonts w:ascii="Times New Roman" w:hAnsi="Times New Roman" w:cs="Times New Roman"/>
          <w:sz w:val="24"/>
          <w:szCs w:val="24"/>
        </w:rPr>
        <w:t>na</w:t>
      </w:r>
      <w:r w:rsidR="007377D0" w:rsidRPr="00F2675E">
        <w:rPr>
          <w:rFonts w:ascii="Times New Roman" w:hAnsi="Times New Roman" w:cs="Times New Roman"/>
          <w:sz w:val="24"/>
          <w:szCs w:val="24"/>
        </w:rPr>
        <w:t xml:space="preserve"> hospodárske subjekty,  ktoré sa zaoberajú výrobou, distribúciou a dovozom batérií. Úrad taktiež očakáva pozitívny vplyv smerom k činnosti AO/NO v</w:t>
      </w:r>
      <w:r w:rsidR="000D017F" w:rsidRPr="00F2675E">
        <w:rPr>
          <w:rFonts w:ascii="Times New Roman" w:hAnsi="Times New Roman" w:cs="Times New Roman"/>
          <w:sz w:val="24"/>
          <w:szCs w:val="24"/>
        </w:rPr>
        <w:t xml:space="preserve"> </w:t>
      </w:r>
      <w:r w:rsidR="007377D0" w:rsidRPr="00F2675E">
        <w:rPr>
          <w:rFonts w:ascii="Times New Roman" w:hAnsi="Times New Roman" w:cs="Times New Roman"/>
          <w:sz w:val="24"/>
          <w:szCs w:val="24"/>
        </w:rPr>
        <w:t xml:space="preserve">oblasti  posudzovania zhody batérií, a to rozšíreným podnikateľského portfólia vo vzťahu k existujúcim AO/NO ale aj vo vzťahu k založeniu nových AO/NO, ktoré budú vykonávať posúdenie zhody v tejto oblasti. </w:t>
      </w:r>
      <w:r w:rsidR="000D017F" w:rsidRPr="00F2675E">
        <w:rPr>
          <w:rFonts w:ascii="Times New Roman" w:hAnsi="Times New Roman" w:cs="Times New Roman"/>
          <w:sz w:val="24"/>
          <w:szCs w:val="24"/>
        </w:rPr>
        <w:t>V súčasnosti n</w:t>
      </w:r>
      <w:r w:rsidR="007377D0" w:rsidRPr="00F2675E">
        <w:rPr>
          <w:rFonts w:ascii="Times New Roman" w:hAnsi="Times New Roman" w:cs="Times New Roman"/>
          <w:sz w:val="24"/>
          <w:szCs w:val="24"/>
        </w:rPr>
        <w:t xml:space="preserve">ie je možné aktuálne kvantitatívne vymedziť presný počet podnikateľských subjektov, na ktoré bude mať implementácia nariadenia pozitívny vplyv, nakoľko ide o široké spektrum podnikateľských subjektov a jasné určenie by mohlo spôsobiť skreslenie výsledkov. </w:t>
      </w:r>
      <w:r w:rsidRPr="00F2675E">
        <w:rPr>
          <w:rFonts w:ascii="Times New Roman" w:hAnsi="Times New Roman" w:cs="Times New Roman"/>
          <w:sz w:val="24"/>
          <w:szCs w:val="24"/>
        </w:rPr>
        <w:t>Jednotlivé ustanovenia nariadenia sa budú uplatňovať postupne podľa účinnosti uvedenej v č</w:t>
      </w:r>
      <w:r w:rsidR="00A90F69" w:rsidRPr="00F2675E">
        <w:rPr>
          <w:rFonts w:ascii="Times New Roman" w:hAnsi="Times New Roman" w:cs="Times New Roman"/>
          <w:sz w:val="24"/>
          <w:szCs w:val="24"/>
        </w:rPr>
        <w:t>lánku 96 nariadenia 2023/1542</w:t>
      </w:r>
      <w:r w:rsidR="00364AE2">
        <w:rPr>
          <w:rFonts w:ascii="Times New Roman" w:hAnsi="Times New Roman" w:cs="Times New Roman"/>
          <w:sz w:val="24"/>
          <w:szCs w:val="24"/>
        </w:rPr>
        <w:t xml:space="preserve"> v platnom znení</w:t>
      </w:r>
      <w:r w:rsidR="00A90F69" w:rsidRPr="00F2675E">
        <w:rPr>
          <w:rFonts w:ascii="Times New Roman" w:hAnsi="Times New Roman" w:cs="Times New Roman"/>
          <w:sz w:val="24"/>
          <w:szCs w:val="24"/>
        </w:rPr>
        <w:t>, pričom v</w:t>
      </w:r>
      <w:r w:rsidR="007377D0" w:rsidRPr="00F2675E">
        <w:rPr>
          <w:rFonts w:ascii="Times New Roman" w:hAnsi="Times New Roman" w:cs="Times New Roman"/>
          <w:sz w:val="24"/>
          <w:szCs w:val="24"/>
        </w:rPr>
        <w:t>yhodnotenie výsledkov bude možné identifikovať až zavedením do praxe.</w:t>
      </w:r>
      <w:r w:rsidR="000D017F" w:rsidRPr="00F2675E">
        <w:rPr>
          <w:rFonts w:ascii="Times New Roman" w:hAnsi="Times New Roman" w:cs="Times New Roman"/>
          <w:sz w:val="24"/>
          <w:szCs w:val="24"/>
        </w:rPr>
        <w:t xml:space="preserve"> </w:t>
      </w:r>
      <w:r w:rsidRPr="00F2675E">
        <w:rPr>
          <w:rFonts w:ascii="Times New Roman" w:hAnsi="Times New Roman" w:cs="Times New Roman"/>
          <w:sz w:val="24"/>
          <w:szCs w:val="24"/>
        </w:rPr>
        <w:t>Návrhom zákona sa neimplementuje časť,</w:t>
      </w:r>
      <w:r w:rsidR="007828BC" w:rsidRPr="00F2675E">
        <w:rPr>
          <w:rFonts w:ascii="Times New Roman" w:hAnsi="Times New Roman" w:cs="Times New Roman"/>
          <w:sz w:val="24"/>
          <w:szCs w:val="24"/>
        </w:rPr>
        <w:t xml:space="preserve"> ktorá sa tyká zberu a spracovania použitých batérií, preto v tomto prípade </w:t>
      </w:r>
      <w:r w:rsidRPr="00F2675E">
        <w:rPr>
          <w:rFonts w:ascii="Times New Roman" w:hAnsi="Times New Roman" w:cs="Times New Roman"/>
          <w:sz w:val="24"/>
          <w:szCs w:val="24"/>
        </w:rPr>
        <w:t>neboli</w:t>
      </w:r>
      <w:r w:rsidR="007828BC" w:rsidRPr="00F2675E">
        <w:rPr>
          <w:rFonts w:ascii="Times New Roman" w:hAnsi="Times New Roman" w:cs="Times New Roman"/>
          <w:sz w:val="24"/>
          <w:szCs w:val="24"/>
        </w:rPr>
        <w:t xml:space="preserve"> identifikované žiadne vplyvy na podnikateľské prostredie</w:t>
      </w:r>
      <w:r w:rsidR="00A90F69" w:rsidRPr="00F2675E">
        <w:rPr>
          <w:rFonts w:ascii="Times New Roman" w:hAnsi="Times New Roman" w:cs="Times New Roman"/>
          <w:sz w:val="24"/>
          <w:szCs w:val="24"/>
        </w:rPr>
        <w:t xml:space="preserve"> v tejto časti</w:t>
      </w:r>
      <w:r w:rsidR="007828BC" w:rsidRPr="00F2675E">
        <w:rPr>
          <w:rFonts w:ascii="Times New Roman" w:hAnsi="Times New Roman" w:cs="Times New Roman"/>
          <w:sz w:val="24"/>
          <w:szCs w:val="24"/>
        </w:rPr>
        <w:t>.</w:t>
      </w:r>
    </w:p>
    <w:p w14:paraId="18144A51" w14:textId="50ED55D2" w:rsidR="0096246E" w:rsidRPr="00F2675E" w:rsidRDefault="003803E5" w:rsidP="0096246E">
      <w:pPr>
        <w:jc w:val="both"/>
        <w:rPr>
          <w:rFonts w:ascii="Times New Roman" w:eastAsia="Times New Roman" w:hAnsi="Times New Roman" w:cs="Times New Roman"/>
          <w:sz w:val="24"/>
          <w:szCs w:val="24"/>
          <w:lang w:eastAsia="sk-SK"/>
        </w:rPr>
      </w:pPr>
      <w:r w:rsidRPr="00F2675E">
        <w:rPr>
          <w:rFonts w:ascii="Times New Roman" w:hAnsi="Times New Roman" w:cs="Times New Roman"/>
          <w:sz w:val="24"/>
          <w:szCs w:val="24"/>
        </w:rPr>
        <w:t>V prípade i</w:t>
      </w:r>
      <w:r w:rsidR="00A90F69" w:rsidRPr="00F2675E">
        <w:rPr>
          <w:rFonts w:ascii="Times New Roman" w:hAnsi="Times New Roman" w:cs="Times New Roman"/>
          <w:sz w:val="24"/>
          <w:szCs w:val="24"/>
        </w:rPr>
        <w:t>mplementáci</w:t>
      </w:r>
      <w:r w:rsidRPr="00F2675E">
        <w:rPr>
          <w:rFonts w:ascii="Times New Roman" w:hAnsi="Times New Roman" w:cs="Times New Roman"/>
          <w:sz w:val="24"/>
          <w:szCs w:val="24"/>
        </w:rPr>
        <w:t xml:space="preserve">e </w:t>
      </w:r>
      <w:r w:rsidR="00674A0F" w:rsidRPr="00F2675E">
        <w:rPr>
          <w:rFonts w:ascii="Times New Roman" w:hAnsi="Times New Roman" w:cs="Times New Roman"/>
          <w:sz w:val="24"/>
          <w:szCs w:val="24"/>
        </w:rPr>
        <w:t>nariadenia (EÚ) 2023/1230</w:t>
      </w:r>
      <w:r w:rsidR="00815C61">
        <w:rPr>
          <w:rFonts w:ascii="Times New Roman" w:hAnsi="Times New Roman" w:cs="Times New Roman"/>
          <w:sz w:val="24"/>
          <w:szCs w:val="24"/>
        </w:rPr>
        <w:t xml:space="preserve"> v platnom znení</w:t>
      </w:r>
      <w:r w:rsidR="00A90F69" w:rsidRPr="00F2675E">
        <w:rPr>
          <w:rFonts w:ascii="Times New Roman" w:hAnsi="Times New Roman" w:cs="Times New Roman"/>
          <w:sz w:val="24"/>
          <w:szCs w:val="24"/>
        </w:rPr>
        <w:t xml:space="preserve"> cez návrh zákona </w:t>
      </w:r>
      <w:r w:rsidR="00A90F69" w:rsidRPr="00F2675E">
        <w:rPr>
          <w:rFonts w:ascii="Times New Roman" w:eastAsia="Times New Roman" w:hAnsi="Times New Roman" w:cs="Times New Roman"/>
          <w:sz w:val="24"/>
          <w:szCs w:val="24"/>
          <w:lang w:eastAsia="sk-SK"/>
        </w:rPr>
        <w:t xml:space="preserve">sa </w:t>
      </w:r>
      <w:r w:rsidRPr="00F2675E">
        <w:rPr>
          <w:rFonts w:ascii="Times New Roman" w:eastAsia="Times New Roman" w:hAnsi="Times New Roman" w:cs="Times New Roman"/>
          <w:sz w:val="24"/>
          <w:szCs w:val="24"/>
          <w:lang w:eastAsia="sk-SK"/>
        </w:rPr>
        <w:t>očakávajú p</w:t>
      </w:r>
      <w:r w:rsidR="007828BC" w:rsidRPr="00F2675E">
        <w:rPr>
          <w:rFonts w:ascii="Times New Roman" w:eastAsia="Times New Roman" w:hAnsi="Times New Roman" w:cs="Times New Roman"/>
          <w:sz w:val="24"/>
          <w:szCs w:val="24"/>
          <w:lang w:eastAsia="sk-SK"/>
        </w:rPr>
        <w:t xml:space="preserve">ozitívne aj negatívne vplyvy na podnikateľské prostredie. Pozitívne vplyvy </w:t>
      </w:r>
      <w:r w:rsidRPr="00F2675E">
        <w:rPr>
          <w:rFonts w:ascii="Times New Roman" w:eastAsia="Times New Roman" w:hAnsi="Times New Roman" w:cs="Times New Roman"/>
          <w:sz w:val="24"/>
          <w:szCs w:val="24"/>
          <w:lang w:eastAsia="sk-SK"/>
        </w:rPr>
        <w:t>sa očakávajú</w:t>
      </w:r>
      <w:r w:rsidR="007828BC" w:rsidRPr="00F2675E">
        <w:rPr>
          <w:rFonts w:ascii="Times New Roman" w:eastAsia="Times New Roman" w:hAnsi="Times New Roman" w:cs="Times New Roman"/>
          <w:sz w:val="24"/>
          <w:szCs w:val="24"/>
          <w:lang w:eastAsia="sk-SK"/>
        </w:rPr>
        <w:t xml:space="preserve"> vo vzťahu</w:t>
      </w:r>
      <w:r w:rsidR="007D0CA1" w:rsidRPr="00F2675E">
        <w:rPr>
          <w:rFonts w:ascii="Times New Roman" w:eastAsia="Times New Roman" w:hAnsi="Times New Roman" w:cs="Times New Roman"/>
          <w:sz w:val="24"/>
          <w:szCs w:val="24"/>
          <w:lang w:eastAsia="sk-SK"/>
        </w:rPr>
        <w:t xml:space="preserve"> k</w:t>
      </w:r>
      <w:r w:rsidR="007828BC" w:rsidRPr="00F2675E">
        <w:rPr>
          <w:rFonts w:ascii="Times New Roman" w:eastAsia="Times New Roman" w:hAnsi="Times New Roman" w:cs="Times New Roman"/>
          <w:sz w:val="24"/>
          <w:szCs w:val="24"/>
          <w:lang w:eastAsia="sk-SK"/>
        </w:rPr>
        <w:t xml:space="preserve"> hospodárskym</w:t>
      </w:r>
      <w:r w:rsidR="003832C2" w:rsidRPr="00F2675E">
        <w:rPr>
          <w:rFonts w:ascii="Times New Roman" w:eastAsia="Times New Roman" w:hAnsi="Times New Roman" w:cs="Times New Roman"/>
          <w:sz w:val="24"/>
          <w:szCs w:val="24"/>
          <w:lang w:eastAsia="sk-SK"/>
        </w:rPr>
        <w:t xml:space="preserve"> subjektom, ktor</w:t>
      </w:r>
      <w:r w:rsidR="007D0CA1" w:rsidRPr="00F2675E">
        <w:rPr>
          <w:rFonts w:ascii="Times New Roman" w:eastAsia="Times New Roman" w:hAnsi="Times New Roman" w:cs="Times New Roman"/>
          <w:sz w:val="24"/>
          <w:szCs w:val="24"/>
          <w:lang w:eastAsia="sk-SK"/>
        </w:rPr>
        <w:t>é</w:t>
      </w:r>
      <w:r w:rsidR="003832C2" w:rsidRPr="00F2675E">
        <w:rPr>
          <w:rFonts w:ascii="Times New Roman" w:eastAsia="Times New Roman" w:hAnsi="Times New Roman" w:cs="Times New Roman"/>
          <w:sz w:val="24"/>
          <w:szCs w:val="24"/>
          <w:lang w:eastAsia="sk-SK"/>
        </w:rPr>
        <w:t xml:space="preserve"> vyrábajú strojové zariadenia a</w:t>
      </w:r>
      <w:r w:rsidRPr="00F2675E">
        <w:rPr>
          <w:rFonts w:ascii="Times New Roman" w:eastAsia="Times New Roman" w:hAnsi="Times New Roman" w:cs="Times New Roman"/>
          <w:sz w:val="24"/>
          <w:szCs w:val="24"/>
          <w:lang w:eastAsia="sk-SK"/>
        </w:rPr>
        <w:t> vo vzťahu k</w:t>
      </w:r>
      <w:r w:rsidR="003832C2" w:rsidRPr="00F2675E">
        <w:rPr>
          <w:rFonts w:ascii="Times New Roman" w:eastAsia="Times New Roman" w:hAnsi="Times New Roman" w:cs="Times New Roman"/>
          <w:sz w:val="24"/>
          <w:szCs w:val="24"/>
          <w:lang w:eastAsia="sk-SK"/>
        </w:rPr>
        <w:t xml:space="preserve"> </w:t>
      </w:r>
      <w:r w:rsidR="007D0CA1" w:rsidRPr="00F2675E">
        <w:rPr>
          <w:rFonts w:ascii="Times New Roman" w:eastAsia="Times New Roman" w:hAnsi="Times New Roman" w:cs="Times New Roman"/>
          <w:sz w:val="24"/>
          <w:szCs w:val="24"/>
          <w:lang w:eastAsia="sk-SK"/>
        </w:rPr>
        <w:t>AO/NO</w:t>
      </w:r>
      <w:r w:rsidR="003832C2" w:rsidRPr="00F2675E">
        <w:rPr>
          <w:rFonts w:ascii="Times New Roman" w:eastAsia="Times New Roman" w:hAnsi="Times New Roman" w:cs="Times New Roman"/>
          <w:sz w:val="24"/>
          <w:szCs w:val="24"/>
          <w:lang w:eastAsia="sk-SK"/>
        </w:rPr>
        <w:t xml:space="preserve">, ktoré sa podieľajú na výkone posúdenia zhody. </w:t>
      </w:r>
      <w:r w:rsidRPr="00F2675E">
        <w:rPr>
          <w:rFonts w:ascii="Times New Roman" w:hAnsi="Times New Roman" w:cs="Times New Roman"/>
          <w:sz w:val="24"/>
          <w:szCs w:val="24"/>
        </w:rPr>
        <w:t>V prípade hospodárskych subjektov sa konkrétne</w:t>
      </w:r>
      <w:r w:rsidR="00674A0F" w:rsidRPr="00F2675E">
        <w:rPr>
          <w:rFonts w:ascii="Times New Roman" w:hAnsi="Times New Roman" w:cs="Times New Roman"/>
          <w:sz w:val="24"/>
          <w:szCs w:val="24"/>
        </w:rPr>
        <w:t xml:space="preserve"> predpokladá zníženie nákladov na tlač v prípade digitálnej dokumentácie a v prípade AO/NO sa predpoklad</w:t>
      </w:r>
      <w:r w:rsidRPr="00F2675E">
        <w:rPr>
          <w:rFonts w:ascii="Times New Roman" w:hAnsi="Times New Roman" w:cs="Times New Roman"/>
          <w:sz w:val="24"/>
          <w:szCs w:val="24"/>
        </w:rPr>
        <w:t>á</w:t>
      </w:r>
      <w:r w:rsidR="00674A0F" w:rsidRPr="00F2675E">
        <w:rPr>
          <w:rFonts w:ascii="Times New Roman" w:hAnsi="Times New Roman" w:cs="Times New Roman"/>
          <w:sz w:val="24"/>
          <w:szCs w:val="24"/>
        </w:rPr>
        <w:t xml:space="preserve"> znížen</w:t>
      </w:r>
      <w:r w:rsidRPr="00F2675E">
        <w:rPr>
          <w:rFonts w:ascii="Times New Roman" w:hAnsi="Times New Roman" w:cs="Times New Roman"/>
          <w:sz w:val="24"/>
          <w:szCs w:val="24"/>
        </w:rPr>
        <w:t>ie</w:t>
      </w:r>
      <w:r w:rsidR="00674A0F" w:rsidRPr="00F2675E">
        <w:rPr>
          <w:rFonts w:ascii="Times New Roman" w:hAnsi="Times New Roman" w:cs="Times New Roman"/>
          <w:sz w:val="24"/>
          <w:szCs w:val="24"/>
        </w:rPr>
        <w:t xml:space="preserve"> náklad</w:t>
      </w:r>
      <w:r w:rsidRPr="00F2675E">
        <w:rPr>
          <w:rFonts w:ascii="Times New Roman" w:hAnsi="Times New Roman" w:cs="Times New Roman"/>
          <w:sz w:val="24"/>
          <w:szCs w:val="24"/>
        </w:rPr>
        <w:t>ov</w:t>
      </w:r>
      <w:r w:rsidR="00674A0F" w:rsidRPr="00F2675E">
        <w:rPr>
          <w:rFonts w:ascii="Times New Roman" w:hAnsi="Times New Roman" w:cs="Times New Roman"/>
          <w:sz w:val="24"/>
          <w:szCs w:val="24"/>
        </w:rPr>
        <w:t xml:space="preserve"> na uchovávanie príručiek, zvýšenie obratu v prípade portfólia strojových zariadení podľa prílohy IV, ktoré sa v súčasnosti posudzujú prostredníctvom vnútorných kontrol.</w:t>
      </w:r>
      <w:r w:rsidR="00674A0F" w:rsidRPr="00F2675E">
        <w:rPr>
          <w:rFonts w:ascii="Times New Roman" w:eastAsia="Times New Roman" w:hAnsi="Times New Roman" w:cs="Times New Roman"/>
          <w:sz w:val="24"/>
          <w:szCs w:val="24"/>
          <w:lang w:eastAsia="sk-SK"/>
        </w:rPr>
        <w:t xml:space="preserve"> </w:t>
      </w:r>
      <w:r w:rsidR="007D0CA1" w:rsidRPr="00F2675E">
        <w:rPr>
          <w:rFonts w:ascii="Times New Roman" w:eastAsia="Times New Roman" w:hAnsi="Times New Roman" w:cs="Times New Roman"/>
          <w:sz w:val="24"/>
          <w:szCs w:val="24"/>
          <w:lang w:eastAsia="sk-SK"/>
        </w:rPr>
        <w:t xml:space="preserve">Konkrétny </w:t>
      </w:r>
      <w:r w:rsidR="00462C94" w:rsidRPr="00F2675E">
        <w:rPr>
          <w:rFonts w:ascii="Times New Roman" w:eastAsia="Times New Roman" w:hAnsi="Times New Roman" w:cs="Times New Roman"/>
          <w:sz w:val="24"/>
          <w:szCs w:val="24"/>
          <w:lang w:eastAsia="sk-SK"/>
        </w:rPr>
        <w:t>výpočet</w:t>
      </w:r>
      <w:r w:rsidR="007D0CA1" w:rsidRPr="00F2675E">
        <w:rPr>
          <w:rFonts w:ascii="Times New Roman" w:eastAsia="Times New Roman" w:hAnsi="Times New Roman" w:cs="Times New Roman"/>
          <w:sz w:val="24"/>
          <w:szCs w:val="24"/>
          <w:lang w:eastAsia="sk-SK"/>
        </w:rPr>
        <w:t xml:space="preserve"> však</w:t>
      </w:r>
      <w:r w:rsidR="00462C94" w:rsidRPr="00F2675E">
        <w:rPr>
          <w:rFonts w:ascii="Times New Roman" w:eastAsia="Times New Roman" w:hAnsi="Times New Roman" w:cs="Times New Roman"/>
          <w:sz w:val="24"/>
          <w:szCs w:val="24"/>
          <w:lang w:eastAsia="sk-SK"/>
        </w:rPr>
        <w:t xml:space="preserve"> nie je možné vykonať, pretože nie možné vyhodnotiť, </w:t>
      </w:r>
      <w:r w:rsidR="007D0CA1" w:rsidRPr="00F2675E">
        <w:rPr>
          <w:rFonts w:ascii="Times New Roman" w:eastAsia="Times New Roman" w:hAnsi="Times New Roman" w:cs="Times New Roman"/>
          <w:sz w:val="24"/>
          <w:szCs w:val="24"/>
          <w:lang w:eastAsia="sk-SK"/>
        </w:rPr>
        <w:t>koľko</w:t>
      </w:r>
      <w:r w:rsidR="00462C94" w:rsidRPr="00F2675E">
        <w:rPr>
          <w:rFonts w:ascii="Times New Roman" w:eastAsia="Times New Roman" w:hAnsi="Times New Roman" w:cs="Times New Roman"/>
          <w:sz w:val="24"/>
          <w:szCs w:val="24"/>
          <w:lang w:eastAsia="sk-SK"/>
        </w:rPr>
        <w:t xml:space="preserve"> podnikateľsk</w:t>
      </w:r>
      <w:r w:rsidR="007D0CA1" w:rsidRPr="00F2675E">
        <w:rPr>
          <w:rFonts w:ascii="Times New Roman" w:eastAsia="Times New Roman" w:hAnsi="Times New Roman" w:cs="Times New Roman"/>
          <w:sz w:val="24"/>
          <w:szCs w:val="24"/>
          <w:lang w:eastAsia="sk-SK"/>
        </w:rPr>
        <w:t>ých</w:t>
      </w:r>
      <w:r w:rsidR="00462C94" w:rsidRPr="00F2675E">
        <w:rPr>
          <w:rFonts w:ascii="Times New Roman" w:eastAsia="Times New Roman" w:hAnsi="Times New Roman" w:cs="Times New Roman"/>
          <w:sz w:val="24"/>
          <w:szCs w:val="24"/>
          <w:lang w:eastAsia="sk-SK"/>
        </w:rPr>
        <w:t xml:space="preserve"> subjekt</w:t>
      </w:r>
      <w:r w:rsidR="007D0CA1" w:rsidRPr="00F2675E">
        <w:rPr>
          <w:rFonts w:ascii="Times New Roman" w:eastAsia="Times New Roman" w:hAnsi="Times New Roman" w:cs="Times New Roman"/>
          <w:sz w:val="24"/>
          <w:szCs w:val="24"/>
          <w:lang w:eastAsia="sk-SK"/>
        </w:rPr>
        <w:t>ov</w:t>
      </w:r>
      <w:r w:rsidR="00462C94" w:rsidRPr="00F2675E">
        <w:rPr>
          <w:rFonts w:ascii="Times New Roman" w:eastAsia="Times New Roman" w:hAnsi="Times New Roman" w:cs="Times New Roman"/>
          <w:sz w:val="24"/>
          <w:szCs w:val="24"/>
          <w:lang w:eastAsia="sk-SK"/>
        </w:rPr>
        <w:t xml:space="preserve"> sa rozhodn</w:t>
      </w:r>
      <w:r w:rsidR="007D0CA1" w:rsidRPr="00F2675E">
        <w:rPr>
          <w:rFonts w:ascii="Times New Roman" w:eastAsia="Times New Roman" w:hAnsi="Times New Roman" w:cs="Times New Roman"/>
          <w:sz w:val="24"/>
          <w:szCs w:val="24"/>
          <w:lang w:eastAsia="sk-SK"/>
        </w:rPr>
        <w:t>e</w:t>
      </w:r>
      <w:r w:rsidR="00462C94" w:rsidRPr="00F2675E">
        <w:rPr>
          <w:rFonts w:ascii="Times New Roman" w:eastAsia="Times New Roman" w:hAnsi="Times New Roman" w:cs="Times New Roman"/>
          <w:sz w:val="24"/>
          <w:szCs w:val="24"/>
          <w:lang w:eastAsia="sk-SK"/>
        </w:rPr>
        <w:t xml:space="preserve"> vykonávať túto činnosť</w:t>
      </w:r>
      <w:r w:rsidR="00A743E7" w:rsidRPr="00F2675E">
        <w:rPr>
          <w:rFonts w:ascii="Times New Roman" w:eastAsia="Times New Roman" w:hAnsi="Times New Roman" w:cs="Times New Roman"/>
          <w:sz w:val="24"/>
          <w:szCs w:val="24"/>
          <w:lang w:eastAsia="sk-SK"/>
        </w:rPr>
        <w:t xml:space="preserve"> a výsledky by neodzrkadľovali aktuálny stav</w:t>
      </w:r>
      <w:r w:rsidR="00462C94" w:rsidRPr="00F2675E">
        <w:rPr>
          <w:rFonts w:ascii="Times New Roman" w:eastAsia="Times New Roman" w:hAnsi="Times New Roman" w:cs="Times New Roman"/>
          <w:sz w:val="24"/>
          <w:szCs w:val="24"/>
          <w:lang w:eastAsia="sk-SK"/>
        </w:rPr>
        <w:t>. Presne výpočty bude možn</w:t>
      </w:r>
      <w:r w:rsidRPr="00F2675E">
        <w:rPr>
          <w:rFonts w:ascii="Times New Roman" w:eastAsia="Times New Roman" w:hAnsi="Times New Roman" w:cs="Times New Roman"/>
          <w:sz w:val="24"/>
          <w:szCs w:val="24"/>
          <w:lang w:eastAsia="sk-SK"/>
        </w:rPr>
        <w:t>é</w:t>
      </w:r>
      <w:r w:rsidR="00462C94" w:rsidRPr="00F2675E">
        <w:rPr>
          <w:rFonts w:ascii="Times New Roman" w:eastAsia="Times New Roman" w:hAnsi="Times New Roman" w:cs="Times New Roman"/>
          <w:sz w:val="24"/>
          <w:szCs w:val="24"/>
          <w:lang w:eastAsia="sk-SK"/>
        </w:rPr>
        <w:t xml:space="preserve"> </w:t>
      </w:r>
      <w:r w:rsidRPr="00F2675E">
        <w:rPr>
          <w:rFonts w:ascii="Times New Roman" w:eastAsia="Times New Roman" w:hAnsi="Times New Roman" w:cs="Times New Roman"/>
          <w:sz w:val="24"/>
          <w:szCs w:val="24"/>
          <w:lang w:eastAsia="sk-SK"/>
        </w:rPr>
        <w:t>uskutočniť</w:t>
      </w:r>
      <w:r w:rsidR="00462C94" w:rsidRPr="00F2675E">
        <w:rPr>
          <w:rFonts w:ascii="Times New Roman" w:eastAsia="Times New Roman" w:hAnsi="Times New Roman" w:cs="Times New Roman"/>
          <w:sz w:val="24"/>
          <w:szCs w:val="24"/>
          <w:lang w:eastAsia="sk-SK"/>
        </w:rPr>
        <w:t xml:space="preserve"> až zavedením</w:t>
      </w:r>
      <w:r w:rsidRPr="00F2675E">
        <w:rPr>
          <w:rFonts w:ascii="Times New Roman" w:eastAsia="Times New Roman" w:hAnsi="Times New Roman" w:cs="Times New Roman"/>
          <w:sz w:val="24"/>
          <w:szCs w:val="24"/>
          <w:lang w:eastAsia="sk-SK"/>
        </w:rPr>
        <w:t xml:space="preserve"> do aplikačnej praxe. </w:t>
      </w:r>
      <w:r w:rsidR="003832C2" w:rsidRPr="00F2675E">
        <w:rPr>
          <w:rFonts w:ascii="Times New Roman" w:eastAsia="Times New Roman" w:hAnsi="Times New Roman" w:cs="Times New Roman"/>
          <w:sz w:val="24"/>
          <w:szCs w:val="24"/>
          <w:lang w:eastAsia="sk-SK"/>
        </w:rPr>
        <w:t xml:space="preserve">Všetky </w:t>
      </w:r>
      <w:r w:rsidR="00A743E7" w:rsidRPr="00F2675E">
        <w:rPr>
          <w:rFonts w:ascii="Times New Roman" w:eastAsia="Times New Roman" w:hAnsi="Times New Roman" w:cs="Times New Roman"/>
          <w:sz w:val="24"/>
          <w:szCs w:val="24"/>
          <w:lang w:eastAsia="sk-SK"/>
        </w:rPr>
        <w:t>AO/NO</w:t>
      </w:r>
      <w:r w:rsidR="003832C2" w:rsidRPr="00F2675E">
        <w:rPr>
          <w:rFonts w:ascii="Times New Roman" w:eastAsia="Times New Roman" w:hAnsi="Times New Roman" w:cs="Times New Roman"/>
          <w:sz w:val="24"/>
          <w:szCs w:val="24"/>
          <w:lang w:eastAsia="sk-SK"/>
        </w:rPr>
        <w:t xml:space="preserve"> členských štátov budú disponovať rovnakým výkladom nariadenia (EU) 2023/1230</w:t>
      </w:r>
      <w:r w:rsidR="00815C61">
        <w:rPr>
          <w:rFonts w:ascii="Times New Roman" w:eastAsia="Times New Roman" w:hAnsi="Times New Roman" w:cs="Times New Roman"/>
          <w:sz w:val="24"/>
          <w:szCs w:val="24"/>
          <w:lang w:eastAsia="sk-SK"/>
        </w:rPr>
        <w:t xml:space="preserve"> v platnom znení</w:t>
      </w:r>
      <w:r w:rsidR="003832C2" w:rsidRPr="00F2675E">
        <w:rPr>
          <w:rFonts w:ascii="Times New Roman" w:eastAsia="Times New Roman" w:hAnsi="Times New Roman" w:cs="Times New Roman"/>
          <w:sz w:val="24"/>
          <w:szCs w:val="24"/>
          <w:lang w:eastAsia="sk-SK"/>
        </w:rPr>
        <w:t>, čo bude mať pozitívny</w:t>
      </w:r>
      <w:r w:rsidR="008C5028" w:rsidRPr="00F2675E">
        <w:rPr>
          <w:rFonts w:ascii="Times New Roman" w:eastAsia="Times New Roman" w:hAnsi="Times New Roman" w:cs="Times New Roman"/>
          <w:sz w:val="24"/>
          <w:szCs w:val="24"/>
          <w:lang w:eastAsia="sk-SK"/>
        </w:rPr>
        <w:t xml:space="preserve"> vplyv pre </w:t>
      </w:r>
      <w:r w:rsidR="003832C2" w:rsidRPr="00F2675E">
        <w:rPr>
          <w:rFonts w:ascii="Times New Roman" w:eastAsia="Times New Roman" w:hAnsi="Times New Roman" w:cs="Times New Roman"/>
          <w:sz w:val="24"/>
          <w:szCs w:val="24"/>
          <w:lang w:eastAsia="sk-SK"/>
        </w:rPr>
        <w:t xml:space="preserve">vytvorenie rovnakých trhových podmienok, čo prispeje k stabilite trhu pre všetky </w:t>
      </w:r>
      <w:r w:rsidR="00A743E7" w:rsidRPr="00F2675E">
        <w:rPr>
          <w:rFonts w:ascii="Times New Roman" w:eastAsia="Times New Roman" w:hAnsi="Times New Roman" w:cs="Times New Roman"/>
          <w:sz w:val="24"/>
          <w:szCs w:val="24"/>
          <w:lang w:eastAsia="sk-SK"/>
        </w:rPr>
        <w:t>AO/NO</w:t>
      </w:r>
      <w:r w:rsidR="003832C2" w:rsidRPr="00F2675E">
        <w:rPr>
          <w:rFonts w:ascii="Times New Roman" w:eastAsia="Times New Roman" w:hAnsi="Times New Roman" w:cs="Times New Roman"/>
          <w:sz w:val="24"/>
          <w:szCs w:val="24"/>
          <w:lang w:eastAsia="sk-SK"/>
        </w:rPr>
        <w:t xml:space="preserve"> na území EÚ. Negatívne vplyvy možno vyhodnotiť len čiastočne</w:t>
      </w:r>
      <w:r w:rsidR="00A743E7" w:rsidRPr="00F2675E">
        <w:rPr>
          <w:rFonts w:ascii="Times New Roman" w:eastAsia="Times New Roman" w:hAnsi="Times New Roman" w:cs="Times New Roman"/>
          <w:sz w:val="24"/>
          <w:szCs w:val="24"/>
          <w:lang w:eastAsia="sk-SK"/>
        </w:rPr>
        <w:t>, a to</w:t>
      </w:r>
      <w:r w:rsidR="003832C2" w:rsidRPr="00F2675E">
        <w:rPr>
          <w:rFonts w:ascii="Times New Roman" w:eastAsia="Times New Roman" w:hAnsi="Times New Roman" w:cs="Times New Roman"/>
          <w:sz w:val="24"/>
          <w:szCs w:val="24"/>
          <w:lang w:eastAsia="sk-SK"/>
        </w:rPr>
        <w:t xml:space="preserve"> vo vzťahu k hospodárskym subjektom, kde sa očakávajú len menšie jednorazové náklady pri zapracovaní nových pravidiel</w:t>
      </w:r>
      <w:r w:rsidR="00210EB9" w:rsidRPr="00F2675E">
        <w:rPr>
          <w:rFonts w:ascii="Times New Roman" w:eastAsia="Times New Roman" w:hAnsi="Times New Roman" w:cs="Times New Roman"/>
          <w:sz w:val="24"/>
          <w:szCs w:val="24"/>
          <w:lang w:eastAsia="sk-SK"/>
        </w:rPr>
        <w:t xml:space="preserve"> posudzovania zhody, náklady na údržbu servisu a iné menšie náklady, ktoré sú v</w:t>
      </w:r>
      <w:r w:rsidR="007D0CA1" w:rsidRPr="00F2675E">
        <w:rPr>
          <w:rFonts w:ascii="Times New Roman" w:eastAsia="Times New Roman" w:hAnsi="Times New Roman" w:cs="Times New Roman"/>
          <w:sz w:val="24"/>
          <w:szCs w:val="24"/>
          <w:lang w:eastAsia="sk-SK"/>
        </w:rPr>
        <w:t> </w:t>
      </w:r>
      <w:r w:rsidR="00210EB9" w:rsidRPr="00F2675E">
        <w:rPr>
          <w:rFonts w:ascii="Times New Roman" w:eastAsia="Times New Roman" w:hAnsi="Times New Roman" w:cs="Times New Roman"/>
          <w:sz w:val="24"/>
          <w:szCs w:val="24"/>
          <w:lang w:eastAsia="sk-SK"/>
        </w:rPr>
        <w:t>porovnaní</w:t>
      </w:r>
      <w:r w:rsidR="007D0CA1" w:rsidRPr="00F2675E">
        <w:rPr>
          <w:rFonts w:ascii="Times New Roman" w:eastAsia="Times New Roman" w:hAnsi="Times New Roman" w:cs="Times New Roman"/>
          <w:sz w:val="24"/>
          <w:szCs w:val="24"/>
          <w:lang w:eastAsia="sk-SK"/>
        </w:rPr>
        <w:t xml:space="preserve"> s</w:t>
      </w:r>
      <w:r w:rsidR="00210EB9" w:rsidRPr="00F2675E">
        <w:rPr>
          <w:rFonts w:ascii="Times New Roman" w:eastAsia="Times New Roman" w:hAnsi="Times New Roman" w:cs="Times New Roman"/>
          <w:sz w:val="24"/>
          <w:szCs w:val="24"/>
          <w:lang w:eastAsia="sk-SK"/>
        </w:rPr>
        <w:t xml:space="preserve"> pozitívnymi vplyvmi na podnikateľské prostredie zanedbateľné.</w:t>
      </w:r>
      <w:r w:rsidR="008C5028" w:rsidRPr="00F2675E">
        <w:rPr>
          <w:rFonts w:ascii="Times New Roman" w:eastAsia="Times New Roman" w:hAnsi="Times New Roman" w:cs="Times New Roman"/>
          <w:sz w:val="24"/>
          <w:szCs w:val="24"/>
          <w:lang w:eastAsia="sk-SK"/>
        </w:rPr>
        <w:t xml:space="preserve"> Tieto náklady bude možne kvalifikovať až po uplatnení v aplikačnej praxi.</w:t>
      </w:r>
    </w:p>
    <w:p w14:paraId="66A7F02C" w14:textId="4E98918C" w:rsidR="00F1147A" w:rsidRPr="00F2675E" w:rsidRDefault="00B11AE8" w:rsidP="00F1147A">
      <w:pPr>
        <w:jc w:val="both"/>
        <w:rPr>
          <w:rFonts w:ascii="Times New Roman" w:hAnsi="Times New Roman" w:cs="Times New Roman"/>
          <w:sz w:val="24"/>
          <w:szCs w:val="24"/>
        </w:rPr>
      </w:pPr>
      <w:r w:rsidRPr="00F2675E">
        <w:rPr>
          <w:rFonts w:ascii="Times New Roman" w:eastAsia="Calibri" w:hAnsi="Times New Roman" w:cs="Times New Roman"/>
          <w:sz w:val="24"/>
          <w:szCs w:val="24"/>
        </w:rPr>
        <w:t xml:space="preserve">V prípade implementácie </w:t>
      </w:r>
      <w:r w:rsidR="003803E5" w:rsidRPr="00F2675E">
        <w:rPr>
          <w:rFonts w:ascii="Times New Roman" w:eastAsia="Calibri" w:hAnsi="Times New Roman" w:cs="Times New Roman"/>
          <w:sz w:val="24"/>
          <w:szCs w:val="24"/>
        </w:rPr>
        <w:t>nariadenia (EÚ) 2024/1252</w:t>
      </w:r>
      <w:r w:rsidRPr="00F2675E">
        <w:rPr>
          <w:rFonts w:ascii="Times New Roman" w:eastAsia="Calibri" w:hAnsi="Times New Roman" w:cs="Times New Roman"/>
          <w:sz w:val="24"/>
          <w:szCs w:val="24"/>
        </w:rPr>
        <w:t xml:space="preserve"> sa implementuje len časť</w:t>
      </w:r>
      <w:r w:rsidR="003803E5" w:rsidRPr="00F2675E">
        <w:rPr>
          <w:rFonts w:ascii="Times New Roman" w:eastAsia="Calibri" w:hAnsi="Times New Roman" w:cs="Times New Roman"/>
          <w:sz w:val="24"/>
          <w:szCs w:val="24"/>
        </w:rPr>
        <w:t xml:space="preserve"> týkajúc</w:t>
      </w:r>
      <w:r w:rsidRPr="00F2675E">
        <w:rPr>
          <w:rFonts w:ascii="Times New Roman" w:eastAsia="Calibri" w:hAnsi="Times New Roman" w:cs="Times New Roman"/>
          <w:sz w:val="24"/>
          <w:szCs w:val="24"/>
        </w:rPr>
        <w:t xml:space="preserve">a </w:t>
      </w:r>
      <w:r w:rsidR="003803E5" w:rsidRPr="00F2675E">
        <w:rPr>
          <w:rFonts w:ascii="Times New Roman" w:eastAsia="Calibri" w:hAnsi="Times New Roman" w:cs="Times New Roman"/>
          <w:sz w:val="24"/>
          <w:szCs w:val="24"/>
        </w:rPr>
        <w:t>sa permanentných magnetov</w:t>
      </w:r>
      <w:r w:rsidRPr="00F2675E">
        <w:rPr>
          <w:rFonts w:ascii="Times New Roman" w:eastAsia="Calibri" w:hAnsi="Times New Roman" w:cs="Times New Roman"/>
          <w:sz w:val="24"/>
          <w:szCs w:val="24"/>
        </w:rPr>
        <w:t xml:space="preserve"> a analýza vplyvov sa zaoberá len touto časťou.</w:t>
      </w:r>
      <w:r w:rsidRPr="00F2675E">
        <w:rPr>
          <w:rFonts w:ascii="Times New Roman" w:hAnsi="Times New Roman" w:cs="Times New Roman"/>
          <w:sz w:val="24"/>
          <w:szCs w:val="24"/>
        </w:rPr>
        <w:t xml:space="preserve"> </w:t>
      </w:r>
      <w:r w:rsidR="003803E5" w:rsidRPr="00F2675E">
        <w:rPr>
          <w:rFonts w:ascii="Times New Roman" w:hAnsi="Times New Roman" w:cs="Times New Roman"/>
          <w:sz w:val="24"/>
          <w:szCs w:val="24"/>
        </w:rPr>
        <w:t>Čiastočnou i</w:t>
      </w:r>
      <w:r w:rsidR="00A743E7" w:rsidRPr="00F2675E">
        <w:rPr>
          <w:rFonts w:ascii="Times New Roman" w:hAnsi="Times New Roman" w:cs="Times New Roman"/>
          <w:sz w:val="24"/>
          <w:szCs w:val="24"/>
        </w:rPr>
        <w:t>mplementáci</w:t>
      </w:r>
      <w:r w:rsidR="003803E5" w:rsidRPr="00F2675E">
        <w:rPr>
          <w:rFonts w:ascii="Times New Roman" w:hAnsi="Times New Roman" w:cs="Times New Roman"/>
          <w:sz w:val="24"/>
          <w:szCs w:val="24"/>
        </w:rPr>
        <w:t>ou</w:t>
      </w:r>
      <w:r w:rsidR="00A743E7" w:rsidRPr="00F2675E">
        <w:rPr>
          <w:rFonts w:ascii="Times New Roman" w:hAnsi="Times New Roman" w:cs="Times New Roman"/>
          <w:sz w:val="24"/>
          <w:szCs w:val="24"/>
        </w:rPr>
        <w:t xml:space="preserve"> </w:t>
      </w:r>
      <w:r w:rsidR="00A743E7" w:rsidRPr="000E5324">
        <w:rPr>
          <w:rFonts w:ascii="Times New Roman" w:hAnsi="Times New Roman" w:cs="Times New Roman"/>
          <w:sz w:val="24"/>
          <w:szCs w:val="24"/>
        </w:rPr>
        <w:t>nariadenia (EÚ) 2024/1252 sa očakáva, že bude</w:t>
      </w:r>
      <w:r w:rsidR="00A743E7" w:rsidRPr="00F2675E">
        <w:rPr>
          <w:rFonts w:ascii="Times New Roman" w:hAnsi="Times New Roman" w:cs="Times New Roman"/>
          <w:sz w:val="24"/>
          <w:szCs w:val="24"/>
        </w:rPr>
        <w:t xml:space="preserve"> mať </w:t>
      </w:r>
      <w:r w:rsidR="007C6126" w:rsidRPr="00F2675E">
        <w:rPr>
          <w:rFonts w:ascii="Times New Roman" w:hAnsi="Times New Roman" w:cs="Times New Roman"/>
          <w:sz w:val="24"/>
          <w:szCs w:val="24"/>
        </w:rPr>
        <w:t>pozitívne vplyvy</w:t>
      </w:r>
      <w:r w:rsidR="003803E5" w:rsidRPr="00F2675E">
        <w:rPr>
          <w:rFonts w:ascii="Times New Roman" w:hAnsi="Times New Roman" w:cs="Times New Roman"/>
          <w:sz w:val="24"/>
          <w:szCs w:val="24"/>
        </w:rPr>
        <w:t xml:space="preserve"> </w:t>
      </w:r>
      <w:r w:rsidR="007C6126" w:rsidRPr="00F2675E">
        <w:rPr>
          <w:rFonts w:ascii="Times New Roman" w:hAnsi="Times New Roman" w:cs="Times New Roman"/>
          <w:sz w:val="24"/>
          <w:szCs w:val="24"/>
        </w:rPr>
        <w:t xml:space="preserve">na podnikateľské prostredie, pretože hlavným cieľom </w:t>
      </w:r>
      <w:r w:rsidR="00A743E7" w:rsidRPr="00F2675E">
        <w:rPr>
          <w:rFonts w:ascii="Times New Roman" w:hAnsi="Times New Roman" w:cs="Times New Roman"/>
          <w:sz w:val="24"/>
          <w:szCs w:val="24"/>
        </w:rPr>
        <w:t xml:space="preserve">je </w:t>
      </w:r>
      <w:r w:rsidR="007C6126" w:rsidRPr="00F2675E">
        <w:rPr>
          <w:rFonts w:ascii="Times New Roman" w:hAnsi="Times New Roman" w:cs="Times New Roman"/>
          <w:sz w:val="24"/>
          <w:szCs w:val="24"/>
        </w:rPr>
        <w:t xml:space="preserve">vytvorenie priaznivých podmienok pre zabezpečenie bežných a udržateľných dodávok kritických surovín. Cieľom je vytvoriť priaznivé podmienky pre podnikateľské subjekty zapojené do dodávateľských reťazcov v oblastiach ťažby, spracovania a recyklácie definovaných kritických a strategických surovín. </w:t>
      </w:r>
      <w:r w:rsidR="007D0CA1" w:rsidRPr="00F2675E">
        <w:rPr>
          <w:rFonts w:ascii="Times New Roman" w:hAnsi="Times New Roman" w:cs="Times New Roman"/>
          <w:sz w:val="24"/>
          <w:szCs w:val="24"/>
        </w:rPr>
        <w:t>R</w:t>
      </w:r>
      <w:r w:rsidR="007C6126" w:rsidRPr="00F2675E">
        <w:rPr>
          <w:rFonts w:ascii="Times New Roman" w:hAnsi="Times New Roman" w:cs="Times New Roman"/>
          <w:sz w:val="24"/>
          <w:szCs w:val="24"/>
        </w:rPr>
        <w:t xml:space="preserve">ámec podporuje rozvoj surovín kľúčových pre zelenú a digitálnu transformáciu. </w:t>
      </w:r>
      <w:r w:rsidR="004257B7" w:rsidRPr="00F2675E">
        <w:rPr>
          <w:rFonts w:ascii="Times New Roman" w:hAnsi="Times New Roman" w:cs="Times New Roman"/>
          <w:sz w:val="24"/>
          <w:szCs w:val="24"/>
        </w:rPr>
        <w:t xml:space="preserve">Zameraním na diverzifikáciu dodávok týchto surovín sa znižuje závislosť EÚ od dovozu z tretích krajín a zároveň sa vytvárajú nové príležitosti pre podnikateľské subjekty. Tento prístup podporuje udržateľný rast, inovácie a stabilitu trhu, čím prispieva k vytváraniu priaznivého podnikateľského prostredia v kľúčových sektoroch. </w:t>
      </w:r>
      <w:r w:rsidR="00046E37" w:rsidRPr="00F2675E">
        <w:rPr>
          <w:rFonts w:ascii="Times New Roman" w:hAnsi="Times New Roman" w:cs="Times New Roman"/>
          <w:sz w:val="24"/>
          <w:szCs w:val="24"/>
        </w:rPr>
        <w:t xml:space="preserve">Pozitívny vplyv sa očakáva na rast </w:t>
      </w:r>
      <w:r w:rsidR="00046E37" w:rsidRPr="00F2675E">
        <w:rPr>
          <w:rFonts w:ascii="Times New Roman" w:hAnsi="Times New Roman" w:cs="Times New Roman"/>
          <w:sz w:val="24"/>
          <w:szCs w:val="24"/>
        </w:rPr>
        <w:lastRenderedPageBreak/>
        <w:t>hospodárstva a zníženie strategickej závislosti, pričom vzniká priestor pre nové podnikateľské príležitosti, najmä v oblasti trhu s</w:t>
      </w:r>
      <w:r w:rsidR="00AC3CA3" w:rsidRPr="00F2675E">
        <w:rPr>
          <w:rFonts w:ascii="Times New Roman" w:hAnsi="Times New Roman" w:cs="Times New Roman"/>
          <w:sz w:val="24"/>
          <w:szCs w:val="24"/>
        </w:rPr>
        <w:t xml:space="preserve"> kritickými </w:t>
      </w:r>
      <w:r w:rsidR="00046E37" w:rsidRPr="00F2675E">
        <w:rPr>
          <w:rFonts w:ascii="Times New Roman" w:hAnsi="Times New Roman" w:cs="Times New Roman"/>
          <w:sz w:val="24"/>
          <w:szCs w:val="24"/>
        </w:rPr>
        <w:t xml:space="preserve">surovinami, ako sú permanentné magnety. Tieto zmeny podporia vznik a rozvoj nových podnikateľských subjektov, ktoré sa budú môcť zapojiť do spracovania a recyklácie </w:t>
      </w:r>
      <w:r w:rsidRPr="00F2675E">
        <w:rPr>
          <w:rFonts w:ascii="Times New Roman" w:hAnsi="Times New Roman" w:cs="Times New Roman"/>
          <w:sz w:val="24"/>
          <w:szCs w:val="24"/>
        </w:rPr>
        <w:t>permanentných magnetov</w:t>
      </w:r>
      <w:r w:rsidR="00046E37" w:rsidRPr="00F2675E">
        <w:rPr>
          <w:rFonts w:ascii="Times New Roman" w:hAnsi="Times New Roman" w:cs="Times New Roman"/>
          <w:sz w:val="24"/>
          <w:szCs w:val="24"/>
        </w:rPr>
        <w:t xml:space="preserve">, čím sa vytvoria príležitosti v oblasti vytvorenia malých a stredných podnikov, zároveň sa podporia už existujúce malé a stredné podniky. </w:t>
      </w:r>
      <w:r w:rsidR="004257B7" w:rsidRPr="00F2675E">
        <w:rPr>
          <w:rFonts w:ascii="Times New Roman" w:hAnsi="Times New Roman" w:cs="Times New Roman"/>
          <w:sz w:val="24"/>
          <w:szCs w:val="24"/>
        </w:rPr>
        <w:t>Bližšie výpočty bude možné vyhodnotiť až sledovaním vývoja po</w:t>
      </w:r>
      <w:r w:rsidR="00517A49" w:rsidRPr="00F2675E">
        <w:rPr>
          <w:rFonts w:ascii="Times New Roman" w:hAnsi="Times New Roman" w:cs="Times New Roman"/>
          <w:sz w:val="24"/>
          <w:szCs w:val="24"/>
        </w:rPr>
        <w:t xml:space="preserve"> zavedení</w:t>
      </w:r>
      <w:r w:rsidR="004257B7" w:rsidRPr="00F2675E">
        <w:rPr>
          <w:rFonts w:ascii="Times New Roman" w:hAnsi="Times New Roman" w:cs="Times New Roman"/>
          <w:sz w:val="24"/>
          <w:szCs w:val="24"/>
        </w:rPr>
        <w:t xml:space="preserve"> do praxe. </w:t>
      </w:r>
      <w:r w:rsidR="00517A49" w:rsidRPr="00F2675E">
        <w:rPr>
          <w:rFonts w:ascii="Times New Roman" w:hAnsi="Times New Roman" w:cs="Times New Roman"/>
          <w:sz w:val="24"/>
          <w:szCs w:val="24"/>
        </w:rPr>
        <w:t xml:space="preserve">Z hľadiska negatívnych vplyvov sa očakáva </w:t>
      </w:r>
      <w:r w:rsidR="00AC3CA3" w:rsidRPr="00F2675E">
        <w:rPr>
          <w:rFonts w:ascii="Times New Roman" w:hAnsi="Times New Roman" w:cs="Times New Roman"/>
          <w:sz w:val="24"/>
          <w:szCs w:val="24"/>
        </w:rPr>
        <w:t>vyššie</w:t>
      </w:r>
      <w:r w:rsidR="00517A49" w:rsidRPr="00F2675E">
        <w:rPr>
          <w:rFonts w:ascii="Times New Roman" w:hAnsi="Times New Roman" w:cs="Times New Roman"/>
          <w:sz w:val="24"/>
          <w:szCs w:val="24"/>
        </w:rPr>
        <w:t xml:space="preserve"> administratívne zaťaženie pre podnikateľské prostredie v súvislosti s povinnosťou poskytovať informácie Európskej komisii. Rovnako sa predpokladajú nižšie náklady spojené so zabezpečením požadovaných označení a poskytovaním informácií o obsahu permanentných magnetov. Zvýšenie nákladov sa predpokladá u fyzických a právnických osôb, ktoré uvádzajú na trh zariadenia využívajúce permanentné magnety. Tieto povinnosti sa týkajú širokého spektra produktov, ako sú napr. zariadenia na zobrazovanie magnetickou rezonanciou, zariadenia na výrobu veternej energie, priemyselné roboty, motorové vozidlá, ľahké dopravné prostriedky, chladiace zariadenia, tepelné čerpadlá</w:t>
      </w:r>
      <w:r w:rsidRPr="00F2675E">
        <w:rPr>
          <w:rFonts w:ascii="Times New Roman" w:hAnsi="Times New Roman" w:cs="Times New Roman"/>
          <w:sz w:val="24"/>
          <w:szCs w:val="24"/>
        </w:rPr>
        <w:t>,</w:t>
      </w:r>
      <w:r w:rsidR="00517A49" w:rsidRPr="00F2675E">
        <w:rPr>
          <w:rFonts w:ascii="Times New Roman" w:hAnsi="Times New Roman" w:cs="Times New Roman"/>
          <w:sz w:val="24"/>
          <w:szCs w:val="24"/>
        </w:rPr>
        <w:t xml:space="preserve"> atď. Napriek tomu, že sa zavedú povinnosti, ktoré </w:t>
      </w:r>
      <w:r w:rsidR="00046E37" w:rsidRPr="00F2675E">
        <w:rPr>
          <w:rFonts w:ascii="Times New Roman" w:hAnsi="Times New Roman" w:cs="Times New Roman"/>
          <w:sz w:val="24"/>
          <w:szCs w:val="24"/>
        </w:rPr>
        <w:t xml:space="preserve">o nezanedbateľné množstvo </w:t>
      </w:r>
      <w:r w:rsidR="00517A49" w:rsidRPr="00F2675E">
        <w:rPr>
          <w:rFonts w:ascii="Times New Roman" w:hAnsi="Times New Roman" w:cs="Times New Roman"/>
          <w:sz w:val="24"/>
          <w:szCs w:val="24"/>
        </w:rPr>
        <w:t>zvýšia náklady podnikateľským sub</w:t>
      </w:r>
      <w:r w:rsidR="00AC3CA3" w:rsidRPr="00F2675E">
        <w:rPr>
          <w:rFonts w:ascii="Times New Roman" w:hAnsi="Times New Roman" w:cs="Times New Roman"/>
          <w:sz w:val="24"/>
          <w:szCs w:val="24"/>
        </w:rPr>
        <w:t>jektom (</w:t>
      </w:r>
      <w:r w:rsidR="00517A49" w:rsidRPr="00F2675E">
        <w:rPr>
          <w:rFonts w:ascii="Times New Roman" w:hAnsi="Times New Roman" w:cs="Times New Roman"/>
          <w:sz w:val="24"/>
          <w:szCs w:val="24"/>
        </w:rPr>
        <w:t>ktoré ešte nie</w:t>
      </w:r>
      <w:r w:rsidR="00AC3CA3" w:rsidRPr="00F2675E">
        <w:rPr>
          <w:rFonts w:ascii="Times New Roman" w:hAnsi="Times New Roman" w:cs="Times New Roman"/>
          <w:sz w:val="24"/>
          <w:szCs w:val="24"/>
        </w:rPr>
        <w:t xml:space="preserve"> je</w:t>
      </w:r>
      <w:r w:rsidR="00517A49" w:rsidRPr="00F2675E">
        <w:rPr>
          <w:rFonts w:ascii="Times New Roman" w:hAnsi="Times New Roman" w:cs="Times New Roman"/>
          <w:sz w:val="24"/>
          <w:szCs w:val="24"/>
        </w:rPr>
        <w:t xml:space="preserve"> možné identifikovať</w:t>
      </w:r>
      <w:r w:rsidR="00AC3CA3" w:rsidRPr="00F2675E">
        <w:rPr>
          <w:rFonts w:ascii="Times New Roman" w:hAnsi="Times New Roman" w:cs="Times New Roman"/>
          <w:sz w:val="24"/>
          <w:szCs w:val="24"/>
        </w:rPr>
        <w:t>)</w:t>
      </w:r>
      <w:r w:rsidR="00517A49" w:rsidRPr="00F2675E">
        <w:rPr>
          <w:rFonts w:ascii="Times New Roman" w:hAnsi="Times New Roman" w:cs="Times New Roman"/>
          <w:sz w:val="24"/>
          <w:szCs w:val="24"/>
        </w:rPr>
        <w:t>, tak sa zároveň pozitívne zvýši</w:t>
      </w:r>
      <w:r w:rsidR="00AC3CA3" w:rsidRPr="00F2675E">
        <w:rPr>
          <w:rFonts w:ascii="Times New Roman" w:hAnsi="Times New Roman" w:cs="Times New Roman"/>
          <w:sz w:val="24"/>
          <w:szCs w:val="24"/>
        </w:rPr>
        <w:t xml:space="preserve"> podnikateľský zisk</w:t>
      </w:r>
      <w:r w:rsidR="00517A49" w:rsidRPr="00F2675E">
        <w:rPr>
          <w:rFonts w:ascii="Times New Roman" w:hAnsi="Times New Roman" w:cs="Times New Roman"/>
          <w:sz w:val="24"/>
          <w:szCs w:val="24"/>
        </w:rPr>
        <w:t xml:space="preserve"> z hľadiska aplikácie obchodných činnost</w:t>
      </w:r>
      <w:r w:rsidR="007377D0" w:rsidRPr="00F2675E">
        <w:rPr>
          <w:rFonts w:ascii="Times New Roman" w:hAnsi="Times New Roman" w:cs="Times New Roman"/>
          <w:sz w:val="24"/>
          <w:szCs w:val="24"/>
        </w:rPr>
        <w:t>í</w:t>
      </w:r>
      <w:r w:rsidR="00517A49" w:rsidRPr="00F2675E">
        <w:rPr>
          <w:rFonts w:ascii="Times New Roman" w:hAnsi="Times New Roman" w:cs="Times New Roman"/>
          <w:sz w:val="24"/>
          <w:szCs w:val="24"/>
        </w:rPr>
        <w:t xml:space="preserve"> v tejto oblasti</w:t>
      </w:r>
      <w:r w:rsidR="00A743E7" w:rsidRPr="00F2675E">
        <w:rPr>
          <w:rFonts w:ascii="Times New Roman" w:hAnsi="Times New Roman" w:cs="Times New Roman"/>
          <w:sz w:val="24"/>
          <w:szCs w:val="24"/>
        </w:rPr>
        <w:t>, p</w:t>
      </w:r>
      <w:r w:rsidR="00046E37" w:rsidRPr="00F2675E">
        <w:rPr>
          <w:rFonts w:ascii="Times New Roman" w:hAnsi="Times New Roman" w:cs="Times New Roman"/>
          <w:sz w:val="24"/>
          <w:szCs w:val="24"/>
        </w:rPr>
        <w:t>retože náklady na tieto povinnosti sú relatívne nízke a prispievajú k transparentnosti a udržateľnosti výrobkov na trhu. Čo sa týka negatívneho vplyvu na podnikateľské prostredie možno hypotetický predpokladať, že pôj</w:t>
      </w:r>
      <w:r w:rsidR="005B17E1">
        <w:rPr>
          <w:rFonts w:ascii="Times New Roman" w:hAnsi="Times New Roman" w:cs="Times New Roman"/>
          <w:sz w:val="24"/>
          <w:szCs w:val="24"/>
        </w:rPr>
        <w:t>de o zavedenie nových povinností</w:t>
      </w:r>
      <w:r w:rsidR="00046E37" w:rsidRPr="00F2675E">
        <w:rPr>
          <w:rFonts w:ascii="Times New Roman" w:hAnsi="Times New Roman" w:cs="Times New Roman"/>
          <w:sz w:val="24"/>
          <w:szCs w:val="24"/>
        </w:rPr>
        <w:t>, ktoré pre</w:t>
      </w:r>
      <w:r w:rsidR="005B17E1">
        <w:rPr>
          <w:rFonts w:ascii="Times New Roman" w:hAnsi="Times New Roman" w:cs="Times New Roman"/>
          <w:sz w:val="24"/>
          <w:szCs w:val="24"/>
        </w:rPr>
        <w:t>d</w:t>
      </w:r>
      <w:r w:rsidR="00046E37" w:rsidRPr="00F2675E">
        <w:rPr>
          <w:rFonts w:ascii="Times New Roman" w:hAnsi="Times New Roman" w:cs="Times New Roman"/>
          <w:sz w:val="24"/>
          <w:szCs w:val="24"/>
        </w:rPr>
        <w:t>stavujú aj zvýšenie administratívnej záťaže</w:t>
      </w:r>
      <w:r w:rsidR="00AC3CA3" w:rsidRPr="00F2675E">
        <w:rPr>
          <w:rFonts w:ascii="Times New Roman" w:hAnsi="Times New Roman" w:cs="Times New Roman"/>
          <w:sz w:val="24"/>
          <w:szCs w:val="24"/>
        </w:rPr>
        <w:t xml:space="preserve"> pre podniky, </w:t>
      </w:r>
      <w:r w:rsidR="00046E37" w:rsidRPr="00F2675E">
        <w:rPr>
          <w:rFonts w:ascii="Times New Roman" w:hAnsi="Times New Roman" w:cs="Times New Roman"/>
          <w:sz w:val="24"/>
          <w:szCs w:val="24"/>
        </w:rPr>
        <w:t xml:space="preserve">ktoré budú musieť zabezpečiť </w:t>
      </w:r>
      <w:r w:rsidR="00F1147A" w:rsidRPr="00F2675E">
        <w:rPr>
          <w:rFonts w:ascii="Times New Roman" w:eastAsia="Calibri" w:hAnsi="Times New Roman" w:cs="Times New Roman"/>
          <w:sz w:val="24"/>
          <w:szCs w:val="24"/>
        </w:rPr>
        <w:t>označenie s presne definovanými informáciami o obsahu permanentných magnetov, a taktiež povinnosť zverejniť podiel neodýmu, dysprózia, prazeodýmu, terbia, bóru, samária, niklu a kobaltu spätne získaného zo spotrebiteľského odpadu, ktorý je prítomný v permanentných magnetoch obsiahnutých vo výrobku</w:t>
      </w:r>
      <w:r w:rsidR="00F2675E">
        <w:rPr>
          <w:rFonts w:ascii="Times New Roman" w:eastAsia="Calibri" w:hAnsi="Times New Roman" w:cs="Times New Roman"/>
          <w:sz w:val="24"/>
          <w:szCs w:val="24"/>
        </w:rPr>
        <w:t xml:space="preserve">. </w:t>
      </w:r>
      <w:r w:rsidR="0080702A" w:rsidRPr="00F2675E">
        <w:rPr>
          <w:rFonts w:ascii="Times New Roman" w:hAnsi="Times New Roman" w:cs="Times New Roman"/>
          <w:sz w:val="24"/>
          <w:szCs w:val="24"/>
        </w:rPr>
        <w:t>Vzhľadom na </w:t>
      </w:r>
      <w:r w:rsidR="00046E37" w:rsidRPr="00F2675E">
        <w:rPr>
          <w:rFonts w:ascii="Times New Roman" w:hAnsi="Times New Roman" w:cs="Times New Roman"/>
          <w:sz w:val="24"/>
          <w:szCs w:val="24"/>
        </w:rPr>
        <w:t>aktuálnu situáciu nie je možné presne určiť, koľkých podnikateľských subjektov sa tieto povinnosti dotknú,</w:t>
      </w:r>
      <w:r w:rsidR="00F1147A" w:rsidRPr="00F2675E">
        <w:rPr>
          <w:rFonts w:ascii="Times New Roman" w:eastAsia="Calibri" w:hAnsi="Times New Roman" w:cs="Times New Roman"/>
          <w:sz w:val="24"/>
          <w:szCs w:val="24"/>
        </w:rPr>
        <w:t xml:space="preserve"> nakoľko to bude závisieť od počtu subjektov zapojených do dodávateľských reťazcov kritických surovín, v tomto príde permanentných magnetov</w:t>
      </w:r>
      <w:r w:rsidRPr="00F2675E">
        <w:rPr>
          <w:rFonts w:ascii="Times New Roman" w:eastAsia="Calibri" w:hAnsi="Times New Roman" w:cs="Times New Roman"/>
          <w:sz w:val="24"/>
          <w:szCs w:val="24"/>
        </w:rPr>
        <w:t>.</w:t>
      </w:r>
      <w:r w:rsidR="00046E37" w:rsidRPr="00F2675E">
        <w:rPr>
          <w:rFonts w:ascii="Times New Roman" w:hAnsi="Times New Roman" w:cs="Times New Roman"/>
          <w:sz w:val="24"/>
          <w:szCs w:val="24"/>
        </w:rPr>
        <w:t xml:space="preserve"> </w:t>
      </w:r>
      <w:r w:rsidR="00F1147A" w:rsidRPr="00F2675E">
        <w:rPr>
          <w:rFonts w:ascii="Times New Roman" w:eastAsia="Calibri" w:hAnsi="Times New Roman" w:cs="Times New Roman"/>
          <w:sz w:val="24"/>
          <w:szCs w:val="24"/>
        </w:rPr>
        <w:t>Pozitívny vplyv sa očakáva na konkurencieschopnosť a rast hospodárstva, zníženie strategickej závislosti a zabezpečenie rozvoja trhu s druhotnými surovinami – permanentné magnety, čím sa v tejto časti vytvára aj priestor pre nové podnikateľské príležitosti.</w:t>
      </w:r>
      <w:r w:rsidR="00F1147A" w:rsidRPr="00F2675E">
        <w:rPr>
          <w:rFonts w:ascii="Times New Roman" w:eastAsia="Calibri" w:hAnsi="Times New Roman" w:cs="Times New Roman"/>
          <w:b/>
          <w:sz w:val="24"/>
          <w:szCs w:val="24"/>
        </w:rPr>
        <w:t xml:space="preserve"> </w:t>
      </w:r>
    </w:p>
    <w:p w14:paraId="450D4E21" w14:textId="7CCBEC29" w:rsidR="00F2675E" w:rsidRPr="00F2675E" w:rsidRDefault="00F1147A" w:rsidP="00F2675E">
      <w:pPr>
        <w:jc w:val="both"/>
        <w:rPr>
          <w:rFonts w:ascii="Times New Roman" w:hAnsi="Times New Roman" w:cs="Times New Roman"/>
          <w:sz w:val="24"/>
          <w:szCs w:val="24"/>
        </w:rPr>
      </w:pPr>
      <w:r w:rsidRPr="00F2675E">
        <w:rPr>
          <w:rFonts w:ascii="Times New Roman" w:hAnsi="Times New Roman" w:cs="Times New Roman"/>
          <w:sz w:val="24"/>
          <w:szCs w:val="24"/>
        </w:rPr>
        <w:t>V súvislosti s čiastočnou implementáciou aktu o kybernetickej odolnosti a aktu o umelej inteligencii</w:t>
      </w:r>
      <w:r w:rsidRPr="00F2675E" w:rsidDel="00A53813">
        <w:rPr>
          <w:rFonts w:ascii="Times New Roman" w:eastAsia="Times New Roman" w:hAnsi="Times New Roman" w:cs="Times New Roman"/>
          <w:sz w:val="24"/>
          <w:szCs w:val="24"/>
          <w:lang w:eastAsia="sk-SK"/>
        </w:rPr>
        <w:t xml:space="preserve"> </w:t>
      </w:r>
      <w:r w:rsidRPr="00F2675E">
        <w:rPr>
          <w:rFonts w:ascii="Times New Roman" w:hAnsi="Times New Roman" w:cs="Times New Roman"/>
          <w:sz w:val="24"/>
          <w:szCs w:val="24"/>
        </w:rPr>
        <w:t>úrad očakáva pozitívne vplyvy na podnikateľské prostredie, a to rozšíren</w:t>
      </w:r>
      <w:r w:rsidR="00B11AE8" w:rsidRPr="00F2675E">
        <w:rPr>
          <w:rFonts w:ascii="Times New Roman" w:hAnsi="Times New Roman" w:cs="Times New Roman"/>
          <w:sz w:val="24"/>
          <w:szCs w:val="24"/>
        </w:rPr>
        <w:t>í</w:t>
      </w:r>
      <w:r w:rsidRPr="00F2675E">
        <w:rPr>
          <w:rFonts w:ascii="Times New Roman" w:hAnsi="Times New Roman" w:cs="Times New Roman"/>
          <w:sz w:val="24"/>
          <w:szCs w:val="24"/>
        </w:rPr>
        <w:t xml:space="preserve">m podnikateľského portfólia vo vzťahu k existujúcim </w:t>
      </w:r>
      <w:r w:rsidR="00B11AE8" w:rsidRPr="00F2675E">
        <w:rPr>
          <w:rFonts w:ascii="Times New Roman" w:hAnsi="Times New Roman" w:cs="Times New Roman"/>
          <w:sz w:val="24"/>
          <w:szCs w:val="24"/>
        </w:rPr>
        <w:t>NO,</w:t>
      </w:r>
      <w:r w:rsidRPr="00F2675E">
        <w:rPr>
          <w:rFonts w:ascii="Times New Roman" w:hAnsi="Times New Roman" w:cs="Times New Roman"/>
          <w:sz w:val="24"/>
          <w:szCs w:val="24"/>
        </w:rPr>
        <w:t xml:space="preserve"> ale aj vo vzťahu k založeniu nových </w:t>
      </w:r>
      <w:r w:rsidR="00B11AE8" w:rsidRPr="00F2675E">
        <w:rPr>
          <w:rFonts w:ascii="Times New Roman" w:hAnsi="Times New Roman" w:cs="Times New Roman"/>
          <w:sz w:val="24"/>
          <w:szCs w:val="24"/>
        </w:rPr>
        <w:t>NO</w:t>
      </w:r>
      <w:r w:rsidRPr="00F2675E">
        <w:rPr>
          <w:rFonts w:ascii="Times New Roman" w:hAnsi="Times New Roman" w:cs="Times New Roman"/>
          <w:sz w:val="24"/>
          <w:szCs w:val="24"/>
        </w:rPr>
        <w:t>, ktoré budú vykonať posúdenie zhody v tejto oblasti. Napriek tomu úrad tieto pozitívne vplyvy nevie výpočtom kvalifikovať, pretože pôjde o proces posúdenia zhody, ktorý bude nový z hľadiska inovácii a úrad nevie vyhodnotiť, ktoré AO/NO budú mať dostatočné</w:t>
      </w:r>
      <w:r w:rsidR="00B11AE8" w:rsidRPr="00F2675E">
        <w:rPr>
          <w:rFonts w:ascii="Times New Roman" w:hAnsi="Times New Roman" w:cs="Times New Roman"/>
          <w:sz w:val="24"/>
          <w:szCs w:val="24"/>
        </w:rPr>
        <w:t xml:space="preserve"> odborné,</w:t>
      </w:r>
      <w:r w:rsidRPr="00F2675E">
        <w:rPr>
          <w:rFonts w:ascii="Times New Roman" w:hAnsi="Times New Roman" w:cs="Times New Roman"/>
          <w:sz w:val="24"/>
          <w:szCs w:val="24"/>
        </w:rPr>
        <w:t xml:space="preserve"> personálne a finančné zabezpečenie na výkon posúdenia zhody v tejto oblasti.</w:t>
      </w:r>
      <w:r w:rsidR="00B11AE8" w:rsidRPr="00F2675E">
        <w:rPr>
          <w:rFonts w:ascii="Times New Roman" w:hAnsi="Times New Roman" w:cs="Times New Roman"/>
          <w:sz w:val="24"/>
          <w:szCs w:val="24"/>
        </w:rPr>
        <w:t xml:space="preserve"> V </w:t>
      </w:r>
      <w:r w:rsidR="008C5028" w:rsidRPr="00F2675E">
        <w:rPr>
          <w:rFonts w:ascii="Times New Roman" w:hAnsi="Times New Roman" w:cs="Times New Roman"/>
          <w:sz w:val="24"/>
          <w:szCs w:val="24"/>
        </w:rPr>
        <w:t xml:space="preserve">ostatných častiach aktu o umelej inteligencii </w:t>
      </w:r>
      <w:r w:rsidR="00F2675E" w:rsidRPr="00F2675E">
        <w:rPr>
          <w:rFonts w:ascii="Times New Roman" w:hAnsi="Times New Roman" w:cs="Times New Roman"/>
          <w:sz w:val="24"/>
          <w:szCs w:val="24"/>
        </w:rPr>
        <w:t>má byť</w:t>
      </w:r>
      <w:r w:rsidR="008C5028" w:rsidRPr="00F2675E">
        <w:rPr>
          <w:rFonts w:ascii="Times New Roman" w:hAnsi="Times New Roman" w:cs="Times New Roman"/>
          <w:sz w:val="24"/>
          <w:szCs w:val="24"/>
        </w:rPr>
        <w:t xml:space="preserve"> implementácia</w:t>
      </w:r>
      <w:r w:rsidR="00F2675E" w:rsidRPr="00F2675E">
        <w:rPr>
          <w:rFonts w:ascii="Times New Roman" w:hAnsi="Times New Roman" w:cs="Times New Roman"/>
          <w:sz w:val="24"/>
          <w:szCs w:val="24"/>
        </w:rPr>
        <w:t xml:space="preserve"> zabezpečená</w:t>
      </w:r>
      <w:r w:rsidR="008C5028" w:rsidRPr="00F2675E">
        <w:rPr>
          <w:rFonts w:ascii="Times New Roman" w:hAnsi="Times New Roman" w:cs="Times New Roman"/>
          <w:sz w:val="24"/>
          <w:szCs w:val="24"/>
        </w:rPr>
        <w:t xml:space="preserve"> prostredníctvom legislatívy</w:t>
      </w:r>
      <w:r w:rsidR="00B11AE8" w:rsidRPr="00F2675E">
        <w:rPr>
          <w:rFonts w:ascii="Times New Roman" w:hAnsi="Times New Roman" w:cs="Times New Roman"/>
          <w:sz w:val="24"/>
          <w:szCs w:val="24"/>
        </w:rPr>
        <w:t>, ktorú bude pripravovať</w:t>
      </w:r>
      <w:r w:rsidR="008C5028" w:rsidRPr="00F2675E">
        <w:rPr>
          <w:rFonts w:ascii="Times New Roman" w:hAnsi="Times New Roman" w:cs="Times New Roman"/>
          <w:sz w:val="24"/>
          <w:szCs w:val="24"/>
        </w:rPr>
        <w:t xml:space="preserve"> Ministerstv</w:t>
      </w:r>
      <w:r w:rsidR="00B11AE8" w:rsidRPr="00F2675E">
        <w:rPr>
          <w:rFonts w:ascii="Times New Roman" w:hAnsi="Times New Roman" w:cs="Times New Roman"/>
          <w:sz w:val="24"/>
          <w:szCs w:val="24"/>
        </w:rPr>
        <w:t>o</w:t>
      </w:r>
      <w:r w:rsidR="008C5028" w:rsidRPr="00F2675E">
        <w:rPr>
          <w:rFonts w:ascii="Times New Roman" w:hAnsi="Times New Roman" w:cs="Times New Roman"/>
          <w:sz w:val="24"/>
          <w:szCs w:val="24"/>
        </w:rPr>
        <w:t xml:space="preserve"> investícii regionálneho rozvoja a informatizáci</w:t>
      </w:r>
      <w:r w:rsidR="00F2675E" w:rsidRPr="00F2675E">
        <w:rPr>
          <w:rFonts w:ascii="Times New Roman" w:hAnsi="Times New Roman" w:cs="Times New Roman"/>
          <w:sz w:val="24"/>
          <w:szCs w:val="24"/>
        </w:rPr>
        <w:t>e</w:t>
      </w:r>
      <w:r w:rsidR="008C5028" w:rsidRPr="00F2675E">
        <w:rPr>
          <w:rFonts w:ascii="Times New Roman" w:hAnsi="Times New Roman" w:cs="Times New Roman"/>
          <w:sz w:val="24"/>
          <w:szCs w:val="24"/>
        </w:rPr>
        <w:t xml:space="preserve"> Slovenskej republiky, ktoré je </w:t>
      </w:r>
      <w:r w:rsidR="009E26AE">
        <w:rPr>
          <w:rFonts w:ascii="Times New Roman" w:hAnsi="Times New Roman" w:cs="Times New Roman"/>
          <w:sz w:val="24"/>
          <w:szCs w:val="24"/>
        </w:rPr>
        <w:t xml:space="preserve">ďalším </w:t>
      </w:r>
      <w:r w:rsidR="008C5028" w:rsidRPr="00F2675E">
        <w:rPr>
          <w:rFonts w:ascii="Times New Roman" w:hAnsi="Times New Roman" w:cs="Times New Roman"/>
          <w:sz w:val="24"/>
          <w:szCs w:val="24"/>
        </w:rPr>
        <w:t>gestorom tohto predpisu</w:t>
      </w:r>
      <w:r w:rsidRPr="00F2675E">
        <w:rPr>
          <w:rFonts w:ascii="Times New Roman" w:hAnsi="Times New Roman" w:cs="Times New Roman"/>
          <w:sz w:val="24"/>
          <w:szCs w:val="24"/>
        </w:rPr>
        <w:t xml:space="preserve"> a v prípade aktu o</w:t>
      </w:r>
      <w:r w:rsidR="00F2675E" w:rsidRPr="00F2675E">
        <w:rPr>
          <w:rFonts w:ascii="Times New Roman" w:hAnsi="Times New Roman" w:cs="Times New Roman"/>
          <w:sz w:val="24"/>
          <w:szCs w:val="24"/>
        </w:rPr>
        <w:t xml:space="preserve"> kybernetickej </w:t>
      </w:r>
      <w:r w:rsidRPr="00F2675E">
        <w:rPr>
          <w:rFonts w:ascii="Times New Roman" w:hAnsi="Times New Roman" w:cs="Times New Roman"/>
          <w:sz w:val="24"/>
          <w:szCs w:val="24"/>
        </w:rPr>
        <w:t xml:space="preserve">odolnosti </w:t>
      </w:r>
      <w:r w:rsidR="00F2675E" w:rsidRPr="00F2675E">
        <w:rPr>
          <w:rFonts w:ascii="Times New Roman" w:hAnsi="Times New Roman" w:cs="Times New Roman"/>
          <w:sz w:val="24"/>
          <w:szCs w:val="24"/>
        </w:rPr>
        <w:t>má  byť</w:t>
      </w:r>
      <w:r w:rsidRPr="00F2675E">
        <w:rPr>
          <w:rFonts w:ascii="Times New Roman" w:hAnsi="Times New Roman" w:cs="Times New Roman"/>
          <w:sz w:val="24"/>
          <w:szCs w:val="24"/>
        </w:rPr>
        <w:t xml:space="preserve"> implementácia</w:t>
      </w:r>
      <w:r w:rsidR="00F2675E" w:rsidRPr="00F2675E">
        <w:rPr>
          <w:rFonts w:ascii="Times New Roman" w:hAnsi="Times New Roman" w:cs="Times New Roman"/>
          <w:sz w:val="24"/>
          <w:szCs w:val="24"/>
        </w:rPr>
        <w:t xml:space="preserve"> zabezpečená</w:t>
      </w:r>
      <w:r w:rsidRPr="00F2675E">
        <w:rPr>
          <w:rFonts w:ascii="Times New Roman" w:hAnsi="Times New Roman" w:cs="Times New Roman"/>
          <w:sz w:val="24"/>
          <w:szCs w:val="24"/>
        </w:rPr>
        <w:t xml:space="preserve"> prostredníctvom </w:t>
      </w:r>
      <w:r w:rsidR="00B11AE8" w:rsidRPr="00F2675E">
        <w:rPr>
          <w:rFonts w:ascii="Times New Roman" w:hAnsi="Times New Roman" w:cs="Times New Roman"/>
          <w:sz w:val="24"/>
          <w:szCs w:val="24"/>
        </w:rPr>
        <w:t>legislatívy, ktorú</w:t>
      </w:r>
      <w:r w:rsidR="00F2675E" w:rsidRPr="00F2675E">
        <w:rPr>
          <w:rFonts w:ascii="Times New Roman" w:hAnsi="Times New Roman" w:cs="Times New Roman"/>
          <w:sz w:val="24"/>
          <w:szCs w:val="24"/>
        </w:rPr>
        <w:t xml:space="preserve"> bude pripravovať</w:t>
      </w:r>
      <w:r w:rsidRPr="00F2675E" w:rsidDel="00F1147A">
        <w:rPr>
          <w:rFonts w:ascii="Times New Roman" w:hAnsi="Times New Roman" w:cs="Times New Roman"/>
          <w:sz w:val="24"/>
          <w:szCs w:val="24"/>
        </w:rPr>
        <w:t xml:space="preserve"> </w:t>
      </w:r>
      <w:r w:rsidRPr="00F2675E">
        <w:rPr>
          <w:rFonts w:ascii="Times New Roman" w:hAnsi="Times New Roman" w:cs="Times New Roman"/>
          <w:sz w:val="24"/>
          <w:szCs w:val="24"/>
        </w:rPr>
        <w:t>Národn</w:t>
      </w:r>
      <w:r w:rsidR="00F2675E" w:rsidRPr="00F2675E">
        <w:rPr>
          <w:rFonts w:ascii="Times New Roman" w:hAnsi="Times New Roman" w:cs="Times New Roman"/>
          <w:sz w:val="24"/>
          <w:szCs w:val="24"/>
        </w:rPr>
        <w:t>ý</w:t>
      </w:r>
      <w:r w:rsidRPr="00F2675E">
        <w:rPr>
          <w:rFonts w:ascii="Times New Roman" w:hAnsi="Times New Roman" w:cs="Times New Roman"/>
          <w:sz w:val="24"/>
          <w:szCs w:val="24"/>
        </w:rPr>
        <w:t xml:space="preserve"> </w:t>
      </w:r>
      <w:r w:rsidR="00F2675E" w:rsidRPr="00F2675E">
        <w:rPr>
          <w:rFonts w:ascii="Times New Roman" w:hAnsi="Times New Roman" w:cs="Times New Roman"/>
          <w:sz w:val="24"/>
          <w:szCs w:val="24"/>
        </w:rPr>
        <w:t>bezpečnostný úrad</w:t>
      </w:r>
      <w:r w:rsidRPr="00F2675E">
        <w:rPr>
          <w:rFonts w:ascii="Times New Roman" w:hAnsi="Times New Roman" w:cs="Times New Roman"/>
          <w:sz w:val="24"/>
          <w:szCs w:val="24"/>
        </w:rPr>
        <w:t xml:space="preserve">, ktorý je </w:t>
      </w:r>
      <w:r w:rsidR="009E26AE">
        <w:rPr>
          <w:rFonts w:ascii="Times New Roman" w:hAnsi="Times New Roman" w:cs="Times New Roman"/>
          <w:sz w:val="24"/>
          <w:szCs w:val="24"/>
        </w:rPr>
        <w:t xml:space="preserve">ďalším </w:t>
      </w:r>
      <w:r w:rsidRPr="00F2675E">
        <w:rPr>
          <w:rFonts w:ascii="Times New Roman" w:hAnsi="Times New Roman" w:cs="Times New Roman"/>
          <w:sz w:val="24"/>
          <w:szCs w:val="24"/>
        </w:rPr>
        <w:t>gest</w:t>
      </w:r>
      <w:r w:rsidR="00F2675E" w:rsidRPr="00F2675E">
        <w:rPr>
          <w:rFonts w:ascii="Times New Roman" w:hAnsi="Times New Roman" w:cs="Times New Roman"/>
          <w:sz w:val="24"/>
          <w:szCs w:val="24"/>
        </w:rPr>
        <w:t>orom tohto predpisu a preto v tomto prípade neboli identifikované  žiadne ďalšie vplyvy na podnikateľské prostredie.</w:t>
      </w:r>
    </w:p>
    <w:sectPr w:rsidR="00F2675E" w:rsidRPr="00F2675E"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D566C1" w14:textId="77777777" w:rsidR="00001DEE" w:rsidRDefault="00001DEE" w:rsidP="00054C41">
      <w:pPr>
        <w:spacing w:after="0" w:line="240" w:lineRule="auto"/>
      </w:pPr>
      <w:r>
        <w:separator/>
      </w:r>
    </w:p>
  </w:endnote>
  <w:endnote w:type="continuationSeparator" w:id="0">
    <w:p w14:paraId="378BD673" w14:textId="77777777" w:rsidR="00001DEE" w:rsidRDefault="00001DEE"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4A0B2B95" w:rsidR="00F5402B" w:rsidRPr="006045CB" w:rsidRDefault="00F5402B"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91105D">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4556761F" w14:textId="77777777" w:rsidR="00F5402B" w:rsidRPr="00FF7125" w:rsidRDefault="00F5402B" w:rsidP="00054C41">
    <w:pPr>
      <w:pStyle w:val="Pta"/>
      <w:rPr>
        <w:sz w:val="24"/>
        <w:szCs w:val="24"/>
      </w:rPr>
    </w:pPr>
  </w:p>
  <w:p w14:paraId="20FE6A4A" w14:textId="77777777" w:rsidR="00F5402B" w:rsidRDefault="00F5402B">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73BCDD" w14:textId="77777777" w:rsidR="00001DEE" w:rsidRDefault="00001DEE" w:rsidP="00054C41">
      <w:pPr>
        <w:spacing w:after="0" w:line="240" w:lineRule="auto"/>
      </w:pPr>
      <w:r>
        <w:separator/>
      </w:r>
    </w:p>
  </w:footnote>
  <w:footnote w:type="continuationSeparator" w:id="0">
    <w:p w14:paraId="768142CF" w14:textId="77777777" w:rsidR="00001DEE" w:rsidRDefault="00001DEE" w:rsidP="00054C41">
      <w:pPr>
        <w:spacing w:after="0" w:line="240" w:lineRule="auto"/>
      </w:pPr>
      <w:r>
        <w:continuationSeparator/>
      </w:r>
    </w:p>
  </w:footnote>
  <w:footnote w:id="1">
    <w:p w14:paraId="6CC680CB" w14:textId="6BF8CDC6" w:rsidR="00F5402B" w:rsidRPr="000A6B7F" w:rsidRDefault="00F5402B"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1647D7DF" w14:textId="77777777" w:rsidR="00F5402B" w:rsidRPr="00804BC8" w:rsidRDefault="00F5402B"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F5402B" w:rsidRDefault="00F5402B"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D726A" w14:textId="77777777" w:rsidR="00F5402B" w:rsidRPr="006045CB" w:rsidRDefault="00F5402B"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533722E"/>
    <w:multiLevelType w:val="hybridMultilevel"/>
    <w:tmpl w:val="63F05A50"/>
    <w:lvl w:ilvl="0" w:tplc="F5DA4752">
      <w:start w:val="13"/>
      <w:numFmt w:val="bullet"/>
      <w:lvlText w:val="-"/>
      <w:lvlJc w:val="left"/>
      <w:pPr>
        <w:ind w:left="1068" w:hanging="360"/>
      </w:pPr>
      <w:rPr>
        <w:rFonts w:ascii="Arial" w:eastAsia="Times New Roman" w:hAnsi="Arial" w:cs="Arial" w:hint="default"/>
      </w:rPr>
    </w:lvl>
    <w:lvl w:ilvl="1" w:tplc="041B0003">
      <w:start w:val="1"/>
      <w:numFmt w:val="bullet"/>
      <w:lvlText w:val="o"/>
      <w:lvlJc w:val="left"/>
      <w:pPr>
        <w:ind w:left="1788" w:hanging="360"/>
      </w:pPr>
      <w:rPr>
        <w:rFonts w:ascii="Courier New" w:hAnsi="Courier New" w:cs="Courier New" w:hint="default"/>
      </w:rPr>
    </w:lvl>
    <w:lvl w:ilvl="2" w:tplc="041B0005">
      <w:start w:val="1"/>
      <w:numFmt w:val="bullet"/>
      <w:lvlText w:val=""/>
      <w:lvlJc w:val="left"/>
      <w:pPr>
        <w:ind w:left="2508" w:hanging="360"/>
      </w:pPr>
      <w:rPr>
        <w:rFonts w:ascii="Wingdings" w:hAnsi="Wingdings" w:hint="default"/>
      </w:rPr>
    </w:lvl>
    <w:lvl w:ilvl="3" w:tplc="041B0001">
      <w:start w:val="1"/>
      <w:numFmt w:val="bullet"/>
      <w:lvlText w:val=""/>
      <w:lvlJc w:val="left"/>
      <w:pPr>
        <w:ind w:left="3228" w:hanging="360"/>
      </w:pPr>
      <w:rPr>
        <w:rFonts w:ascii="Symbol" w:hAnsi="Symbol" w:hint="default"/>
      </w:rPr>
    </w:lvl>
    <w:lvl w:ilvl="4" w:tplc="041B0003">
      <w:start w:val="1"/>
      <w:numFmt w:val="bullet"/>
      <w:lvlText w:val="o"/>
      <w:lvlJc w:val="left"/>
      <w:pPr>
        <w:ind w:left="3948" w:hanging="360"/>
      </w:pPr>
      <w:rPr>
        <w:rFonts w:ascii="Courier New" w:hAnsi="Courier New" w:cs="Courier New" w:hint="default"/>
      </w:rPr>
    </w:lvl>
    <w:lvl w:ilvl="5" w:tplc="041B0005">
      <w:start w:val="1"/>
      <w:numFmt w:val="bullet"/>
      <w:lvlText w:val=""/>
      <w:lvlJc w:val="left"/>
      <w:pPr>
        <w:ind w:left="4668" w:hanging="360"/>
      </w:pPr>
      <w:rPr>
        <w:rFonts w:ascii="Wingdings" w:hAnsi="Wingdings" w:hint="default"/>
      </w:rPr>
    </w:lvl>
    <w:lvl w:ilvl="6" w:tplc="041B0001">
      <w:start w:val="1"/>
      <w:numFmt w:val="bullet"/>
      <w:lvlText w:val=""/>
      <w:lvlJc w:val="left"/>
      <w:pPr>
        <w:ind w:left="5388" w:hanging="360"/>
      </w:pPr>
      <w:rPr>
        <w:rFonts w:ascii="Symbol" w:hAnsi="Symbol" w:hint="default"/>
      </w:rPr>
    </w:lvl>
    <w:lvl w:ilvl="7" w:tplc="041B0003">
      <w:start w:val="1"/>
      <w:numFmt w:val="bullet"/>
      <w:lvlText w:val="o"/>
      <w:lvlJc w:val="left"/>
      <w:pPr>
        <w:ind w:left="6108" w:hanging="360"/>
      </w:pPr>
      <w:rPr>
        <w:rFonts w:ascii="Courier New" w:hAnsi="Courier New" w:cs="Courier New" w:hint="default"/>
      </w:rPr>
    </w:lvl>
    <w:lvl w:ilvl="8" w:tplc="041B0005">
      <w:start w:val="1"/>
      <w:numFmt w:val="bullet"/>
      <w:lvlText w:val=""/>
      <w:lvlJc w:val="left"/>
      <w:pPr>
        <w:ind w:left="6828" w:hanging="360"/>
      </w:pPr>
      <w:rPr>
        <w:rFonts w:ascii="Wingdings" w:hAnsi="Wingdings" w:hint="default"/>
      </w:rPr>
    </w:lvl>
  </w:abstractNum>
  <w:abstractNum w:abstractNumId="2"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1E457D52"/>
    <w:multiLevelType w:val="hybridMultilevel"/>
    <w:tmpl w:val="02C0F130"/>
    <w:lvl w:ilvl="0" w:tplc="A7A4C1CA">
      <w:start w:val="3"/>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5"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248E0F2E"/>
    <w:multiLevelType w:val="hybridMultilevel"/>
    <w:tmpl w:val="165A0418"/>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423111F"/>
    <w:multiLevelType w:val="hybridMultilevel"/>
    <w:tmpl w:val="AE883B9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3E62D58"/>
    <w:multiLevelType w:val="hybridMultilevel"/>
    <w:tmpl w:val="D658AD4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5"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 w15:restartNumberingAfterBreak="0">
    <w:nsid w:val="7D8E067B"/>
    <w:multiLevelType w:val="hybridMultilevel"/>
    <w:tmpl w:val="96EC4138"/>
    <w:lvl w:ilvl="0" w:tplc="5C3C0694">
      <w:start w:val="2"/>
      <w:numFmt w:val="bullet"/>
      <w:lvlText w:val="-"/>
      <w:lvlJc w:val="left"/>
      <w:pPr>
        <w:ind w:left="1068" w:hanging="360"/>
      </w:pPr>
      <w:rPr>
        <w:rFonts w:ascii="Calibri" w:eastAsia="Times New Roman" w:hAnsi="Calibri" w:cs="Calibri" w:hint="default"/>
      </w:rPr>
    </w:lvl>
    <w:lvl w:ilvl="1" w:tplc="041B0003">
      <w:start w:val="1"/>
      <w:numFmt w:val="bullet"/>
      <w:lvlText w:val="o"/>
      <w:lvlJc w:val="left"/>
      <w:pPr>
        <w:ind w:left="1788" w:hanging="360"/>
      </w:pPr>
      <w:rPr>
        <w:rFonts w:ascii="Courier New" w:hAnsi="Courier New" w:cs="Courier New" w:hint="default"/>
      </w:rPr>
    </w:lvl>
    <w:lvl w:ilvl="2" w:tplc="041B0005">
      <w:start w:val="1"/>
      <w:numFmt w:val="bullet"/>
      <w:lvlText w:val=""/>
      <w:lvlJc w:val="left"/>
      <w:pPr>
        <w:ind w:left="2508" w:hanging="360"/>
      </w:pPr>
      <w:rPr>
        <w:rFonts w:ascii="Wingdings" w:hAnsi="Wingdings" w:hint="default"/>
      </w:rPr>
    </w:lvl>
    <w:lvl w:ilvl="3" w:tplc="041B0001">
      <w:start w:val="1"/>
      <w:numFmt w:val="bullet"/>
      <w:lvlText w:val=""/>
      <w:lvlJc w:val="left"/>
      <w:pPr>
        <w:ind w:left="3228" w:hanging="360"/>
      </w:pPr>
      <w:rPr>
        <w:rFonts w:ascii="Symbol" w:hAnsi="Symbol" w:hint="default"/>
      </w:rPr>
    </w:lvl>
    <w:lvl w:ilvl="4" w:tplc="041B0003">
      <w:start w:val="1"/>
      <w:numFmt w:val="bullet"/>
      <w:lvlText w:val="o"/>
      <w:lvlJc w:val="left"/>
      <w:pPr>
        <w:ind w:left="3948" w:hanging="360"/>
      </w:pPr>
      <w:rPr>
        <w:rFonts w:ascii="Courier New" w:hAnsi="Courier New" w:cs="Courier New" w:hint="default"/>
      </w:rPr>
    </w:lvl>
    <w:lvl w:ilvl="5" w:tplc="041B0005">
      <w:start w:val="1"/>
      <w:numFmt w:val="bullet"/>
      <w:lvlText w:val=""/>
      <w:lvlJc w:val="left"/>
      <w:pPr>
        <w:ind w:left="4668" w:hanging="360"/>
      </w:pPr>
      <w:rPr>
        <w:rFonts w:ascii="Wingdings" w:hAnsi="Wingdings" w:hint="default"/>
      </w:rPr>
    </w:lvl>
    <w:lvl w:ilvl="6" w:tplc="041B0001">
      <w:start w:val="1"/>
      <w:numFmt w:val="bullet"/>
      <w:lvlText w:val=""/>
      <w:lvlJc w:val="left"/>
      <w:pPr>
        <w:ind w:left="5388" w:hanging="360"/>
      </w:pPr>
      <w:rPr>
        <w:rFonts w:ascii="Symbol" w:hAnsi="Symbol" w:hint="default"/>
      </w:rPr>
    </w:lvl>
    <w:lvl w:ilvl="7" w:tplc="041B0003">
      <w:start w:val="1"/>
      <w:numFmt w:val="bullet"/>
      <w:lvlText w:val="o"/>
      <w:lvlJc w:val="left"/>
      <w:pPr>
        <w:ind w:left="6108" w:hanging="360"/>
      </w:pPr>
      <w:rPr>
        <w:rFonts w:ascii="Courier New" w:hAnsi="Courier New" w:cs="Courier New" w:hint="default"/>
      </w:rPr>
    </w:lvl>
    <w:lvl w:ilvl="8" w:tplc="041B0005">
      <w:start w:val="1"/>
      <w:numFmt w:val="bullet"/>
      <w:lvlText w:val=""/>
      <w:lvlJc w:val="left"/>
      <w:pPr>
        <w:ind w:left="6828" w:hanging="360"/>
      </w:pPr>
      <w:rPr>
        <w:rFonts w:ascii="Wingdings" w:hAnsi="Wingdings" w:hint="default"/>
      </w:rPr>
    </w:lvl>
  </w:abstractNum>
  <w:num w:numId="1">
    <w:abstractNumId w:val="2"/>
  </w:num>
  <w:num w:numId="2">
    <w:abstractNumId w:val="14"/>
  </w:num>
  <w:num w:numId="3">
    <w:abstractNumId w:val="15"/>
  </w:num>
  <w:num w:numId="4">
    <w:abstractNumId w:val="13"/>
  </w:num>
  <w:num w:numId="5">
    <w:abstractNumId w:val="10"/>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5"/>
  </w:num>
  <w:num w:numId="11">
    <w:abstractNumId w:val="7"/>
  </w:num>
  <w:num w:numId="12">
    <w:abstractNumId w:val="0"/>
  </w:num>
  <w:num w:numId="13">
    <w:abstractNumId w:val="16"/>
  </w:num>
  <w:num w:numId="14">
    <w:abstractNumId w:val="9"/>
  </w:num>
  <w:num w:numId="15">
    <w:abstractNumId w:val="4"/>
  </w:num>
  <w:num w:numId="16">
    <w:abstractNumId w:val="6"/>
  </w:num>
  <w:num w:numId="17">
    <w:abstractNumId w:val="1"/>
  </w:num>
  <w:num w:numId="18">
    <w:abstractNumId w:val="17"/>
  </w:num>
  <w:num w:numId="19">
    <w:abstractNumId w:val="11"/>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01DEE"/>
    <w:rsid w:val="0002425A"/>
    <w:rsid w:val="00024EE4"/>
    <w:rsid w:val="00027830"/>
    <w:rsid w:val="00046E37"/>
    <w:rsid w:val="00047C70"/>
    <w:rsid w:val="00050AAB"/>
    <w:rsid w:val="00054A53"/>
    <w:rsid w:val="00054C41"/>
    <w:rsid w:val="00060DA1"/>
    <w:rsid w:val="00061E85"/>
    <w:rsid w:val="000807F1"/>
    <w:rsid w:val="000820E0"/>
    <w:rsid w:val="00091A43"/>
    <w:rsid w:val="0009490E"/>
    <w:rsid w:val="000A6B7F"/>
    <w:rsid w:val="000C2D92"/>
    <w:rsid w:val="000C5419"/>
    <w:rsid w:val="000C5E9A"/>
    <w:rsid w:val="000D017F"/>
    <w:rsid w:val="000D15F0"/>
    <w:rsid w:val="000E5324"/>
    <w:rsid w:val="00100764"/>
    <w:rsid w:val="0011003B"/>
    <w:rsid w:val="001133DA"/>
    <w:rsid w:val="00123F93"/>
    <w:rsid w:val="00126A2B"/>
    <w:rsid w:val="00134E33"/>
    <w:rsid w:val="00142154"/>
    <w:rsid w:val="001476A4"/>
    <w:rsid w:val="00162C6C"/>
    <w:rsid w:val="0016512E"/>
    <w:rsid w:val="0018715C"/>
    <w:rsid w:val="001A1561"/>
    <w:rsid w:val="001B4C03"/>
    <w:rsid w:val="001C7B91"/>
    <w:rsid w:val="001D1083"/>
    <w:rsid w:val="001D3FA0"/>
    <w:rsid w:val="001E24E8"/>
    <w:rsid w:val="001E53CB"/>
    <w:rsid w:val="001E771B"/>
    <w:rsid w:val="00207F43"/>
    <w:rsid w:val="00210EB9"/>
    <w:rsid w:val="002232D3"/>
    <w:rsid w:val="00225A83"/>
    <w:rsid w:val="002278AD"/>
    <w:rsid w:val="00231B8F"/>
    <w:rsid w:val="00270EA5"/>
    <w:rsid w:val="002712B9"/>
    <w:rsid w:val="00284B8C"/>
    <w:rsid w:val="00290F7D"/>
    <w:rsid w:val="0029483F"/>
    <w:rsid w:val="002C2FC0"/>
    <w:rsid w:val="002E6306"/>
    <w:rsid w:val="00302A17"/>
    <w:rsid w:val="00314D25"/>
    <w:rsid w:val="00315BE2"/>
    <w:rsid w:val="003322EE"/>
    <w:rsid w:val="00337630"/>
    <w:rsid w:val="00340CFD"/>
    <w:rsid w:val="003413D5"/>
    <w:rsid w:val="00342621"/>
    <w:rsid w:val="00357F22"/>
    <w:rsid w:val="00364AE2"/>
    <w:rsid w:val="003673CD"/>
    <w:rsid w:val="0036748D"/>
    <w:rsid w:val="00376039"/>
    <w:rsid w:val="003803E5"/>
    <w:rsid w:val="0038255E"/>
    <w:rsid w:val="003832C2"/>
    <w:rsid w:val="00391648"/>
    <w:rsid w:val="0039304E"/>
    <w:rsid w:val="0039334E"/>
    <w:rsid w:val="00394AD2"/>
    <w:rsid w:val="003A02AF"/>
    <w:rsid w:val="003A2AA4"/>
    <w:rsid w:val="003A3124"/>
    <w:rsid w:val="003A686F"/>
    <w:rsid w:val="003E58B8"/>
    <w:rsid w:val="003F06D7"/>
    <w:rsid w:val="00400224"/>
    <w:rsid w:val="00400BA5"/>
    <w:rsid w:val="00410E62"/>
    <w:rsid w:val="00414FA7"/>
    <w:rsid w:val="00420090"/>
    <w:rsid w:val="00420FB8"/>
    <w:rsid w:val="004239D1"/>
    <w:rsid w:val="004257B7"/>
    <w:rsid w:val="00445638"/>
    <w:rsid w:val="00446432"/>
    <w:rsid w:val="00446512"/>
    <w:rsid w:val="00462C94"/>
    <w:rsid w:val="00466D7A"/>
    <w:rsid w:val="004732CD"/>
    <w:rsid w:val="00475331"/>
    <w:rsid w:val="0048237B"/>
    <w:rsid w:val="00484D16"/>
    <w:rsid w:val="00491853"/>
    <w:rsid w:val="004A14CD"/>
    <w:rsid w:val="004A2C6B"/>
    <w:rsid w:val="004C27D7"/>
    <w:rsid w:val="004D20CB"/>
    <w:rsid w:val="004D65B2"/>
    <w:rsid w:val="004D681D"/>
    <w:rsid w:val="004E2324"/>
    <w:rsid w:val="004E2F2B"/>
    <w:rsid w:val="004F63E6"/>
    <w:rsid w:val="005103DA"/>
    <w:rsid w:val="00511F8F"/>
    <w:rsid w:val="00512BA7"/>
    <w:rsid w:val="00515726"/>
    <w:rsid w:val="00517A49"/>
    <w:rsid w:val="0052729D"/>
    <w:rsid w:val="00545A04"/>
    <w:rsid w:val="00562527"/>
    <w:rsid w:val="00562A1E"/>
    <w:rsid w:val="00563427"/>
    <w:rsid w:val="00563E84"/>
    <w:rsid w:val="00581EB9"/>
    <w:rsid w:val="005B17E1"/>
    <w:rsid w:val="005B4E6E"/>
    <w:rsid w:val="005B56E4"/>
    <w:rsid w:val="005C795C"/>
    <w:rsid w:val="005D0E50"/>
    <w:rsid w:val="005D39D8"/>
    <w:rsid w:val="00605722"/>
    <w:rsid w:val="0061097B"/>
    <w:rsid w:val="0061612F"/>
    <w:rsid w:val="006177C8"/>
    <w:rsid w:val="0062600A"/>
    <w:rsid w:val="0063777D"/>
    <w:rsid w:val="00643358"/>
    <w:rsid w:val="00646084"/>
    <w:rsid w:val="006564C3"/>
    <w:rsid w:val="006578CB"/>
    <w:rsid w:val="00674A0F"/>
    <w:rsid w:val="006A4E85"/>
    <w:rsid w:val="006A60C0"/>
    <w:rsid w:val="006A712F"/>
    <w:rsid w:val="006B5D74"/>
    <w:rsid w:val="006C25BE"/>
    <w:rsid w:val="006D7AD8"/>
    <w:rsid w:val="006F1D57"/>
    <w:rsid w:val="0070364C"/>
    <w:rsid w:val="00710EDF"/>
    <w:rsid w:val="0072221D"/>
    <w:rsid w:val="0072357C"/>
    <w:rsid w:val="007259CB"/>
    <w:rsid w:val="00726031"/>
    <w:rsid w:val="00727406"/>
    <w:rsid w:val="007377D0"/>
    <w:rsid w:val="00751DA9"/>
    <w:rsid w:val="00755E69"/>
    <w:rsid w:val="007648EE"/>
    <w:rsid w:val="0077106D"/>
    <w:rsid w:val="00780ACC"/>
    <w:rsid w:val="007828BC"/>
    <w:rsid w:val="00787A11"/>
    <w:rsid w:val="00797B40"/>
    <w:rsid w:val="007A0C9D"/>
    <w:rsid w:val="007B40FB"/>
    <w:rsid w:val="007B62AF"/>
    <w:rsid w:val="007C6126"/>
    <w:rsid w:val="007D0CA1"/>
    <w:rsid w:val="007E24B2"/>
    <w:rsid w:val="007E2DA4"/>
    <w:rsid w:val="007E6815"/>
    <w:rsid w:val="007E7632"/>
    <w:rsid w:val="007F1C84"/>
    <w:rsid w:val="007F4579"/>
    <w:rsid w:val="00801596"/>
    <w:rsid w:val="00804BC8"/>
    <w:rsid w:val="008052D1"/>
    <w:rsid w:val="00806E23"/>
    <w:rsid w:val="0080702A"/>
    <w:rsid w:val="00807981"/>
    <w:rsid w:val="00815C61"/>
    <w:rsid w:val="00816453"/>
    <w:rsid w:val="00823F5A"/>
    <w:rsid w:val="00845D3B"/>
    <w:rsid w:val="008634E9"/>
    <w:rsid w:val="0087345B"/>
    <w:rsid w:val="008801B5"/>
    <w:rsid w:val="00880578"/>
    <w:rsid w:val="00882407"/>
    <w:rsid w:val="008920C3"/>
    <w:rsid w:val="00894052"/>
    <w:rsid w:val="008A7B87"/>
    <w:rsid w:val="008B4AA1"/>
    <w:rsid w:val="008B5861"/>
    <w:rsid w:val="008C1C71"/>
    <w:rsid w:val="008C5028"/>
    <w:rsid w:val="008C7DE9"/>
    <w:rsid w:val="008D21AB"/>
    <w:rsid w:val="008E1AD0"/>
    <w:rsid w:val="008E315F"/>
    <w:rsid w:val="008E389C"/>
    <w:rsid w:val="008E6B82"/>
    <w:rsid w:val="008F6ADE"/>
    <w:rsid w:val="0091105D"/>
    <w:rsid w:val="0091269B"/>
    <w:rsid w:val="00923C0C"/>
    <w:rsid w:val="009250CE"/>
    <w:rsid w:val="0095170D"/>
    <w:rsid w:val="00952CF6"/>
    <w:rsid w:val="00960413"/>
    <w:rsid w:val="0096246E"/>
    <w:rsid w:val="00981995"/>
    <w:rsid w:val="00981C7F"/>
    <w:rsid w:val="00985515"/>
    <w:rsid w:val="00990813"/>
    <w:rsid w:val="0099544D"/>
    <w:rsid w:val="00997513"/>
    <w:rsid w:val="009A0E2C"/>
    <w:rsid w:val="009A4D56"/>
    <w:rsid w:val="009B1F04"/>
    <w:rsid w:val="009E09F7"/>
    <w:rsid w:val="009E26AE"/>
    <w:rsid w:val="009E2D5C"/>
    <w:rsid w:val="009E3E44"/>
    <w:rsid w:val="009F4175"/>
    <w:rsid w:val="009F66A4"/>
    <w:rsid w:val="009F6C80"/>
    <w:rsid w:val="00A000DA"/>
    <w:rsid w:val="00A1736E"/>
    <w:rsid w:val="00A216DF"/>
    <w:rsid w:val="00A33F2C"/>
    <w:rsid w:val="00A47F56"/>
    <w:rsid w:val="00A50EE3"/>
    <w:rsid w:val="00A53813"/>
    <w:rsid w:val="00A709C3"/>
    <w:rsid w:val="00A743E7"/>
    <w:rsid w:val="00A83E11"/>
    <w:rsid w:val="00A90F69"/>
    <w:rsid w:val="00A94A0F"/>
    <w:rsid w:val="00AA3C6D"/>
    <w:rsid w:val="00AB57C4"/>
    <w:rsid w:val="00AC3CA3"/>
    <w:rsid w:val="00AF75BD"/>
    <w:rsid w:val="00B11AE8"/>
    <w:rsid w:val="00B11CF5"/>
    <w:rsid w:val="00B209FA"/>
    <w:rsid w:val="00B21D1F"/>
    <w:rsid w:val="00B37568"/>
    <w:rsid w:val="00B410BA"/>
    <w:rsid w:val="00B43D68"/>
    <w:rsid w:val="00B44A3A"/>
    <w:rsid w:val="00B5600C"/>
    <w:rsid w:val="00B63ED5"/>
    <w:rsid w:val="00B66E33"/>
    <w:rsid w:val="00B72FB1"/>
    <w:rsid w:val="00B953DA"/>
    <w:rsid w:val="00BA19B0"/>
    <w:rsid w:val="00BB2302"/>
    <w:rsid w:val="00BB3870"/>
    <w:rsid w:val="00BB45A7"/>
    <w:rsid w:val="00BD0EF7"/>
    <w:rsid w:val="00BD6778"/>
    <w:rsid w:val="00C01599"/>
    <w:rsid w:val="00C048D1"/>
    <w:rsid w:val="00C05563"/>
    <w:rsid w:val="00C11132"/>
    <w:rsid w:val="00C115B9"/>
    <w:rsid w:val="00C12FDD"/>
    <w:rsid w:val="00C145AA"/>
    <w:rsid w:val="00C14655"/>
    <w:rsid w:val="00C21399"/>
    <w:rsid w:val="00C308A0"/>
    <w:rsid w:val="00C446E2"/>
    <w:rsid w:val="00C535F5"/>
    <w:rsid w:val="00C560C4"/>
    <w:rsid w:val="00C6748F"/>
    <w:rsid w:val="00C74337"/>
    <w:rsid w:val="00C75DC8"/>
    <w:rsid w:val="00C929AE"/>
    <w:rsid w:val="00CA4344"/>
    <w:rsid w:val="00CA6348"/>
    <w:rsid w:val="00CB1232"/>
    <w:rsid w:val="00CB17A0"/>
    <w:rsid w:val="00CB4A68"/>
    <w:rsid w:val="00CB65A4"/>
    <w:rsid w:val="00CC3B7D"/>
    <w:rsid w:val="00CD4A16"/>
    <w:rsid w:val="00CD5AE4"/>
    <w:rsid w:val="00CD5E86"/>
    <w:rsid w:val="00CE3B21"/>
    <w:rsid w:val="00CF4D09"/>
    <w:rsid w:val="00D005F2"/>
    <w:rsid w:val="00D03A8E"/>
    <w:rsid w:val="00D114ED"/>
    <w:rsid w:val="00D3032C"/>
    <w:rsid w:val="00D31A3B"/>
    <w:rsid w:val="00D5309D"/>
    <w:rsid w:val="00D631FA"/>
    <w:rsid w:val="00D71064"/>
    <w:rsid w:val="00D811BB"/>
    <w:rsid w:val="00D82356"/>
    <w:rsid w:val="00D84EEE"/>
    <w:rsid w:val="00D90A61"/>
    <w:rsid w:val="00D946EF"/>
    <w:rsid w:val="00D95553"/>
    <w:rsid w:val="00DB7F2D"/>
    <w:rsid w:val="00DC355F"/>
    <w:rsid w:val="00DD1E4C"/>
    <w:rsid w:val="00DE331A"/>
    <w:rsid w:val="00DE6ACB"/>
    <w:rsid w:val="00DF02CE"/>
    <w:rsid w:val="00DF1462"/>
    <w:rsid w:val="00DF5471"/>
    <w:rsid w:val="00E030DA"/>
    <w:rsid w:val="00E214C0"/>
    <w:rsid w:val="00E30D85"/>
    <w:rsid w:val="00E417E9"/>
    <w:rsid w:val="00E444EB"/>
    <w:rsid w:val="00E716E6"/>
    <w:rsid w:val="00E77A69"/>
    <w:rsid w:val="00E81A42"/>
    <w:rsid w:val="00E961E8"/>
    <w:rsid w:val="00E96244"/>
    <w:rsid w:val="00E96DE0"/>
    <w:rsid w:val="00EB2BEC"/>
    <w:rsid w:val="00EB74BF"/>
    <w:rsid w:val="00EC0704"/>
    <w:rsid w:val="00EC508B"/>
    <w:rsid w:val="00ED6B5D"/>
    <w:rsid w:val="00EE36AC"/>
    <w:rsid w:val="00EE4C99"/>
    <w:rsid w:val="00EF1883"/>
    <w:rsid w:val="00EF7C64"/>
    <w:rsid w:val="00F1147A"/>
    <w:rsid w:val="00F153D7"/>
    <w:rsid w:val="00F1599C"/>
    <w:rsid w:val="00F2433F"/>
    <w:rsid w:val="00F244DC"/>
    <w:rsid w:val="00F2675E"/>
    <w:rsid w:val="00F378F4"/>
    <w:rsid w:val="00F45BC0"/>
    <w:rsid w:val="00F47912"/>
    <w:rsid w:val="00F5402B"/>
    <w:rsid w:val="00F541B6"/>
    <w:rsid w:val="00F57702"/>
    <w:rsid w:val="00F61361"/>
    <w:rsid w:val="00F613E8"/>
    <w:rsid w:val="00F74D3C"/>
    <w:rsid w:val="00F74FC9"/>
    <w:rsid w:val="00F91F47"/>
    <w:rsid w:val="00FA4F36"/>
    <w:rsid w:val="00FA6FFE"/>
    <w:rsid w:val="00FC121B"/>
    <w:rsid w:val="00FD3DFB"/>
    <w:rsid w:val="00FE4810"/>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aliases w:val="LISTA,Listaszerű bekezdés1,Listaszerű bekezdés2,Listaszerű bekezdés3,3"/>
    <w:basedOn w:val="Normlny"/>
    <w:link w:val="OdsekzoznamuChar"/>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Zstupntext">
    <w:name w:val="Placeholder Text"/>
    <w:basedOn w:val="Predvolenpsmoodseku"/>
    <w:uiPriority w:val="99"/>
    <w:semiHidden/>
    <w:rsid w:val="002E6306"/>
    <w:rPr>
      <w:rFonts w:ascii="Times New Roman" w:hAnsi="Times New Roman" w:cs="Times New Roman"/>
      <w:color w:val="808080"/>
    </w:rPr>
  </w:style>
  <w:style w:type="character" w:styleId="Zvraznenie">
    <w:name w:val="Emphasis"/>
    <w:basedOn w:val="Predvolenpsmoodseku"/>
    <w:uiPriority w:val="20"/>
    <w:qFormat/>
    <w:rsid w:val="002E6306"/>
    <w:rPr>
      <w:rFonts w:cs="Times New Roman"/>
      <w:i/>
    </w:rPr>
  </w:style>
  <w:style w:type="paragraph" w:customStyle="1" w:styleId="ManualNumPar1">
    <w:name w:val="Manual NumPar 1"/>
    <w:basedOn w:val="Normlny"/>
    <w:next w:val="Normlny"/>
    <w:rsid w:val="00027830"/>
    <w:pPr>
      <w:spacing w:before="120" w:after="120" w:line="240" w:lineRule="auto"/>
      <w:ind w:left="850" w:hanging="850"/>
      <w:jc w:val="both"/>
    </w:pPr>
    <w:rPr>
      <w:rFonts w:ascii="Times New Roman" w:hAnsi="Times New Roman" w:cs="Times New Roman"/>
      <w:sz w:val="24"/>
    </w:rPr>
  </w:style>
  <w:style w:type="character" w:styleId="Hypertextovprepojenie">
    <w:name w:val="Hyperlink"/>
    <w:basedOn w:val="Predvolenpsmoodseku"/>
    <w:uiPriority w:val="99"/>
    <w:unhideWhenUsed/>
    <w:rsid w:val="00EE36AC"/>
    <w:rPr>
      <w:color w:val="0563C1" w:themeColor="hyperlink"/>
      <w:u w:val="single"/>
    </w:rPr>
  </w:style>
  <w:style w:type="character" w:customStyle="1" w:styleId="OdsekzoznamuChar">
    <w:name w:val="Odsek zoznamu Char"/>
    <w:aliases w:val="LISTA Char,Listaszerű bekezdés1 Char,Listaszerű bekezdés2 Char,Listaszerű bekezdés3 Char,3 Char"/>
    <w:link w:val="Odsekzoznamu"/>
    <w:uiPriority w:val="34"/>
    <w:qFormat/>
    <w:locked/>
    <w:rsid w:val="008B58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16176">
      <w:bodyDiv w:val="1"/>
      <w:marLeft w:val="0"/>
      <w:marRight w:val="0"/>
      <w:marTop w:val="0"/>
      <w:marBottom w:val="0"/>
      <w:divBdr>
        <w:top w:val="none" w:sz="0" w:space="0" w:color="auto"/>
        <w:left w:val="none" w:sz="0" w:space="0" w:color="auto"/>
        <w:bottom w:val="none" w:sz="0" w:space="0" w:color="auto"/>
        <w:right w:val="none" w:sz="0" w:space="0" w:color="auto"/>
      </w:divBdr>
    </w:div>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146945417">
      <w:bodyDiv w:val="1"/>
      <w:marLeft w:val="0"/>
      <w:marRight w:val="0"/>
      <w:marTop w:val="0"/>
      <w:marBottom w:val="0"/>
      <w:divBdr>
        <w:top w:val="none" w:sz="0" w:space="0" w:color="auto"/>
        <w:left w:val="none" w:sz="0" w:space="0" w:color="auto"/>
        <w:bottom w:val="none" w:sz="0" w:space="0" w:color="auto"/>
        <w:right w:val="none" w:sz="0" w:space="0" w:color="auto"/>
      </w:divBdr>
    </w:div>
    <w:div w:id="264505634">
      <w:bodyDiv w:val="1"/>
      <w:marLeft w:val="0"/>
      <w:marRight w:val="0"/>
      <w:marTop w:val="0"/>
      <w:marBottom w:val="0"/>
      <w:divBdr>
        <w:top w:val="none" w:sz="0" w:space="0" w:color="auto"/>
        <w:left w:val="none" w:sz="0" w:space="0" w:color="auto"/>
        <w:bottom w:val="none" w:sz="0" w:space="0" w:color="auto"/>
        <w:right w:val="none" w:sz="0" w:space="0" w:color="auto"/>
      </w:divBdr>
    </w:div>
    <w:div w:id="342056061">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372270043">
      <w:bodyDiv w:val="1"/>
      <w:marLeft w:val="0"/>
      <w:marRight w:val="0"/>
      <w:marTop w:val="0"/>
      <w:marBottom w:val="0"/>
      <w:divBdr>
        <w:top w:val="none" w:sz="0" w:space="0" w:color="auto"/>
        <w:left w:val="none" w:sz="0" w:space="0" w:color="auto"/>
        <w:bottom w:val="none" w:sz="0" w:space="0" w:color="auto"/>
        <w:right w:val="none" w:sz="0" w:space="0" w:color="auto"/>
      </w:divBdr>
    </w:div>
    <w:div w:id="380174484">
      <w:bodyDiv w:val="1"/>
      <w:marLeft w:val="0"/>
      <w:marRight w:val="0"/>
      <w:marTop w:val="0"/>
      <w:marBottom w:val="0"/>
      <w:divBdr>
        <w:top w:val="none" w:sz="0" w:space="0" w:color="auto"/>
        <w:left w:val="none" w:sz="0" w:space="0" w:color="auto"/>
        <w:bottom w:val="none" w:sz="0" w:space="0" w:color="auto"/>
        <w:right w:val="none" w:sz="0" w:space="0" w:color="auto"/>
      </w:divBdr>
    </w:div>
    <w:div w:id="538667484">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662664964">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957108540">
      <w:bodyDiv w:val="1"/>
      <w:marLeft w:val="0"/>
      <w:marRight w:val="0"/>
      <w:marTop w:val="0"/>
      <w:marBottom w:val="0"/>
      <w:divBdr>
        <w:top w:val="none" w:sz="0" w:space="0" w:color="auto"/>
        <w:left w:val="none" w:sz="0" w:space="0" w:color="auto"/>
        <w:bottom w:val="none" w:sz="0" w:space="0" w:color="auto"/>
        <w:right w:val="none" w:sz="0" w:space="0" w:color="auto"/>
      </w:divBdr>
    </w:div>
    <w:div w:id="975912418">
      <w:bodyDiv w:val="1"/>
      <w:marLeft w:val="0"/>
      <w:marRight w:val="0"/>
      <w:marTop w:val="0"/>
      <w:marBottom w:val="0"/>
      <w:divBdr>
        <w:top w:val="none" w:sz="0" w:space="0" w:color="auto"/>
        <w:left w:val="none" w:sz="0" w:space="0" w:color="auto"/>
        <w:bottom w:val="none" w:sz="0" w:space="0" w:color="auto"/>
        <w:right w:val="none" w:sz="0" w:space="0" w:color="auto"/>
      </w:divBdr>
    </w:div>
    <w:div w:id="976571616">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200434553">
      <w:bodyDiv w:val="1"/>
      <w:marLeft w:val="0"/>
      <w:marRight w:val="0"/>
      <w:marTop w:val="0"/>
      <w:marBottom w:val="0"/>
      <w:divBdr>
        <w:top w:val="none" w:sz="0" w:space="0" w:color="auto"/>
        <w:left w:val="none" w:sz="0" w:space="0" w:color="auto"/>
        <w:bottom w:val="none" w:sz="0" w:space="0" w:color="auto"/>
        <w:right w:val="none" w:sz="0" w:space="0" w:color="auto"/>
      </w:divBdr>
    </w:div>
    <w:div w:id="1206025097">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793672423">
      <w:bodyDiv w:val="1"/>
      <w:marLeft w:val="0"/>
      <w:marRight w:val="0"/>
      <w:marTop w:val="0"/>
      <w:marBottom w:val="0"/>
      <w:divBdr>
        <w:top w:val="none" w:sz="0" w:space="0" w:color="auto"/>
        <w:left w:val="none" w:sz="0" w:space="0" w:color="auto"/>
        <w:bottom w:val="none" w:sz="0" w:space="0" w:color="auto"/>
        <w:right w:val="none" w:sz="0" w:space="0" w:color="auto"/>
      </w:divBdr>
    </w:div>
    <w:div w:id="1936016347">
      <w:bodyDiv w:val="1"/>
      <w:marLeft w:val="0"/>
      <w:marRight w:val="0"/>
      <w:marTop w:val="0"/>
      <w:marBottom w:val="0"/>
      <w:divBdr>
        <w:top w:val="none" w:sz="0" w:space="0" w:color="auto"/>
        <w:left w:val="none" w:sz="0" w:space="0" w:color="auto"/>
        <w:bottom w:val="none" w:sz="0" w:space="0" w:color="auto"/>
        <w:right w:val="none" w:sz="0" w:space="0" w:color="auto"/>
      </w:divBdr>
    </w:div>
    <w:div w:id="2060202111">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ormoff.gov.sk/stranka/97/slovenske-notifikovane-osoby/"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normoff.gov.sk/stranka/372/vyrocne-sprav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F5B78EFE-3E45-48CA-AFFF-1061CE65C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2799</Words>
  <Characters>15956</Characters>
  <Application>Microsoft Office Word</Application>
  <DocSecurity>0</DocSecurity>
  <Lines>132</Lines>
  <Paragraphs>37</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Held Lucia</cp:lastModifiedBy>
  <cp:revision>9</cp:revision>
  <cp:lastPrinted>2025-03-14T10:13:00Z</cp:lastPrinted>
  <dcterms:created xsi:type="dcterms:W3CDTF">2025-04-01T21:36:00Z</dcterms:created>
  <dcterms:modified xsi:type="dcterms:W3CDTF">2025-04-17T12:55:00Z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