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9C69E" w14:textId="77777777" w:rsidR="00F15016" w:rsidRPr="0099661B" w:rsidRDefault="00F15016" w:rsidP="00F15016">
      <w:pPr>
        <w:spacing w:after="0" w:line="240" w:lineRule="auto"/>
        <w:jc w:val="center"/>
        <w:rPr>
          <w:rFonts w:ascii="Times New Roman" w:eastAsia="Times New Roman" w:hAnsi="Times New Roman" w:cs="Times New Roman"/>
          <w:b/>
          <w:bCs/>
          <w:color w:val="000000"/>
          <w:sz w:val="24"/>
          <w:szCs w:val="24"/>
          <w:lang w:eastAsia="sk-SK"/>
        </w:rPr>
      </w:pPr>
      <w:r w:rsidRPr="0099661B">
        <w:rPr>
          <w:rFonts w:ascii="Times New Roman" w:eastAsia="Times New Roman" w:hAnsi="Times New Roman" w:cs="Times New Roman"/>
          <w:b/>
          <w:bCs/>
          <w:color w:val="000000"/>
          <w:sz w:val="24"/>
          <w:szCs w:val="24"/>
          <w:lang w:eastAsia="sk-SK"/>
        </w:rPr>
        <w:t>D Ô V O D O V Á    S P R Á V A</w:t>
      </w:r>
    </w:p>
    <w:p w14:paraId="4BF579BC" w14:textId="77777777" w:rsidR="00F15016" w:rsidRPr="0099661B" w:rsidRDefault="00F15016" w:rsidP="00F15016">
      <w:pPr>
        <w:spacing w:after="0" w:line="240" w:lineRule="auto"/>
        <w:rPr>
          <w:rFonts w:ascii="Times New Roman" w:eastAsia="Times New Roman" w:hAnsi="Times New Roman" w:cs="Times New Roman"/>
          <w:color w:val="000000"/>
          <w:sz w:val="24"/>
          <w:szCs w:val="24"/>
          <w:lang w:eastAsia="sk-SK"/>
        </w:rPr>
      </w:pPr>
    </w:p>
    <w:p w14:paraId="234BEF13" w14:textId="77777777" w:rsidR="00F15016" w:rsidRPr="0099661B" w:rsidRDefault="00F15016" w:rsidP="00F15016">
      <w:pPr>
        <w:pStyle w:val="Odsekzoznamu"/>
        <w:numPr>
          <w:ilvl w:val="0"/>
          <w:numId w:val="1"/>
        </w:numPr>
        <w:spacing w:after="0" w:line="240" w:lineRule="auto"/>
        <w:rPr>
          <w:rFonts w:ascii="Times New Roman" w:eastAsia="Times New Roman" w:hAnsi="Times New Roman" w:cs="Times New Roman"/>
          <w:b/>
          <w:bCs/>
          <w:color w:val="000000"/>
          <w:sz w:val="24"/>
          <w:szCs w:val="24"/>
          <w:lang w:eastAsia="sk-SK"/>
        </w:rPr>
      </w:pPr>
      <w:r w:rsidRPr="0099661B">
        <w:rPr>
          <w:rFonts w:ascii="Times New Roman" w:eastAsia="Times New Roman" w:hAnsi="Times New Roman" w:cs="Times New Roman"/>
          <w:b/>
          <w:bCs/>
          <w:color w:val="000000"/>
          <w:sz w:val="24"/>
          <w:szCs w:val="24"/>
          <w:lang w:eastAsia="sk-SK"/>
        </w:rPr>
        <w:t>Všeobecná časť</w:t>
      </w:r>
    </w:p>
    <w:p w14:paraId="331F7436" w14:textId="77777777" w:rsidR="00F15016" w:rsidRPr="0099661B" w:rsidRDefault="00F15016" w:rsidP="00F15016">
      <w:pPr>
        <w:spacing w:after="0" w:line="240" w:lineRule="auto"/>
        <w:jc w:val="both"/>
        <w:rPr>
          <w:rFonts w:ascii="Times New Roman" w:eastAsia="Times New Roman" w:hAnsi="Times New Roman" w:cs="Times New Roman"/>
          <w:color w:val="000000"/>
          <w:sz w:val="24"/>
          <w:szCs w:val="24"/>
          <w:lang w:eastAsia="sk-SK"/>
        </w:rPr>
      </w:pPr>
    </w:p>
    <w:p w14:paraId="58B9F9F5" w14:textId="5F38FEC8" w:rsidR="00F15016" w:rsidRPr="0041536D" w:rsidRDefault="00F15016" w:rsidP="00F15016">
      <w:pPr>
        <w:ind w:firstLine="567"/>
        <w:jc w:val="both"/>
        <w:rPr>
          <w:bCs/>
        </w:rPr>
      </w:pPr>
      <w:r>
        <w:rPr>
          <w:rFonts w:ascii="Times New Roman" w:eastAsia="Times New Roman" w:hAnsi="Times New Roman" w:cs="Times New Roman"/>
          <w:color w:val="000000"/>
          <w:sz w:val="24"/>
          <w:szCs w:val="24"/>
          <w:lang w:eastAsia="sk-SK"/>
        </w:rPr>
        <w:t>Ministerstvo dopravy Slovenskej republiky vypracovalo n</w:t>
      </w:r>
      <w:r w:rsidRPr="0099661B">
        <w:rPr>
          <w:rFonts w:ascii="Times New Roman" w:eastAsia="Times New Roman" w:hAnsi="Times New Roman" w:cs="Times New Roman"/>
          <w:color w:val="000000"/>
          <w:sz w:val="24"/>
          <w:szCs w:val="24"/>
          <w:lang w:eastAsia="sk-SK"/>
        </w:rPr>
        <w:t>ávrh</w:t>
      </w:r>
      <w:r w:rsidRPr="0099661B">
        <w:rPr>
          <w:rFonts w:ascii="Times New Roman" w:eastAsia="Times New Roman" w:hAnsi="Times New Roman" w:cs="Times New Roman"/>
          <w:color w:val="000000"/>
          <w:spacing w:val="29"/>
          <w:sz w:val="24"/>
          <w:szCs w:val="24"/>
          <w:lang w:eastAsia="sk-SK"/>
        </w:rPr>
        <w:t xml:space="preserve"> </w:t>
      </w:r>
      <w:r w:rsidRPr="0099661B">
        <w:rPr>
          <w:rFonts w:ascii="Times New Roman" w:eastAsia="Times New Roman" w:hAnsi="Times New Roman" w:cs="Times New Roman"/>
          <w:color w:val="000000"/>
          <w:sz w:val="24"/>
          <w:szCs w:val="24"/>
          <w:lang w:eastAsia="sk-SK"/>
        </w:rPr>
        <w:t>zákona,</w:t>
      </w:r>
      <w:r w:rsidRPr="0099661B">
        <w:rPr>
          <w:rFonts w:ascii="Times New Roman" w:eastAsia="Times New Roman" w:hAnsi="Times New Roman" w:cs="Times New Roman"/>
          <w:color w:val="000000"/>
          <w:spacing w:val="29"/>
          <w:sz w:val="24"/>
          <w:szCs w:val="24"/>
          <w:lang w:eastAsia="sk-SK"/>
        </w:rPr>
        <w:t xml:space="preserve"> </w:t>
      </w:r>
      <w:r w:rsidRPr="0099661B">
        <w:rPr>
          <w:rFonts w:ascii="Times New Roman" w:eastAsia="Times New Roman" w:hAnsi="Times New Roman" w:cs="Times New Roman"/>
          <w:color w:val="000000"/>
          <w:sz w:val="24"/>
          <w:szCs w:val="24"/>
          <w:lang w:eastAsia="sk-SK"/>
        </w:rPr>
        <w:t>ktorým</w:t>
      </w:r>
      <w:r w:rsidRPr="0099661B">
        <w:rPr>
          <w:rFonts w:ascii="Times New Roman" w:eastAsia="Times New Roman" w:hAnsi="Times New Roman" w:cs="Times New Roman"/>
          <w:color w:val="000000"/>
          <w:spacing w:val="29"/>
          <w:sz w:val="24"/>
          <w:szCs w:val="24"/>
          <w:lang w:eastAsia="sk-SK"/>
        </w:rPr>
        <w:t xml:space="preserve"> </w:t>
      </w:r>
      <w:r w:rsidRPr="0099661B">
        <w:rPr>
          <w:rFonts w:ascii="Times New Roman" w:eastAsia="Times New Roman" w:hAnsi="Times New Roman" w:cs="Times New Roman"/>
          <w:color w:val="000000"/>
          <w:sz w:val="24"/>
          <w:szCs w:val="24"/>
          <w:lang w:eastAsia="sk-SK"/>
        </w:rPr>
        <w:t>sa mení</w:t>
      </w:r>
      <w:r w:rsidRPr="0099661B">
        <w:rPr>
          <w:rFonts w:ascii="Times New Roman" w:eastAsia="Times New Roman" w:hAnsi="Times New Roman" w:cs="Times New Roman"/>
          <w:color w:val="000000"/>
          <w:spacing w:val="21"/>
          <w:sz w:val="24"/>
          <w:szCs w:val="24"/>
          <w:lang w:eastAsia="sk-SK"/>
        </w:rPr>
        <w:t xml:space="preserve"> </w:t>
      </w:r>
      <w:r w:rsidRPr="0099661B">
        <w:rPr>
          <w:rFonts w:ascii="Times New Roman" w:eastAsia="Times New Roman" w:hAnsi="Times New Roman" w:cs="Times New Roman"/>
          <w:color w:val="000000"/>
          <w:sz w:val="24"/>
          <w:szCs w:val="24"/>
          <w:lang w:eastAsia="sk-SK"/>
        </w:rPr>
        <w:t>a</w:t>
      </w:r>
      <w:r w:rsidRPr="0099661B">
        <w:rPr>
          <w:rFonts w:ascii="Times New Roman" w:eastAsia="Times New Roman" w:hAnsi="Times New Roman" w:cs="Times New Roman"/>
          <w:color w:val="000000"/>
          <w:spacing w:val="21"/>
          <w:sz w:val="24"/>
          <w:szCs w:val="24"/>
          <w:lang w:eastAsia="sk-SK"/>
        </w:rPr>
        <w:t> </w:t>
      </w:r>
      <w:r w:rsidRPr="0099661B">
        <w:rPr>
          <w:rFonts w:ascii="Times New Roman" w:eastAsia="Times New Roman" w:hAnsi="Times New Roman" w:cs="Times New Roman"/>
          <w:color w:val="000000"/>
          <w:sz w:val="24"/>
          <w:szCs w:val="24"/>
          <w:lang w:eastAsia="sk-SK"/>
        </w:rPr>
        <w:t xml:space="preserve">dopĺňa zákon č. </w:t>
      </w:r>
      <w:r>
        <w:rPr>
          <w:rFonts w:ascii="Times New Roman" w:eastAsia="Times New Roman" w:hAnsi="Times New Roman" w:cs="Times New Roman"/>
          <w:color w:val="000000"/>
          <w:sz w:val="24"/>
          <w:szCs w:val="24"/>
          <w:lang w:eastAsia="sk-SK"/>
        </w:rPr>
        <w:t>435</w:t>
      </w:r>
      <w:r w:rsidRPr="0099661B">
        <w:rPr>
          <w:rFonts w:ascii="Times New Roman" w:eastAsia="Times New Roman" w:hAnsi="Times New Roman" w:cs="Times New Roman"/>
          <w:color w:val="000000"/>
          <w:sz w:val="24"/>
          <w:szCs w:val="24"/>
          <w:lang w:eastAsia="sk-SK"/>
        </w:rPr>
        <w:t>/2000 Z. z. o</w:t>
      </w:r>
      <w:r>
        <w:rPr>
          <w:rFonts w:ascii="Times New Roman" w:eastAsia="Times New Roman" w:hAnsi="Times New Roman" w:cs="Times New Roman"/>
          <w:color w:val="000000"/>
          <w:sz w:val="24"/>
          <w:szCs w:val="24"/>
          <w:lang w:eastAsia="sk-SK"/>
        </w:rPr>
        <w:t> námornej plavbe v znení neskorších predpisov</w:t>
      </w:r>
      <w:r w:rsidRPr="0099661B">
        <w:rPr>
          <w:rFonts w:ascii="Times New Roman" w:eastAsia="Times New Roman" w:hAnsi="Times New Roman" w:cs="Times New Roman"/>
          <w:color w:val="000000"/>
          <w:sz w:val="24"/>
          <w:szCs w:val="24"/>
          <w:lang w:eastAsia="sk-SK"/>
        </w:rPr>
        <w:t xml:space="preserve"> </w:t>
      </w:r>
      <w:r>
        <w:rPr>
          <w:rFonts w:ascii="Times New Roman" w:eastAsia="Times New Roman" w:hAnsi="Times New Roman" w:cs="Times New Roman"/>
          <w:color w:val="000000"/>
          <w:sz w:val="24"/>
          <w:szCs w:val="24"/>
          <w:lang w:eastAsia="sk-SK"/>
        </w:rPr>
        <w:t xml:space="preserve"> </w:t>
      </w:r>
      <w:r>
        <w:rPr>
          <w:rFonts w:ascii="Times New Roman" w:hAnsi="Times New Roman" w:cs="Times New Roman"/>
          <w:sz w:val="24"/>
          <w:szCs w:val="24"/>
        </w:rPr>
        <w:t>na základe úloh B.13</w:t>
      </w:r>
      <w:r w:rsidR="00D66F8E">
        <w:rPr>
          <w:rFonts w:ascii="Times New Roman" w:hAnsi="Times New Roman" w:cs="Times New Roman"/>
          <w:sz w:val="24"/>
          <w:szCs w:val="24"/>
        </w:rPr>
        <w:t>.</w:t>
      </w:r>
      <w:r>
        <w:rPr>
          <w:rFonts w:ascii="Times New Roman" w:hAnsi="Times New Roman" w:cs="Times New Roman"/>
          <w:sz w:val="24"/>
          <w:szCs w:val="24"/>
        </w:rPr>
        <w:t xml:space="preserve"> až B.15</w:t>
      </w:r>
      <w:r w:rsidR="00D66F8E">
        <w:rPr>
          <w:rFonts w:ascii="Times New Roman" w:hAnsi="Times New Roman" w:cs="Times New Roman"/>
          <w:sz w:val="24"/>
          <w:szCs w:val="24"/>
        </w:rPr>
        <w:t>.</w:t>
      </w:r>
      <w:r>
        <w:rPr>
          <w:rFonts w:ascii="Times New Roman" w:hAnsi="Times New Roman" w:cs="Times New Roman"/>
          <w:sz w:val="24"/>
          <w:szCs w:val="24"/>
        </w:rPr>
        <w:t xml:space="preserve"> z uznesenia vlády SR č. 196/2025 zo 7. apríla </w:t>
      </w:r>
      <w:r w:rsidR="00D66F8E">
        <w:rPr>
          <w:rFonts w:ascii="Times New Roman" w:hAnsi="Times New Roman" w:cs="Times New Roman"/>
          <w:sz w:val="24"/>
          <w:szCs w:val="24"/>
        </w:rPr>
        <w:t xml:space="preserve">2025 </w:t>
      </w:r>
      <w:r>
        <w:rPr>
          <w:rFonts w:ascii="Times New Roman" w:hAnsi="Times New Roman" w:cs="Times New Roman"/>
          <w:sz w:val="24"/>
          <w:szCs w:val="24"/>
        </w:rPr>
        <w:t xml:space="preserve">k návrhu na určenie gestorských ústredných orgánov štátnej správy a niektorých orgánov verejnej moci zodpovedných za prebratie a aplikáciu smerníc, ktorou sa ukladá ministrovi dopravy predložiť na rokovanie vlády </w:t>
      </w:r>
      <w:r w:rsidR="007105D2">
        <w:rPr>
          <w:rFonts w:ascii="Times New Roman" w:hAnsi="Times New Roman" w:cs="Times New Roman"/>
          <w:sz w:val="24"/>
          <w:szCs w:val="24"/>
        </w:rPr>
        <w:t xml:space="preserve">do 31. decembra 2026 </w:t>
      </w:r>
      <w:r>
        <w:rPr>
          <w:rFonts w:ascii="Times New Roman" w:hAnsi="Times New Roman" w:cs="Times New Roman"/>
          <w:sz w:val="24"/>
          <w:szCs w:val="24"/>
        </w:rPr>
        <w:t>návrh právnych predpisov, ktorými sa zabezpečí prebratie právne záväzných aktov Európskej únie.</w:t>
      </w:r>
    </w:p>
    <w:p w14:paraId="71B70AA3" w14:textId="77777777" w:rsidR="00F15016" w:rsidRDefault="00F15016" w:rsidP="00F15016">
      <w:p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ab/>
        <w:t xml:space="preserve">Návrhom zákona dochádza k transpozícii </w:t>
      </w:r>
      <w:r w:rsidRPr="00725FD1">
        <w:rPr>
          <w:rFonts w:ascii="Times New Roman" w:eastAsia="Times New Roman" w:hAnsi="Times New Roman" w:cs="Times New Roman"/>
          <w:color w:val="000000"/>
          <w:sz w:val="24"/>
          <w:szCs w:val="24"/>
          <w:lang w:eastAsia="sk-SK"/>
        </w:rPr>
        <w:t>smernice Európskeho parlamentu a Rady (EÚ) 2024/3099 z 27. novembra 2024, ktorou sa mení smernica 2009/16/ES o štátnej prístavnej kontrole</w:t>
      </w:r>
      <w:r>
        <w:rPr>
          <w:rFonts w:ascii="Times New Roman" w:eastAsia="Times New Roman" w:hAnsi="Times New Roman" w:cs="Times New Roman"/>
          <w:color w:val="000000"/>
          <w:sz w:val="24"/>
          <w:szCs w:val="24"/>
          <w:lang w:eastAsia="sk-SK"/>
        </w:rPr>
        <w:t>; </w:t>
      </w:r>
      <w:r w:rsidRPr="004C6916">
        <w:rPr>
          <w:rFonts w:ascii="Times New Roman" w:eastAsia="Times New Roman" w:hAnsi="Times New Roman" w:cs="Times New Roman"/>
          <w:color w:val="000000"/>
          <w:sz w:val="24"/>
          <w:szCs w:val="24"/>
          <w:lang w:eastAsia="sk-SK"/>
        </w:rPr>
        <w:t>smernic</w:t>
      </w:r>
      <w:r>
        <w:rPr>
          <w:rFonts w:ascii="Times New Roman" w:eastAsia="Times New Roman" w:hAnsi="Times New Roman" w:cs="Times New Roman"/>
          <w:color w:val="000000"/>
          <w:sz w:val="24"/>
          <w:szCs w:val="24"/>
          <w:lang w:eastAsia="sk-SK"/>
        </w:rPr>
        <w:t>e</w:t>
      </w:r>
      <w:r w:rsidRPr="004C6916">
        <w:rPr>
          <w:rFonts w:ascii="Times New Roman" w:eastAsia="Times New Roman" w:hAnsi="Times New Roman" w:cs="Times New Roman"/>
          <w:color w:val="000000"/>
          <w:sz w:val="24"/>
          <w:szCs w:val="24"/>
          <w:lang w:eastAsia="sk-SK"/>
        </w:rPr>
        <w:t xml:space="preserve"> Európskeho parlamentu a Rady (EÚ) 2024/3100 z 27. novembra 2024, ktorou sa mení smernica 2009/21/ES o plnení povinností vlajkového štátu a smernic</w:t>
      </w:r>
      <w:r>
        <w:rPr>
          <w:rFonts w:ascii="Times New Roman" w:eastAsia="Times New Roman" w:hAnsi="Times New Roman" w:cs="Times New Roman"/>
          <w:color w:val="000000"/>
          <w:sz w:val="24"/>
          <w:szCs w:val="24"/>
          <w:lang w:eastAsia="sk-SK"/>
        </w:rPr>
        <w:t>e</w:t>
      </w:r>
      <w:r w:rsidRPr="004C6916">
        <w:rPr>
          <w:rFonts w:ascii="Times New Roman" w:eastAsia="Times New Roman" w:hAnsi="Times New Roman" w:cs="Times New Roman"/>
          <w:color w:val="000000"/>
          <w:sz w:val="24"/>
          <w:szCs w:val="24"/>
          <w:lang w:eastAsia="sk-SK"/>
        </w:rPr>
        <w:t xml:space="preserve"> Európskeho parlamentu a Rady (EÚ) 2024/3101 z 27. novembra 2024, ktorou sa mení smernica 2005/35/ES, pokiaľ ide o znečisťovanie z lodí a zavedenie správnych sankcií za porušenia do právneho poriadku Slovenskej republiky</w:t>
      </w:r>
      <w:r>
        <w:rPr>
          <w:rFonts w:ascii="Times New Roman" w:eastAsia="Times New Roman" w:hAnsi="Times New Roman" w:cs="Times New Roman"/>
          <w:color w:val="000000"/>
          <w:sz w:val="24"/>
          <w:szCs w:val="24"/>
          <w:lang w:eastAsia="sk-SK"/>
        </w:rPr>
        <w:t xml:space="preserve">. </w:t>
      </w:r>
    </w:p>
    <w:p w14:paraId="161FF8DE" w14:textId="77777777" w:rsidR="00F15016" w:rsidRDefault="00F15016" w:rsidP="00F15016">
      <w:pPr>
        <w:spacing w:after="0" w:line="240" w:lineRule="auto"/>
        <w:jc w:val="both"/>
        <w:rPr>
          <w:rFonts w:ascii="Times New Roman" w:eastAsia="Times New Roman" w:hAnsi="Times New Roman" w:cs="Times New Roman"/>
          <w:color w:val="000000"/>
          <w:sz w:val="24"/>
          <w:szCs w:val="24"/>
          <w:lang w:eastAsia="sk-SK"/>
        </w:rPr>
      </w:pPr>
    </w:p>
    <w:p w14:paraId="639B149E" w14:textId="04D6F424" w:rsidR="00F15016" w:rsidRDefault="00F15016" w:rsidP="00F15016">
      <w:pPr>
        <w:spacing w:after="0" w:line="240" w:lineRule="auto"/>
        <w:ind w:firstLine="708"/>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Cieľom návrhu zákona je posilnenie právomocí</w:t>
      </w:r>
      <w:r w:rsidR="00472C47">
        <w:rPr>
          <w:rFonts w:ascii="Times New Roman" w:eastAsia="Times New Roman" w:hAnsi="Times New Roman" w:cs="Times New Roman"/>
          <w:color w:val="000000"/>
          <w:sz w:val="24"/>
          <w:szCs w:val="24"/>
          <w:lang w:eastAsia="sk-SK"/>
        </w:rPr>
        <w:t xml:space="preserve"> a</w:t>
      </w:r>
      <w:r>
        <w:rPr>
          <w:rFonts w:ascii="Times New Roman" w:eastAsia="Times New Roman" w:hAnsi="Times New Roman" w:cs="Times New Roman"/>
          <w:color w:val="000000"/>
          <w:sz w:val="24"/>
          <w:szCs w:val="24"/>
          <w:lang w:eastAsia="sk-SK"/>
        </w:rPr>
        <w:t xml:space="preserve"> zvýšenie transparentnosti </w:t>
      </w:r>
      <w:r w:rsidRPr="00D66F8E">
        <w:rPr>
          <w:rFonts w:ascii="Times New Roman" w:eastAsia="Times New Roman" w:hAnsi="Times New Roman" w:cs="Times New Roman"/>
          <w:color w:val="000000"/>
          <w:sz w:val="24"/>
          <w:szCs w:val="24"/>
          <w:lang w:eastAsia="sk-SK"/>
        </w:rPr>
        <w:t xml:space="preserve">v oblasti štátneho dozoru nad námornými loďami zapísanými v námornom registri Slovenskej republiky na účely plnenia povinností vlajkového štátu s dôrazom na zosúladenie procesných postupov štátnej prístavnej kontroly s medzinárodnými štandardmi vyplývajúcimi z Parížskeho memoranda o porozumení o štátnej prístavnej kontrole, ako aj s novými požiadavkami na zamedzenie znečisťovania mora z lodí </w:t>
      </w:r>
      <w:r w:rsidR="00472C47">
        <w:rPr>
          <w:rFonts w:ascii="Times New Roman" w:eastAsia="Times New Roman" w:hAnsi="Times New Roman" w:cs="Times New Roman"/>
          <w:color w:val="000000"/>
          <w:sz w:val="24"/>
          <w:szCs w:val="24"/>
          <w:lang w:eastAsia="sk-SK"/>
        </w:rPr>
        <w:t xml:space="preserve">a ustanovenie kritérií na ktoré sa prihliada pri určovaní výšky správnej sankcie. </w:t>
      </w:r>
    </w:p>
    <w:p w14:paraId="4F72E589" w14:textId="77777777" w:rsidR="00F15016" w:rsidRDefault="00F15016" w:rsidP="00F15016">
      <w:pPr>
        <w:spacing w:after="0" w:line="240" w:lineRule="auto"/>
        <w:ind w:firstLine="708"/>
        <w:jc w:val="both"/>
        <w:rPr>
          <w:rFonts w:ascii="Times New Roman" w:eastAsia="Times New Roman" w:hAnsi="Times New Roman" w:cs="Times New Roman"/>
          <w:color w:val="000000"/>
          <w:sz w:val="24"/>
          <w:szCs w:val="24"/>
          <w:lang w:eastAsia="sk-SK"/>
        </w:rPr>
      </w:pPr>
    </w:p>
    <w:p w14:paraId="05DCA771" w14:textId="77777777" w:rsidR="00F15016" w:rsidRDefault="00F15016" w:rsidP="00F15016">
      <w:pPr>
        <w:pStyle w:val="Normlnywebov"/>
        <w:spacing w:before="0" w:beforeAutospacing="0" w:after="0" w:afterAutospacing="0"/>
        <w:ind w:firstLine="708"/>
        <w:jc w:val="both"/>
      </w:pPr>
      <w:r>
        <w:t xml:space="preserve">Návrh zákona nepredpokladá žiaden vplyv na rozpočet verejnej správy, </w:t>
      </w:r>
      <w:r w:rsidR="00EE6B43" w:rsidRPr="00EE6B43">
        <w:t>vplyvy na limit verejných výdavkov,</w:t>
      </w:r>
      <w:r w:rsidR="00EE6B43">
        <w:t xml:space="preserve"> </w:t>
      </w:r>
      <w:r>
        <w:t>vplyv na podnikateľské prostredie, sociálne vplyvy, vplyv na životné prostredie, vplyv na informatizáciu spoločnosti, vplyv na služby verejnej správy pre občana ani vplyv na manželstvo, rodičovstvo a rodinu.</w:t>
      </w:r>
    </w:p>
    <w:p w14:paraId="7D105863" w14:textId="77777777" w:rsidR="00F15016" w:rsidRDefault="00F15016" w:rsidP="00F15016">
      <w:pPr>
        <w:pStyle w:val="Odsekzoznamu"/>
        <w:spacing w:after="0" w:line="240" w:lineRule="auto"/>
        <w:ind w:left="0" w:firstLine="708"/>
        <w:jc w:val="both"/>
        <w:rPr>
          <w:rFonts w:ascii="Times New Roman" w:hAnsi="Times New Roman" w:cs="Times New Roman"/>
          <w:bCs/>
          <w:sz w:val="24"/>
          <w:szCs w:val="24"/>
        </w:rPr>
      </w:pPr>
    </w:p>
    <w:p w14:paraId="771BD2F6" w14:textId="77777777" w:rsidR="00F15016" w:rsidRDefault="00F15016" w:rsidP="00F15016">
      <w:pPr>
        <w:pStyle w:val="Normlnywebov"/>
        <w:spacing w:before="0" w:beforeAutospacing="0" w:after="0" w:afterAutospacing="0"/>
        <w:ind w:firstLine="708"/>
        <w:jc w:val="both"/>
      </w:pPr>
      <w:r>
        <w:t xml:space="preserve">Návrh zákona je v súlade s ústavou, s ústavnými zákonmi a nálezmi ústavného súdu, s inými zákonmi, s medzinárodnými zmluvami a inými medzinárodnými dokumentmi, ktorými je Slovenská republika viazaná a s právom Európskej únie. </w:t>
      </w:r>
    </w:p>
    <w:p w14:paraId="01791118" w14:textId="77777777" w:rsidR="00F15016" w:rsidRDefault="00F15016" w:rsidP="00F15016">
      <w:pPr>
        <w:pStyle w:val="Normlnywebov"/>
        <w:spacing w:before="0" w:beforeAutospacing="0" w:after="0" w:afterAutospacing="0"/>
        <w:jc w:val="both"/>
      </w:pPr>
    </w:p>
    <w:p w14:paraId="1C918496" w14:textId="26E33102" w:rsidR="00EA048A" w:rsidRDefault="00F15016" w:rsidP="00F15016">
      <w:pPr>
        <w:pStyle w:val="Normlnywebov"/>
        <w:spacing w:before="0" w:beforeAutospacing="0" w:after="0" w:afterAutospacing="0"/>
        <w:ind w:firstLine="708"/>
        <w:jc w:val="both"/>
      </w:pPr>
      <w:r>
        <w:t xml:space="preserve">Návrh zákona nie je predmetom </w:t>
      </w:r>
      <w:proofErr w:type="spellStart"/>
      <w:r>
        <w:t>vnútrokomunitárneho</w:t>
      </w:r>
      <w:proofErr w:type="spellEnd"/>
      <w:r>
        <w:t xml:space="preserve"> pripomienkového konania.</w:t>
      </w:r>
      <w:bookmarkStart w:id="0" w:name="_GoBack"/>
    </w:p>
    <w:p w14:paraId="74DBF24A" w14:textId="77777777" w:rsidR="00EA048A" w:rsidRDefault="00EA048A">
      <w:pPr>
        <w:rPr>
          <w:rFonts w:ascii="Times New Roman" w:eastAsia="Times New Roman" w:hAnsi="Times New Roman" w:cs="Times New Roman"/>
          <w:sz w:val="24"/>
          <w:szCs w:val="24"/>
          <w:lang w:eastAsia="sk-SK"/>
        </w:rPr>
      </w:pPr>
      <w:r>
        <w:br w:type="page"/>
      </w:r>
    </w:p>
    <w:p w14:paraId="34EAF58C" w14:textId="77777777" w:rsidR="00EA048A" w:rsidRPr="0099661B" w:rsidRDefault="00EA048A" w:rsidP="00EA048A">
      <w:pPr>
        <w:pStyle w:val="Odsekzoznamu"/>
        <w:numPr>
          <w:ilvl w:val="0"/>
          <w:numId w:val="1"/>
        </w:numPr>
        <w:spacing w:after="0" w:line="240" w:lineRule="auto"/>
        <w:jc w:val="center"/>
        <w:rPr>
          <w:rFonts w:ascii="Times New Roman" w:eastAsia="Times New Roman" w:hAnsi="Times New Roman" w:cs="Times New Roman"/>
          <w:b/>
          <w:bCs/>
          <w:sz w:val="24"/>
          <w:szCs w:val="24"/>
          <w:lang w:eastAsia="sk-SK"/>
        </w:rPr>
      </w:pPr>
      <w:r w:rsidRPr="0099661B">
        <w:rPr>
          <w:rFonts w:ascii="Times New Roman" w:eastAsia="Times New Roman" w:hAnsi="Times New Roman" w:cs="Times New Roman"/>
          <w:b/>
          <w:bCs/>
          <w:sz w:val="24"/>
          <w:szCs w:val="24"/>
          <w:lang w:eastAsia="sk-SK"/>
        </w:rPr>
        <w:lastRenderedPageBreak/>
        <w:t>Osobitná časť</w:t>
      </w:r>
    </w:p>
    <w:p w14:paraId="34DACEA8" w14:textId="77777777" w:rsidR="00EA048A" w:rsidRPr="0099661B" w:rsidRDefault="00EA048A" w:rsidP="00EA048A">
      <w:pPr>
        <w:pStyle w:val="Odsekzoznamu"/>
        <w:spacing w:after="0" w:line="240" w:lineRule="auto"/>
        <w:rPr>
          <w:rFonts w:ascii="Times New Roman" w:eastAsia="Times New Roman" w:hAnsi="Times New Roman" w:cs="Times New Roman"/>
          <w:sz w:val="24"/>
          <w:szCs w:val="24"/>
          <w:lang w:eastAsia="sk-SK"/>
        </w:rPr>
      </w:pPr>
    </w:p>
    <w:p w14:paraId="4936D1DB" w14:textId="77777777" w:rsidR="00EA048A" w:rsidRPr="0099661B" w:rsidRDefault="00EA048A" w:rsidP="00EA048A">
      <w:pPr>
        <w:spacing w:after="0" w:line="240" w:lineRule="auto"/>
        <w:rPr>
          <w:rFonts w:ascii="Times New Roman" w:eastAsia="Times New Roman" w:hAnsi="Times New Roman" w:cs="Times New Roman"/>
          <w:b/>
          <w:bCs/>
          <w:sz w:val="24"/>
          <w:szCs w:val="24"/>
          <w:lang w:eastAsia="sk-SK"/>
        </w:rPr>
      </w:pPr>
      <w:r w:rsidRPr="0099661B">
        <w:rPr>
          <w:rFonts w:ascii="Times New Roman" w:eastAsia="Times New Roman" w:hAnsi="Times New Roman" w:cs="Times New Roman"/>
          <w:b/>
          <w:bCs/>
          <w:sz w:val="24"/>
          <w:szCs w:val="24"/>
          <w:lang w:eastAsia="sk-SK"/>
        </w:rPr>
        <w:t>Čl. I</w:t>
      </w:r>
    </w:p>
    <w:p w14:paraId="571D9BB2"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9661B">
        <w:rPr>
          <w:rFonts w:ascii="Times New Roman" w:eastAsia="Times New Roman" w:hAnsi="Times New Roman" w:cs="Times New Roman"/>
          <w:bCs/>
          <w:sz w:val="24"/>
          <w:szCs w:val="24"/>
          <w:u w:val="single"/>
          <w:lang w:eastAsia="sk-SK"/>
        </w:rPr>
        <w:t xml:space="preserve">K bodu 1 </w:t>
      </w:r>
    </w:p>
    <w:p w14:paraId="25EACD0A" w14:textId="77777777" w:rsidR="00EA048A" w:rsidRPr="0099661B"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Úprava súvisiaca s revidovanou metodikou hodnotenia štátov zo strany Parížskeho memoranda o porozumení o štátnej prístavnej kontrole, ktorou sa nahrádza zaradenie štátov na čierny zoznam alebo  sivý zoznam objektívnejším posudzovaním na základe zoznamu s nízkou úrovňou výkonnosti alebo zoznamu so strednou úrovňou výkonnosti a upravuje mechanizmus povinného nápravného postupu v prípade zaradenia štátu na zoznam s nízkou úrovňou výkonnosti alebo zaradenia štátu dva po sebe nasledujúce roky na zoznam so strednou úrovňou výkonnosti.</w:t>
      </w:r>
    </w:p>
    <w:p w14:paraId="3BC8B626"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1E00AE84"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9661B">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w:t>
      </w:r>
      <w:r w:rsidRPr="0099661B">
        <w:rPr>
          <w:rFonts w:ascii="Times New Roman" w:eastAsia="Times New Roman" w:hAnsi="Times New Roman" w:cs="Times New Roman"/>
          <w:bCs/>
          <w:sz w:val="24"/>
          <w:szCs w:val="24"/>
          <w:u w:val="single"/>
          <w:lang w:eastAsia="sk-SK"/>
        </w:rPr>
        <w:t>bod</w:t>
      </w:r>
      <w:r>
        <w:rPr>
          <w:rFonts w:ascii="Times New Roman" w:eastAsia="Times New Roman" w:hAnsi="Times New Roman" w:cs="Times New Roman"/>
          <w:bCs/>
          <w:sz w:val="24"/>
          <w:szCs w:val="24"/>
          <w:u w:val="single"/>
          <w:lang w:eastAsia="sk-SK"/>
        </w:rPr>
        <w:t>u 2</w:t>
      </w:r>
    </w:p>
    <w:p w14:paraId="1B33C836"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Zavádza sa nová informačná povinnosť Ministerstva dopravy Slovenskej republiky (ďalej len „ministerstvo“) voči Európskej komisii v súlade s požiadavkami na transparentnosť kontrol vyplývajúcich zo smernice (EÚ) 2024/3099 a smernice (EÚ) 2024/3100. </w:t>
      </w:r>
    </w:p>
    <w:p w14:paraId="2C947352"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5618D100" w14:textId="77777777" w:rsidR="00EA048A" w:rsidRPr="00C46C90"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C46C90">
        <w:rPr>
          <w:rFonts w:ascii="Times New Roman" w:eastAsia="Times New Roman" w:hAnsi="Times New Roman" w:cs="Times New Roman"/>
          <w:bCs/>
          <w:sz w:val="24"/>
          <w:szCs w:val="24"/>
          <w:u w:val="single"/>
          <w:lang w:eastAsia="sk-SK"/>
        </w:rPr>
        <w:t>K bodu 3</w:t>
      </w:r>
    </w:p>
    <w:p w14:paraId="1116E065"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Úprava súvisiaca so zmenou audítorského cyklu podľa</w:t>
      </w:r>
      <w:r w:rsidRPr="00AE7A4E">
        <w:rPr>
          <w:rFonts w:ascii="Times New Roman" w:eastAsia="Times New Roman" w:hAnsi="Times New Roman" w:cs="Times New Roman"/>
          <w:bCs/>
          <w:sz w:val="24"/>
          <w:szCs w:val="24"/>
          <w:lang w:eastAsia="sk-SK"/>
        </w:rPr>
        <w:t xml:space="preserve"> rezolúci</w:t>
      </w:r>
      <w:r>
        <w:rPr>
          <w:rFonts w:ascii="Times New Roman" w:eastAsia="Times New Roman" w:hAnsi="Times New Roman" w:cs="Times New Roman"/>
          <w:bCs/>
          <w:sz w:val="24"/>
          <w:szCs w:val="24"/>
          <w:lang w:eastAsia="sk-SK"/>
        </w:rPr>
        <w:t>e</w:t>
      </w:r>
      <w:r w:rsidRPr="00AE7A4E">
        <w:rPr>
          <w:rFonts w:ascii="Times New Roman" w:eastAsia="Times New Roman" w:hAnsi="Times New Roman" w:cs="Times New Roman"/>
          <w:bCs/>
          <w:sz w:val="24"/>
          <w:szCs w:val="24"/>
          <w:lang w:eastAsia="sk-SK"/>
        </w:rPr>
        <w:t xml:space="preserve"> A.12</w:t>
      </w:r>
      <w:r>
        <w:rPr>
          <w:rFonts w:ascii="Times New Roman" w:eastAsia="Times New Roman" w:hAnsi="Times New Roman" w:cs="Times New Roman"/>
          <w:bCs/>
          <w:sz w:val="24"/>
          <w:szCs w:val="24"/>
          <w:lang w:eastAsia="sk-SK"/>
        </w:rPr>
        <w:t xml:space="preserve">11(34) z roku 2025 (bod. 4.2.1). </w:t>
      </w:r>
    </w:p>
    <w:p w14:paraId="35AB2BAE" w14:textId="77777777" w:rsidR="00EA048A" w:rsidRPr="00C46C90" w:rsidRDefault="00EA048A" w:rsidP="00EA048A">
      <w:pPr>
        <w:spacing w:after="0" w:line="240" w:lineRule="auto"/>
        <w:jc w:val="both"/>
        <w:rPr>
          <w:rFonts w:ascii="Times New Roman" w:eastAsia="Times New Roman" w:hAnsi="Times New Roman" w:cs="Times New Roman"/>
          <w:bCs/>
          <w:sz w:val="24"/>
          <w:szCs w:val="24"/>
          <w:lang w:eastAsia="sk-SK"/>
        </w:rPr>
      </w:pPr>
    </w:p>
    <w:p w14:paraId="02B77367"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C46C90">
        <w:rPr>
          <w:rFonts w:ascii="Times New Roman" w:eastAsia="Times New Roman" w:hAnsi="Times New Roman" w:cs="Times New Roman"/>
          <w:bCs/>
          <w:sz w:val="24"/>
          <w:szCs w:val="24"/>
          <w:u w:val="single"/>
          <w:lang w:eastAsia="sk-SK"/>
        </w:rPr>
        <w:t xml:space="preserve">K bodom </w:t>
      </w:r>
      <w:r>
        <w:rPr>
          <w:rFonts w:ascii="Times New Roman" w:eastAsia="Times New Roman" w:hAnsi="Times New Roman" w:cs="Times New Roman"/>
          <w:bCs/>
          <w:sz w:val="24"/>
          <w:szCs w:val="24"/>
          <w:u w:val="single"/>
          <w:lang w:eastAsia="sk-SK"/>
        </w:rPr>
        <w:t>4 až 8</w:t>
      </w:r>
    </w:p>
    <w:p w14:paraId="52D2EAF1"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Navrhované ustanovenia reagujú na špecifické postavenie Slovenskej republiky ako vnútrozemského štátu s obmedzeným počtom štátnych zamestnancov poverených vykonávaním štátneho dozoru s potrebnou námornou praxou, ktoré umožňujú prizvať odborníka z poverenej uznanej klasifikačnej spoločnosti. Zároveň upravujú minimálny kvalifikačný štandard tohto odborníka, zosúlaďujú oprávnenia povereného zamestnanca ministerstva a odborníka pri vstupe na plavidlo a zavádzajú povinnosť bezodkladne vypracovať písomnú správu o výsledku štátneho dozoru. Taktiež sa upravujú kritériá rizikového profilu, ktoré sú poverení zamestnanci ministerstva a odborníci povinní pred vykonaním a počas inšpekcie vyhodnocovať. </w:t>
      </w:r>
    </w:p>
    <w:p w14:paraId="008C060F" w14:textId="77777777" w:rsidR="00EA048A" w:rsidRDefault="00EA048A" w:rsidP="00EA048A">
      <w:pPr>
        <w:spacing w:after="0" w:line="240" w:lineRule="auto"/>
        <w:jc w:val="both"/>
        <w:rPr>
          <w:rFonts w:ascii="Times New Roman" w:eastAsia="Times New Roman" w:hAnsi="Times New Roman" w:cs="Times New Roman"/>
          <w:bCs/>
          <w:sz w:val="24"/>
          <w:szCs w:val="24"/>
          <w:lang w:eastAsia="sk-SK"/>
        </w:rPr>
      </w:pPr>
    </w:p>
    <w:p w14:paraId="16D12426"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bodom 9, 10 a 16</w:t>
      </w:r>
    </w:p>
    <w:p w14:paraId="70649035" w14:textId="77777777" w:rsidR="00EA048A" w:rsidRDefault="00EA048A" w:rsidP="00EA048A">
      <w:pPr>
        <w:spacing w:after="0" w:line="240" w:lineRule="auto"/>
        <w:ind w:firstLine="708"/>
        <w:jc w:val="both"/>
        <w:rPr>
          <w:rFonts w:ascii="Times New Roman" w:eastAsia="Times New Roman" w:hAnsi="Times New Roman" w:cs="Times New Roman"/>
          <w:bCs/>
          <w:sz w:val="24"/>
          <w:szCs w:val="24"/>
          <w:u w:val="single"/>
          <w:lang w:eastAsia="sk-SK"/>
        </w:rPr>
      </w:pPr>
      <w:proofErr w:type="spellStart"/>
      <w:r w:rsidRPr="005654AC">
        <w:rPr>
          <w:rFonts w:ascii="Times New Roman" w:eastAsia="Times New Roman" w:hAnsi="Times New Roman" w:cs="Times New Roman"/>
          <w:bCs/>
          <w:sz w:val="24"/>
          <w:szCs w:val="24"/>
          <w:lang w:eastAsia="sk-SK"/>
        </w:rPr>
        <w:t>Legislatívnotechnická</w:t>
      </w:r>
      <w:proofErr w:type="spellEnd"/>
      <w:r w:rsidRPr="005654AC">
        <w:rPr>
          <w:rFonts w:ascii="Times New Roman" w:eastAsia="Times New Roman" w:hAnsi="Times New Roman" w:cs="Times New Roman"/>
          <w:bCs/>
          <w:sz w:val="24"/>
          <w:szCs w:val="24"/>
          <w:lang w:eastAsia="sk-SK"/>
        </w:rPr>
        <w:t xml:space="preserve"> úprava </w:t>
      </w:r>
      <w:r>
        <w:rPr>
          <w:rFonts w:ascii="Times New Roman" w:eastAsia="Times New Roman" w:hAnsi="Times New Roman" w:cs="Times New Roman"/>
          <w:bCs/>
          <w:sz w:val="24"/>
          <w:szCs w:val="24"/>
          <w:lang w:eastAsia="sk-SK"/>
        </w:rPr>
        <w:t xml:space="preserve">vnútorných </w:t>
      </w:r>
      <w:r w:rsidRPr="00A44439">
        <w:rPr>
          <w:rFonts w:ascii="Times New Roman" w:eastAsia="Times New Roman" w:hAnsi="Times New Roman" w:cs="Times New Roman"/>
          <w:bCs/>
          <w:sz w:val="24"/>
          <w:szCs w:val="24"/>
          <w:lang w:eastAsia="sk-SK"/>
        </w:rPr>
        <w:t>odkazov súvisiaca s bodom 7.</w:t>
      </w:r>
    </w:p>
    <w:p w14:paraId="5CFD34C1"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78DDBD21"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45A7F">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w:t>
      </w:r>
      <w:r w:rsidRPr="00945A7F">
        <w:rPr>
          <w:rFonts w:ascii="Times New Roman" w:eastAsia="Times New Roman" w:hAnsi="Times New Roman" w:cs="Times New Roman"/>
          <w:bCs/>
          <w:sz w:val="24"/>
          <w:szCs w:val="24"/>
          <w:u w:val="single"/>
          <w:lang w:eastAsia="sk-SK"/>
        </w:rPr>
        <w:t>bod</w:t>
      </w:r>
      <w:r>
        <w:rPr>
          <w:rFonts w:ascii="Times New Roman" w:eastAsia="Times New Roman" w:hAnsi="Times New Roman" w:cs="Times New Roman"/>
          <w:bCs/>
          <w:sz w:val="24"/>
          <w:szCs w:val="24"/>
          <w:u w:val="single"/>
          <w:lang w:eastAsia="sk-SK"/>
        </w:rPr>
        <w:t>u</w:t>
      </w:r>
      <w:r w:rsidRPr="00945A7F">
        <w:rPr>
          <w:rFonts w:ascii="Times New Roman" w:eastAsia="Times New Roman" w:hAnsi="Times New Roman" w:cs="Times New Roman"/>
          <w:bCs/>
          <w:sz w:val="24"/>
          <w:szCs w:val="24"/>
          <w:u w:val="single"/>
          <w:lang w:eastAsia="sk-SK"/>
        </w:rPr>
        <w:t xml:space="preserve"> </w:t>
      </w:r>
      <w:r>
        <w:rPr>
          <w:rFonts w:ascii="Times New Roman" w:eastAsia="Times New Roman" w:hAnsi="Times New Roman" w:cs="Times New Roman"/>
          <w:bCs/>
          <w:sz w:val="24"/>
          <w:szCs w:val="24"/>
          <w:u w:val="single"/>
          <w:lang w:eastAsia="sk-SK"/>
        </w:rPr>
        <w:t xml:space="preserve">11 </w:t>
      </w:r>
    </w:p>
    <w:p w14:paraId="6DADA634" w14:textId="77777777" w:rsidR="00EA048A" w:rsidRPr="00A44439"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sidRPr="00A44439">
        <w:rPr>
          <w:rFonts w:ascii="Times New Roman" w:eastAsia="Times New Roman" w:hAnsi="Times New Roman" w:cs="Times New Roman"/>
          <w:bCs/>
          <w:sz w:val="24"/>
          <w:szCs w:val="24"/>
          <w:lang w:eastAsia="sk-SK"/>
        </w:rPr>
        <w:t>Dopĺňajú sa informácie, ktoré ministerstvo na požiadanie poskytuje príslušným orgánom iného štátu na účely zvýšenia bezpečnosti a zabránenia znečisťovania životného prostredia  z námorných lodí.</w:t>
      </w:r>
    </w:p>
    <w:p w14:paraId="39CE059D"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2FBA2117" w14:textId="77777777" w:rsidR="00EA048A" w:rsidRPr="00945A7F"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12</w:t>
      </w:r>
    </w:p>
    <w:p w14:paraId="12944D05"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V súlade so smernicou (EÚ) 2024/3100 musí byť námorná loď podrobená kontrole  aspoň raz za päť rokov. V nadväznosti na túto požiadavku sa spresňuje ustanovenie, podľa ktorého námornú loď možno zapísať v námornom registri Slovenskej republiky len na obdobie piatich rokov, čo je podmienkou aj pre opakované zaregistrovanie a to doplnením podmienky   overenia súladu skutočného stavu námornej lode s vydanými lodnými listinami podľa príslušných medzinárodných a vnútroštátnych predpisov.</w:t>
      </w:r>
    </w:p>
    <w:p w14:paraId="5E5B6E3D" w14:textId="77777777" w:rsidR="00EA048A" w:rsidRDefault="00EA048A" w:rsidP="00EA048A">
      <w:pPr>
        <w:spacing w:after="0" w:line="240" w:lineRule="auto"/>
        <w:jc w:val="both"/>
        <w:rPr>
          <w:rFonts w:ascii="Times New Roman" w:eastAsia="Times New Roman" w:hAnsi="Times New Roman" w:cs="Times New Roman"/>
          <w:bCs/>
          <w:sz w:val="24"/>
          <w:szCs w:val="24"/>
          <w:lang w:eastAsia="sk-SK"/>
        </w:rPr>
      </w:pPr>
    </w:p>
    <w:p w14:paraId="74A1078D"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13</w:t>
      </w:r>
    </w:p>
    <w:p w14:paraId="60ABB3EB" w14:textId="77777777" w:rsidR="00EA048A" w:rsidRPr="00A44439" w:rsidRDefault="00EA048A" w:rsidP="00EA048A">
      <w:pPr>
        <w:spacing w:after="0" w:line="240" w:lineRule="auto"/>
        <w:jc w:val="both"/>
        <w:rPr>
          <w:rFonts w:ascii="Times New Roman" w:eastAsia="Times New Roman" w:hAnsi="Times New Roman" w:cs="Times New Roman"/>
          <w:bCs/>
          <w:sz w:val="24"/>
          <w:szCs w:val="24"/>
          <w:lang w:eastAsia="sk-SK"/>
        </w:rPr>
      </w:pPr>
      <w:r w:rsidRPr="00A44439">
        <w:rPr>
          <w:rFonts w:ascii="Times New Roman" w:eastAsia="Times New Roman" w:hAnsi="Times New Roman" w:cs="Times New Roman"/>
          <w:bCs/>
          <w:sz w:val="24"/>
          <w:szCs w:val="24"/>
          <w:lang w:eastAsia="sk-SK"/>
        </w:rPr>
        <w:tab/>
        <w:t xml:space="preserve">Ustanovením sa </w:t>
      </w:r>
      <w:r>
        <w:rPr>
          <w:rFonts w:ascii="Times New Roman" w:eastAsia="Times New Roman" w:hAnsi="Times New Roman" w:cs="Times New Roman"/>
          <w:bCs/>
          <w:sz w:val="24"/>
          <w:szCs w:val="24"/>
          <w:lang w:eastAsia="sk-SK"/>
        </w:rPr>
        <w:t>zosúlaďujú pojmy v texte zákona</w:t>
      </w:r>
      <w:r w:rsidRPr="00A44439">
        <w:rPr>
          <w:rFonts w:ascii="Times New Roman" w:eastAsia="Times New Roman" w:hAnsi="Times New Roman" w:cs="Times New Roman"/>
          <w:bCs/>
          <w:sz w:val="24"/>
          <w:szCs w:val="24"/>
          <w:lang w:eastAsia="sk-SK"/>
        </w:rPr>
        <w:t>.</w:t>
      </w:r>
    </w:p>
    <w:p w14:paraId="3622166A"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54C2A464"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9661B">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bodom 14 a 15</w:t>
      </w:r>
    </w:p>
    <w:p w14:paraId="4A297FE5" w14:textId="77777777" w:rsidR="00EA048A" w:rsidRDefault="00EA048A" w:rsidP="00EA048A">
      <w:pPr>
        <w:spacing w:after="0" w:line="240" w:lineRule="auto"/>
        <w:ind w:firstLine="708"/>
        <w:jc w:val="both"/>
        <w:rPr>
          <w:rFonts w:ascii="Times New Roman" w:eastAsiaTheme="minorEastAsia" w:hAnsi="Times New Roman" w:cs="Times New Roman"/>
          <w:sz w:val="24"/>
          <w:szCs w:val="24"/>
          <w:lang w:eastAsia="sk-SK"/>
        </w:rPr>
      </w:pPr>
      <w:r w:rsidRPr="00A44439">
        <w:rPr>
          <w:rFonts w:ascii="Times New Roman" w:eastAsia="Times New Roman" w:hAnsi="Times New Roman" w:cs="Times New Roman"/>
          <w:bCs/>
          <w:sz w:val="24"/>
          <w:szCs w:val="24"/>
          <w:lang w:eastAsia="sk-SK"/>
        </w:rPr>
        <w:t xml:space="preserve">V súlade so smernicou (EÚ) 2024/3099 sa ustanovuje mať na námornej lodi </w:t>
      </w:r>
      <w:r w:rsidRPr="00A44439">
        <w:rPr>
          <w:rFonts w:ascii="Times New Roman" w:eastAsiaTheme="minorEastAsia" w:hAnsi="Times New Roman" w:cs="Times New Roman"/>
          <w:sz w:val="24"/>
          <w:szCs w:val="24"/>
          <w:lang w:eastAsia="sk-SK"/>
        </w:rPr>
        <w:t>správy o</w:t>
      </w:r>
      <w:r w:rsidRPr="00AE7E09">
        <w:rPr>
          <w:rFonts w:ascii="Times New Roman" w:eastAsiaTheme="minorEastAsia" w:hAnsi="Times New Roman" w:cs="Times New Roman"/>
          <w:sz w:val="24"/>
          <w:szCs w:val="24"/>
          <w:lang w:eastAsia="sk-SK"/>
        </w:rPr>
        <w:t xml:space="preserve"> predchádzajúcich inšpekciách štátnej prístavnej kontroly</w:t>
      </w:r>
      <w:r>
        <w:rPr>
          <w:rFonts w:ascii="Times New Roman" w:eastAsiaTheme="minorEastAsia" w:hAnsi="Times New Roman" w:cs="Times New Roman"/>
          <w:sz w:val="24"/>
          <w:szCs w:val="24"/>
          <w:lang w:eastAsia="sk-SK"/>
        </w:rPr>
        <w:t xml:space="preserve"> v origináli alebo kópii.</w:t>
      </w:r>
    </w:p>
    <w:p w14:paraId="351C5FCA"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1C939BEE"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 xml:space="preserve">K bodu 17 </w:t>
      </w:r>
    </w:p>
    <w:p w14:paraId="65D1C13E" w14:textId="77777777" w:rsidR="00EA048A" w:rsidRPr="00945A7F" w:rsidRDefault="00EA048A" w:rsidP="00EA048A">
      <w:pPr>
        <w:spacing w:after="0" w:line="240" w:lineRule="auto"/>
        <w:ind w:firstLine="708"/>
        <w:jc w:val="both"/>
        <w:rPr>
          <w:rFonts w:ascii="Times New Roman" w:eastAsia="Times New Roman" w:hAnsi="Times New Roman" w:cs="Times New Roman"/>
          <w:bCs/>
          <w:sz w:val="24"/>
          <w:szCs w:val="24"/>
          <w:lang w:eastAsia="sk-SK"/>
        </w:rPr>
      </w:pPr>
      <w:proofErr w:type="spellStart"/>
      <w:r>
        <w:rPr>
          <w:rFonts w:ascii="Times New Roman" w:eastAsia="Times New Roman" w:hAnsi="Times New Roman" w:cs="Times New Roman"/>
          <w:bCs/>
          <w:sz w:val="24"/>
          <w:szCs w:val="24"/>
          <w:lang w:eastAsia="sk-SK"/>
        </w:rPr>
        <w:t>Legislatívnotechnická</w:t>
      </w:r>
      <w:proofErr w:type="spellEnd"/>
      <w:r>
        <w:rPr>
          <w:rFonts w:ascii="Times New Roman" w:eastAsia="Times New Roman" w:hAnsi="Times New Roman" w:cs="Times New Roman"/>
          <w:bCs/>
          <w:sz w:val="24"/>
          <w:szCs w:val="24"/>
          <w:lang w:eastAsia="sk-SK"/>
        </w:rPr>
        <w:t xml:space="preserve"> úprava, ktorej cieľom je odstránenie duplicity vnútroštátnej právnej úpravy s priamo uplatniteľnými právnymi aktmi Európskej únie okrem odseku 3, ktorý sa navrhuje presunúť do § 26b ako odsek 8 v nezmenenom znení.</w:t>
      </w:r>
    </w:p>
    <w:p w14:paraId="3AEF41D0"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07BC9DAF"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bodom</w:t>
      </w:r>
      <w:r w:rsidRPr="0099661B">
        <w:rPr>
          <w:rFonts w:ascii="Times New Roman" w:eastAsia="Times New Roman" w:hAnsi="Times New Roman" w:cs="Times New Roman"/>
          <w:bCs/>
          <w:sz w:val="24"/>
          <w:szCs w:val="24"/>
          <w:u w:val="single"/>
          <w:lang w:eastAsia="sk-SK"/>
        </w:rPr>
        <w:t xml:space="preserve"> </w:t>
      </w:r>
      <w:r>
        <w:rPr>
          <w:rFonts w:ascii="Times New Roman" w:eastAsia="Times New Roman" w:hAnsi="Times New Roman" w:cs="Times New Roman"/>
          <w:bCs/>
          <w:sz w:val="24"/>
          <w:szCs w:val="24"/>
          <w:u w:val="single"/>
          <w:lang w:eastAsia="sk-SK"/>
        </w:rPr>
        <w:t>18 až 20</w:t>
      </w:r>
    </w:p>
    <w:p w14:paraId="69FA033C" w14:textId="77777777" w:rsidR="00EA048A" w:rsidRDefault="00EA048A" w:rsidP="00EA048A">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Úpravy súvisiace s transpozíciou smernice (EÚ) 2024/3099,  ktorými sa vlastníkovi alebo prevádzkovateľovi námornej lode ukladá povinnosť podať žiadosť o zrušenie príkazu na zamietnutie vstupu námornej lode do prístavu najneskôr jeden mesiace pred uplynutím lehoty tohto príkazu, ak sa lehota nedodrží prístavný orgán môže predĺžiť tento príkaz najviac o jeden mesiac; rozširuje sa okruh osôb, ktoré sa môžu voči zadržaniu námornej lode odvolať a zrušuje sa ustanovenie týkajúce sa úhrady nákladov na novú inšpekciu po zamietnutí vstupu do prístavu prístavným orgánom. </w:t>
      </w:r>
    </w:p>
    <w:p w14:paraId="375B0BA2"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3ADA22D7"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21</w:t>
      </w:r>
    </w:p>
    <w:p w14:paraId="5D77558A" w14:textId="77777777" w:rsidR="00EA048A" w:rsidRPr="00A44439"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sidRPr="00A44439">
        <w:rPr>
          <w:rFonts w:ascii="Times New Roman" w:eastAsia="Times New Roman" w:hAnsi="Times New Roman" w:cs="Times New Roman"/>
          <w:bCs/>
          <w:sz w:val="24"/>
          <w:szCs w:val="24"/>
          <w:lang w:eastAsia="sk-SK"/>
        </w:rPr>
        <w:t>Presúva sa odsek 3 z § 26a, ktorý sa zrušuje, do § 26b ako odsek 8 v nezmenenom znení.</w:t>
      </w:r>
    </w:p>
    <w:p w14:paraId="46197B41"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5A9A4A92"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22</w:t>
      </w:r>
    </w:p>
    <w:p w14:paraId="6C2BBAB2" w14:textId="77777777" w:rsidR="00EA048A" w:rsidRDefault="00EA048A" w:rsidP="00EA048A">
      <w:pPr>
        <w:spacing w:after="0" w:line="240" w:lineRule="auto"/>
        <w:ind w:firstLine="708"/>
        <w:jc w:val="both"/>
        <w:rPr>
          <w:rFonts w:ascii="Times New Roman" w:eastAsia="Times New Roman" w:hAnsi="Times New Roman" w:cs="Times New Roman"/>
          <w:bCs/>
          <w:sz w:val="24"/>
          <w:szCs w:val="24"/>
          <w:u w:val="single"/>
          <w:lang w:eastAsia="sk-SK"/>
        </w:rPr>
      </w:pPr>
      <w:proofErr w:type="spellStart"/>
      <w:r w:rsidRPr="005654AC">
        <w:rPr>
          <w:rFonts w:ascii="Times New Roman" w:eastAsia="Times New Roman" w:hAnsi="Times New Roman" w:cs="Times New Roman"/>
          <w:bCs/>
          <w:sz w:val="24"/>
          <w:szCs w:val="24"/>
          <w:lang w:eastAsia="sk-SK"/>
        </w:rPr>
        <w:t>Legislatívnotechnická</w:t>
      </w:r>
      <w:proofErr w:type="spellEnd"/>
      <w:r w:rsidRPr="005654AC">
        <w:rPr>
          <w:rFonts w:ascii="Times New Roman" w:eastAsia="Times New Roman" w:hAnsi="Times New Roman" w:cs="Times New Roman"/>
          <w:bCs/>
          <w:sz w:val="24"/>
          <w:szCs w:val="24"/>
          <w:lang w:eastAsia="sk-SK"/>
        </w:rPr>
        <w:t xml:space="preserve"> úprava </w:t>
      </w:r>
      <w:r w:rsidRPr="00A44439">
        <w:rPr>
          <w:rFonts w:ascii="Times New Roman" w:eastAsia="Times New Roman" w:hAnsi="Times New Roman" w:cs="Times New Roman"/>
          <w:bCs/>
          <w:sz w:val="24"/>
          <w:szCs w:val="24"/>
          <w:lang w:eastAsia="sk-SK"/>
        </w:rPr>
        <w:t>vnútorného odkazu súvisiaca s bodom 17.</w:t>
      </w:r>
    </w:p>
    <w:p w14:paraId="64A641F0"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593C7704"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9661B">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w:t>
      </w:r>
      <w:r w:rsidRPr="0099661B">
        <w:rPr>
          <w:rFonts w:ascii="Times New Roman" w:eastAsia="Times New Roman" w:hAnsi="Times New Roman" w:cs="Times New Roman"/>
          <w:bCs/>
          <w:sz w:val="24"/>
          <w:szCs w:val="24"/>
          <w:u w:val="single"/>
          <w:lang w:eastAsia="sk-SK"/>
        </w:rPr>
        <w:t>bod</w:t>
      </w:r>
      <w:r>
        <w:rPr>
          <w:rFonts w:ascii="Times New Roman" w:eastAsia="Times New Roman" w:hAnsi="Times New Roman" w:cs="Times New Roman"/>
          <w:bCs/>
          <w:sz w:val="24"/>
          <w:szCs w:val="24"/>
          <w:u w:val="single"/>
          <w:lang w:eastAsia="sk-SK"/>
        </w:rPr>
        <w:t>om</w:t>
      </w:r>
      <w:r w:rsidRPr="0099661B">
        <w:rPr>
          <w:rFonts w:ascii="Times New Roman" w:eastAsia="Times New Roman" w:hAnsi="Times New Roman" w:cs="Times New Roman"/>
          <w:bCs/>
          <w:sz w:val="24"/>
          <w:szCs w:val="24"/>
          <w:u w:val="single"/>
          <w:lang w:eastAsia="sk-SK"/>
        </w:rPr>
        <w:t xml:space="preserve"> </w:t>
      </w:r>
      <w:r>
        <w:rPr>
          <w:rFonts w:ascii="Times New Roman" w:eastAsia="Times New Roman" w:hAnsi="Times New Roman" w:cs="Times New Roman"/>
          <w:bCs/>
          <w:sz w:val="24"/>
          <w:szCs w:val="24"/>
          <w:u w:val="single"/>
          <w:lang w:eastAsia="sk-SK"/>
        </w:rPr>
        <w:t xml:space="preserve">23 a 24 </w:t>
      </w:r>
    </w:p>
    <w:p w14:paraId="7FAEC4B1" w14:textId="77777777" w:rsidR="00EA048A" w:rsidRPr="0099661B"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Úpravy súvisiace s transpozíciou smernice Európskeho parlamentu a Rady (EÚ) 2024/3101, ktorými sa rozširuje definícia znečisťujúcich látok, ustanovujú sa výnimky zo zákazu vypúšťania znečisťujúcich látok, ministerstvu sa ukladá povinnosť zaznamenávať do informačného systému Európskej komisie opatrenia prijaté na základe správ satelitného systému monitorovania čistoty morského prostredia (</w:t>
      </w:r>
      <w:proofErr w:type="spellStart"/>
      <w:r>
        <w:rPr>
          <w:rFonts w:ascii="Times New Roman" w:eastAsia="Times New Roman" w:hAnsi="Times New Roman" w:cs="Times New Roman"/>
          <w:bCs/>
          <w:sz w:val="24"/>
          <w:szCs w:val="24"/>
          <w:lang w:eastAsia="sk-SK"/>
        </w:rPr>
        <w:t>CleanSeaNet</w:t>
      </w:r>
      <w:proofErr w:type="spellEnd"/>
      <w:r>
        <w:rPr>
          <w:rFonts w:ascii="Times New Roman" w:eastAsia="Times New Roman" w:hAnsi="Times New Roman" w:cs="Times New Roman"/>
          <w:bCs/>
          <w:sz w:val="24"/>
          <w:szCs w:val="24"/>
          <w:lang w:eastAsia="sk-SK"/>
        </w:rPr>
        <w:t xml:space="preserve">) a sankcie, ak boli </w:t>
      </w:r>
      <w:r w:rsidRPr="00596BD7">
        <w:rPr>
          <w:rFonts w:ascii="Times New Roman" w:hAnsi="Times New Roman" w:cs="Times New Roman"/>
          <w:sz w:val="24"/>
          <w:szCs w:val="24"/>
        </w:rPr>
        <w:t>bezprostredne predchádzajúci kalendárny rok uložené</w:t>
      </w:r>
      <w:r>
        <w:rPr>
          <w:rFonts w:ascii="Times New Roman" w:eastAsia="Times New Roman" w:hAnsi="Times New Roman" w:cs="Times New Roman"/>
          <w:bCs/>
          <w:sz w:val="24"/>
          <w:szCs w:val="24"/>
          <w:lang w:eastAsia="sk-SK"/>
        </w:rPr>
        <w:t>.</w:t>
      </w:r>
    </w:p>
    <w:p w14:paraId="6EBCBE3F"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59DB7224"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25</w:t>
      </w:r>
    </w:p>
    <w:p w14:paraId="52B6C7A3" w14:textId="77777777" w:rsidR="00EA048A" w:rsidRPr="00A44439"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sidRPr="00A44439">
        <w:rPr>
          <w:rFonts w:ascii="Times New Roman" w:eastAsia="Times New Roman" w:hAnsi="Times New Roman" w:cs="Times New Roman"/>
          <w:bCs/>
          <w:sz w:val="24"/>
          <w:szCs w:val="24"/>
          <w:lang w:eastAsia="sk-SK"/>
        </w:rPr>
        <w:t>Vypúšťa sa splnomocňovacie ustanovenie na vydanie vykonávacieho predpisu z dôvodu zrušenia vykonávacieho predpisu (bod 28).</w:t>
      </w:r>
    </w:p>
    <w:p w14:paraId="49159C05"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5D0F438E"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r w:rsidRPr="0099661B">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bodu 26</w:t>
      </w:r>
    </w:p>
    <w:p w14:paraId="2D9F9353"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Úpravy, ktorými sa ustanovuje povinnosť pre lekárov uznaných na účely posudzovania zdravotnej spôsobilosti mať zavedený systém riadenia kvality</w:t>
      </w:r>
      <w:r w:rsidDel="001B7B3A">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 v súlade s Medzinárodným dohovorom o normách výcviku, kvalifikácie a strážnej služby námorníkov z roku 1978 v platnom znení.</w:t>
      </w:r>
    </w:p>
    <w:p w14:paraId="5DE3B0D7" w14:textId="77777777" w:rsidR="00EA048A" w:rsidRDefault="00EA048A" w:rsidP="00EA048A">
      <w:pPr>
        <w:spacing w:after="0" w:line="240" w:lineRule="auto"/>
        <w:jc w:val="both"/>
        <w:rPr>
          <w:rFonts w:ascii="Times New Roman" w:eastAsia="Times New Roman" w:hAnsi="Times New Roman" w:cs="Times New Roman"/>
          <w:bCs/>
          <w:sz w:val="24"/>
          <w:szCs w:val="24"/>
          <w:lang w:eastAsia="sk-SK"/>
        </w:rPr>
      </w:pPr>
    </w:p>
    <w:p w14:paraId="03041235"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27</w:t>
      </w:r>
    </w:p>
    <w:p w14:paraId="4E3B3686"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Úpravy súvisiace s transpozíciou smernice (EÚ) 2024/3101, ktorými sa ustanovujú kritériá, ktoré ministerstvo zohľadňuje pri určovaní výšky správnej pokuty, aby sankcie za znečisťovanie mora boli účinné, primerané a odrádzajúce. </w:t>
      </w:r>
    </w:p>
    <w:p w14:paraId="50A78028" w14:textId="77777777" w:rsidR="00EA048A" w:rsidRDefault="00EA048A" w:rsidP="00EA048A">
      <w:pPr>
        <w:spacing w:after="0" w:line="240" w:lineRule="auto"/>
        <w:jc w:val="both"/>
        <w:rPr>
          <w:rFonts w:ascii="Times New Roman" w:eastAsia="Times New Roman" w:hAnsi="Times New Roman" w:cs="Times New Roman"/>
          <w:bCs/>
          <w:sz w:val="24"/>
          <w:szCs w:val="24"/>
          <w:u w:val="single"/>
          <w:lang w:eastAsia="sk-SK"/>
        </w:rPr>
      </w:pPr>
    </w:p>
    <w:p w14:paraId="44EC6854" w14:textId="77777777" w:rsidR="00EA048A" w:rsidRPr="00907557" w:rsidRDefault="00EA048A" w:rsidP="00EA048A">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28</w:t>
      </w:r>
    </w:p>
    <w:p w14:paraId="3C6B4AA3"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lastRenderedPageBreak/>
        <w:t>Vkladá sa zrušovacie ustanovenie s účinnosťou od 6. júla 2027, ktorým sa zrušuje vykonávací právny predpis, ktorý sa stáva nadbytočným v dôsledku novej právnej úpravy a zavedenia informačného systému Európskej únie pre námornú bezpečnosť (THETIS) a satelitného systému monitorovania čistoty morského prostredia (</w:t>
      </w:r>
      <w:proofErr w:type="spellStart"/>
      <w:r>
        <w:rPr>
          <w:rFonts w:ascii="Times New Roman" w:eastAsia="Times New Roman" w:hAnsi="Times New Roman" w:cs="Times New Roman"/>
          <w:bCs/>
          <w:sz w:val="24"/>
          <w:szCs w:val="24"/>
          <w:lang w:eastAsia="sk-SK"/>
        </w:rPr>
        <w:t>CleanSeaNet</w:t>
      </w:r>
      <w:proofErr w:type="spellEnd"/>
      <w:r>
        <w:rPr>
          <w:rFonts w:ascii="Times New Roman" w:eastAsia="Times New Roman" w:hAnsi="Times New Roman" w:cs="Times New Roman"/>
          <w:bCs/>
          <w:sz w:val="24"/>
          <w:szCs w:val="24"/>
          <w:lang w:eastAsia="sk-SK"/>
        </w:rPr>
        <w:t>) do vnútroštátnej aplikačnej praxe.</w:t>
      </w:r>
    </w:p>
    <w:p w14:paraId="7B1B2D2C" w14:textId="77777777" w:rsidR="00EA048A" w:rsidRPr="0099661B" w:rsidRDefault="00EA048A" w:rsidP="00EA048A">
      <w:pPr>
        <w:spacing w:after="0" w:line="240" w:lineRule="auto"/>
        <w:jc w:val="both"/>
        <w:rPr>
          <w:rFonts w:ascii="Times New Roman" w:eastAsia="Times New Roman" w:hAnsi="Times New Roman" w:cs="Times New Roman"/>
          <w:bCs/>
          <w:sz w:val="24"/>
          <w:szCs w:val="24"/>
          <w:lang w:eastAsia="sk-SK"/>
        </w:rPr>
      </w:pPr>
    </w:p>
    <w:p w14:paraId="5CA0E8A5" w14:textId="77777777" w:rsidR="00EA048A" w:rsidRPr="0099661B"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99661B">
        <w:rPr>
          <w:rFonts w:ascii="Times New Roman" w:eastAsia="Times New Roman" w:hAnsi="Times New Roman" w:cs="Times New Roman"/>
          <w:bCs/>
          <w:sz w:val="24"/>
          <w:szCs w:val="24"/>
          <w:u w:val="single"/>
          <w:lang w:eastAsia="sk-SK"/>
        </w:rPr>
        <w:t>K</w:t>
      </w:r>
      <w:r>
        <w:rPr>
          <w:rFonts w:ascii="Times New Roman" w:eastAsia="Times New Roman" w:hAnsi="Times New Roman" w:cs="Times New Roman"/>
          <w:bCs/>
          <w:sz w:val="24"/>
          <w:szCs w:val="24"/>
          <w:u w:val="single"/>
          <w:lang w:eastAsia="sk-SK"/>
        </w:rPr>
        <w:t> </w:t>
      </w:r>
      <w:r w:rsidRPr="0099661B">
        <w:rPr>
          <w:rFonts w:ascii="Times New Roman" w:eastAsia="Times New Roman" w:hAnsi="Times New Roman" w:cs="Times New Roman"/>
          <w:bCs/>
          <w:sz w:val="24"/>
          <w:szCs w:val="24"/>
          <w:u w:val="single"/>
          <w:lang w:eastAsia="sk-SK"/>
        </w:rPr>
        <w:t>bod</w:t>
      </w:r>
      <w:r>
        <w:rPr>
          <w:rFonts w:ascii="Times New Roman" w:eastAsia="Times New Roman" w:hAnsi="Times New Roman" w:cs="Times New Roman"/>
          <w:bCs/>
          <w:sz w:val="24"/>
          <w:szCs w:val="24"/>
          <w:u w:val="single"/>
          <w:lang w:eastAsia="sk-SK"/>
        </w:rPr>
        <w:t xml:space="preserve">u 29 </w:t>
      </w:r>
    </w:p>
    <w:p w14:paraId="2409DEEE" w14:textId="77777777" w:rsidR="00EA048A" w:rsidRDefault="00EA048A" w:rsidP="00EA048A">
      <w:pPr>
        <w:spacing w:after="0" w:line="240" w:lineRule="auto"/>
        <w:ind w:firstLine="708"/>
        <w:jc w:val="both"/>
        <w:rPr>
          <w:rFonts w:ascii="Times New Roman" w:eastAsia="Times New Roman" w:hAnsi="Times New Roman" w:cs="Times New Roman"/>
          <w:bCs/>
          <w:sz w:val="24"/>
          <w:szCs w:val="24"/>
          <w:lang w:eastAsia="sk-SK"/>
        </w:rPr>
      </w:pPr>
      <w:proofErr w:type="spellStart"/>
      <w:r>
        <w:rPr>
          <w:rFonts w:ascii="Times New Roman" w:eastAsia="Times New Roman" w:hAnsi="Times New Roman" w:cs="Times New Roman"/>
          <w:bCs/>
          <w:sz w:val="24"/>
          <w:szCs w:val="24"/>
          <w:lang w:eastAsia="sk-SK"/>
        </w:rPr>
        <w:t>Legislatívnotechnická</w:t>
      </w:r>
      <w:proofErr w:type="spellEnd"/>
      <w:r>
        <w:rPr>
          <w:rFonts w:ascii="Times New Roman" w:eastAsia="Times New Roman" w:hAnsi="Times New Roman" w:cs="Times New Roman"/>
          <w:bCs/>
          <w:sz w:val="24"/>
          <w:szCs w:val="24"/>
          <w:lang w:eastAsia="sk-SK"/>
        </w:rPr>
        <w:t xml:space="preserve"> úprava bodu 5. transpozičnej prílohy z dôvodu zmeny názvu smernice </w:t>
      </w:r>
      <w:r w:rsidRPr="00DB7351">
        <w:rPr>
          <w:rFonts w:ascii="Times New Roman" w:hAnsi="Times New Roman" w:cs="Times New Roman"/>
          <w:sz w:val="24"/>
          <w:szCs w:val="24"/>
        </w:rPr>
        <w:t>2005/35/ES</w:t>
      </w:r>
      <w:r>
        <w:rPr>
          <w:rFonts w:ascii="Times New Roman" w:hAnsi="Times New Roman" w:cs="Times New Roman"/>
          <w:sz w:val="24"/>
          <w:szCs w:val="24"/>
        </w:rPr>
        <w:t xml:space="preserve"> v platnom znení</w:t>
      </w:r>
      <w:r>
        <w:rPr>
          <w:rFonts w:ascii="Times New Roman" w:eastAsia="Times New Roman" w:hAnsi="Times New Roman" w:cs="Times New Roman"/>
          <w:bCs/>
          <w:sz w:val="24"/>
          <w:szCs w:val="24"/>
          <w:lang w:eastAsia="sk-SK"/>
        </w:rPr>
        <w:t>.</w:t>
      </w:r>
    </w:p>
    <w:p w14:paraId="29BA13E6" w14:textId="77777777" w:rsidR="00EA048A" w:rsidRDefault="00EA048A" w:rsidP="00EA048A">
      <w:pPr>
        <w:spacing w:after="0" w:line="240" w:lineRule="auto"/>
        <w:jc w:val="both"/>
        <w:rPr>
          <w:rFonts w:ascii="Times New Roman" w:eastAsia="Times New Roman" w:hAnsi="Times New Roman" w:cs="Times New Roman"/>
          <w:bCs/>
          <w:sz w:val="24"/>
          <w:szCs w:val="24"/>
          <w:lang w:eastAsia="sk-SK"/>
        </w:rPr>
      </w:pPr>
    </w:p>
    <w:p w14:paraId="629A2450" w14:textId="77777777" w:rsidR="00EA048A" w:rsidRPr="00666AFD" w:rsidRDefault="00EA048A" w:rsidP="00EA048A">
      <w:pPr>
        <w:spacing w:after="0" w:line="240" w:lineRule="auto"/>
        <w:jc w:val="both"/>
        <w:rPr>
          <w:rFonts w:ascii="Times New Roman" w:eastAsia="Times New Roman" w:hAnsi="Times New Roman" w:cs="Times New Roman"/>
          <w:bCs/>
          <w:sz w:val="24"/>
          <w:szCs w:val="24"/>
          <w:u w:val="single"/>
          <w:lang w:eastAsia="sk-SK"/>
        </w:rPr>
      </w:pPr>
      <w:r w:rsidRPr="00666AFD">
        <w:rPr>
          <w:rFonts w:ascii="Times New Roman" w:eastAsia="Times New Roman" w:hAnsi="Times New Roman" w:cs="Times New Roman"/>
          <w:bCs/>
          <w:sz w:val="24"/>
          <w:szCs w:val="24"/>
          <w:u w:val="single"/>
          <w:lang w:eastAsia="sk-SK"/>
        </w:rPr>
        <w:t xml:space="preserve">K bodu </w:t>
      </w:r>
      <w:r>
        <w:rPr>
          <w:rFonts w:ascii="Times New Roman" w:eastAsia="Times New Roman" w:hAnsi="Times New Roman" w:cs="Times New Roman"/>
          <w:bCs/>
          <w:sz w:val="24"/>
          <w:szCs w:val="24"/>
          <w:u w:val="single"/>
          <w:lang w:eastAsia="sk-SK"/>
        </w:rPr>
        <w:t>30</w:t>
      </w:r>
    </w:p>
    <w:p w14:paraId="4E6FEF06" w14:textId="77777777" w:rsidR="00EA048A" w:rsidRPr="00666AFD" w:rsidRDefault="00EA048A" w:rsidP="00EA048A">
      <w:pPr>
        <w:spacing w:after="0" w:line="240" w:lineRule="auto"/>
        <w:ind w:firstLine="708"/>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Transpozičná príloha sa dopĺňa o smernicu</w:t>
      </w:r>
      <w:r w:rsidRPr="00666AFD">
        <w:rPr>
          <w:rFonts w:ascii="Times New Roman" w:eastAsia="Times New Roman" w:hAnsi="Times New Roman" w:cs="Times New Roman"/>
          <w:bCs/>
          <w:sz w:val="24"/>
          <w:szCs w:val="24"/>
          <w:lang w:eastAsia="sk-SK"/>
        </w:rPr>
        <w:t xml:space="preserve"> (EÚ) 2024/3099</w:t>
      </w:r>
      <w:r>
        <w:rPr>
          <w:rFonts w:ascii="Times New Roman" w:eastAsia="Times New Roman" w:hAnsi="Times New Roman" w:cs="Times New Roman"/>
          <w:bCs/>
          <w:sz w:val="24"/>
          <w:szCs w:val="24"/>
          <w:lang w:eastAsia="sk-SK"/>
        </w:rPr>
        <w:t>,</w:t>
      </w:r>
      <w:r w:rsidRPr="00666AFD">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smernicu</w:t>
      </w:r>
      <w:r w:rsidRPr="00666AFD">
        <w:rPr>
          <w:rFonts w:ascii="Times New Roman" w:eastAsia="Times New Roman" w:hAnsi="Times New Roman" w:cs="Times New Roman"/>
          <w:bCs/>
          <w:sz w:val="24"/>
          <w:szCs w:val="24"/>
          <w:lang w:eastAsia="sk-SK"/>
        </w:rPr>
        <w:t xml:space="preserve"> (EÚ) 2024/3100 </w:t>
      </w:r>
      <w:r>
        <w:rPr>
          <w:rFonts w:ascii="Times New Roman" w:eastAsia="Times New Roman" w:hAnsi="Times New Roman" w:cs="Times New Roman"/>
          <w:bCs/>
          <w:sz w:val="24"/>
          <w:szCs w:val="24"/>
          <w:lang w:eastAsia="sk-SK"/>
        </w:rPr>
        <w:t>a smernicu</w:t>
      </w:r>
      <w:r w:rsidRPr="00666AFD">
        <w:rPr>
          <w:rFonts w:ascii="Times New Roman" w:eastAsia="Times New Roman" w:hAnsi="Times New Roman" w:cs="Times New Roman"/>
          <w:bCs/>
          <w:sz w:val="24"/>
          <w:szCs w:val="24"/>
          <w:lang w:eastAsia="sk-SK"/>
        </w:rPr>
        <w:t xml:space="preserve"> (EÚ) 2024/3101.</w:t>
      </w:r>
      <w:r>
        <w:rPr>
          <w:rFonts w:ascii="Times New Roman" w:eastAsia="Times New Roman" w:hAnsi="Times New Roman" w:cs="Times New Roman"/>
          <w:bCs/>
          <w:sz w:val="24"/>
          <w:szCs w:val="24"/>
          <w:lang w:eastAsia="sk-SK"/>
        </w:rPr>
        <w:t xml:space="preserve"> Vládnym návrhom zákona </w:t>
      </w:r>
      <w:r w:rsidRPr="00664CD8">
        <w:rPr>
          <w:rFonts w:ascii="Times New Roman" w:eastAsia="Times New Roman" w:hAnsi="Times New Roman" w:cs="Times New Roman"/>
          <w:bCs/>
          <w:sz w:val="24"/>
          <w:szCs w:val="24"/>
          <w:lang w:eastAsia="sk-SK"/>
        </w:rPr>
        <w:t>o civilnom letectve a o zmene a doplnení niektorých zákonov (letecký zákon)</w:t>
      </w:r>
      <w:r>
        <w:rPr>
          <w:rFonts w:ascii="Times New Roman" w:eastAsia="Times New Roman" w:hAnsi="Times New Roman" w:cs="Times New Roman"/>
          <w:bCs/>
          <w:sz w:val="24"/>
          <w:szCs w:val="24"/>
          <w:lang w:eastAsia="sk-SK"/>
        </w:rPr>
        <w:t xml:space="preserve"> (p. t. 1446) sa novelizuje v čl. IX zákon č. 435/2000 Z. z. o námornej plavbe v znení neskorších predpisov, ktorým sa transponuje smernica </w:t>
      </w:r>
      <w:r w:rsidRPr="00664CD8">
        <w:rPr>
          <w:rFonts w:ascii="Times New Roman" w:eastAsia="Times New Roman" w:hAnsi="Times New Roman" w:cs="Times New Roman"/>
          <w:bCs/>
          <w:sz w:val="24"/>
          <w:szCs w:val="24"/>
          <w:lang w:eastAsia="sk-SK"/>
        </w:rPr>
        <w:t>Európskeho parlamentu a Rady (EÚ) 2024/3017 z 27. novembra 2024, ktorou sa mení smernica Európskeho parlamentu a Rady 2009/18/ES, ktorou sa ustanovujú základné zásady upravujúce vyšetrovanie nehôd v sektore námornej dopravy, a zrušuje nariadenie Komisie (EÚ) č. 1286/2011 (Ú. v. EÚ L, 2024/3017, 6.12.2024)</w:t>
      </w:r>
      <w:r>
        <w:rPr>
          <w:rFonts w:ascii="Times New Roman" w:eastAsia="Times New Roman" w:hAnsi="Times New Roman" w:cs="Times New Roman"/>
          <w:bCs/>
          <w:sz w:val="24"/>
          <w:szCs w:val="24"/>
          <w:lang w:eastAsia="sk-SK"/>
        </w:rPr>
        <w:t xml:space="preserve"> a vkladá sa do transpozičnej prílohy ako bod 21, preto sa týmto návrhom zákona transpozičná príloha dopĺňa bodmi 22 až 24.</w:t>
      </w:r>
    </w:p>
    <w:p w14:paraId="37318A7A" w14:textId="77777777" w:rsidR="00EA048A" w:rsidRDefault="00EA048A" w:rsidP="00EA048A">
      <w:pPr>
        <w:spacing w:after="0" w:line="240" w:lineRule="auto"/>
        <w:rPr>
          <w:rFonts w:ascii="Times New Roman" w:eastAsia="Times New Roman" w:hAnsi="Times New Roman" w:cs="Times New Roman"/>
          <w:b/>
          <w:bCs/>
          <w:sz w:val="24"/>
          <w:szCs w:val="24"/>
          <w:lang w:eastAsia="sk-SK"/>
        </w:rPr>
      </w:pPr>
    </w:p>
    <w:p w14:paraId="029A473C" w14:textId="77777777" w:rsidR="00EA048A" w:rsidRPr="0099661B" w:rsidRDefault="00EA048A" w:rsidP="00EA048A">
      <w:pPr>
        <w:spacing w:after="0" w:line="240" w:lineRule="auto"/>
        <w:rPr>
          <w:rFonts w:ascii="Times New Roman" w:eastAsia="Times New Roman" w:hAnsi="Times New Roman" w:cs="Times New Roman"/>
          <w:b/>
          <w:bCs/>
          <w:sz w:val="24"/>
          <w:szCs w:val="24"/>
          <w:lang w:eastAsia="sk-SK"/>
        </w:rPr>
      </w:pPr>
      <w:r w:rsidRPr="0099661B">
        <w:rPr>
          <w:rFonts w:ascii="Times New Roman" w:eastAsia="Times New Roman" w:hAnsi="Times New Roman" w:cs="Times New Roman"/>
          <w:b/>
          <w:bCs/>
          <w:sz w:val="24"/>
          <w:szCs w:val="24"/>
          <w:lang w:eastAsia="sk-SK"/>
        </w:rPr>
        <w:t>Čl. II</w:t>
      </w:r>
    </w:p>
    <w:p w14:paraId="73AB8543" w14:textId="77777777" w:rsidR="00EA048A" w:rsidRPr="0099661B" w:rsidRDefault="00EA048A" w:rsidP="00EA048A">
      <w:pPr>
        <w:pStyle w:val="Default"/>
        <w:ind w:firstLine="708"/>
        <w:jc w:val="both"/>
      </w:pPr>
      <w:r w:rsidRPr="005654AC">
        <w:rPr>
          <w:rFonts w:eastAsia="Times New Roman"/>
          <w:bCs/>
          <w:lang w:eastAsia="sk-SK"/>
        </w:rPr>
        <w:t xml:space="preserve">Ustanovuje sa účinnosť v súlade s </w:t>
      </w:r>
      <w:r w:rsidRPr="005654AC">
        <w:t xml:space="preserve">lehotou </w:t>
      </w:r>
      <w:r>
        <w:t xml:space="preserve">na transpozíciu smerníc uvedených v transpozičnej prílohe k návrhu zákona. </w:t>
      </w:r>
    </w:p>
    <w:p w14:paraId="16244B96" w14:textId="77777777" w:rsidR="00EA048A" w:rsidRDefault="00EA048A" w:rsidP="00EA048A">
      <w:pPr>
        <w:spacing w:after="0" w:line="240" w:lineRule="auto"/>
        <w:rPr>
          <w:rFonts w:ascii="Times New Roman" w:eastAsia="Times New Roman" w:hAnsi="Times New Roman" w:cs="Times New Roman"/>
          <w:color w:val="000000"/>
          <w:sz w:val="23"/>
          <w:szCs w:val="23"/>
          <w:lang w:eastAsia="sk-SK"/>
        </w:rPr>
      </w:pPr>
    </w:p>
    <w:bookmarkEnd w:id="0"/>
    <w:p w14:paraId="0E3F210A" w14:textId="77777777" w:rsidR="00F15016" w:rsidRDefault="00F15016" w:rsidP="00F15016">
      <w:pPr>
        <w:pStyle w:val="Normlnywebov"/>
        <w:spacing w:before="0" w:beforeAutospacing="0" w:after="0" w:afterAutospacing="0"/>
        <w:ind w:firstLine="708"/>
        <w:jc w:val="both"/>
      </w:pPr>
    </w:p>
    <w:p w14:paraId="3511F382" w14:textId="29F9D85A" w:rsidR="00390789" w:rsidRPr="00F15016" w:rsidRDefault="00390789" w:rsidP="00F15016"/>
    <w:sectPr w:rsidR="00390789" w:rsidRPr="00F150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1C360F"/>
    <w:multiLevelType w:val="hybridMultilevel"/>
    <w:tmpl w:val="6B5896D2"/>
    <w:lvl w:ilvl="0" w:tplc="041B0015">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07B"/>
    <w:rsid w:val="00390789"/>
    <w:rsid w:val="00472C47"/>
    <w:rsid w:val="007105D2"/>
    <w:rsid w:val="009A19CB"/>
    <w:rsid w:val="00C12C19"/>
    <w:rsid w:val="00CB007B"/>
    <w:rsid w:val="00D66F8E"/>
    <w:rsid w:val="00E218A7"/>
    <w:rsid w:val="00EA048A"/>
    <w:rsid w:val="00EE6B43"/>
    <w:rsid w:val="00F15016"/>
    <w:rsid w:val="00F656C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F28D6"/>
  <w15:chartTrackingRefBased/>
  <w15:docId w15:val="{82FC7967-C333-410F-A195-DCA471263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15016"/>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A19CB"/>
    <w:pPr>
      <w:ind w:left="720"/>
      <w:contextualSpacing/>
    </w:pPr>
  </w:style>
  <w:style w:type="paragraph" w:styleId="Normlnywebov">
    <w:name w:val="Normal (Web)"/>
    <w:basedOn w:val="Normlny"/>
    <w:uiPriority w:val="99"/>
    <w:unhideWhenUsed/>
    <w:rsid w:val="009A19CB"/>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markedcontent">
    <w:name w:val="markedcontent"/>
    <w:basedOn w:val="Predvolenpsmoodseku"/>
    <w:rsid w:val="009A19CB"/>
  </w:style>
  <w:style w:type="paragraph" w:styleId="Textbubliny">
    <w:name w:val="Balloon Text"/>
    <w:basedOn w:val="Normlny"/>
    <w:link w:val="TextbublinyChar"/>
    <w:uiPriority w:val="99"/>
    <w:semiHidden/>
    <w:unhideWhenUsed/>
    <w:rsid w:val="007105D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105D2"/>
    <w:rPr>
      <w:rFonts w:ascii="Segoe UI" w:hAnsi="Segoe UI" w:cs="Segoe UI"/>
      <w:sz w:val="18"/>
      <w:szCs w:val="18"/>
    </w:rPr>
  </w:style>
  <w:style w:type="character" w:styleId="Odkaznakomentr">
    <w:name w:val="annotation reference"/>
    <w:basedOn w:val="Predvolenpsmoodseku"/>
    <w:uiPriority w:val="99"/>
    <w:semiHidden/>
    <w:unhideWhenUsed/>
    <w:rsid w:val="00D66F8E"/>
    <w:rPr>
      <w:sz w:val="16"/>
      <w:szCs w:val="16"/>
    </w:rPr>
  </w:style>
  <w:style w:type="paragraph" w:styleId="Textkomentra">
    <w:name w:val="annotation text"/>
    <w:basedOn w:val="Normlny"/>
    <w:link w:val="TextkomentraChar"/>
    <w:uiPriority w:val="99"/>
    <w:semiHidden/>
    <w:unhideWhenUsed/>
    <w:rsid w:val="00D66F8E"/>
    <w:pPr>
      <w:spacing w:line="240" w:lineRule="auto"/>
    </w:pPr>
    <w:rPr>
      <w:sz w:val="20"/>
      <w:szCs w:val="20"/>
    </w:rPr>
  </w:style>
  <w:style w:type="character" w:customStyle="1" w:styleId="TextkomentraChar">
    <w:name w:val="Text komentára Char"/>
    <w:basedOn w:val="Predvolenpsmoodseku"/>
    <w:link w:val="Textkomentra"/>
    <w:uiPriority w:val="99"/>
    <w:semiHidden/>
    <w:rsid w:val="00D66F8E"/>
    <w:rPr>
      <w:sz w:val="20"/>
      <w:szCs w:val="20"/>
    </w:rPr>
  </w:style>
  <w:style w:type="paragraph" w:styleId="Predmetkomentra">
    <w:name w:val="annotation subject"/>
    <w:basedOn w:val="Textkomentra"/>
    <w:next w:val="Textkomentra"/>
    <w:link w:val="PredmetkomentraChar"/>
    <w:uiPriority w:val="99"/>
    <w:semiHidden/>
    <w:unhideWhenUsed/>
    <w:rsid w:val="00D66F8E"/>
    <w:rPr>
      <w:b/>
      <w:bCs/>
    </w:rPr>
  </w:style>
  <w:style w:type="character" w:customStyle="1" w:styleId="PredmetkomentraChar">
    <w:name w:val="Predmet komentára Char"/>
    <w:basedOn w:val="TextkomentraChar"/>
    <w:link w:val="Predmetkomentra"/>
    <w:uiPriority w:val="99"/>
    <w:semiHidden/>
    <w:rsid w:val="00D66F8E"/>
    <w:rPr>
      <w:b/>
      <w:bCs/>
      <w:sz w:val="20"/>
      <w:szCs w:val="20"/>
    </w:rPr>
  </w:style>
  <w:style w:type="paragraph" w:customStyle="1" w:styleId="Default">
    <w:name w:val="Default"/>
    <w:uiPriority w:val="99"/>
    <w:rsid w:val="00EA048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1286</Words>
  <Characters>7333</Characters>
  <Application>Microsoft Office Word</Application>
  <DocSecurity>0</DocSecurity>
  <Lines>61</Lines>
  <Paragraphs>17</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Prívozníková, Ivana</dc:creator>
  <cp:keywords/>
  <dc:description/>
  <cp:lastModifiedBy>Prívozníková, Ivana</cp:lastModifiedBy>
  <cp:revision>9</cp:revision>
  <cp:lastPrinted>2026-10-08T12:16:00Z</cp:lastPrinted>
  <dcterms:created xsi:type="dcterms:W3CDTF">2026-09-15T06:46:00Z</dcterms:created>
  <dcterms:modified xsi:type="dcterms:W3CDTF">2026-10-08T12:17:00Z</dcterms:modified>
</cp:coreProperties>
</file>