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skupiny poslancov Národnej rady Slovenskej republiky na vydanie
zákona, ktorým sa mení a dopĺňa zákon č. 440/2015 Z. z. o športe a o zmene a doplnení niektorých zákonov v znení neskorších predpisov (tlač 1413)</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LP/2026/506</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11</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63 ods. písm. c)</w:t>
              <w:br/>
            </w:r>
            <w:r>
              <w:rPr>
                <w:b w:val="off"/>
                <w:color w:val="000000"/>
                <w:rFonts w:ascii="Times New Roman" w:hAnsi="Times New Roman" w:cs="Times New Roman" w:eastAsia="Times New Roman"/>
                <w:sz w:val="24"/>
              </w:rPr>
              <w:t xml:space="preserve">Nad rámec vlastného materiálu navrhujeme úpravu ustanovenia § 63 písm. c) zákona, podľa ktorého (v aktuálne účinnom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Samosprávny kraj pri výkone samosprávy zabezpečuje využívanie športovej infraštruktúry v stredných školách, ktorých je zriaďovateľom, a športovej infraštruktúry vo vlastníctve alebo v správe samosprávneho kraja na šport pre všetkých so zameraním na mládež najviac za náklady s tým spojené.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 sa úprava na nasledovné znenie: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Samosprávny kraj pri výkone samosprávy zabezpečuje využívanie športovej infraštruktúry v stredných školách, ktorých je zriaďovateľom, a športovej infraštruktúry vo vlastníctve alebo v správe samosprávneho kraja na šport pre všetkých so zameraním na mládež za úhradu nákladu nákladov s tým spojených a primeranú odplatu.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Doterajšia právna úprava obmedzuje možnosť samosprávnych krajov efektívne a hospodárne nakladať so športovou infraštruktúrou vo svojom vlastníctve alebo správe, ako aj so športovou infraštruktúrou stredných škôl, ktorých sú zriaďovateľmi. Požiadavka poskytovať športovú infraštruktúru najviac za náklady s tým spojené nezohľadňuje potrebu vytvárania zdrojov na jej priebežnú údržbu, obnovu, modernizáciu a rozvoj. V praxi tak dochádza k situáciám, keď samosprávny kraj znáša významnú časť nákladov spojených s opotrebovaním a technickým znehodnocovaním športových zariadení bez možnosti primeraného ekonomického zhodnotenia svojho majetku.</w:t>
              <w:br/>
            </w:r>
            <w:r>
              <w:rPr>
                <w:b w:val="off"/>
                <w:color w:val="000000"/>
                <w:rFonts w:ascii="Times New Roman" w:hAnsi="Times New Roman" w:cs="Times New Roman" w:eastAsia="Times New Roman"/>
                <w:sz w:val="24"/>
              </w:rPr>
              <w:t>Navrhovaná zmena umožňuje, aby bola športová infraštruktúra poskytovaná za úhradu nákladov spojených s jej využívaním a súčasne za primeranú odplatu. Cieľom nie je vytváranie zisku na úkor dostupnosti športových aktivít pre mládež a verejnosť, ale umožnenie samosprávnym krajom pokryť aj časť nákladov súvisiacich so správou a rozvojom športovej infraštruktúry a zabezpečiť jej dlhodobú udržateľnosť.</w:t>
              <w:br/>
            </w:r>
            <w:r>
              <w:rPr>
                <w:b w:val="off"/>
                <w:color w:val="000000"/>
                <w:rFonts w:ascii="Times New Roman" w:hAnsi="Times New Roman" w:cs="Times New Roman" w:eastAsia="Times New Roman"/>
                <w:sz w:val="24"/>
              </w:rPr>
              <w:t>Navrhovaná úprava zároveň posilňuje princíp riadneho hospodárenia s majetkom vyšších územných celkov. Samosprávny kraj ako vlastník alebo správca športovej infraštruktúry bude môcť pri určovaní podmienok jej využívania zohľadňovať nielen priame prevádzkové náklady, ale aj primerané náklady súvisiace s obnovou majetku, investíciami do jeho technického zhodnotenia a zabezpečením kvalitných podmienok pre športovú činnosť.</w:t>
              <w:br/>
            </w:r>
            <w:r>
              <w:rPr>
                <w:b w:val="off"/>
                <w:color w:val="000000"/>
                <w:rFonts w:ascii="Times New Roman" w:hAnsi="Times New Roman" w:cs="Times New Roman" w:eastAsia="Times New Roman"/>
                <w:sz w:val="24"/>
              </w:rPr>
              <w:t>Zmena nemá negatívny vplyv na dostupnosť športovej infraštruktúry pre mládež, keďže samosprávny kraj bude aj naďalej povinný zabezpečovať jej využívanie na šport pre všetkých so zameraním na mládež. Navrhované znenie len vytvára flexibilnejší právny rámec umožňujúci nastaviť ekonomicky primerané podmienky využívania športových zariadení v záujme ich efektívnej správy a dlhodobej prevádzkyschopnosti.</w:t>
              <w:br/>
            </w:r>
            <w:r>
              <w:rPr>
                <w:b w:val="off"/>
                <w:color w:val="000000"/>
                <w:rFonts w:ascii="Times New Roman" w:hAnsi="Times New Roman" w:cs="Times New Roman" w:eastAsia="Times New Roman"/>
                <w:sz w:val="24"/>
              </w:rPr>
              <w:t>Navrhovaná úprava tak prispeje k lepšiemu využívaniu existujúcej športovej infraštruktúry, k zvýšeniu jej kvality a k zníženiu finančnej záťaže samosprávnych krajov pri zachovaní verejnoprospešného účelu poskytovania športových služieb.</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 - O:</w:t>
              <w:br/>
            </w:r>
            <w:r>
              <w:rPr>
                <w:b w:val="off"/>
                <w:color w:val="000000"/>
                <w:rFonts w:ascii="Times New Roman" w:hAnsi="Times New Roman" w:cs="Times New Roman" w:eastAsia="Times New Roman"/>
                <w:sz w:val="24"/>
              </w:rPr>
              <w:t>V celom rozsahu sa stotožňujeme so stanoviskom Ministerstva cestovného ruchu a športu Slovenskej republiky uvedeným v predkladacej správe k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je označený negatívny vplyv na rozpočet verejnej správy v súvislosti so zriadením rezortného športového strediska v gescii Ministerstva práce, sociálnych vecí a rodiny SR. Zároveň sa v doložke vybraných vplyvov uvádza, že vplyv bude zabezpečený v kapitole Ministerstva práce, sociálnych vecí a rodiny SR, čo berieme na vedomie. Uvedený vplyv nie je v predloženom materiáli kvantifikovaný, preto je potrebné v predkladacej správe vyčísliť tento vplyv, aby bolo možné objektívne posúdiť reálny vplyv návrhu na rozpočet verejnej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vplyvov</w:t>
              <w:br/>
            </w:r>
            <w:r>
              <w:rPr>
                <w:b w:val="off"/>
                <w:color w:val="000000"/>
                <w:rFonts w:ascii="Times New Roman" w:hAnsi="Times New Roman" w:cs="Times New Roman" w:eastAsia="Times New Roman"/>
                <w:sz w:val="24"/>
              </w:rPr>
              <w:t>Odporúčame  predkladateľovi predložiť aktuálnu verziu Doložky vybraných vplyvov v súlade s platnou Jednotnou metodikou na posudzovanie vybraných vplyvov.</w:t>
              <w:br/>
            </w:r>
            <w:r>
              <w:rPr>
                <w:b w:val="off"/>
                <w:color w:val="000000"/>
                <w:rFonts w:ascii="Times New Roman" w:hAnsi="Times New Roman" w:cs="Times New Roman" w:eastAsia="Times New Roman"/>
                <w:sz w:val="24"/>
              </w:rPr>
              <w:t xml:space="preserve">Odôvodnenie: Predkladateľom predložená Doložka vybraných vplyvov nie je v súlade s aktuálne platnou Jednotnou metodikou na posudzovanie vybraných vplyvov účinnou od 1.10.2023. Aktuálne platné formuláre sprievodných dokumentov sú k dispozícii </w:t>
              <w:br/>
            </w:r>
            <w:r>
              <w:rPr>
                <w:b w:val="off"/>
                <w:color w:val="000000"/>
                <w:rFonts w:ascii="Times New Roman" w:hAnsi="Times New Roman" w:cs="Times New Roman" w:eastAsia="Times New Roman"/>
                <w:sz w:val="24"/>
              </w:rPr>
              <w:t>na webovom sídle: https://www.economy.gov.sk/podnikatelske-prostredie/jednotna-metodika/posudzovanie-vplyvov-pre predkladatelov/dokumenty?csrt=15428989065935973543</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