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0991D" w14:textId="34B04939" w:rsidR="00467653" w:rsidRPr="00E66622" w:rsidRDefault="00CE2823" w:rsidP="00467653">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VYJADRENIA K PREDBEŽNEJ INFORMÁCII</w:t>
      </w:r>
      <w:r w:rsidR="00011900" w:rsidRPr="00E66622">
        <w:rPr>
          <w:rFonts w:ascii="Times New Roman" w:eastAsia="Times New Roman" w:hAnsi="Times New Roman" w:cs="Times New Roman"/>
          <w:b/>
          <w:sz w:val="28"/>
        </w:rPr>
        <w:br/>
      </w:r>
      <w:r w:rsidR="00FA2BCB" w:rsidRPr="00533748">
        <w:rPr>
          <w:rFonts w:ascii="Times New Roman" w:eastAsia="Times New Roman" w:hAnsi="Times New Roman" w:cs="Times New Roman"/>
          <w:b/>
          <w:sz w:val="24"/>
          <w:szCs w:val="20"/>
          <w:lang w:val="en-US"/>
        </w:rPr>
        <w:t>Predbežná informácia k návrhu vyhlášky Ministerstva hospodárstva Slovenskej republiky k energetickej efektívnosti dátových centier</w:t>
      </w:r>
      <w:r w:rsidR="00917A99">
        <w:rPr>
          <w:rFonts w:ascii="Times New Roman" w:eastAsia="Times New Roman" w:hAnsi="Times New Roman" w:cs="Times New Roman"/>
          <w:b/>
          <w:sz w:val="28"/>
        </w:rPr>
        <w:br/>
      </w:r>
      <w:r w:rsidR="00FA2BCB">
        <w:rPr>
          <w:rFonts w:ascii="Times New Roman" w:eastAsia="Times New Roman" w:hAnsi="Times New Roman" w:cs="Times New Roman"/>
          <w:bCs/>
          <w:sz w:val="24"/>
          <w:szCs w:val="24"/>
        </w:rPr>
        <w:t>PI/2026/253</w:t>
      </w:r>
    </w:p>
    <w:p w14:paraId="1F0934E1" w14:textId="78DB372D" w:rsidR="007C1A93" w:rsidRPr="0084088F" w:rsidRDefault="00000000" w:rsidP="00011900">
      <w:pPr>
        <w:spacing w:line="276" w:lineRule="auto"/>
        <w:rPr>
          <w:sz w:val="24"/>
          <w:szCs w:val="24"/>
          <w:lang w:val="en-US"/>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w:t>
      </w:r>
      <w:r w:rsidR="00011900">
        <w:rPr>
          <w:rFonts w:ascii="Times New Roman" w:eastAsia="Times New Roman" w:hAnsi="Times New Roman" w:cs="Times New Roman"/>
          <w:sz w:val="24"/>
          <w:szCs w:val="24"/>
        </w:rPr>
        <w:t>vyjadrení</w:t>
      </w:r>
      <w:r w:rsidRPr="00E66622">
        <w:rPr>
          <w:rFonts w:ascii="Times New Roman" w:eastAsia="Times New Roman" w:hAnsi="Times New Roman" w:cs="Times New Roman"/>
          <w:sz w:val="24"/>
          <w:szCs w:val="24"/>
        </w:rPr>
        <w:t xml:space="preserve">: </w:t>
      </w:r>
      <w:r w:rsidRPr="0053699B">
        <w:rPr>
          <w:rFonts w:ascii="Times New Roman" w:eastAsia="Times New Roman" w:hAnsi="Times New Roman" w:cs="Times New Roman"/>
          <w:sz w:val="18"/>
          <w:szCs w:val="18"/>
        </w:rPr>
        <w:tab/>
      </w:r>
      <w:r w:rsidR="000724FE">
        <w:rPr>
          <w:rFonts w:ascii="Times New Roman" w:eastAsia="Times New Roman" w:hAnsi="Times New Roman" w:cs="Times New Roman"/>
          <w:sz w:val="24"/>
          <w:szCs w:val="24"/>
          <w:lang w:val="en-US"/>
        </w:rPr>
        <w:t>5</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11"/>
        <w:gridCol w:w="10249"/>
      </w:tblGrid>
      <w:tr w:rsidR="00467653" w14:paraId="575AAFA8" w14:textId="77777777" w:rsidTr="00BE5283">
        <w:trPr>
          <w:trHeight w:val="648"/>
          <w:jc w:val="center"/>
        </w:trPr>
        <w:tc>
          <w:tcPr>
            <w:tcW w:w="1000" w:type="pct"/>
            <w:vAlign w:val="center"/>
          </w:tcPr>
          <w:p w14:paraId="4B4FA583" w14:textId="62ECD7CF" w:rsidR="00467653" w:rsidRPr="00E11D16" w:rsidRDefault="00467653" w:rsidP="00DB2917">
            <w:pPr>
              <w:spacing w:after="0"/>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3778" w:type="pct"/>
            <w:vAlign w:val="center"/>
          </w:tcPr>
          <w:p w14:paraId="54262B5F" w14:textId="0A209097" w:rsidR="00467653" w:rsidRPr="00E11D16" w:rsidRDefault="00467653" w:rsidP="00DB2917">
            <w:pPr>
              <w:spacing w:after="0"/>
              <w:jc w:val="center"/>
              <w:rPr>
                <w:rFonts w:ascii="Times New Roman" w:hAnsi="Times New Roman" w:cs="Times New Roman"/>
                <w:b/>
                <w:bCs/>
                <w:sz w:val="24"/>
                <w:szCs w:val="24"/>
              </w:rPr>
            </w:pPr>
            <w:r>
              <w:rPr>
                <w:rFonts w:ascii="Times New Roman" w:hAnsi="Times New Roman" w:cs="Times New Roman"/>
                <w:b/>
                <w:bCs/>
                <w:sz w:val="24"/>
                <w:szCs w:val="24"/>
              </w:rPr>
              <w:t>Vyjadrenie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top"/>
          </w:tcPr>
          <w:p>
            <w:pPr>
              <w:spacing w:after="0"/>
              <w:jc w:val="start"/>
            </w:pPr>
            <w:r>
              <w:rPr>
                <w:b w:val="off"/>
                <w:color w:val="000000"/>
                <w:rFonts w:ascii="Times New Roman" w:hAnsi="Times New Roman" w:cs="Times New Roman" w:eastAsia="Times New Roman"/>
                <w:sz w:val="24"/>
              </w:rPr>
              <w:t>Navrhujeme upraviť § 4 ods. 2 takto:</w:t>
              <w:br/>
            </w:r>
            <w:r>
              <w:rPr>
                <w:b w:val="off"/>
                <w:color w:val="000000"/>
                <w:rFonts w:ascii="Times New Roman" w:hAnsi="Times New Roman" w:cs="Times New Roman" w:eastAsia="Times New Roman"/>
                <w:sz w:val="24"/>
              </w:rPr>
              <w:t>„Prevádzkovateľ dátového centra predkladá údaje jednorazovým vložením do Európskej databázy energetickej efektívnosti dátových centier. Prevádzkovateľ monitorovacieho systému zabezpečí ich prevzatie na vnútroštátne spracovanie a automatické oznámenie o ich prijatí; samostatné zaslanie rovnakých údajov sa nevyžaduje.“</w:t>
              <w:br/>
            </w:r>
            <w:r>
              <w:rPr>
                <w:b w:val="off"/>
                <w:color w:val="000000"/>
                <w:rFonts w:ascii="Times New Roman" w:hAnsi="Times New Roman" w:cs="Times New Roman" w:eastAsia="Times New Roman"/>
                <w:sz w:val="24"/>
              </w:rPr>
              <w:t>Súčasne navrhujeme v § 13 ods. 1 písm. c) návrhu zákona výslovne ustanoviť, že vložením údajov podľa písmena b) sa splní aj povinnosť podľa písmena c).</w:t>
              <w:br/>
            </w:r>
            <w:r>
              <w:rPr>
                <w:b w:val="off"/>
                <w:color w:val="000000"/>
                <w:rFonts w:ascii="Times New Roman" w:hAnsi="Times New Roman" w:cs="Times New Roman" w:eastAsia="Times New Roman"/>
                <w:sz w:val="24"/>
              </w:rPr>
              <w:t>Do prechodných ustanovení doplniť: „Registrácie a identifikátory dátových centier pridelené pred nadobudnutím účinnosti tejto vyhlášky zostávajú zachované. Údaje za už vykázané obdobia sa len z dôvodu nadobudnutia účinnosti tejto vyhlášky opätovne nepredkladajú, okrem ich opravy alebo doplnenia.“.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 3 ods. 1 nariadenia (EÚ) 2024/1364 upravuje národnú alebo priamu európsku cestu nahlasovania; čl. 5 ods. 3 zabezpečuje členskému štátu prístup k údajom jeho centier. Súbežné výkazy zvyšujú náklady a riziko rozdielnych verzií. Vyhláška musí nadväzovať na jednoznačne upravenú zákonnú povinnosť. Zachovanie registrácií zabezpečí kontinuitu vykazovania.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top"/>
          </w:tcPr>
          <w:p>
            <w:pPr>
              <w:spacing w:after="0"/>
              <w:jc w:val="start"/>
            </w:pPr>
            <w:r>
              <w:rPr>
                <w:b w:val="off"/>
                <w:color w:val="000000"/>
                <w:rFonts w:ascii="Times New Roman" w:hAnsi="Times New Roman" w:cs="Times New Roman" w:eastAsia="Times New Roman"/>
                <w:sz w:val="24"/>
              </w:rPr>
              <w:t>Navrhujeme oddeliť odoslanie a validáciu údajov od ich zverejnenia. § 7 a § 9 upraviť tak, aby obsahovali toto pravidlo:</w:t>
              <w:br/>
            </w:r>
            <w:r>
              <w:rPr>
                <w:b w:val="off"/>
                <w:color w:val="000000"/>
                <w:rFonts w:ascii="Times New Roman" w:hAnsi="Times New Roman" w:cs="Times New Roman" w:eastAsia="Times New Roman"/>
                <w:sz w:val="24"/>
              </w:rPr>
              <w:t>„Individuálne údaje dátového centra sa spracúvajú v neverejnej časti databázy. Verejnosti sa sprístupňujú súhrnné údaje v rozsahu a pri splnení podmienok podľa osobitného predpisu. Individuálny údaj možno zverejniť iba v rozsahu a forme, ktorých zverejnenie výslovne vyžaduje účinný právne záväzný akt Európskej únie. Prístup k ostatným individuálnym údajom majú len osoby oprávnené podľa zákona alebo práva Európskej únie.“</w:t>
              <w:br/>
            </w:r>
            <w:r>
              <w:rPr>
                <w:b w:val="off"/>
                <w:color w:val="000000"/>
                <w:rFonts w:ascii="Times New Roman" w:hAnsi="Times New Roman" w:cs="Times New Roman" w:eastAsia="Times New Roman"/>
                <w:sz w:val="24"/>
              </w:rPr>
              <w:t>V § 13 ods. 2 písm. c) a ods. 4 návrhu zákona zosúladiť rozlíšenie odovzdania údajov do databázy a ich verejného sprístupnenia; zachovať ochranu ostatných individuálnych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 5 ods. 2 a 5 nariadenia (EÚ) 2024/1364 odlišuje verejné agregované výstupy od dôverných údajov jednotlivých centier. Pravidlo minimálne troch centier pre príslušné rozklady ukazovateľov už príloha č. 2 obsahuje a treba ho zachovať v súlade s prílohou IV nariadenia. Ochrana dôvernosti nezbavuje povinnosti údaje nahlásiť. Znenie musí umožniť aj povinné zverejnenie údajov hodnotiaceho štítku, ak príslušná európska úprava nadobudne účinnosť.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top"/>
          </w:tcPr>
          <w:p>
            <w:pPr>
              <w:spacing w:after="0"/>
              <w:jc w:val="start"/>
            </w:pPr>
            <w:r>
              <w:rPr>
                <w:b w:val="off"/>
                <w:color w:val="000000"/>
                <w:rFonts w:ascii="Times New Roman" w:hAnsi="Times New Roman" w:cs="Times New Roman" w:eastAsia="Times New Roman"/>
                <w:sz w:val="24"/>
              </w:rPr>
              <w:t>Navrhujeme pred predložením vyhlášky do MPK zosúladiť rozsah údajov, metodiku, lehoty a zverejňovanie s účinným európskym rámcom a zohľadniť výsledok kontrolnej fázy delegovaného aktu C(2026) 3472.</w:t>
              <w:br/>
            </w:r>
            <w:r>
              <w:rPr>
                <w:b w:val="off"/>
                <w:color w:val="000000"/>
                <w:rFonts w:ascii="Times New Roman" w:hAnsi="Times New Roman" w:cs="Times New Roman" w:eastAsia="Times New Roman"/>
                <w:sz w:val="24"/>
              </w:rPr>
              <w:t>Rozsah povinného národného vykazovania nad rámec práva EÚ nezavádzať bez výslovného zákonného základu, preukázania potreby a posúdenia nákladov. Zmeny formulárov a technických rozhraní oznámiť s primeraným predstihom v medziach záväzných lehôt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Komisia prijala akt C(2026) 3472 dňa 21. septembra 2026. Upravuje hodnotiace štítky aj zmeny vykazovania a dôvernosti. Podľa registra je predpokladaný koniec lehoty na námietky 21. novembra 2026; k 23. októbru 2026 ho preto nezamieňame s účinným znením nariadenia. Jeho zohľadnenie predíde rýchlej novelizácii vyhlášky a opakovaným úpravám systémov.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top"/>
          </w:tcPr>
          <w:p>
            <w:pPr>
              <w:spacing w:after="0"/>
              <w:jc w:val="start"/>
            </w:pPr>
            <w:r>
              <w:rPr>
                <w:b w:val="off"/>
                <w:color w:val="000000"/>
                <w:rFonts w:ascii="Times New Roman" w:hAnsi="Times New Roman" w:cs="Times New Roman" w:eastAsia="Times New Roman"/>
                <w:sz w:val="24"/>
              </w:rPr>
              <w:t>Navrhujeme doplniť metodické pravidlo:</w:t>
              <w:br/>
            </w:r>
            <w:r>
              <w:rPr>
                <w:b w:val="off"/>
                <w:color w:val="000000"/>
                <w:rFonts w:ascii="Times New Roman" w:hAnsi="Times New Roman" w:cs="Times New Roman" w:eastAsia="Times New Roman"/>
                <w:sz w:val="24"/>
              </w:rPr>
              <w:t>„Pri údajoch o zariadeniach zákazníkov dátového centra so spoločným umiestnením možno použiť anonymný interný zber údajov, odhady a extrapolácie. Pri použití odhadov a extrapolácií sa uvedie metóda a rozsah pokrytia údajov. Údaje za zmiešanú prevádzku sa vykážu spoločne za dátové centrum so zohľadnením režimu jednotlivých častí bez ich dvojitého započítania.“</w:t>
              <w:br/>
            </w:r>
            <w:r>
              <w:rPr>
                <w:b w:val="off"/>
                <w:color w:val="000000"/>
                <w:rFonts w:ascii="Times New Roman" w:hAnsi="Times New Roman" w:cs="Times New Roman" w:eastAsia="Times New Roman"/>
                <w:sz w:val="24"/>
              </w:rPr>
              <w:t>Metodiku doplniť o vzor žiadosti o súčinnosť zákazníka a o postup dokumentovania objektívne nedostupných údajov. Metodika nesmie vyžadovať sprístupnenie identity zákazníkov ani parametrov ich zariadení nad rámec zákona a práva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kolokácii prevádzkovateľ infraštruktúry nespravuje zákaznícke servery a úložiská. Čl. 3 ods. 3 a 4 a príloha II bod 2 nariadenia (EÚ) 2024/1364 už upravujú niektoré postupy pre tento model. Jednotná metodika zlepší porovnateľnosť údajov. Časovo obmedzené úľavy podľa čl. 3 ods. 2 a 3 nemožno slovenskou vyhláškou rozšíriť ani obnoviť.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top"/>
          </w:tcPr>
          <w:p>
            <w:pPr>
              <w:spacing w:after="0"/>
              <w:jc w:val="start"/>
            </w:pPr>
            <w:r>
              <w:rPr>
                <w:b w:val="off"/>
                <w:color w:val="000000"/>
                <w:rFonts w:ascii="Times New Roman" w:hAnsi="Times New Roman" w:cs="Times New Roman" w:eastAsia="Times New Roman"/>
                <w:sz w:val="24"/>
              </w:rPr>
              <w:t>Navrhujeme do § 4 až 6 doplniť:</w:t>
              <w:br/>
            </w:r>
            <w:r>
              <w:rPr>
                <w:b w:val="off"/>
                <w:color w:val="000000"/>
                <w:rFonts w:ascii="Times New Roman" w:hAnsi="Times New Roman" w:cs="Times New Roman" w:eastAsia="Times New Roman"/>
                <w:sz w:val="24"/>
              </w:rPr>
              <w:t>„Po vložení údajov systém vydá potvrdenie s dátumom, identifikátorom a verziou podania. Ak prevádzkovateľ monitorovacieho systému zistí nedostatky, bezodkladne ich konkrétne označí a vyzve prevádzkovateľa dátového centra na opravu alebo doplnenie. Poskytne mu lehotu najmenej desať pracovných dní, ak to umožňujú záväzné lehoty podľa práva Európskej únie. Oprava sa zaznamená so zachovaním predchádzajúcej verzie a času pôvodného podania. O výsledku validácie sa prevádzkovateľ dátového centra elektronicky upovedomí.“</w:t>
              <w:br/>
            </w:r>
            <w:r>
              <w:rPr>
                <w:b w:val="off"/>
                <w:color w:val="000000"/>
                <w:rFonts w:ascii="Times New Roman" w:hAnsi="Times New Roman" w:cs="Times New Roman" w:eastAsia="Times New Roman"/>
                <w:sz w:val="24"/>
              </w:rPr>
              <w:t>Doplniť postup pri preukázanej nedostupnosti systému vrátane náhradného elektronického podania a následného prenosu údajov, v súlade s pravidlami európskej databázy. Jednoznačne odlíšiť lehotu podania operátora od lehoty kontroly a validácie organom.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Včasné a riadne splnenie povinnosti prevádzkovateľa dátového centra nemá závisieť od rýchlosti následnej validácie orgánom. Navrhovaná lehota na opravu je procesným doplnením; nepredlžuje lehoty podľa čl. 3 ods. 1 nariadenia (EÚ) 2024/1364. Zachovanie času pôvodného podania neznamená, že sa pôvodne chýbajúce alebo nesprávne údaje automaticky považujú za riadne a včas predložené.</w:t>
            </w:r>
          </w:p>
        </w:tc>
      </w:tr>
    </w:tbl>
    <w:p w14:paraId="1F01DA97" w14:textId="77777777" w:rsidR="00E66622" w:rsidRPr="00E66622" w:rsidRDefault="00E66622">
      <w:pPr>
        <w:rPr>
          <w:rFonts w:ascii="Times New Roman" w:hAnsi="Times New Roman" w:cs="Times New Roman"/>
        </w:rPr>
      </w:pPr>
    </w:p>
    <w:sectPr w:rsidR="00E66622" w:rsidRPr="00E66622" w:rsidSect="00463836">
      <w:footerReference w:type="default" r:id="rId6"/>
      <w:footerReference w:type="first" r:id="rId7"/>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DEEF4" w14:textId="77777777" w:rsidR="00C26117" w:rsidRPr="00E66622" w:rsidRDefault="00C26117" w:rsidP="00E66622">
      <w:pPr>
        <w:spacing w:after="0" w:line="240" w:lineRule="auto"/>
      </w:pPr>
      <w:r w:rsidRPr="00E66622">
        <w:separator/>
      </w:r>
    </w:p>
  </w:endnote>
  <w:endnote w:type="continuationSeparator" w:id="0">
    <w:p w14:paraId="1E5D75E2" w14:textId="77777777" w:rsidR="00C26117" w:rsidRPr="00E66622" w:rsidRDefault="00C26117"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1560082"/>
      <w:docPartObj>
        <w:docPartGallery w:val="Page Numbers (Bottom of Page)"/>
        <w:docPartUnique/>
      </w:docPartObj>
    </w:sdtPr>
    <w:sdtEndPr>
      <w:rPr>
        <w:noProof/>
      </w:rPr>
    </w:sdtEndPr>
    <w:sdtContent>
      <w:p w14:paraId="78DC3A0B" w14:textId="5A4296D4" w:rsidR="00236556" w:rsidRDefault="002365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4FCCA7" w14:textId="77777777" w:rsidR="00E66622" w:rsidRDefault="00E666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9100" w14:textId="37C3F5DD" w:rsidR="00236556" w:rsidRPr="00236556" w:rsidRDefault="00236556">
    <w:pPr>
      <w:pStyle w:val="Footer"/>
      <w:jc w:val="center"/>
      <w:rPr>
        <w:rFonts w:ascii="Times New Roman" w:hAnsi="Times New Roman"/>
      </w:rPr>
    </w:pPr>
  </w:p>
  <w:p w14:paraId="5CD0C25D" w14:textId="77777777" w:rsidR="004E6AA4" w:rsidRDefault="004E6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214C0" w14:textId="77777777" w:rsidR="00C26117" w:rsidRPr="00E66622" w:rsidRDefault="00C26117" w:rsidP="00E66622">
      <w:pPr>
        <w:spacing w:after="0" w:line="240" w:lineRule="auto"/>
      </w:pPr>
      <w:r w:rsidRPr="00E66622">
        <w:separator/>
      </w:r>
    </w:p>
  </w:footnote>
  <w:footnote w:type="continuationSeparator" w:id="0">
    <w:p w14:paraId="5F583473" w14:textId="77777777" w:rsidR="00C26117" w:rsidRPr="00E66622" w:rsidRDefault="00C26117" w:rsidP="00E66622">
      <w:pPr>
        <w:spacing w:after="0" w:line="240" w:lineRule="auto"/>
      </w:pPr>
      <w:r w:rsidRPr="00E66622">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900"/>
    <w:rsid w:val="00047E84"/>
    <w:rsid w:val="00050137"/>
    <w:rsid w:val="000724FE"/>
    <w:rsid w:val="00076DCD"/>
    <w:rsid w:val="000A158B"/>
    <w:rsid w:val="000B2D78"/>
    <w:rsid w:val="000B34D9"/>
    <w:rsid w:val="000C172E"/>
    <w:rsid w:val="001228AD"/>
    <w:rsid w:val="00131490"/>
    <w:rsid w:val="00131742"/>
    <w:rsid w:val="001433FA"/>
    <w:rsid w:val="00146A7D"/>
    <w:rsid w:val="001E50FA"/>
    <w:rsid w:val="001E5996"/>
    <w:rsid w:val="001F777F"/>
    <w:rsid w:val="00231554"/>
    <w:rsid w:val="00236556"/>
    <w:rsid w:val="00237490"/>
    <w:rsid w:val="00245F36"/>
    <w:rsid w:val="0026614F"/>
    <w:rsid w:val="002715E0"/>
    <w:rsid w:val="0029170C"/>
    <w:rsid w:val="00295E6A"/>
    <w:rsid w:val="002A4482"/>
    <w:rsid w:val="002C368A"/>
    <w:rsid w:val="002D3B5E"/>
    <w:rsid w:val="00312884"/>
    <w:rsid w:val="00335FFB"/>
    <w:rsid w:val="003A5C5F"/>
    <w:rsid w:val="003C31D4"/>
    <w:rsid w:val="003E641E"/>
    <w:rsid w:val="003F1216"/>
    <w:rsid w:val="003F3166"/>
    <w:rsid w:val="003F37C1"/>
    <w:rsid w:val="004050CF"/>
    <w:rsid w:val="00405348"/>
    <w:rsid w:val="00425A59"/>
    <w:rsid w:val="00434080"/>
    <w:rsid w:val="00463836"/>
    <w:rsid w:val="00467653"/>
    <w:rsid w:val="00491026"/>
    <w:rsid w:val="004A62B8"/>
    <w:rsid w:val="004B0317"/>
    <w:rsid w:val="004B4188"/>
    <w:rsid w:val="004E0BF7"/>
    <w:rsid w:val="004E6AA4"/>
    <w:rsid w:val="004F1B4F"/>
    <w:rsid w:val="004F4092"/>
    <w:rsid w:val="00503F23"/>
    <w:rsid w:val="0051341E"/>
    <w:rsid w:val="00513767"/>
    <w:rsid w:val="005146CA"/>
    <w:rsid w:val="00533748"/>
    <w:rsid w:val="0053699B"/>
    <w:rsid w:val="00563EB3"/>
    <w:rsid w:val="00583F11"/>
    <w:rsid w:val="00592017"/>
    <w:rsid w:val="005B618C"/>
    <w:rsid w:val="005E5B0E"/>
    <w:rsid w:val="005F3E6F"/>
    <w:rsid w:val="005F71E1"/>
    <w:rsid w:val="00602231"/>
    <w:rsid w:val="006371D1"/>
    <w:rsid w:val="00641DD8"/>
    <w:rsid w:val="00664F3B"/>
    <w:rsid w:val="00695857"/>
    <w:rsid w:val="006C2D6E"/>
    <w:rsid w:val="0070694E"/>
    <w:rsid w:val="00707B3A"/>
    <w:rsid w:val="007247A7"/>
    <w:rsid w:val="00762E51"/>
    <w:rsid w:val="00774ED8"/>
    <w:rsid w:val="00784062"/>
    <w:rsid w:val="007C1A93"/>
    <w:rsid w:val="00820A78"/>
    <w:rsid w:val="0084088F"/>
    <w:rsid w:val="008741FE"/>
    <w:rsid w:val="00882D49"/>
    <w:rsid w:val="008C2612"/>
    <w:rsid w:val="008D299D"/>
    <w:rsid w:val="00913D14"/>
    <w:rsid w:val="00917A99"/>
    <w:rsid w:val="00932936"/>
    <w:rsid w:val="00934F23"/>
    <w:rsid w:val="00947810"/>
    <w:rsid w:val="009647D6"/>
    <w:rsid w:val="00980D7A"/>
    <w:rsid w:val="009912BF"/>
    <w:rsid w:val="009B1491"/>
    <w:rsid w:val="009D152C"/>
    <w:rsid w:val="009D32B4"/>
    <w:rsid w:val="009E0711"/>
    <w:rsid w:val="009F35D2"/>
    <w:rsid w:val="00A070EB"/>
    <w:rsid w:val="00A50443"/>
    <w:rsid w:val="00A53B17"/>
    <w:rsid w:val="00A81039"/>
    <w:rsid w:val="00B02EF2"/>
    <w:rsid w:val="00B0310C"/>
    <w:rsid w:val="00B11932"/>
    <w:rsid w:val="00B13C0C"/>
    <w:rsid w:val="00B8742A"/>
    <w:rsid w:val="00B946A0"/>
    <w:rsid w:val="00B95BCC"/>
    <w:rsid w:val="00B95FCB"/>
    <w:rsid w:val="00BC339E"/>
    <w:rsid w:val="00BD7F55"/>
    <w:rsid w:val="00BE323C"/>
    <w:rsid w:val="00BE5283"/>
    <w:rsid w:val="00BF207A"/>
    <w:rsid w:val="00C06F1F"/>
    <w:rsid w:val="00C26117"/>
    <w:rsid w:val="00C43D79"/>
    <w:rsid w:val="00C529CC"/>
    <w:rsid w:val="00C81BA6"/>
    <w:rsid w:val="00C84A5B"/>
    <w:rsid w:val="00CD7313"/>
    <w:rsid w:val="00CE2823"/>
    <w:rsid w:val="00D0302E"/>
    <w:rsid w:val="00D2596D"/>
    <w:rsid w:val="00D44E47"/>
    <w:rsid w:val="00D466F6"/>
    <w:rsid w:val="00D610D0"/>
    <w:rsid w:val="00D91683"/>
    <w:rsid w:val="00DA267A"/>
    <w:rsid w:val="00DB2917"/>
    <w:rsid w:val="00DD2850"/>
    <w:rsid w:val="00DD302E"/>
    <w:rsid w:val="00DD7CB5"/>
    <w:rsid w:val="00E07639"/>
    <w:rsid w:val="00E078E8"/>
    <w:rsid w:val="00E11D16"/>
    <w:rsid w:val="00E37A37"/>
    <w:rsid w:val="00E41A2D"/>
    <w:rsid w:val="00E66622"/>
    <w:rsid w:val="00E67174"/>
    <w:rsid w:val="00E922B9"/>
    <w:rsid w:val="00E92A50"/>
    <w:rsid w:val="00EA3B3C"/>
    <w:rsid w:val="00EE00C6"/>
    <w:rsid w:val="00EE3DCD"/>
    <w:rsid w:val="00F14D0A"/>
    <w:rsid w:val="00F456DC"/>
    <w:rsid w:val="00F5065D"/>
    <w:rsid w:val="00F73F9B"/>
    <w:rsid w:val="00F8431B"/>
    <w:rsid w:val="00F85AB8"/>
    <w:rsid w:val="00F907A2"/>
    <w:rsid w:val="00FA016F"/>
    <w:rsid w:val="00FA2BCB"/>
    <w:rsid w:val="00FA40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footer1.xml" Type="http://schemas.openxmlformats.org/officeDocument/2006/relationships/footer"/><Relationship Id="rId7" Target="footer2.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18</Words>
  <Characters>107</Characters>
  <Application>Microsoft Office Word</Application>
  <DocSecurity>0</DocSecurity>
  <Lines>1</Lines>
  <Paragraphs>1</Paragraphs>
  <ScaleCrop>false</ScaleCrop>
  <Company/>
  <LinksUpToDate>false</LinksUpToDate>
  <CharactersWithSpaces>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2025-01-21T10:44:00Z</dcterms:modified>
  <cp:revision>58</cp:revision>
</cp:coreProperties>
</file>