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17FD2D6C" w:rsidR="00E66622" w:rsidRPr="00785E8D" w:rsidRDefault="00461B69" w:rsidP="00796EBE">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VYHODNOTENIE PRIPOMIENKOVÉHO KONANIA</w:t>
      </w:r>
      <w:r w:rsidR="00785E8D" w:rsidRPr="00785E8D">
        <w:rPr>
          <w:rFonts w:ascii="Times New Roman" w:eastAsia="Times New Roman" w:hAnsi="Times New Roman" w:cs="Times New Roman"/>
          <w:b/>
          <w:sz w:val="28"/>
        </w:rPr>
        <w:br/>
      </w:r>
      <w:r w:rsidR="009D32B4" w:rsidRPr="00215E64">
        <w:rPr>
          <w:rFonts w:ascii="Times New Roman" w:eastAsia="Times New Roman" w:hAnsi="Times New Roman" w:cs="Times New Roman"/>
          <w:b/>
          <w:sz w:val="24"/>
          <w:szCs w:val="20"/>
        </w:rPr>
        <w:t>Návrh zákona, ktorým sa mení a dopĺňa zákon č. 130/2005 Z. z. o vojnových hroboch v znení neskorších predpisov</w:t>
      </w:r>
      <w:r w:rsidR="00917A99" w:rsidRPr="00785E8D">
        <w:rPr>
          <w:rFonts w:ascii="Times New Roman" w:eastAsia="Times New Roman" w:hAnsi="Times New Roman" w:cs="Times New Roman"/>
          <w:b/>
          <w:sz w:val="28"/>
        </w:rPr>
        <w:br/>
      </w:r>
      <w:r w:rsidR="003F1216" w:rsidRPr="00785E8D">
        <w:rPr>
          <w:rFonts w:ascii="Times New Roman" w:eastAsia="Times New Roman" w:hAnsi="Times New Roman" w:cs="Times New Roman"/>
          <w:bCs/>
          <w:sz w:val="24"/>
          <w:szCs w:val="24"/>
        </w:rPr>
        <w:t>LP/2026/401</w:t>
      </w:r>
    </w:p>
    <w:p w14:paraId="37B19B45" w14:textId="0784701B" w:rsidR="00362D69" w:rsidRPr="00362D69" w:rsidRDefault="00785E8D" w:rsidP="00362D69">
      <w:pPr>
        <w:spacing w:line="276" w:lineRule="auto"/>
        <w:rPr>
          <w:rFonts w:ascii="Times New Roman" w:eastAsia="Times New Roman" w:hAnsi="Times New Roman" w:cs="Times New Roman"/>
          <w:sz w:val="24"/>
          <w:szCs w:val="24"/>
        </w:rPr>
        <w:sectPr w:rsidR="00362D69" w:rsidRPr="00362D69" w:rsidSect="00362D69">
          <w:footerReference w:type="default" r:id="rId7"/>
          <w:pgSz w:w="15840" w:h="12240" w:orient="landscape"/>
          <w:pgMar w:top="1440" w:right="1440" w:bottom="1440" w:left="1440" w:header="720" w:footer="720" w:gutter="0"/>
          <w:cols w:space="720"/>
          <w:titlePg/>
          <w:docGrid w:linePitch="360"/>
        </w:sectPr>
      </w:pPr>
      <w:r w:rsidRPr="00785E8D">
        <w:rPr>
          <w:rFonts w:ascii="Times New Roman" w:eastAsia="Times New Roman" w:hAnsi="Times New Roman" w:cs="Times New Roman"/>
          <w:b/>
          <w:bCs/>
          <w:sz w:val="24"/>
          <w:szCs w:val="24"/>
        </w:rPr>
        <w:t>Spôsob pripomienkového konania</w:t>
      </w:r>
      <w:r w:rsidRPr="00785E8D">
        <w:rPr>
          <w:rFonts w:ascii="Times New Roman" w:eastAsia="Times New Roman" w:hAnsi="Times New Roman" w:cs="Times New Roman"/>
          <w:sz w:val="24"/>
          <w:szCs w:val="24"/>
        </w:rPr>
        <w:br/>
      </w:r>
      <w:r>
        <w:rPr>
          <w:rFonts w:ascii="Times New Roman" w:eastAsia="Times New Roman" w:hAnsi="Times New Roman" w:cs="Times New Roman"/>
          <w:sz w:val="24"/>
          <w:szCs w:val="24"/>
        </w:rPr>
        <w:t>Počet vznesených pripomienok</w:t>
      </w:r>
      <w:r w:rsidR="009275DB">
        <w:rPr>
          <w:rFonts w:ascii="Times New Roman" w:eastAsia="Times New Roman" w:hAnsi="Times New Roman" w:cs="Times New Roman"/>
          <w:sz w:val="24"/>
          <w:szCs w:val="24"/>
        </w:rPr>
        <w:t xml:space="preserve">, </w:t>
      </w:r>
      <w:r w:rsidR="009275DB" w:rsidRPr="009275DB">
        <w:rPr>
          <w:rFonts w:ascii="Times New Roman" w:eastAsia="Times New Roman" w:hAnsi="Times New Roman" w:cs="Times New Roman"/>
          <w:sz w:val="24"/>
          <w:szCs w:val="24"/>
          <w:lang w:val="en-US"/>
        </w:rPr>
        <w:t>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009275DB">
        <w:rPr>
          <w:rFonts w:ascii="Times New Roman" w:eastAsia="Times New Roman" w:hAnsi="Times New Roman" w:cs="Times New Roman"/>
          <w:sz w:val="24"/>
          <w:szCs w:val="24"/>
          <w:lang w:val="en-US"/>
        </w:rPr>
        <w:t>:</w:t>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AD6CAE">
        <w:rPr>
          <w:rFonts w:ascii="Times New Roman" w:eastAsia="Times New Roman" w:hAnsi="Times New Roman" w:cs="Times New Roman"/>
          <w:sz w:val="24"/>
          <w:szCs w:val="24"/>
          <w:lang w:val="en-US"/>
        </w:rPr>
        <w:t>25/3</w:t>
      </w:r>
      <w:r w:rsidRPr="00785E8D">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vyhodnoten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w:t>
      </w:r>
      <w:r w:rsidR="009275DB">
        <w:rPr>
          <w:rFonts w:ascii="Times New Roman" w:eastAsia="Times New Roman" w:hAnsi="Times New Roman" w:cs="Times New Roman"/>
          <w:sz w:val="24"/>
          <w:szCs w:val="24"/>
          <w:lang w:val="en-US"/>
        </w:rPr>
        <w:t>:</w:t>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754CB0">
        <w:rPr>
          <w:rFonts w:ascii="Times New Roman" w:eastAsia="Times New Roman" w:hAnsi="Times New Roman" w:cs="Times New Roman"/>
          <w:sz w:val="24"/>
          <w:szCs w:val="24"/>
        </w:rPr>
        <w:t>25</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akceptovan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 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18"/>
          <w:szCs w:val="18"/>
        </w:rPr>
        <w:tab/>
      </w:r>
      <w:r w:rsidR="009275DB">
        <w:rPr>
          <w:rFonts w:ascii="Times New Roman" w:eastAsia="Times New Roman" w:hAnsi="Times New Roman" w:cs="Times New Roman"/>
          <w:sz w:val="18"/>
          <w:szCs w:val="18"/>
        </w:rPr>
        <w:tab/>
      </w:r>
      <w:r w:rsidR="00273DAE">
        <w:rPr>
          <w:rFonts w:ascii="Times New Roman" w:eastAsia="Times New Roman" w:hAnsi="Times New Roman" w:cs="Times New Roman"/>
          <w:sz w:val="24"/>
          <w:szCs w:val="24"/>
        </w:rPr>
        <w:t>9</w:t>
      </w:r>
      <w:r w:rsidR="00754CB0">
        <w:rPr>
          <w:rFonts w:ascii="Times New Roman" w:eastAsia="Times New Roman" w:hAnsi="Times New Roman" w:cs="Times New Roman"/>
          <w:sz w:val="24"/>
          <w:szCs w:val="24"/>
        </w:rPr>
        <w:t>/1</w:t>
      </w:r>
      <w:r w:rsidR="009275DB">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pripomienok, z toho zásadných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3/</w:t>
      </w:r>
      <w:r w:rsidR="008E0404">
        <w:rPr>
          <w:rFonts w:ascii="Times New Roman" w:eastAsia="Times New Roman" w:hAnsi="Times New Roman" w:cs="Times New Roman"/>
          <w:sz w:val="24"/>
          <w:szCs w:val="24"/>
        </w:rPr>
        <w:t xml:space="preserve">1 </w:t>
      </w:r>
      <w:r w:rsidR="009275DB">
        <w:rPr>
          <w:rFonts w:ascii="Times New Roman" w:eastAsia="Times New Roman" w:hAnsi="Times New Roman" w:cs="Times New Roman"/>
          <w:sz w:val="24"/>
          <w:szCs w:val="24"/>
        </w:rPr>
        <w:br/>
      </w:r>
      <w:r w:rsidR="009275DB" w:rsidRPr="009275DB">
        <w:rPr>
          <w:rFonts w:ascii="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hAnsi="Times New Roman" w:cs="Times New Roman"/>
          <w:sz w:val="24"/>
          <w:szCs w:val="24"/>
        </w:rPr>
        <w:t>et neakceptovaných pripomienok, z toho zásadných</w:t>
      </w:r>
      <w:r w:rsidR="009275DB">
        <w:rPr>
          <w:rFonts w:ascii="Times New Roman" w:hAnsi="Times New Roman" w:cs="Times New Roman"/>
          <w:sz w:val="24"/>
          <w:szCs w:val="24"/>
        </w:rPr>
        <w:t>:</w:t>
      </w:r>
      <w:r w:rsidR="00AE09D4">
        <w:rPr>
          <w:rFonts w:ascii="Times New Roman" w:hAnsi="Times New Roman" w:cs="Times New Roman"/>
          <w:sz w:val="24"/>
          <w:szCs w:val="24"/>
        </w:rPr>
        <w:tab/>
      </w:r>
      <w:r w:rsidR="00AE09D4">
        <w:rPr>
          <w:rFonts w:ascii="Times New Roman" w:hAnsi="Times New Roman" w:cs="Times New Roman"/>
          <w:sz w:val="24"/>
          <w:szCs w:val="24"/>
        </w:rPr>
        <w:tab/>
      </w:r>
      <w:r w:rsidR="00AD6CAE">
        <w:rPr>
          <w:rFonts w:ascii="Times New Roman" w:eastAsia="Times New Roman" w:hAnsi="Times New Roman" w:cs="Times New Roman"/>
          <w:sz w:val="24"/>
          <w:szCs w:val="24"/>
        </w:rPr>
        <w:t>13</w:t>
      </w:r>
      <w:r w:rsidR="004A48F0">
        <w:rPr>
          <w:rFonts w:ascii="Times New Roman" w:eastAsia="Times New Roman" w:hAnsi="Times New Roman" w:cs="Times New Roman"/>
          <w:sz w:val="24"/>
          <w:szCs w:val="24"/>
        </w:rPr>
        <w:t>/1</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vznesených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011D51">
        <w:rPr>
          <w:rFonts w:ascii="Times New Roman" w:eastAsia="Times New Roman" w:hAnsi="Times New Roman" w:cs="Times New Roman"/>
          <w:sz w:val="24"/>
          <w:szCs w:val="24"/>
        </w:rPr>
        <w:t>1</w:t>
      </w:r>
      <w:r w:rsidR="009275DB">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vyhodnotených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hAnsi="Times New Roman" w:cs="Times New Roman"/>
          <w:sz w:val="24"/>
          <w:szCs w:val="24"/>
        </w:rPr>
        <w:t>1</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neakceptovaných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1</w:t>
      </w:r>
      <w:r w:rsidR="00362D69">
        <w:rPr>
          <w:sz w:val="24"/>
          <w:szCs w:val="24"/>
        </w:rPr>
        <w:tab/>
      </w:r>
    </w:p>
    <w:p w14:paraId="7416DD4C" w14:textId="08345D1C" w:rsidR="00677591" w:rsidRP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lastRenderedPageBreak/>
        <w:t>Vysvetlivky k použitým skratkám v tabu</w:t>
      </w:r>
      <w:r w:rsidR="00A6034C">
        <w:rPr>
          <w:rFonts w:ascii="Times New Roman" w:eastAsia="Times New Roman" w:hAnsi="Times New Roman" w:cs="Times New Roman"/>
          <w:sz w:val="24"/>
          <w:szCs w:val="24"/>
        </w:rPr>
        <w:t>ľ</w:t>
      </w:r>
      <w:r w:rsidRPr="00677591">
        <w:rPr>
          <w:rFonts w:ascii="Times New Roman" w:eastAsia="Times New Roman" w:hAnsi="Times New Roman" w:cs="Times New Roman"/>
          <w:sz w:val="24"/>
          <w:szCs w:val="24"/>
        </w:rPr>
        <w:t>kách:</w:t>
      </w:r>
    </w:p>
    <w:p w14:paraId="6682E303" w14:textId="77777777" w:rsid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t>O – obyčajná</w:t>
      </w:r>
      <w:r w:rsidRPr="00677591">
        <w:rPr>
          <w:rFonts w:ascii="Times New Roman" w:eastAsia="Times New Roman" w:hAnsi="Times New Roman" w:cs="Times New Roman"/>
          <w:sz w:val="24"/>
          <w:szCs w:val="24"/>
        </w:rPr>
        <w:tab/>
        <w:t>A – akceptovaná</w:t>
      </w:r>
      <w:r w:rsidRPr="00677591">
        <w:rPr>
          <w:rFonts w:ascii="Times New Roman" w:eastAsia="Times New Roman" w:hAnsi="Times New Roman" w:cs="Times New Roman"/>
          <w:sz w:val="24"/>
          <w:szCs w:val="24"/>
        </w:rPr>
        <w:br/>
        <w:t>Z – zásadná</w:t>
      </w:r>
      <w:r w:rsidRPr="00677591">
        <w:rPr>
          <w:rFonts w:ascii="Times New Roman" w:eastAsia="Times New Roman" w:hAnsi="Times New Roman" w:cs="Times New Roman"/>
          <w:sz w:val="24"/>
          <w:szCs w:val="24"/>
        </w:rPr>
        <w:tab/>
        <w:t>N – neakceptovaná</w:t>
      </w:r>
      <w:r w:rsidRPr="00677591">
        <w:rPr>
          <w:rFonts w:ascii="Times New Roman" w:eastAsia="Times New Roman" w:hAnsi="Times New Roman" w:cs="Times New Roman"/>
          <w:sz w:val="24"/>
          <w:szCs w:val="24"/>
        </w:rPr>
        <w:br/>
        <w:t xml:space="preserve">                        ČA – čiastočne akceptovaná</w:t>
      </w:r>
      <w:r w:rsidRPr="00677591">
        <w:rPr>
          <w:rFonts w:ascii="Times New Roman" w:eastAsia="Times New Roman" w:hAnsi="Times New Roman" w:cs="Times New Roman"/>
          <w:sz w:val="24"/>
          <w:szCs w:val="24"/>
        </w:rPr>
        <w:br/>
        <w:t xml:space="preserve">                        NEP – neprihliada sa</w:t>
      </w:r>
    </w:p>
    <w:p w14:paraId="1D01C82C" w14:textId="77777777" w:rsidR="00677591" w:rsidRDefault="00677591" w:rsidP="00677591">
      <w:pPr>
        <w:spacing w:line="276" w:lineRule="auto"/>
        <w:rPr>
          <w:rFonts w:ascii="Times New Roman" w:eastAsia="Times New Roman" w:hAnsi="Times New Roman" w:cs="Times New Roman"/>
          <w:sz w:val="20"/>
        </w:rPr>
      </w:pPr>
      <w:r>
        <w:rPr>
          <w:rFonts w:ascii="Times New Roman" w:eastAsia="Times New Roman" w:hAnsi="Times New Roman" w:cs="Times New Roman"/>
          <w:sz w:val="24"/>
          <w:szCs w:val="24"/>
        </w:rPr>
        <w:t>Vyhodnotenie vecných pripomienok</w:t>
      </w:r>
    </w:p>
    <w:p w14:paraId="1F0934E1" w14:textId="3FA44BEE" w:rsidR="007C1A93" w:rsidRPr="00677591" w:rsidRDefault="00E66622" w:rsidP="001E6254">
      <w:pPr>
        <w:keepLines/>
        <w:spacing w:line="276" w:lineRule="auto"/>
        <w:rPr>
          <w:rFonts w:ascii="Times New Roman" w:eastAsia="Times New Roman" w:hAnsi="Times New Roman" w:cs="Times New Roman"/>
          <w:sz w:val="24"/>
          <w:szCs w:val="24"/>
        </w:rPr>
      </w:pPr>
      <w:r w:rsidRPr="00785E8D">
        <w:rPr>
          <w:rFonts w:ascii="Times New Roman" w:eastAsia="Times New Roman" w:hAnsi="Times New Roman" w:cs="Times New Roman"/>
          <w:sz w:val="24"/>
          <w:szCs w:val="24"/>
        </w:rPr>
        <w:t>Vznesené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5AAFA8" w14:textId="1649F593" w:rsidTr="00343965">
        <w:trPr>
          <w:trHeight w:val="648"/>
          <w:jc w:val="center"/>
        </w:trPr>
        <w:tc>
          <w:tcPr>
            <w:tcW w:w="1944" w:type="dxa"/>
            <w:vAlign w:val="center"/>
          </w:tcPr>
          <w:p w14:paraId="4B4FA583" w14:textId="62ECD7CF"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498D7DF6" w14:textId="5D009C3B"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Typ</w:t>
            </w:r>
          </w:p>
        </w:tc>
        <w:tc>
          <w:tcPr>
            <w:tcW w:w="6480" w:type="dxa"/>
            <w:vAlign w:val="center"/>
          </w:tcPr>
          <w:p w14:paraId="54262B5F" w14:textId="62E0E806" w:rsidR="000B16EA" w:rsidRPr="00785E8D" w:rsidRDefault="000B16EA" w:rsidP="001E6254">
            <w:pPr>
              <w:keepLines/>
              <w:spacing w:after="0" w:line="240" w:lineRule="auto"/>
              <w:ind w:left="-21" w:firstLine="21"/>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41ADFD06" w14:textId="0CD664FD"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2E5EC5EB" w14:textId="449D24DE" w:rsidR="000B16EA"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	K čl. I bodu 14 (§ 4 ods. 5) – O:</w:t>
              <w:br/>
            </w:r>
            <w:r>
              <w:rPr>
                <w:b w:val="off"/>
                <w:color w:val="000000"/>
                <w:rFonts w:ascii="Times New Roman" w:hAnsi="Times New Roman" w:cs="Times New Roman" w:eastAsia="Times New Roman"/>
                <w:sz w:val="24"/>
              </w:rPr>
              <w:t>V § 4 ods. 5 navrhujeme slová „neziskovej organizácií“ nahradiť slovami „neziskovej organizácii“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2.	K čl. I bodu 28 (§ 10) – O:</w:t>
              <w:br/>
            </w:r>
            <w:r>
              <w:rPr>
                <w:b w:val="off"/>
                <w:color w:val="000000"/>
                <w:rFonts w:ascii="Times New Roman" w:hAnsi="Times New Roman" w:cs="Times New Roman" w:eastAsia="Times New Roman"/>
                <w:sz w:val="24"/>
              </w:rPr>
              <w:t>V bode 28 úvodnej vete navrhujeme za slovo „nad“ vložiť slovo „paragrafom“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Upravené podľa pripomienky iného pripomienkujúceho subjektu.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K predloženému návrhu uplatňujeme tieto pripomienky: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	V čl. I navrhujeme  bod 1 upraviť takto: „V § 1 sa slová „o vojnové hobry“ nahrádzajú slovami „na úseku vojnových hrobov“ a za slová „na vojnové hroby“ sa vkladá čiarka a slová vojnové pietne miesta“.“; v nadväznosti na uvedené sa v čl. I bode 2 vypustia slová „§ 1,“, pripomienka zohľadňuje to aby sa jedno a to isté ustanovenia novelizovalo len jedným novelizačným bodom. </w:t>
              <w:br/>
            </w:r>
            <w:r>
              <w:rPr>
                <w:b w:val="off"/>
                <w:color w:val="000000"/>
                <w:rFonts w:ascii="Times New Roman" w:hAnsi="Times New Roman" w:cs="Times New Roman" w:eastAsia="Times New Roman"/>
                <w:sz w:val="24"/>
              </w:rPr>
              <w:t>2.	V čl. I bod 3 navrhujeme upraviť takto: „V § 2 písm. a) sa vypúšťajú slová „ako aj....udalosť,“.“ cieľom je zjednodušiť novelizačný bod nie je potrebné vypustiť čiarku  za slovom „obete“ a ponechať čiarku na konci pododseku, stačí vypustiť  v rámci vypúšťaného textu aj čiarku na konci a ponechať čiarku za slovom „obete“, ktorá sa stane posladenou čiarkou na konci pododseku.</w:t>
              <w:br/>
            </w:r>
            <w:r>
              <w:rPr>
                <w:b w:val="off"/>
                <w:color w:val="000000"/>
                <w:rFonts w:ascii="Times New Roman" w:hAnsi="Times New Roman" w:cs="Times New Roman" w:eastAsia="Times New Roman"/>
                <w:sz w:val="24"/>
              </w:rPr>
              <w:t>3.	V čl. I bode 4 v § 2 písm. b) navrhujeme slovo „pripomínajú“ nahradiť slovom „pripomína“ z dôvodu použitia slova „alebo“.</w:t>
              <w:br/>
            </w:r>
            <w:r>
              <w:rPr>
                <w:b w:val="off"/>
                <w:color w:val="000000"/>
                <w:rFonts w:ascii="Times New Roman" w:hAnsi="Times New Roman" w:cs="Times New Roman" w:eastAsia="Times New Roman"/>
                <w:sz w:val="24"/>
              </w:rPr>
              <w:t>4.	V čl. I bode 8 navrhujeme v § 3 spojiť odseky 1 a2  takto: „(1) Starostlivosť o vojnový hrob a o vojnové pietne miesto zabezpečuje obec na území ktorej sa vojnový hrob  alebo vojnové pietne miesto nachádza.“; v nadväznosti na uvedené sa nasledujúce odseky prečíslujú vrátane vnútorného odkazu v § 3 ods. 3 písm. b).</w:t>
              <w:br/>
            </w:r>
            <w:r>
              <w:rPr>
                <w:b w:val="off"/>
                <w:color w:val="000000"/>
                <w:rFonts w:ascii="Times New Roman" w:hAnsi="Times New Roman" w:cs="Times New Roman" w:eastAsia="Times New Roman"/>
                <w:sz w:val="24"/>
              </w:rPr>
              <w:t>5.	V čl. I bode 8 v § 3 ods. 3 písm. d) navrhujeme vypustiť slová „kalendárneho roka“ pre nadbytočnosť, pripomienka platí aj pre  bod 15.</w:t>
              <w:br/>
            </w:r>
            <w:r>
              <w:rPr>
                <w:b w:val="off"/>
                <w:color w:val="000000"/>
                <w:rFonts w:ascii="Times New Roman" w:hAnsi="Times New Roman" w:cs="Times New Roman" w:eastAsia="Times New Roman"/>
                <w:sz w:val="24"/>
              </w:rPr>
              <w:t>6.	V čl. I bode 8 v § 3 ods. 4 navrhujeme vzhľadom k rozsahu vety  bodkočiarku nahradiť bodkou a v nadväznosti na uvedené slovo „na“ nahradiť slovom „Na“ a túto zmenu zohľadniť pri vnútornom odkaze v § 3 ods. 3 písm. b).</w:t>
              <w:br/>
            </w:r>
            <w:r>
              <w:rPr>
                <w:b w:val="off"/>
                <w:color w:val="000000"/>
                <w:rFonts w:ascii="Times New Roman" w:hAnsi="Times New Roman" w:cs="Times New Roman" w:eastAsia="Times New Roman"/>
                <w:sz w:val="24"/>
              </w:rPr>
              <w:t>7.	V čl. I bode 8 § 3 ods. 5 navrhujeme slová „ustanovenia osobitných predpisov“ nahradiť slovami „osobitné predpisy“ aj vzhľadom na skutočnosť, že citácie v poznámke pod čiarou neobsahujú konkrétne ustanovenia a v poznámke pod čiarou k odkazu 1 odporúčame na konci pripojiť slová „v znení neskorších predpisov“.</w:t>
              <w:br/>
            </w:r>
            <w:r>
              <w:rPr>
                <w:b w:val="off"/>
                <w:color w:val="000000"/>
                <w:rFonts w:ascii="Times New Roman" w:hAnsi="Times New Roman" w:cs="Times New Roman" w:eastAsia="Times New Roman"/>
                <w:sz w:val="24"/>
              </w:rPr>
              <w:t>8.	V čl. I bode 12 a 13 navrhujeme slová „sa na konci vkladá čiarka a pripájajú sa tieto slová:“ nahradiť slovami „sa na konci pripája čiarka a tieto slová:“.</w:t>
              <w:br/>
            </w:r>
            <w:r>
              <w:rPr>
                <w:b w:val="off"/>
                <w:color w:val="000000"/>
                <w:rFonts w:ascii="Times New Roman" w:hAnsi="Times New Roman" w:cs="Times New Roman" w:eastAsia="Times New Roman"/>
                <w:sz w:val="24"/>
              </w:rPr>
              <w:t>9.	V čl. I navrhujeme zlúčiť body 14 a 15 tak, že  navrhovaný nový odsek 6 bude druhou vetou v odseku 5 vzhľadom na ich obsahovú previazanosť,  pričom sa vypustí odkaz na odsek 5, v nadväznosti na túto úpravu sa vykonajú súvisiace legislatívnotechnické úpravy ako napríklad vypustia body 16 a 21 a upraví bod 17 a nasledujúce body sa prečíslujú.</w:t>
              <w:br/>
            </w:r>
            <w:r>
              <w:rPr>
                <w:b w:val="off"/>
                <w:color w:val="000000"/>
                <w:rFonts w:ascii="Times New Roman" w:hAnsi="Times New Roman" w:cs="Times New Roman" w:eastAsia="Times New Roman"/>
                <w:sz w:val="24"/>
              </w:rPr>
              <w:t>10.	V čl. I bode 15 v § 4 ods. 6 písm. f) navrhujeme slová „členov štatutárneho orgánu“ nahradiť slovami „jeho členov“.</w:t>
              <w:br/>
            </w:r>
            <w:r>
              <w:rPr>
                <w:b w:val="off"/>
                <w:color w:val="000000"/>
                <w:rFonts w:ascii="Times New Roman" w:hAnsi="Times New Roman" w:cs="Times New Roman" w:eastAsia="Times New Roman"/>
                <w:sz w:val="24"/>
              </w:rPr>
              <w:t>11.	V čl. I bode 17 navrhujeme  slovo „odseku“ nahradiť slovom „odsekov“.</w:t>
              <w:br/>
            </w:r>
            <w:r>
              <w:rPr>
                <w:b w:val="off"/>
                <w:color w:val="000000"/>
                <w:rFonts w:ascii="Times New Roman" w:hAnsi="Times New Roman" w:cs="Times New Roman" w:eastAsia="Times New Roman"/>
                <w:sz w:val="24"/>
              </w:rPr>
              <w:t>12.	V čl. I bode 18 navrhujeme upraviť takto: „§ 4 sa dopĺňa odsekmi 14 a 15, ktoré znejú:“.</w:t>
              <w:br/>
            </w:r>
            <w:r>
              <w:rPr>
                <w:b w:val="off"/>
                <w:color w:val="000000"/>
                <w:rFonts w:ascii="Times New Roman" w:hAnsi="Times New Roman" w:cs="Times New Roman" w:eastAsia="Times New Roman"/>
                <w:sz w:val="24"/>
              </w:rPr>
              <w:t>13.	V čl. I bode 18 v § 4 ods. 14 navrhujeme slovo „odseku“ nahradiť slovom „odsekov  a slová „členov štatutárneho orgánu“ nahradiť slovami „jeho členov“.</w:t>
              <w:br/>
            </w:r>
            <w:r>
              <w:rPr>
                <w:b w:val="off"/>
                <w:color w:val="000000"/>
                <w:rFonts w:ascii="Times New Roman" w:hAnsi="Times New Roman" w:cs="Times New Roman" w:eastAsia="Times New Roman"/>
                <w:sz w:val="24"/>
              </w:rPr>
              <w:t>14.	V čl. I bode 18 navrhujeme vypustiť odsek 15 pre nadbytočnosť, zákon o slobode informácií platí bez ohľadu na odkaz naň.</w:t>
              <w:br/>
            </w:r>
            <w:r>
              <w:rPr>
                <w:b w:val="off"/>
                <w:color w:val="000000"/>
                <w:rFonts w:ascii="Times New Roman" w:hAnsi="Times New Roman" w:cs="Times New Roman" w:eastAsia="Times New Roman"/>
                <w:sz w:val="24"/>
              </w:rPr>
              <w:t>15.	V čl. I bode 18 v § 4 ods. 15 navrhujeme slovo „ods.“ nahradiť slovom „odseku“ a bodku presunúť za slovo „predpis“.</w:t>
              <w:br/>
            </w:r>
            <w:r>
              <w:rPr>
                <w:b w:val="off"/>
                <w:color w:val="000000"/>
                <w:rFonts w:ascii="Times New Roman" w:hAnsi="Times New Roman" w:cs="Times New Roman" w:eastAsia="Times New Roman"/>
                <w:sz w:val="24"/>
              </w:rPr>
              <w:t>16.	V čl. I bode 20  sa navrhuje za slovo „hrob“ vložiť slová „vojnové pietne miesto, v § 6 ods. 2 písm. d) sa slovo „hrob“ vyskytuje dva krát vo význame vojnového hrobu a slovenského vojnového hrobu“.</w:t>
              <w:br/>
            </w:r>
            <w:r>
              <w:rPr>
                <w:b w:val="off"/>
                <w:color w:val="000000"/>
                <w:rFonts w:ascii="Times New Roman" w:hAnsi="Times New Roman" w:cs="Times New Roman" w:eastAsia="Times New Roman"/>
                <w:sz w:val="24"/>
              </w:rPr>
              <w:t>17.	V čl. I bode 27 navrhujeme upraviť takto: „(2) Správneho deliktu....obec, ktorá poruší niektorú z povinností podľa § 3 ods. 1 až 4.“, keďže sa za porušenie ktorejkoľvek povinnosti podľa § 3 ukladá rovnaká sankcia nie je potrebné  členiť  odsek 2 na pododseky.</w:t>
              <w:br/>
            </w:r>
            <w:r>
              <w:rPr>
                <w:b w:val="off"/>
                <w:color w:val="000000"/>
                <w:rFonts w:ascii="Times New Roman" w:hAnsi="Times New Roman" w:cs="Times New Roman" w:eastAsia="Times New Roman"/>
                <w:sz w:val="24"/>
              </w:rPr>
              <w:t>18.	v čl. I bode 28 navrhujeme  úvodnú vetu upraviť takto: „§ 10 vrátane nadpisu znie:“ a v nadväznosti na uvedené vypustiť nadpis nad § 10 keďže je nadbytočný vzhľadom k tomu, že v zákone má každý paragraf vlastný nadpis.</w:t>
              <w:br/>
            </w:r>
            <w:r>
              <w:rPr>
                <w:b w:val="off"/>
                <w:color w:val="000000"/>
                <w:rFonts w:ascii="Times New Roman" w:hAnsi="Times New Roman" w:cs="Times New Roman" w:eastAsia="Times New Roman"/>
                <w:sz w:val="24"/>
              </w:rPr>
              <w:t>19.	v čl. I bode 28 v  § 10  ods. 1 navrhujeme, vzhľadom na § 1 ods. 1 správneho poriadku, upraviť takto: „(1) Správny poriadok sa nevzťahuje na konania podľa § 6 ods. 2 písm. b) a ods. 3 písm. f).“.</w:t>
              <w:br/>
            </w:r>
            <w:r>
              <w:rPr>
                <w:b w:val="off"/>
                <w:color w:val="000000"/>
                <w:rFonts w:ascii="Times New Roman" w:hAnsi="Times New Roman" w:cs="Times New Roman" w:eastAsia="Times New Roman"/>
                <w:sz w:val="24"/>
              </w:rPr>
              <w:t>20.	v čl. I bod 29 navrhujeme upraviť takto: „Za § 11 sa vkladá § 11a, ktorý vrátane nadpisu znie:“.</w:t>
              <w:br/>
            </w:r>
            <w:r>
              <w:rPr>
                <w:b w:val="off"/>
                <w:color w:val="000000"/>
                <w:rFonts w:ascii="Times New Roman" w:hAnsi="Times New Roman" w:cs="Times New Roman" w:eastAsia="Times New Roman"/>
                <w:sz w:val="24"/>
              </w:rPr>
              <w:t>21.	V predkladacej správe a dôvodovej správe – všeobecnej časti navrhujeme vypustiť odsek o účinnosti pre nadbytočnosť.</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K pripomienkam č. 1, 4, 5, 6, 7 (v časti návrhu týkajúceho sa nahradenia slov „ustanovenia osobitných predpisov“), 9, 10, 13 (v časti návrhu týkajúceho sa nahradenia slov „členov štatutárneho orgánu“), 14, 17, 20 uvádzame, že nami navrhované znenie považujeme za vhodnejšie. </w:t>
              <w:br/>
            </w:r>
            <w:r>
              <w:rPr>
                <w:b w:val="off"/>
                <w:color w:val="000000"/>
                <w:rFonts w:ascii="Times New Roman" w:hAnsi="Times New Roman" w:cs="Times New Roman" w:eastAsia="Times New Roman"/>
                <w:sz w:val="24"/>
              </w:rPr>
              <w:t>K pripomienke č. 18 uvádzame, že uvedené bolo upravené podľa pripomienky iného pripomienkujúceho subjektu.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V doložke vybraných vplyvov sú v bode 9. označené žiadne vplyvy návrhu zákona na rozpočet verejnej správy a v bode 10. sa uvádza zdôvodnenie takéhoto označenia vplyvov na rozpočet verejnej správy. Podľa nášho názoru nie sú v bodoch 9. a 10. doložky vybraných vplyvov zohľadnené možné negatívne vplyvy návrhu zákona vyplývajúce z čl. I bodu 10 /§ 4 ods. 2 písm. b)/ a bodu 14 (§ 4 ods. 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osobitnej časti dôvodovej správy sa v súvislosti s novelizačným bodom 10 uvádza: „Rozširuje sa účel, na ktorý možno poskytnúť príspevok v súvislosti s vykonávaním prác na vojnovom hrobe, vojnovom pietnom mieste alebo vojnovom cintoríne. Podľa doterajšej úpravy bolo podmienkou, že výkon prác musel súvisieť s udalosťou celospoločenského alebo medzinárodného významu. Navrhuje sa, aby príspevok bolo možné poskytnúť aj v prípadoch, kedy sú práce na vojnovom hrobe potrebné, avšak nevyhnutne nemusia súvisieť s konkrétnou udalosťou mimoriadneho významu. Pre obce sa tak otvárajú ďalšie možnosti na získanie príspevku.“. V súvislosti s novelizačným bodom 14 sa v osobitnej časti dôvodovej správy uvádza: „Rozširuje sa okruh oprávnených žiadateľov o príspevok na zabezpečenie starostlivosti na úseku vojnových hrobov. Doterajší okruh žiadateľov, ktorý zahŕňal len občianske združenia, sa rozširuje na vyššie územné celky, cirkvi, náboženské spoločnosti alebo mimovládne neziskové organizácie. Uvedená zmena má za cieľ umožniť širšiemu okruhu subjektov požiadať o príspevok na zabezpečenie starostlivosti na úseku vojnových hrobov a zvýšiť tak efektívnosť jeho poskytovania.“.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uvedené žiadame upraviť vykazovanie vplyvov návrhu zákona na rozpočet verejnej správy v celom materiáli a vypracovať Analýzu vplyvov na rozpočet verejnej správy, na zamestnanosť vo verejnej správe a financovanie návrhu v ktorej budú kvantifikované všetky vplyvy návrhu zákona na rozpočet verejnej správy s uvedením ich rozpočtového krytia, aby z predloženého materiálu nevyplývali dodatočné požiadavky na rozpočet verejnej správy a bol dodržaný limit verejných výdavkov na príslušný rok. Ak by v súčasnosti takáto kvantifikácia nebola možná, prípadne by predkladateľ naďalej trval na žiadnych vplyvoch návrhu zákona na rozpočet verejnej správy, žiadame do bodu 10. doložky vybraných vplyvov uviesť túto vetu: „Akékoľvek negatívne vplyvy na rozpočet verejnej správy, ktoré vyplynú zo schváleného návrhu zákona, budú zabezpečené v rámci schválených limitov dotknutých subjektov verejnej správy na príslušný rok bez dodatočných požiadaviek na rozpočet verejnej správy a bez vplyvu na limit verejných výdavkov.“.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Nakoľko návrh zákona nemá vplyvy na rozpočet verejnej správy, v zmysle uplatnenie pripomienky bola do bodu 10. doložky vybraných vplyvov vložená veta: „Akékoľvek negatívne vplyvy na rozpočet verejnej správy, ktoré vyplynú zo schváleného návrhu zákona, budú zabezpečené v rámci schválených limitov dotknutých subjektov verejnej správy na príslušný rok bez dodatočných požiadaviek na rozpočet verejnej správy a bez vplyvu na limit verejných výdavkov.“.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 je potrebné zosúladiť s prílohou č. 1 Legislatívnych pravidiel vlády SR [v čl. I vymeniť poradie bodov 1 a 2, v bode 8 poznámke pod čiarou k odkazu 1 druhej citácii na konci pripojiť slová „v znení neskorších predpisov“, v bodoch 12 a 13 slová „vkladá čiarka a pripájajú sa“ nahradiť slovami „pripája čiarka a “, v bode 14 § 4 ods. 5 slovo „organizácií“ nahradiť slovom „organizácii“, v bode 17 slovo „odseku“ nahradiť slovom „odsekov“, v bode 18 úvodnú vetu uviesť v tomto znení: „§ 4 sa dopĺňa odsekmi 14 a 15, ktoré znejú:“, v § 4 ods. 14 slovo „odseku“ nahradiť slovom „odsekov“ a na konci pripojiť slovo „žiadateľa“, v § 4 ods. 15 slovo „ods.“ nahradiť slovom „odseku“, v bode 25 za slovo „slová“ vložiť dvojbodku, v bode 27 § 9 ods. 2 písm. a) za slovo „alebo“ vložiť slovo „ods.“, v bode 28 úvodnej vete vypustiť slovo „nad“ a vypustiť nadpis „Spoločné, prechodné a záverečné ustanovenia“, pretože sa v rovnakom znení už nachádza v platnom znení zákona, v § 10 ods. 1 slová „a § 6“ nahradiť slovom „a“,  vzhľadom na skutočnosť, že obsahom evidencie na úseku vojnových hrobov podľa bodu 28 § 10 ods. 2 má byť aj evidencia vojnových cintorínov odporúčame do návrhu zákona doplniť povinnosť obce viesť aj evidenciu vojnových cintorínov, pretože podľa platného zákona má obec povinnosť viesť len evidenciu o vojnovom hrobe (§ 2 písm. c) platného zákona) a v návrhu zákona sa dopĺňa len povinnosť obce viesť evidenciu o vojnovom pietnom mieste (§ 2 písm. f) návrhu zákona)].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K časti pripomienky týkajúcej sa evidencie na úseku vojnových hrobov vo vzťahu k údajom o vojnových cintorínoch uvádzame, že úprava nie je potrebná. Podľa § 3 ods. 3 písm. c) návrhu zákona obec vedie evidenciu vojnových hrobov, vojnových pietnych miest a vojnových cintorínov, ďalej v texte zákona označovanú ako evidencia na úseku vojnových hrobov. Ide pritom o jednu evidenciu obsahujúcu podľa § 10 ods. 2 návrhu zákona údaje o vojnových hroboch, vojnových pietnych miestach a vojnových cintorínoch.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k bodu 15 § 4 ods. 6 písm. h)</w:t>
              <w:br/>
            </w:r>
            <w:r>
              <w:rPr>
                <w:b w:val="off"/>
                <w:color w:val="000000"/>
                <w:rFonts w:ascii="Times New Roman" w:hAnsi="Times New Roman" w:cs="Times New Roman" w:eastAsia="Times New Roman"/>
                <w:sz w:val="24"/>
              </w:rPr>
              <w:t>V § 4 ods. 6 odporúčame písmeno h) uviesť v tomto znení:</w:t>
              <w:br/>
            </w:r>
            <w:r>
              <w:rPr>
                <w:b w:val="off"/>
                <w:color w:val="000000"/>
                <w:rFonts w:ascii="Times New Roman" w:hAnsi="Times New Roman" w:cs="Times New Roman" w:eastAsia="Times New Roman"/>
                <w:sz w:val="24"/>
              </w:rPr>
              <w:t>„h)  číslo účtu žiadateľa v banke alebo v pobočke zahraničnej banky,“.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Ide o spresnenie formulácie tak, ako sa obvykle používa aj v iných právnych predpisoch.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odporúčame obdobne upraviť aj § 4 ods. 4 a ods. 10 písm. f) platného znenia zákona o vojnových hroboch.</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návrhu</w:t>
              <w:br/>
            </w:r>
            <w:r>
              <w:rPr>
                <w:b w:val="off"/>
                <w:color w:val="000000"/>
                <w:rFonts w:ascii="Times New Roman" w:hAnsi="Times New Roman" w:cs="Times New Roman" w:eastAsia="Times New Roman"/>
                <w:sz w:val="24"/>
              </w:rPr>
              <w:t xml:space="preserve">V platnom znení § 9 zákona o vojnových hroboch odporúčame odsek 7 uviesť v tomto znení: </w:t>
              <w:br/>
            </w:r>
            <w:r>
              <w:rPr>
                <w:b w:val="off"/>
                <w:color w:val="000000"/>
                <w:rFonts w:ascii="Times New Roman" w:hAnsi="Times New Roman" w:cs="Times New Roman" w:eastAsia="Times New Roman"/>
                <w:sz w:val="24"/>
              </w:rPr>
              <w:t xml:space="preserve">„(7) Pokuty sú príjmom štátneho rozpočtu.“.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 o zosúladenie formulácie s bodom 7.3. prílohy č. 1 k Legislatívnym pravidlám vlády SR.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 ods. 3</w:t>
              <w:br/>
            </w:r>
            <w:r>
              <w:rPr>
                <w:b w:val="off"/>
                <w:color w:val="000000"/>
                <w:rFonts w:ascii="Times New Roman" w:hAnsi="Times New Roman" w:cs="Times New Roman" w:eastAsia="Times New Roman"/>
                <w:sz w:val="24"/>
              </w:rPr>
              <w:t>Odporúčame zvážiť, či v § 4 ods. 3 zákona nie je vhodné za slová „starostlivosti o vojnový hrob“ doplniť slová „starostlivosti o vojnové pietne miesto“.</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zmysle dotknutého ustanovenia je obec oprávnená požiadať okrem iného o príspevok na zabezpečenie starostlivosti o vojnový hrob, ktorý je upravený v odseku 1.  Vzhľadom na uvedené nie je úprava vhodná.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18</w:t>
              <w:br/>
            </w:r>
            <w:r>
              <w:rPr>
                <w:b w:val="off"/>
                <w:color w:val="000000"/>
                <w:rFonts w:ascii="Times New Roman" w:hAnsi="Times New Roman" w:cs="Times New Roman" w:eastAsia="Times New Roman"/>
                <w:sz w:val="24"/>
              </w:rPr>
              <w:t>V čl. I bode 18 odporúčame v texte odseku 15 slovo „ods.“ nahradiť slovom „odseku“.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22</w:t>
              <w:br/>
            </w:r>
            <w:r>
              <w:rPr>
                <w:b w:val="off"/>
                <w:color w:val="000000"/>
                <w:rFonts w:ascii="Times New Roman" w:hAnsi="Times New Roman" w:cs="Times New Roman" w:eastAsia="Times New Roman"/>
                <w:sz w:val="24"/>
              </w:rPr>
              <w:t>V čl. I bode 22 odporúčame slová „písm. a), b), d) až g)“ nahradiť slovami „písm. a), b) a d) až g)“.</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9 ods. 2</w:t>
              <w:br/>
            </w:r>
            <w:r>
              <w:rPr>
                <w:b w:val="off"/>
                <w:color w:val="000000"/>
                <w:rFonts w:ascii="Times New Roman" w:hAnsi="Times New Roman" w:cs="Times New Roman" w:eastAsia="Times New Roman"/>
                <w:sz w:val="24"/>
              </w:rPr>
              <w:t>V § 9 ods. 2 písm. b) odporúčame slová „niektorú z povinností“ nahradiť slovom „povinnosť“.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Nami navrhované znenie považujeme za vhodnejšie.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 xml:space="preserve">V čl. I bod 8 odporúčame v navrhovanom znení § 3 ods. 1 vložiť za slovo „hrob“ slová „alebo vojnový cintorín“ alebo alternatívne upraviť starostlivosť obce o vojnový cintorín v novom samostatnom odseku a ostatné odseky primerane prečíslovať.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Návrhom zákona sa v § 2 rozširuje vymedzenie základných pojmov. V § 2 písm. c) predkladateľ doplnil nový pojem „vojnový cintorín“, ale v § 3 ods. 1 návrhu zákona neupravil nositeľa zodpovednosti za starostlivosť o vojnový cintorín, napriek tomu, že ustanovenie § 3 ods. 3 písm. a)  upravuje povinnosť obce aj vo vzťahu k vojnovému cintorínu.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zmysle § 2 písm. c) je vojnovým cintorínom miesto tvorené viac ako piatimi vojnovými hrobmi s presne vytýčenou hranicou a usporiadaním vojnových hrobov. Každý vojnový cintorín je tak tvorený vojnovými hrobmi. Ak obec zabezpečuje starostlivosť o vojnové hroby, zabezpečuje aj starostlivosť o vojnový cintorín. Vzhľadom na uvedené nie je úprava potrebná.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V čl. I bod 8 v § 3 ods. 3 navrhujeme doplniť nové písmeno e), ktoré znie: ,,e) zabezpečiť vypracovanie geometrického plánu a následný vklad do katastra nehnuteľností pre pozemok, na ploche ktorého je situovaný vojnový cintorín, vojnový hrob alebo vojnové pietne miesto, ak nie sú súčasťou vojnového cintorína.".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praxi sa pri vojnových cintorínoch, vojnových hroboch a vojnových pietnych miestach z prvej svetovej vojny na území severovýchodného Slovenska stretávame s tým, že nie sú zakreslené v katastri príslušných obcí alebo miest. V prípade národných kultúrnych pamiatok to spôsobuje problémy v správnych konaniach, ktoré vedú krajské pamiatkové úrady.  V mnohých prípadoch je list vlastníctva katastra C nezaložený a kataster E má viacero (desiatky, niekedy aj stovky vlastníkov, v mnohých prípadoch už aj po smrti). Procesne je možné využiť inštitút verejnej vyhlášky; v konečnom dôsledku je to obec, ktorá je zodpovedná za obnovu alebo údržbu vojnového hrobu, vojnového cintorína alebo vojnového pietneho miesta, na území ktorej sa nachádza. Okrem toho platí, že kód ochrany „201“ v prípade, ak nemá vojnový hrob, vojnový cintorín alebo vojnové pietne miesto samostatnú parcelu, sa v katastri zavádza na celú parcelu, na ploche ktorej sa nachádza, a to aj v prípade, ak z nej zaberá len nepatrnú časť. Je preto nutné tento stav upraviť.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Obciam, ktoré majú zo zákona povinnosť starostlivosti na úseku vojnových hrobov, priznáva zákon právny nárok na príspevok za túto starostlivosť, pričom tento príspevok môže pokryť náklady na vypracovanie geometrického plánu a správny poplatok za podanie návrhu na vklad do katastra nehnuteľností.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Téma geometrického zamerania vojnových hrobov, vojnových cintorínov a vojnových pietnych  miest je okrem iného predmetom Memoranda o vzájomnom porozumení a spolupráci medzi Ministerstvom vnútra SR, sekciou verejnej správy a Pamiatkovým úradom SR (o. i. sa obe inštitúcie zaviazali spolupracovať pri geodetickom zameraní vojnových hrobov, vojnových cintorínov, pomníkov a pamätníkov z prvej a druhej svetovej vojny na území Slovenskej republiky a ich následnom vklade do katastra nehnuteľností).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nepovažuje navrhovanú úpravu za vhodnú, a to vzhľadom na jej praktickú nerealizovateľnosť a neprimeranú administratívnu a finančnú záťaž, ktorú by predstavovala pre obec.</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 xml:space="preserve">V čl. I bod 8 v § 3 navrhujeme doplniť nový odsek 7, ktorý znie: „(7) Starostlivosť o vojnový hrob, vojnový cintorín alebo vojnové pietne miesto môže v odôvodnených prípadoch prevziať do svojej starostlivosti iná obec ako je uvedená v odsekoch 1 a 2. Poverenie o udelení zodpovednosti za starostlivosť o vojnový hrob, vojnový cintorín alebo vojnové pietne miesto vydá ministerstvo po prerokovaní obcou podľa odseku 1 alebo 2 a inou obcou a s ich písomným súhlasom.“. Predkladateľovi odporúčame zvážiť doplnenie prípadného súhlasu alebo stanoviska príslušného orgánu štátnej správy.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Nie všetky obce sú v praxi schopné zabezpečovať starostlivosť o vojnové  cintoríny, vojnové hroby a vojnové pietne miesta v požadovanom rozsahu (týka sa predovšetkým vojnových cintorínov, vojnových hrobov a vojnových pietnych miest z prvej svetovej vojny na území severovýchodného Slovenska). Mnohé obce na území severovýchodného Slovenska vymierajú. Starostovia obcí sú zamestnaní na čiastočný úväzok, pričom okrem starostlivosti o vojnové hroby, vojnové cintoríny a vojnové pietne miesta zabezpečujú aj riadny chod obce častokrát bez ďalších zamestnancov a finančných prostriedkov. Z uvedeného dôvodu treba v odôvodnených prípadoch zvážiť možnosť presunúť kompetenciu starostlivosti o vojnové hroby, vojnové cintoríny a vojnové pietne miesta na inú obec. V praxi sa uvedené situácie reálne vyskytujú a je predpoklad, že sa v budúcnosti vyskytovať budú. Navrhujeme nastaviť spôsob riešenia týchto situácií a zaviesť inštitút poverenia starostlivosti o vojnový hrob, vojnový cintorín a vojnové pietne miesto na inú obec, pričom tento proces bude iniciovať priamo MV SR na základe jemu dostupných správ od okresných úradov v sídle kraja. Prechod starostlivosti bude treba riadne prerokovať s obidvoma obcami, pričom poverenie sa vydá na základe ich písomných súhlasov.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Predkladateľ nepovažuje navrhovanú úpravu za vhodnú a trvá na ponechaní zabezpečenia starostlivosti na úseku vojnových hrobov na obci, na území ktorej sa vojnový hrob alebo vojnové pietne miesto nachádza.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K čl. I  bod 8</w:t>
              <w:br/>
            </w:r>
            <w:r>
              <w:rPr>
                <w:b w:val="off"/>
                <w:color w:val="000000"/>
                <w:rFonts w:ascii="Times New Roman" w:hAnsi="Times New Roman" w:cs="Times New Roman" w:eastAsia="Times New Roman"/>
                <w:sz w:val="24"/>
              </w:rPr>
              <w:t xml:space="preserve">Per analogiam ako návrh znenia § 3 ods. 7 navrhujeme doplniť ďalší samostatný odsek ako odsek 8, ktorý určí ďalšie subjekty, ktoré budú zabezpečovať starostlivosť o vojnový hrob, vojnový cintorín a vojnové pietne miesto v osobitných odôvodnených prípadoch, ak túto starostlivosť nie je schopná z objektívnych dôvodov zabezpečiť obec, na území ktorej sa vojnový hrob, vojnový cintorín alebo vojnové pietne miesto nachádza a túto starostlivosť nedokáže zabezpečiť ani ďalšia obec.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Týmito ďalšími subjektami sú: orgán štátnej správy, vyšší územný celok, cirkev, náboženská spoločnosť, občianske združenie.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Viď odôvodnenie k § 3 ods. 7 per analogiam.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Predkladateľ nepovažuje navrhovanú úpravu za vhodnú a trvá na ponechaní zabezpečenia starostlivosti na úseku vojnových hrobov na obci, na území ktorej sa vojnový hrob alebo vojnové pietne miesto nachádza.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K čl. I bod 8</w:t>
              <w:br/>
            </w:r>
            <w:r>
              <w:rPr>
                <w:b w:val="off"/>
                <w:color w:val="000000"/>
                <w:rFonts w:ascii="Times New Roman" w:hAnsi="Times New Roman" w:cs="Times New Roman" w:eastAsia="Times New Roman"/>
                <w:sz w:val="24"/>
              </w:rPr>
              <w:t>V § 3 k navrhovaným odsekom 7 a 8 navrhujeme doplniť ustanovenie (pravdepodobne v samostatnom odseku 9), v zmysle ktorého sa ustanovenia odsekov 3 až 5 použijú primerane aj na situácie podľa odsekov 7 a 8.</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Predkladateľ nepovažuje navrhovanú úpravu za vhodnú, nakoľko trvá na ponechaní zabezpečenia starostlivosti na úseku vojnových hrobov na obci, na území ktorej sa vojnový hrob alebo vojnové pietne miesto nachádza.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V čl. I bode 8 poznámke pod čiarou k odkazu 1 odporúčame na konci pripojiť tieto slová: „v znení neskorších predpisov“.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V čl. I bode 18 odporúčame slovo „odseku“ nahradiť slovom „odsekov“, za slovo „predpis“ vložiť bodku, za znak „)“ vypustiť bodku a slová „odkazu 2d)“ nahradiť slovami „odkazu 2d“.</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V čl. I bode 27 odporúčame za slová „§ 3 ods. 1 alebo“ vložiť slovo „ods.“.</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Mesto Banská Bystrica</w:t>
              <w:br/>
            </w:r>
            <w:r>
              <w:rPr>
                <w:b w:val="off"/>
                <w:color w:val="000000"/>
                <w:rFonts w:ascii="Times New Roman" w:hAnsi="Times New Roman" w:cs="Times New Roman" w:eastAsia="Times New Roman"/>
                <w:sz w:val="24"/>
              </w:rPr>
              <w:t>Mesto Banská Bystrica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8</w:t>
              <w:br/>
            </w:r>
            <w:r>
              <w:rPr>
                <w:b w:val="off"/>
                <w:color w:val="000000"/>
                <w:rFonts w:ascii="Times New Roman" w:hAnsi="Times New Roman" w:cs="Times New Roman" w:eastAsia="Times New Roman"/>
                <w:sz w:val="24"/>
              </w:rPr>
              <w:t xml:space="preserve">Mesto Banská Bystrica navrhuje do legislatívneho návrhu zákona, ktorým sa mení a dopĺňa zákon č. 130/2005 Z. z. o vojnových hroboch v znení neskorších predpisov (ďalej aj ako „legislatívny návrh“) doplniť ustanovenia týkajúce sa podmienok zriadenia, premiestnenia, prestavania alebo zrušenia vojnového pietneho miesta iným subjektom, teda nie obcou. Zároveň Mesto Banská navrhuje do legislatívneho návrhu doplniť ustanovenia týkajúce sa podmienok starostlivosti o vojnové pietne miesta zriadené subjektom odlišným od obce.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zmysle čl. I bod 4. legislatívneho návrhu na účely tohto zákona rozumie vojnovým pietnym miestom pamätník, symbolický náhrobok, iný pietny symbol alebo iné pamätné miesto, ktoré pripomínajú vojnovú udalosť alebo vojnové obete.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zmysle čl. I bod 8 legislatívneho návrhu, konkrétne navrhovaného znenia § 3 ods. 4 Zriadiť, premiestniť, prestavať alebo zrušiť vojnový hrob, vojnové pietne miesto alebo vojnový cintorín môže obec len na základe písomnej žiadosti a po písomnom súhlase Ministerstva vnútra Slovenskej republiky (ďalej len „ministerstvo“); na zriadenie vojnového hrobu, vojnového pietneho miesta alebo vojnového cintorína sa vyžaduje aj súhlas vlastníka nehnuteľnosti, na ktorej sa má vojnový hrob, vojnové pietne miesto alebo vojnový cintorín zriadiť, a na premiestnenie vojnového hrobu, vojnového pietneho miesta alebo vojnového cintorína súhlas vlastníka nehnuteľnosti, na ktorú sa má vojnový hrob, vojnové pietne miesto alebo vojnový cintorín premiestniť.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zmysle čl. I bod 8 legislatívneho návrhu, konkrétne navrhovaného znenia § 3 ods. 2 Starostlivosť o vojnové pietne miesto zabezpečuje obec, na území ktorej sa vojnové pietne miesto nachádza.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praxi však môže dôjsť k situácii, že vojnové pietne miesto má záujem zriadiť subjekt (fyzická alebo právnická osoba) odlišná od obce, pričom k zriadeniu má dôjsť na súkromnom pozemku.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charakteru vojnového pietneho miesta (pamätník, symbolický náhrobok, iný pietny symbol alebo iné pamätné miesto) vyplýva, že vojnové pietne miesto nemusí napĺňať definíciu stavby podľa § 2 zákona č. 25/2025 Z. z. Stavebný zákon a o zmene a doplnení niektorých zákonov (Stavebný zákon) v znení neskorších predpisov (ďalej aj ako „Stavebný zákon“) a ustanovenia Stavebného zákona sa na vojnové pietne miesto nevzťahujú.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uvedenom prípade nemožno obci uložiť povinnosti týkajúce sa zriadenia, premiestnenia, prestavania alebo zrušenia vojnového pietneho miesta, nakoľko v prípade, ak by takéto povinnosti prislúchali výlučne obci, v praxi by mohlo dôjsť k takej absurdnej situácii, že by si akákoľvek súkromná osoba na vlastnom pozemku osadila hoci len aj symbolický náhrobok (bez nutnosti stavebného povolenia) ako pripomienku vojnovej udalosti a obec by za takúto činnosť súkromnej osoby niesla zodpovednosť.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by mala obec povinnosť starostlivosti o takto zriadené vojnové pietne miesto, čo by znamenalo priamy dopad na jej rozpočet a nutnosť navýšenia výšku finančných prostriedkov potrebných na realizáciu starostlivosti o vojnové hroby a vojnové pietne miesta. Uvedené predstavuje pre obce zásadné ťažkosti s ohľadom na konsolidáciu verejných financií a s ňou spojené zníženie rozpočtových príjmov na strane obcí ako orgánov územnej samosprávy a v kontexte potreby zabezpečenia ostatných elementárnych úloh obcí ako orgánov územnej samosprávy.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 legislatívneho návrhu je teda potrebné zapracovať príslušné ustanovenia týkajúce sa zriadenia, premiestnenia, prestavania alebo zrušenia vojnového pietneho miesta súkromnou osobou, a zároveň ustanovenia ukladajúce povinnosť starostlivosti o vojnové pietne miesto súkromnému zriaďovateľovi.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Alternatívne, v prípade, ak je cieľom zákonodarcu, aby obce disponovali prehľadom o zriadených vojnových pietnych miestach na jej území, resp. aby boli obce jediným možným zriaďovateľom vojnových pietnych miest, je  nutné do legislatívneho návrhu zapracovať príslušné ustanovenia, najmä ustanovenia za akých podmienok je obec oprávnená/povinná akceptovať žiadosť súkromnej osoby o zriadenie, premiestnenie, prestavanie alebo zrušenie vojnového pietneho miesta.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rámci stanovenia kompetencií obce v tejto oblasti je nutné prihliadať na elimináciu potreby navýšenia rozpočtu obcí. Z uvedeného dôvodu je potrebné do legislatívneho návrhu zapracovať príslušné ustanovenia v takom znení, v zmysle ktorého by bolo plne na rozhodnutí obcí, či na základe návrhu súkromného subjektu požiadajú Ministerstva vnútra Slovenskej republiky o súhlas na zriadenie, premiestenie, prestavanie alebo zrušenie vojnového pietneho miesta, a teda by bolo plne na rozhodnutí obcí, či sú v rámci svojich rozpočtov schopné znášať náklady na starostlivosť o predmetné vojnové pietne miesto.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zmysle čl. I bod 8 legislatívneho návrhu, konkrétne navrhovaného znenia § 3 ods. 6 Ak sa vojnový hrob, vojnové pietne miesto alebo vojnový cintorín nachádza mimo verejného pohrebiska, vlastník, nájomca alebo iný užívateľ nehnuteľnosti je povinný umožniť prístup k vojnovému hrobu, vojnovému pietnemu miestu alebo vojnovému cintorínu na účely zabezpečovania starostlivosti o vojnový hrob, vojnové pietne miesto alebo vojnový cintorín alebo vzdania úcty vojnovým obetiam.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 legislatívneho návrhu je potrebné doplniť ustanovenia týkajúce sa vynútiteľnosti splnenia uvedenej povinnosti vlastníka, nájomcu alebo iného užívateľa nehnuteľnosti obcami, keďže sú podľa legislatívneho návrhu práve obce povinné na zabezpečenie starostlivosti o vojnový hrob a vojnové pietne miesto na svojom území.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Predkladateľ nesúhlasí s návrhom rozšírenia okruhu subjektov, ktoré by mohli zriadiť, premiestniť, prestavať alebo zrušiť vojnové pietne miesto.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odôvodnenie pripomienky predkladateľ ďalej uvádza, že v zmysle platného zákona, ako aj jeho navrhovanej úpravy, nie je vylúčené, aby mohla aj iná právnická osoba alebo fyzická osoba podať obci návrh na zriadenie, premiestnenie, prestavanie alebo zrušenie vojnového pietneho miesta. Je v plnej kompetencii obce zvážiť, či na základe takého návrhu požiada Ministerstvo vnútra Slovenskej republiky o súhlas na zriadenie, premiestenie, prestavanie alebo zrušenie vojnového pietneho miesta. Starostlivosť o takéto vojnové pietne miesto však zabezpečuje obec, na území ktorej sa vojnové pietne miesto nachádza.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uvedené nie je úprava potrebná.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8 § §3 ods. ods. 3 písm. a)</w:t>
              <w:br/>
            </w:r>
            <w:r>
              <w:rPr>
                <w:b w:val="off"/>
                <w:color w:val="000000"/>
                <w:rFonts w:ascii="Times New Roman" w:hAnsi="Times New Roman" w:cs="Times New Roman" w:eastAsia="Times New Roman"/>
                <w:sz w:val="24"/>
              </w:rPr>
              <w:t xml:space="preserve">Pripomienku podávam v mene SZPB ako podpredseda SZPB.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Bod 8 úprav §3 ods. 3 písm. a) vložiť za nasledovnú vetu bodkočiarku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zabezpečiť, aby v bezprostrednom okolí vojnového hrobu, vojnového pietneho miesta alebo vojnového cintorína nebola umiestnená vec alebo zariadenie, ktoré je nezlučiteľné s úctou k tomuto miestu,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 tento text doplniť za bodkočiarku: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bezprostrednom okolí vojnového hrobu nie je možné organizovať zhromaždenia, ktoré priamo nevyjadrujú úctu a pietu tomuto miestu."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úprave §3 ods. 5: V spoločnosti sa objavujú na komunálnej úrovni tendencie zasahovať do symboliky, premiestňovať, či odstraňovať pamätníky venované oslobodeniu v druhej svetovej vojne. Podobná skúsenosť v iných krajinách viedla k nárastu hnutí sympatizujúcich s fašistickými režimami (Ukrajina - banderizmus, pobaltské štáty - hnutia lesných bratov). Právna skúsenosť s obdobím druhej svetovej vojny a nezmerateľnosťou jej tragického priebehu, v ktorom zahynulo okolo 100 miliónov obetí, 6 miliónov ľudí v holokauste a zhruba 100 000 slovenských občanov. Právna veda na nezmerateľnosť zla, ktorému bolo ľudstvo vystavené prijala Radbruchovu formulu, ktorá túto udalosť stavia mimo bežných rámcov akýchkoľvek iných vojen. Tá hovorí, že právo v nej musí ustúpiť spravodlivosti, ktorá má v tomto prípade vyššiu hodnotu aj ako rešpektovanie ustálených právnych princípov pre prípad, aby sa podbné zlo už nikdy nezopakovalo. Vzhľadom na tendencie v spoločnosti je potrebné dať zvýšenú ochranu vojnovým hrobom pripomínajúce si takto ťažko zaplatenú cenu za mier, osobitne v dnešných časoch ešte významnejšiu.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Navrhované znenie dotknutého ustanovenia dostatočným spôsobom zabezpečí úctu k tomuto miestu. Obmedzenie spočívajúce v zákaze organizovania zhromaždení v bezprostrednej blízkosti vojnového hrobu by pre obce predstavovalo neprimeranú a v praxi len ťažko kontrolovateľnú záťaž. Vzhľadom na uvedené nie je úprava potrebná.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bod 8</w:t>
              <w:br/>
            </w:r>
            <w:r>
              <w:rPr>
                <w:b w:val="off"/>
                <w:color w:val="000000"/>
                <w:rFonts w:ascii="Times New Roman" w:hAnsi="Times New Roman" w:cs="Times New Roman" w:eastAsia="Times New Roman"/>
                <w:sz w:val="24"/>
              </w:rPr>
              <w:t xml:space="preserve">Mesto Banská Bystrica navrhuje do legislatívneho návrhu zákona, ktorým sa mení a dopĺňa zákon č. 130/2005 Z. z. o vojnových hroboch v znení neskorších predpisov (ďalej aj ako „legislatívny návrh“) doplniť ustanovenia týkajúce sa podmienok zriadenia, premiestnenia, prestavania alebo zrušenia vojnového pietneho miesta iným subjektom, teda nie obcou. Zároveň Mesto Banská navrhuje do legislatívneho návrhu doplniť ustanovenia týkajúce sa podmienok starostlivosti o vojnové pietne miesta zriadené subjektom odlišným od obce.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zmysle čl. I bod 4. legislatívneho návrhu na účely tohto zákona rozumie vojnovým pietnym miestom pamätník, symbolický náhrobok, iný pietny symbol alebo iné pamätné miesto, ktoré pripomínajú vojnovú udalosť alebo vojnové obete.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zmysle čl. I bod 8 legislatívneho návrhu, konkrétne navrhovaného znenia § 3 ods. 4 Zriadiť, premiestniť, prestavať alebo zrušiť vojnový hrob, vojnové pietne miesto alebo vojnový cintorín môže obec len na základe písomnej žiadosti a po písomnom súhlase Ministerstva vnútra Slovenskej republiky (ďalej len „ministerstvo“); na zriadenie vojnového hrobu, vojnového pietneho miesta alebo vojnového cintorína sa vyžaduje aj súhlas vlastníka nehnuteľnosti, na ktorej sa má vojnový hrob, vojnové pietne miesto alebo vojnový cintorín zriadiť, a na premiestnenie vojnového hrobu, vojnového pietneho miesta alebo vojnového cintorína súhlas vlastníka nehnuteľnosti, na ktorú sa má vojnový hrob, vojnové pietne miesto alebo vojnový cintorín premiestniť.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zmysle čl. I bod 8 legislatívneho návrhu, konkrétne navrhovaného znenia § 3 ods. 2 Starostlivosť o vojnové pietne miesto zabezpečuje obec, na území ktorej sa vojnové pietne miesto nachádza.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praxi však môže dôjsť k situácii, že vojnové pietne miesto má záujem zriadiť subjekt (fyzická alebo právnická osoba) odlišná od obce, pričom k zriadeniu má dôjsť na súkromnom pozemku.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charakteru vojnového pietneho miesta (pamätník, symbolický náhrobok, iný pietny symbol alebo iné pamätné miesto) vyplýva, že vojnové pietne miesto nemusí napĺňať definíciu stavby podľa § 2 zákona č. 25/2025 Z. z. Stavebný zákon a o zmene a doplnení niektorých zákonov (Stavebný zákon) v znení neskorších predpisov (ďalej aj ako „Stavebný zákon“) a ustanovenia Stavebného zákona sa na vojnové pietne miesto nevzťahujú.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uvedenom prípade nemožno obci uložiť povinnosti týkajúce sa zriadenia, premiestnenia, prestavania alebo zrušenia vojnového pietneho miesta, nakoľko v prípade, ak by takéto povinnosti prislúchali výlučne obci, v praxi by mohlo dôjsť k takej absurdnej situácii, že by si akákoľvek súkromná osoba na vlastnom pozemku osadila hoci len aj symbolický náhrobok (bez nutnosti stavebného povolenia) ako pripomienku vojnovej udalosti a obec by za takúto činnosť súkromnej osoby niesla zodpovednosť.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by mala obec povinnosť starostlivosti o takto zriadené vojnové pietne miesto, čo by znamenalo priamy dopad na jej rozpočet a nutnosť navýšenia výšku finančných prostriedkov potrebných na realizáciu starostlivosti o vojnové hroby a vojnové pietne miesta. Uvedené predstavuje pre obce zásadné ťažkosti s ohľadom na konsolidáciu verejných financií a s ňou spojené zníženie rozpočtových príjmov na strane obcí ako orgánov územnej samosprávy a v kontexte potreby zabezpečenia ostatných elementárnych úloh obcí ako orgánov územnej samosprávy.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 legislatívneho návrhu je teda potrebné zapracovať príslušné ustanovenia týkajúce sa zriadenia, premiestnenia, prestavania alebo zrušenia vojnového pietneho miesta súkromnou osobou, a zároveň ustanovenia ukladajúce povinnosť starostlivosti o vojnové pietne miesto súkromnému zriaďovateľovi.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Alternatívne, v prípade, ak je cieľom zákonodarcu, aby obce disponovali prehľadom o zriadených vojnových pietnych miestach na jej území, resp. aby boli obce jediným možným zriaďovateľom vojnových pietnych miest, je  nutné do legislatívneho návrhu zapracovať príslušné ustanovenia, najmä ustanovenia za akých podmienok je obec oprávnená/povinná akceptovať žiadosť súkromnej osoby o zriadenie, premiestnenie, prestavanie alebo zrušenie vojnového pietneho miesta.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rámci stanovenia kompetencií obce v tejto oblasti je nutné prihliadať na elimináciu potreby navýšenia rozpočtu obcí. Z uvedeného dôvodu je potrebné do legislatívneho návrhu zapracovať príslušné ustanovenia v takom znení, v zmysle ktorého by bolo plne na rozhodnutí obcí, či na základe návrhu súkromného subjektu požiadajú Ministerstva vnútra Slovenskej republiky o súhlas na zriadenie, premiestenie, prestavanie alebo zrušenie vojnového pietneho miesta, a teda by bolo plne na rozhodnutí obcí, či sú v rámci svojich rozpočtov schopné znášať náklady na starostlivosť o predmetné vojnové pietne miesto.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zmysle čl. I bod 8 legislatívneho návrhu, konkrétne navrhovaného znenia § 3 ods. 6 Ak sa vojnový hrob, vojnové pietne miesto alebo vojnový cintorín nachádza mimo verejného pohrebiska, vlastník, nájomca alebo iný užívateľ nehnuteľnosti je povinný umožniť prístup k vojnovému hrobu, vojnovému pietnemu miestu alebo vojnovému cintorínu na účely zabezpečovania starostlivosti o vojnový hrob, vojnové pietne miesto alebo vojnový cintorín alebo vzdania úcty vojnovým obetiam.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 legislatívneho návrhu je potrebné doplniť ustanovenia týkajúce sa vynútiteľnosti splnenia uvedenej povinnosti vlastníka, nájomcu alebo iného užívateľa nehnuteľnosti obcami, keďže sú podľa legislatívneho návrhu práve obce povinné na zabezpečenie starostlivosti o vojnový hrob a vojnové pietne miesto na svojom území.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Predkladateľ nesúhlasí s návrhom rozšírenia okruhu subjektov, ktoré by mohli zriadiť, premiestniť, prestavať alebo zrušiť vojnové pietne miesto.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odôvodnenie pripomienky predkladateľ ďalej uvádza, že v zmysle platného zákona, ako aj jeho navrhovanej úpravy, nie je vylúčené, aby mohla aj iná právnická osoba alebo fyzická osoba podať obci návrh na zriadenie, premiestnenie, prestavanie alebo zrušenie vojnového pietneho miesta. Je v plnej kompetencii obce zvážiť, či na základe takého návrhu požiada Ministerstvo vnútra Slovenskej republiky o súhlas na zriadenie, premiestenie, prestavanie alebo zrušenie vojnového pietneho miesta. Starostlivosť o takéto vojnové pietne miesto však zabezpečuje obec, na území ktorej sa vojnové pietne miesto nachádza.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uvedené nie je úprava potrebná.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4 ods. 1</w:t>
              <w:br/>
            </w:r>
            <w:r>
              <w:rPr>
                <w:b w:val="off"/>
                <w:color w:val="000000"/>
                <w:rFonts w:ascii="Times New Roman" w:hAnsi="Times New Roman" w:cs="Times New Roman" w:eastAsia="Times New Roman"/>
                <w:sz w:val="24"/>
              </w:rPr>
              <w:t>Návrh zákona prináša popri spresnení terminológie aj zníženie štátneho príspevku na zabezpečovanie starostlivosti o vojnové hroby podľa § 4 ods. 1 zákona č. 130/2005 Z. z. o vojnových hroboch v znení neskorších predpisov (ďalej len „Zákon“).</w:t>
              <w:br/>
            </w:r>
            <w:r>
              <w:rPr>
                <w:b w:val="off"/>
                <w:color w:val="000000"/>
                <w:rFonts w:ascii="Times New Roman" w:hAnsi="Times New Roman" w:cs="Times New Roman" w:eastAsia="Times New Roman"/>
                <w:sz w:val="24"/>
              </w:rPr>
              <w:t>Textácia samotného § 4 ods. 1 Zákona sa síce nemení, ale mení sa vymedzenie základných pojmov uvedených v § 2 Zákona. Za vojnové hroby sa už nebudú považovať pamätníky, iné pietne symboly a pamätné miesta, ktoré pripomínajú vojnovú udalosť, pokiaľ na týchto miestach nie sú uložené ľudské ostatky vojnovej obete. Následkom tejto zmeny klesne počet vojnových hrobov, a teda aj výška celkového štátneho príspevku pre obec na zabezpečovanie starostlivosti o vojnové hroby podľa § 4 ods. 1 Zákona, vzhľadom na to, že v Návrhu zákona sa nepočíta so žiadnym príspevkom na zabezpečovanie starostlivosti o vojnové pietne miesta.</w:t>
              <w:br/>
            </w:r>
            <w:r>
              <w:rPr>
                <w:b w:val="off"/>
                <w:color w:val="000000"/>
                <w:rFonts w:ascii="Times New Roman" w:hAnsi="Times New Roman" w:cs="Times New Roman" w:eastAsia="Times New Roman"/>
                <w:sz w:val="24"/>
              </w:rPr>
              <w:t>Navrhujeme doplniť Návrh zákona v časti § 4 ods. 1 o slovné spojenie "a vojnové pietne miesto" nasledovne:</w:t>
              <w:br/>
            </w:r>
            <w:r>
              <w:rPr>
                <w:b w:val="off"/>
                <w:color w:val="000000"/>
                <w:rFonts w:ascii="Times New Roman" w:hAnsi="Times New Roman" w:cs="Times New Roman" w:eastAsia="Times New Roman"/>
                <w:sz w:val="24"/>
              </w:rPr>
              <w:t>„Na zabezpečovanie starostlivosti o vojnový hrob a vojnové pietne miesto sa poskytne obci príspevok na kalendárny rok na každý vojnový hrob a vojnové pietne miesto v sume päťnásobku minimálnej hodinovej mzdy ustanovenej osobitným predpisom.“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zmysle § 3 Návrhu zákona obec má rovnaké povinnosti pokiaľ ide o starostlivosť o vojnový hrob a vojnové pietne miesto. Zastávame názor, že vzhľadom na to, že povinnosť zabezpečovať starostlivosť o vojnové pietne miesto je rovnaká ako povinnosť zabezpečovať starostlivosť o vojnový hrob, aj príspevok na zabezpečovanie starostlivosti by mal byť rovnaký.</w:t>
              <w:br/>
            </w:r>
            <w:r>
              <w:rPr>
                <w:b w:val="off"/>
                <w:color w:val="000000"/>
                <w:rFonts w:ascii="Times New Roman" w:hAnsi="Times New Roman" w:cs="Times New Roman" w:eastAsia="Times New Roman"/>
                <w:sz w:val="24"/>
              </w:rPr>
              <w:t>Hlavné mesto si uvedomuje význam a dôležitosť vojnových pietnych miest a z tohto dôvodu predkladá vyššie uvedenú pripomienku.</w:t>
              <w:br/>
            </w:r>
            <w:r>
              <w:rPr>
                <w:b w:val="off"/>
                <w:color w:val="000000"/>
                <w:rFonts w:ascii="Times New Roman" w:hAnsi="Times New Roman" w:cs="Times New Roman" w:eastAsia="Times New Roman"/>
                <w:sz w:val="24"/>
              </w:rPr>
              <w:t>Uvedomuje si svoju zodpovednosť za toto kultúrne dedičstvo a využíva všetky možnosti financovania pri zabezpečovaní starostlivosti ako aj obnove a reštaurovaní vojnových hrobov, vojnových pamätníkov a vojnových pietnych miest – z vlastného rozpočtu aj z externých zdrojov. Pri obnove pamätníkov, ktoré sú umeleckými dielami, ide o často nákladné reštaurovanie, zvlášť pri tých, ktoré sú zároveň národnými kultúrnymi pamiatkami a reštaurovať ich môže len reštaurátor zapísaný v Komore reštaurátorov. Mnohé pamätníky si vzhľadom na poveternostné vplyvy v exteriéri a čas, ktorý uplynul od ich osadenia do verejného priestoru, vyžadujú dnes už komplexnú odbornú obnovu.</w:t>
              <w:br/>
            </w:r>
            <w:r>
              <w:rPr>
                <w:b w:val="off"/>
                <w:color w:val="000000"/>
                <w:rFonts w:ascii="Times New Roman" w:hAnsi="Times New Roman" w:cs="Times New Roman" w:eastAsia="Times New Roman"/>
                <w:sz w:val="24"/>
              </w:rPr>
              <w:t>Osobitný význam, rozsah aj nároky na rekonštrukčné a reštaurátorské práce má NKP Cintorín s pamätníkom Slavín, č. ÚZPF 204, ktorý zahŕňa jednotlivé hroby, skupinové hroby, objekt pamätníka vrátane obradnej miestnosti, sochy, reliéfy, schodiská a zeleň, pričom je nielen miestom, kde sú pochovaní vojaci Červenej armády, ktorí padli v Bratislave a jej okolí, ale zároveň je aj pamätníkom celoslovenského významu.</w:t>
              <w:br/>
            </w:r>
            <w:r>
              <w:rPr>
                <w:b w:val="off"/>
                <w:color w:val="000000"/>
                <w:rFonts w:ascii="Times New Roman" w:hAnsi="Times New Roman" w:cs="Times New Roman" w:eastAsia="Times New Roman"/>
                <w:sz w:val="24"/>
              </w:rPr>
              <w:t>Hlavné mesto víta spresnenie pojmov v Návrhu zákona a jasné rozlíšenie vojnových hrobov ako miest s ľudskými ostatkami vojnových obetí a vojnových pietnych miest ako miest bez ľudských ostatkov vojnových obetí. Zároveň však zastáva názor, že financovanie by malo ostať zachované ako dosiaľ.</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 vysvetlení na rozporovom konaní na odbornej úrovni konanom dňa 18.08.2026 Hlavné mesto Slovenskej republiky Bratislava preklasifikovalo pripomienku na obyčajnú.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bol odstránený.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Cieľom návrhu zákona je zefektívniť a systematizovať financovanie starostlivosti na úseku vojnových hrobov. Navrhovaná právna úprava mení mechanizmus poskytovania finančného príspevku tak, aby lepšie reflektoval súčasné štandardy a reálnu aplikačnú prax. Poskytovanie príspevku sa podľa návrhu zákona obmedzuje na vojnové hroby, v ktorých sa nachádzajú ľudské ostatky vojnových obetí. K tejto zmene sa pristupuje najmä s cieľom predísť neefektívnemu vynakladaniu verejných prostriedkov a zabezpečiť ich účelnejšie využitie, pričom touto zmenou sa navýši objem finančných prostriedkov pre poskytnutie príspevku podľa § 4 ods. 2 návrhu zákona. Vzhľadom na uvedené nie je úprava potrebná.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8 (§ 3 návrhu zákona)</w:t>
              <w:br/>
            </w:r>
            <w:r>
              <w:rPr>
                <w:b w:val="off"/>
                <w:color w:val="000000"/>
                <w:rFonts w:ascii="Times New Roman" w:hAnsi="Times New Roman" w:cs="Times New Roman" w:eastAsia="Times New Roman"/>
                <w:sz w:val="24"/>
              </w:rPr>
              <w:t>Znenie pripomienky:</w:t>
              <w:br/>
            </w:r>
            <w:r>
              <w:rPr>
                <w:b w:val="off"/>
                <w:color w:val="000000"/>
                <w:rFonts w:ascii="Times New Roman" w:hAnsi="Times New Roman" w:cs="Times New Roman" w:eastAsia="Times New Roman"/>
                <w:sz w:val="24"/>
              </w:rPr>
              <w:t>Žiadame ustanovenie § 3 a súvisiace ustanovenia doplniť o právnu úpravu, ktorá bude riešiť situáciu, keď o zriadenie vojnového pietneho miesta bude mať záujem iná osoba ako obec, a to na súkromnom pozemku. Navrhujeme, aby v takom prípade povinnosť starostlivosti o vojnové pietne miesto bola uložená tomu, kto ho zriadil. Alternatívne navrhujeme, aby bolo plne v kompetencii obce zvážiť, či na základe návrhu súkromného subjektu požiada Ministerstvo vnútra Slovenskej republiky o súhlas na zriadenie, premiestenie, prestavanie alebo zrušenie vojnového pietneho miesta.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Podľa § 3 ods. 2 návrhu novely zákona „starostlivosť o vojnové pietne miesto zabezpečuje obec, na území ktorej sa vojnové pietne miesto nachádza.“ V praxi však môže dôjsť k situácii, že vojnové pietne miesto má záujem zriadiť subjekt (fyzická alebo právnická osoba) odlišný od obce, pričom k zriadeniu má dôjsť na súkromnom pozemku. V takom prípade nemožno obci uložiť povinnosti týkajúce sa zriadenia, premiestnenia, prestavania alebo zrušenia vojnového pietneho miesta, nakoľko by mohlo dôjsť k takej absurdnej situácii, že by si akákoľvek súkromná osoba na vlastnom pozemku osadila hoci len aj symbolický náhrobok (bez nutnosti stavebného povolenia, keďže z charakteru pietneho vojnového miesta vyplýva, že nebude vždy stavbou) ako pripomienku vojnovej udalosti a obec by za takúto činnosť súkromnej osoby niesla zodpovednosť.  Zároveň by mala obec povinnosť starostlivosti o takto zriadené vojnové pietne miesto, čo by znamenalo priamy dopad na jej rozpočet a nutnosť navýšenia výšku finančných prostriedkov potrebných na realizáciu starostlivosti o vojnové hroby a vojnové pietne miesta. </w:t>
              <w:br/>
            </w:r>
            <w:r>
              <w:rPr>
                <w:b w:val="off"/>
                <w:color w:val="000000"/>
                <w:rFonts w:ascii="Times New Roman" w:hAnsi="Times New Roman" w:cs="Times New Roman" w:eastAsia="Times New Roman"/>
                <w:sz w:val="24"/>
              </w:rPr>
              <w:t>Žiadame preto zapracovať príslušné ustanovenia týkajúce sa zriadenia, premiestnenia, prestavania alebo zrušenia vojnového pietneho miesta súkromnou osobou, a zároveň ustanovenia ukladajúce povinnosť starostlivosti o vojnové pietne miesto súkromnému zriaďovateľovi. Pokiaľ by tomuto návrhu nebolo vyhovené, alternatívne žiadame, aby bolo plne na rozhodnutí obcí, či sú v rámci svojich rozpočtov schopné znášať náklady na starostlivosť o predmetné vojnové pietne miesto, a teda či na základe návrhu súkromného subjektu požiadajú Ministerstvo vnútra Slovenskej republiky o súhlas na zriadenie, premiestenie, prestavanie alebo zrušenie vojnového pietneho miesta (§ 3 ods. 4 návrhu zákona).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Na základe záverov rozporového konania na odbornej úrovni konaného dňa 14. augusta 2026 došlo k doplneniu čl. I bodu 8 osobitnej časti dôvodovej správy tak, že v zmysle platného zákona, ako aj jeho navrhovanej úpravy, nie je vylúčené, aby mohla aj iná právnická osoba alebo fyzická osoba podať obci návrh na zriadenie, premiestnenie, prestavanie alebo zrušenie vojnového pietneho miesta. Je v plnej kompetencii obce zvážiť, či na základe takého návrhu požiada Ministerstvo vnútra Slovenskej republiky o súhlas na zriadenie, premiestenie, prestavanie alebo zrušenie vojnového pietneho miesta. Starostlivosť o takéto vojnové pietne miesto zabezpečuje obec, na území ktorej sa vojnové pietne miesto nachádza.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Vlastný dokument</w:t>
              <w:br/>
            </w:r>
            <w:r>
              <w:rPr>
                <w:b w:val="off"/>
                <w:color w:val="000000"/>
                <w:rFonts w:ascii="Times New Roman" w:hAnsi="Times New Roman" w:cs="Times New Roman" w:eastAsia="Times New Roman"/>
                <w:sz w:val="24"/>
              </w:rPr>
              <w:t>Bod 8 úprav: Paragrafu 3 vložiť medzi odseky 4 a 5, nový odsek 5 a zvyšné prečíslovať:</w:t>
              <w:br/>
            </w:r>
            <w:r>
              <w:rPr>
                <w:b w:val="off"/>
                <w:color w:val="000000"/>
                <w:rFonts w:ascii="Times New Roman" w:hAnsi="Times New Roman" w:cs="Times New Roman" w:eastAsia="Times New Roman"/>
                <w:sz w:val="24"/>
              </w:rPr>
              <w:t>„Vojnovému hrobu, vojnovému pietnemu miestu alebo vojnovému cintorínu venovanému obetiam druhej svetovej vojny sa poskytuje zvýšená ochrana. Premiestnenie, prestavba alebo zrušenie takéhoto vojnového hrobu, vojnového pietneho miesta alebo vojnového cintorína je prípustné len z dôvodu hodných osobitného zreteľa. Pri rozhodovaní o takomto zásahu ministerstvo prihliada najmä na zachovanie pietneho charakteru miesta, jeho historickej a symbolickej hodnoty a na zachovanie dôstojnej možnosti verejného prístupu k nemu.“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V spoločnosti sa objavujú na komunálnej úrovni tendencie zasahovať do symboliky, premiestňovať, či odstraňovať pamätníky venované oslobodeniu v druhej svetovej vojne. Oslabovanie historickej pamäte môže prispieť k rehabilitácii alebo glorifikácii totalitných režimov a ich predstaviteľov, s čím sa môžeme stretnúť aj v niektorých európskych štátoch.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Mierové usporiadanie po druhej svetovej vojne je zároveň dodnes jedným zo základných pilierov bezpečnosti Európy a je osobitne chránené aj inými právnymi predpismi.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preto posilňuje ochranu vojnových hrobov, pietnych miest a cintorínov špecificky z obdobia druhej svetovej vojny, ako výnimočne dôležitého obdobia slovenských národných dejín a identity.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Zákon o vojnových hroboch poskytuje ochranu vojnovým hrobom, vojnovým pietnym miestam a vojnovým cintorínom s ohľadom na ich pietny a historický význam, bez rozlišovania podľa konkrétneho vojnového konfliktu, s ktorým sú spojené. Nie je žiadúce a ani opodstatnené zavádzať osobitný režim zvýšenej ochrany viazaný výlučne na konkrétny historický konflikt. Vzhľadom na uvedené nie je úprava žiadúca.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ÚGKKSR</w:t>
              <w:br/>
            </w:r>
            <w:r>
              <w:rPr>
                <w:b w:val="off"/>
                <w:color w:val="000000"/>
                <w:rFonts w:ascii="Times New Roman" w:hAnsi="Times New Roman" w:cs="Times New Roman" w:eastAsia="Times New Roman"/>
                <w:sz w:val="24"/>
              </w:rPr>
              <w:t>Úrad geodézie, kartografie a katastra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ÚNMSSR</w:t>
              <w:br/>
            </w:r>
            <w:r>
              <w:rPr>
                <w:b w:val="off"/>
                <w:color w:val="000000"/>
                <w:rFonts w:ascii="Times New Roman" w:hAnsi="Times New Roman" w:cs="Times New Roman" w:eastAsia="Times New Roman"/>
                <w:sz w:val="24"/>
              </w:rPr>
              <w:t>Úrad pre normalizáciu,  metrológiu a skúšobníctvo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ÚPVSR</w:t>
              <w:br/>
            </w:r>
            <w:r>
              <w:rPr>
                <w:b w:val="off"/>
                <w:color w:val="000000"/>
                <w:rFonts w:ascii="Times New Roman" w:hAnsi="Times New Roman" w:cs="Times New Roman" w:eastAsia="Times New Roman"/>
                <w:sz w:val="24"/>
              </w:rPr>
              <w:t>Úrad priemyselného vlastníctva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ÚVO</w:t>
              <w:br/>
            </w:r>
            <w:r>
              <w:rPr>
                <w:b w:val="off"/>
                <w:color w:val="000000"/>
                <w:rFonts w:ascii="Times New Roman" w:hAnsi="Times New Roman" w:cs="Times New Roman" w:eastAsia="Times New Roman"/>
                <w:sz w:val="24"/>
              </w:rPr>
              <w:t>Úrad pre verejné obstarávanie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bl>
    <w:p w14:paraId="3A57E3AF" w14:textId="77777777" w:rsidR="000B2D78" w:rsidRPr="00785E8D" w:rsidRDefault="000B2D78">
      <w:pPr>
        <w:rPr>
          <w:rFonts w:ascii="Times New Roman" w:hAnsi="Times New Roman" w:cs="Times New Roman"/>
        </w:rPr>
      </w:pPr>
    </w:p>
    <w:p w14:paraId="48602EC8" w14:textId="37FB2F71" w:rsidR="00E66622" w:rsidRPr="00785E8D" w:rsidRDefault="00E66622" w:rsidP="001E6254">
      <w:pPr>
        <w:keepLines/>
        <w:rPr>
          <w:rFonts w:ascii="Times New Roman" w:hAnsi="Times New Roman" w:cs="Times New Roman"/>
        </w:rPr>
      </w:pPr>
      <w:r w:rsidRPr="00785E8D">
        <w:rPr>
          <w:rFonts w:ascii="Times New Roman" w:eastAsia="Times New Roman" w:hAnsi="Times New Roman" w:cs="Times New Roman"/>
          <w:sz w:val="24"/>
          <w:szCs w:val="24"/>
        </w:rPr>
        <w:t>Vznesené hromadné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C7F9BD" w14:textId="5FDA99DB" w:rsidTr="00343965">
        <w:trPr>
          <w:trHeight w:val="648"/>
          <w:jc w:val="center"/>
        </w:trPr>
        <w:tc>
          <w:tcPr>
            <w:tcW w:w="1944" w:type="dxa"/>
            <w:vAlign w:val="center"/>
          </w:tcPr>
          <w:p w14:paraId="12485476"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7BDCDFBF" w14:textId="7CC13C3E"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Podporo</w:t>
            </w:r>
            <w:r>
              <w:rPr>
                <w:rFonts w:ascii="Times New Roman" w:hAnsi="Times New Roman" w:cs="Times New Roman"/>
                <w:b/>
                <w:bCs/>
                <w:sz w:val="24"/>
                <w:szCs w:val="24"/>
              </w:rPr>
              <w:t>-</w:t>
            </w:r>
            <w:r>
              <w:rPr>
                <w:rFonts w:ascii="Times New Roman" w:hAnsi="Times New Roman" w:cs="Times New Roman"/>
                <w:b/>
                <w:bCs/>
                <w:sz w:val="24"/>
                <w:szCs w:val="24"/>
              </w:rPr>
              <w:br/>
            </w:r>
            <w:r w:rsidRPr="00785E8D">
              <w:rPr>
                <w:rFonts w:ascii="Times New Roman" w:hAnsi="Times New Roman" w:cs="Times New Roman"/>
                <w:b/>
                <w:bCs/>
                <w:sz w:val="24"/>
                <w:szCs w:val="24"/>
              </w:rPr>
              <w:t>vatelia</w:t>
            </w:r>
          </w:p>
        </w:tc>
        <w:tc>
          <w:tcPr>
            <w:tcW w:w="6480" w:type="dxa"/>
            <w:vAlign w:val="center"/>
          </w:tcPr>
          <w:p w14:paraId="63809B05"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5D84DA5A" w14:textId="5E88111B"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604D4B30" w14:textId="0F85F5F9"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SZPB</w:t>
              <w:br/>
            </w:r>
            <w:r>
              <w:rPr>
                <w:b w:val="off"/>
                <w:color w:val="000000"/>
                <w:rFonts w:ascii="Times New Roman" w:hAnsi="Times New Roman" w:cs="Times New Roman" w:eastAsia="Times New Roman"/>
                <w:sz w:val="24"/>
              </w:rPr>
              <w:t>Slovenský zväz protifašistických bojovníkov</w:t>
            </w:r>
          </w:p>
        </w:tc>
        <w:tc>
          <w:tcPr>
            <w:vAlign w:val="center"/>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Čl. 8 § §3 ods. ods. 3 písm. a)</w:t>
              <w:br/>
            </w:r>
            <w:r>
              <w:rPr>
                <w:b w:val="off"/>
                <w:color w:val="000000"/>
                <w:rFonts w:ascii="Times New Roman" w:hAnsi="Times New Roman" w:cs="Times New Roman" w:eastAsia="Times New Roman"/>
                <w:sz w:val="24"/>
              </w:rPr>
              <w:t>Bod 8 úprav §3 ods. 3 písm. a) vložiť za nasledovnú vetu bodkočiarku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zabezpečiť, aby v bezprostrednom okolí vojnového hrobu, vojnového pietneho miesta alebo vojnového cintorína nebola umiestnená vec alebo zariadenie, ktoré je nezlučiteľné s úctou k tomuto miestu,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 tento text doplniť za bodkočiarku: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bezprostrednom okolí vojnového hrobu nie je možné organizovať zhromaždenia, ktoré priamo nevyjadrujú úctu a pietu tomuto miestu."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 3 ods. 3 písm. a) smeruje k posilneniu ochrany dôstojnosti vojnových hrobov, vojnových pietnych miest a vojnových cintorínov. Tieto miesta majú osobitný historický, spoločenský a morálny význam a ich základným účelom je uchovávanie pamiatky obetí vojny, účastníkov protifašistického odboja a ďalších osôb, ktorých pozostatky sú na danom mieste uložené alebo ktorým je dané miesto venované.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Doterajšia právna úprava ukladá povinnosť zabezpečiť, aby sa v bezprostrednom okolí vojnového hrobu nenachádzala vec alebo zariadenie nezlučiteľné s úctou k tomuto miestu. Výslovne však nerieši organizovanie verejných zhromaždení, politických podujatí, manifestácií alebo iných verejných aktivít, ktorých obsah a účel nemajú priamu súvislosť s pietnym charakterom daného miesta. Takéto podujatia pritom môžu svojím priebehom, používanými symbolmi, heslami alebo politickými prejavmi narušiť dôstojnosť vojnového hrobu a zmeniť pietne miesto na priestor aktuálneho politického alebo ideologického zápasu.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Potreba doplnenia právnej úpravy vyplynula aj zo skúseností so zhromaždeniami organizovanými v bezprostrednom okolí vojnového pamätníka v Košiciach, počas ktorých boli používané aj heslá „Sláva Ukrajine“ a „Hrdinom sláva“. Uvedené heslá majú okrem ich dnešného politického používania aj historické súvislosti s Organizáciou ukrajinských nacionalistov a s nacionalistickými hnutiami pôsobiacimi počas druhej svetovej vojny. Ich používanie pri pamätníku venovanom obetiam vojny preto môže byť vzhľadom na historický kontext a účel konkrétneho pamätníka vnímané ako nezlučiteľné s jeho pietnym charakterom a ako konanie spôsobilé vyvolávať spoločenské napätie.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ustanovenie nemá za cieľ všeobecne obmedziť slobodu zhromažďovania. Jeho účelom je ustanoviť osobitný režim pre bezprostredné okolie vojnových hrobov, vojnových pietnych miest a vojnových cintorínov, ktoré vzhľadom na svoju povahu nemajú slúžiť ako bežné priestory na organizovanie politických, ideologických alebo protestných zhromaždení.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Zhromaždenia na týchto miestach alebo v ich bezprostrednom okolí by mali byť prípustné len vtedy, ak svojím účelom, obsahom a priebehom priamo vyjadrujú úctu a pietu k osobám, udalostiam alebo historickému odkazu, ktorému je dané miesto venované. Môže ísť najmä o pietne akty, spomienkové podujatia, kladenie vencov, pripomínanie výročí, náboženské obrady alebo vzdelávacie a historické podujatia zachovávajúce dôstojnosť miesta.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Zákonné vymedzenie zároveň poskytne obciam a príslušným orgánom jednoznačnejší právny základ na posudzovanie oznámených zhromaždení a na prijatie primeraných opatrení v prípadoch, keď by účel alebo predpokladaný priebeh podujatia mohol byť v rozpore s pietnym charakterom vojnového hrobu. Predíde sa tým situáciám, keď príslušný orgán nezasiahne napriek tomu, že zhromaždenie svojím obsahom alebo priebehom zjavne nesúvisí s prejavením úcty k danému miestu.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Vojnové hroby a pietne miesta predstavujú priestor spoločnej historickej pamäti. Nejestvuje preto legitímny dôvod, aby sa priamo na týchto miestach alebo v ich bezprostrednom okolí organizovali zhromaždenia, ktoré nesmerujú k ucteniu pamiatky obetí, ale využívajú pietne miesto na presadzovanie aktuálnych politických, ideologických alebo iných nesúvisiacich cieľov.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Navrhované znenie dotknutého ustanovenia dostatočným spôsobom zabezpečí úctu k tomuto miestu. Obmedzenie spočívajúce v zákaze organizovania zhromaždení v bezprostrednej blízkosti vojnového hrobu by pre obce predstavovalo neprimeranú a v praxi len ťažko kontrolovateľnú záťaž. Vzhľadom na uvedené nie je úprava potrebná.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Predkladateľ zároveň uvádza, že zástupca verejnosti nepredložil </w:t>
              <w:br/>
            </w:r>
            <w:r>
              <w:rPr>
                <w:b w:val="off"/>
                <w:color w:val="000000"/>
                <w:rFonts w:ascii="Times New Roman" w:hAnsi="Times New Roman" w:cs="Times New Roman" w:eastAsia="Times New Roman"/>
                <w:sz w:val="24"/>
              </w:rPr>
              <w:t xml:space="preserve">zoznam osôb, ktoré sa stotožnili s predmetom hromadnej pripomienky, a preto sa rozporové konanie k pripomienke neuskutočnilo (§ 10 ods. 4 zákona č. 400/2015 Z. z.).  </w:t>
            </w:r>
          </w:p>
        </w:tc>
      </w:tr>
    </w:tbl>
    <w:p w14:paraId="1F01DA97" w14:textId="77777777" w:rsidR="00E66622" w:rsidRDefault="00E66622">
      <w:pPr>
        <w:rPr>
          <w:rFonts w:ascii="Times New Roman" w:hAnsi="Times New Roman" w:cs="Times New Roman"/>
        </w:rPr>
      </w:pPr>
    </w:p>
    <w:p w14:paraId="20BAA03A" w14:textId="3B15C826" w:rsidR="00677591" w:rsidRDefault="00677591" w:rsidP="001E6254">
      <w:pPr>
        <w:keepLines/>
        <w:rPr>
          <w:rFonts w:ascii="Times New Roman" w:hAnsi="Times New Roman" w:cs="Times New Roman"/>
          <w:sz w:val="24"/>
          <w:szCs w:val="24"/>
          <w:lang w:val="en-US"/>
        </w:rPr>
      </w:pPr>
      <w:r w:rsidRPr="00677591">
        <w:rPr>
          <w:rFonts w:ascii="Times New Roman" w:hAnsi="Times New Roman" w:cs="Times New Roman"/>
          <w:sz w:val="24"/>
          <w:szCs w:val="24"/>
        </w:rPr>
        <w:t>Sumarizácia vznesených pripomienok pod</w:t>
      </w:r>
      <w:r w:rsidRPr="00677591">
        <w:rPr>
          <w:rFonts w:ascii="Times New Roman" w:hAnsi="Times New Roman" w:cs="Times New Roman"/>
          <w:sz w:val="24"/>
          <w:szCs w:val="24"/>
          <w:lang w:val="en-US"/>
        </w:rPr>
        <w:t>ľa subjektov</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50"/>
        <w:gridCol w:w="6777"/>
        <w:gridCol w:w="1550"/>
        <w:gridCol w:w="1550"/>
        <w:gridCol w:w="1537"/>
        <w:gridCol w:w="1096"/>
      </w:tblGrid>
      <w:tr w:rsidR="00634468" w:rsidRPr="00785E8D" w14:paraId="45EBE45F" w14:textId="77777777" w:rsidTr="008C63F3">
        <w:trPr>
          <w:trHeight w:val="648"/>
          <w:jc w:val="center"/>
        </w:trPr>
        <w:tc>
          <w:tcPr>
            <w:tcW w:w="178" w:type="pct"/>
            <w:tcBorders>
              <w:right w:val="single" w:sz="2" w:space="0" w:color="auto"/>
            </w:tcBorders>
            <w:vAlign w:val="center"/>
          </w:tcPr>
          <w:p w14:paraId="2337D103" w14:textId="702E9A83" w:rsidR="00634468" w:rsidRPr="00785E8D"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Č.</w:t>
            </w:r>
          </w:p>
        </w:tc>
        <w:tc>
          <w:tcPr>
            <w:tcW w:w="2750" w:type="pct"/>
            <w:tcBorders>
              <w:top w:val="single" w:sz="2" w:space="0" w:color="auto"/>
              <w:left w:val="single" w:sz="2" w:space="0" w:color="auto"/>
              <w:bottom w:val="single" w:sz="4" w:space="0" w:color="auto"/>
              <w:right w:val="single" w:sz="2" w:space="0" w:color="auto"/>
            </w:tcBorders>
            <w:vAlign w:val="center"/>
          </w:tcPr>
          <w:p w14:paraId="2F5A17B0" w14:textId="580FA8A4"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Subjekt</w:t>
            </w:r>
          </w:p>
        </w:tc>
        <w:tc>
          <w:tcPr>
            <w:tcW w:w="613" w:type="pct"/>
            <w:tcBorders>
              <w:left w:val="single" w:sz="2" w:space="0" w:color="auto"/>
            </w:tcBorders>
            <w:vAlign w:val="center"/>
          </w:tcPr>
          <w:p w14:paraId="2E49D00C" w14:textId="475549EF"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Pripomienky do termínu</w:t>
            </w:r>
          </w:p>
        </w:tc>
        <w:tc>
          <w:tcPr>
            <w:tcW w:w="613" w:type="pct"/>
            <w:vAlign w:val="center"/>
          </w:tcPr>
          <w:p w14:paraId="2E4B8C3C" w14:textId="1CD05F49" w:rsidR="00634468" w:rsidRPr="00A80C4C" w:rsidRDefault="00A80C4C" w:rsidP="001E6254">
            <w:pPr>
              <w:keepLines/>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rPr>
              <w:t>Pripomienky po termíne</w:t>
            </w:r>
          </w:p>
        </w:tc>
        <w:tc>
          <w:tcPr>
            <w:tcW w:w="486" w:type="pct"/>
            <w:vAlign w:val="center"/>
          </w:tcPr>
          <w:p w14:paraId="4561F266" w14:textId="377257BE" w:rsidR="00634468"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Nemali pripomienky</w:t>
            </w:r>
          </w:p>
        </w:tc>
        <w:tc>
          <w:tcPr>
            <w:tcW w:w="486" w:type="pct"/>
            <w:vAlign w:val="center"/>
          </w:tcPr>
          <w:p w14:paraId="44212096" w14:textId="60E9F3CB"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Vôbec neza</w:t>
            </w:r>
            <w:r w:rsidR="0001352E">
              <w:rPr>
                <w:rFonts w:ascii="Times New Roman" w:hAnsi="Times New Roman" w:cs="Times New Roman"/>
                <w:b/>
                <w:bCs/>
                <w:sz w:val="24"/>
                <w:szCs w:val="24"/>
              </w:rPr>
              <w:t>slali</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APZD</w:t>
            </w:r>
            <w:r>
              <w:rPr>
                <w:b w:val="off"/>
                <w:color w:val="000000"/>
                <w:rFonts w:ascii="Times New Roman" w:hAnsi="Times New Roman" w:cs="Times New Roman" w:eastAsia="Times New Roman"/>
                <w:sz w:val="24"/>
              </w:rPr>
              <w:t xml:space="preserve"> – Asociácia priemyselných zväzov a dopravy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w:t>
            </w:r>
          </w:p>
        </w:tc>
        <w:tc>
          <w:tcPr>
            <w:vAlign w:val="top"/>
          </w:tcPr>
          <w:p>
            <w:pPr>
              <w:spacing w:after="0"/>
              <w:jc w:val="start"/>
            </w:pPr>
            <w:r>
              <w:rPr>
                <w:b w:val="on"/>
                <w:color w:val="000000"/>
                <w:rFonts w:ascii="Times New Roman" w:hAnsi="Times New Roman" w:cs="Times New Roman" w:eastAsia="Times New Roman"/>
                <w:sz w:val="24"/>
              </w:rPr>
              <w:t>AZZZ SR</w:t>
            </w:r>
            <w:r>
              <w:rPr>
                <w:b w:val="off"/>
                <w:color w:val="000000"/>
                <w:rFonts w:ascii="Times New Roman" w:hAnsi="Times New Roman" w:cs="Times New Roman" w:eastAsia="Times New Roman"/>
                <w:sz w:val="24"/>
              </w:rPr>
              <w:t xml:space="preserve"> – Asociácia zamestnávatelských zväzov a združení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w:t>
            </w:r>
          </w:p>
        </w:tc>
        <w:tc>
          <w:tcPr>
            <w:vAlign w:val="top"/>
          </w:tcPr>
          <w:p>
            <w:pPr>
              <w:spacing w:after="0"/>
              <w:jc w:val="start"/>
            </w:pPr>
            <w:r>
              <w:rPr>
                <w:b w:val="on"/>
                <w:color w:val="000000"/>
                <w:rFonts w:ascii="Times New Roman" w:hAnsi="Times New Roman" w:cs="Times New Roman" w:eastAsia="Times New Roman"/>
                <w:sz w:val="24"/>
              </w:rPr>
              <w:t>BBSK</w:t>
            </w:r>
            <w:r>
              <w:rPr>
                <w:b w:val="off"/>
                <w:color w:val="000000"/>
                <w:rFonts w:ascii="Times New Roman" w:hAnsi="Times New Roman" w:cs="Times New Roman" w:eastAsia="Times New Roman"/>
                <w:sz w:val="24"/>
              </w:rPr>
              <w:t xml:space="preserve"> – Banskobystrický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w:t>
            </w:r>
          </w:p>
        </w:tc>
        <w:tc>
          <w:tcPr>
            <w:vAlign w:val="top"/>
          </w:tcPr>
          <w:p>
            <w:pPr>
              <w:spacing w:after="0"/>
              <w:jc w:val="start"/>
            </w:pPr>
            <w:r>
              <w:rPr>
                <w:b w:val="on"/>
                <w:color w:val="000000"/>
                <w:rFonts w:ascii="Times New Roman" w:hAnsi="Times New Roman" w:cs="Times New Roman" w:eastAsia="Times New Roman"/>
                <w:sz w:val="24"/>
              </w:rPr>
              <w:t>BSK</w:t>
            </w:r>
            <w:r>
              <w:rPr>
                <w:b w:val="off"/>
                <w:color w:val="000000"/>
                <w:rFonts w:ascii="Times New Roman" w:hAnsi="Times New Roman" w:cs="Times New Roman" w:eastAsia="Times New Roman"/>
                <w:sz w:val="24"/>
              </w:rPr>
              <w:t xml:space="preserve"> – BRATISLAVSKÝ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w:t>
            </w:r>
          </w:p>
        </w:tc>
        <w:tc>
          <w:tcPr>
            <w:vAlign w:val="top"/>
          </w:tcPr>
          <w:p>
            <w:pPr>
              <w:spacing w:after="0"/>
              <w:jc w:val="start"/>
            </w:pPr>
            <w:r>
              <w:rPr>
                <w:b w:val="on"/>
                <w:color w:val="000000"/>
                <w:rFonts w:ascii="Times New Roman" w:hAnsi="Times New Roman" w:cs="Times New Roman" w:eastAsia="Times New Roman"/>
                <w:sz w:val="24"/>
              </w:rPr>
              <w:t>GPSR</w:t>
            </w:r>
            <w:r>
              <w:rPr>
                <w:b w:val="off"/>
                <w:color w:val="000000"/>
                <w:rFonts w:ascii="Times New Roman" w:hAnsi="Times New Roman" w:cs="Times New Roman" w:eastAsia="Times New Roman"/>
                <w:sz w:val="24"/>
              </w:rPr>
              <w:t xml:space="preserve"> – Generálna prokuratúra Slovenskej republiky</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w:t>
            </w:r>
          </w:p>
        </w:tc>
        <w:tc>
          <w:tcPr>
            <w:vAlign w:val="top"/>
          </w:tcPr>
          <w:p>
            <w:pPr>
              <w:spacing w:after="0"/>
              <w:jc w:val="start"/>
            </w:pPr>
            <w:r>
              <w:rPr>
                <w:b w:val="on"/>
                <w:color w:val="000000"/>
                <w:rFonts w:ascii="Times New Roman" w:hAnsi="Times New Roman" w:cs="Times New Roman" w:eastAsia="Times New Roman"/>
                <w:sz w:val="24"/>
              </w:rPr>
              <w:t>KBS</w:t>
            </w:r>
            <w:r>
              <w:rPr>
                <w:b w:val="off"/>
                <w:color w:val="000000"/>
                <w:rFonts w:ascii="Times New Roman" w:hAnsi="Times New Roman" w:cs="Times New Roman" w:eastAsia="Times New Roman"/>
                <w:sz w:val="24"/>
              </w:rPr>
              <w:t xml:space="preserve"> – Konferencia biskupov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w:t>
            </w:r>
          </w:p>
        </w:tc>
        <w:tc>
          <w:tcPr>
            <w:vAlign w:val="top"/>
          </w:tcPr>
          <w:p>
            <w:pPr>
              <w:spacing w:after="0"/>
              <w:jc w:val="start"/>
            </w:pPr>
            <w:r>
              <w:rPr>
                <w:b w:val="on"/>
                <w:color w:val="000000"/>
                <w:rFonts w:ascii="Times New Roman" w:hAnsi="Times New Roman" w:cs="Times New Roman" w:eastAsia="Times New Roman"/>
                <w:sz w:val="24"/>
              </w:rPr>
              <w:t>KOZSR</w:t>
            </w:r>
            <w:r>
              <w:rPr>
                <w:b w:val="off"/>
                <w:color w:val="000000"/>
                <w:rFonts w:ascii="Times New Roman" w:hAnsi="Times New Roman" w:cs="Times New Roman" w:eastAsia="Times New Roman"/>
                <w:sz w:val="24"/>
              </w:rPr>
              <w:t xml:space="preserve"> – Konfederácia odborových zväzov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w:t>
            </w:r>
          </w:p>
        </w:tc>
        <w:tc>
          <w:tcPr>
            <w:vAlign w:val="top"/>
          </w:tcPr>
          <w:p>
            <w:pPr>
              <w:spacing w:after="0"/>
              <w:jc w:val="start"/>
            </w:pPr>
            <w:r>
              <w:rPr>
                <w:b w:val="on"/>
                <w:color w:val="000000"/>
                <w:rFonts w:ascii="Times New Roman" w:hAnsi="Times New Roman" w:cs="Times New Roman" w:eastAsia="Times New Roman"/>
                <w:sz w:val="24"/>
              </w:rPr>
              <w:t>KSK</w:t>
            </w:r>
            <w:r>
              <w:rPr>
                <w:b w:val="off"/>
                <w:color w:val="000000"/>
                <w:rFonts w:ascii="Times New Roman" w:hAnsi="Times New Roman" w:cs="Times New Roman" w:eastAsia="Times New Roman"/>
                <w:sz w:val="24"/>
              </w:rPr>
              <w:t xml:space="preserve"> – Košický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9.</w:t>
            </w:r>
          </w:p>
        </w:tc>
        <w:tc>
          <w:tcPr>
            <w:vAlign w:val="top"/>
          </w:tcPr>
          <w:p>
            <w:pPr>
              <w:spacing w:after="0"/>
              <w:jc w:val="start"/>
            </w:pPr>
            <w:r>
              <w:rPr>
                <w:b w:val="on"/>
                <w:color w:val="000000"/>
                <w:rFonts w:ascii="Times New Roman" w:hAnsi="Times New Roman" w:cs="Times New Roman" w:eastAsia="Times New Roman"/>
                <w:sz w:val="24"/>
              </w:rPr>
              <w:t>Klub 500</w:t>
            </w:r>
            <w:r>
              <w:rPr>
                <w:b w:val="off"/>
                <w:color w:val="000000"/>
                <w:rFonts w:ascii="Times New Roman" w:hAnsi="Times New Roman" w:cs="Times New Roman" w:eastAsia="Times New Roman"/>
                <w:sz w:val="24"/>
              </w:rPr>
              <w:t xml:space="preserve"> – Klub 500</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10.</w:t>
            </w:r>
          </w:p>
        </w:tc>
        <w:tc>
          <w:tcPr>
            <w:vAlign w:val="top"/>
          </w:tcPr>
          <w:p>
            <w:pPr>
              <w:spacing w:after="0"/>
              <w:jc w:val="start"/>
            </w:pPr>
            <w:r>
              <w:rPr>
                <w:b w:val="on"/>
                <w:color w:val="000000"/>
                <w:rFonts w:ascii="Times New Roman" w:hAnsi="Times New Roman" w:cs="Times New Roman" w:eastAsia="Times New Roman"/>
                <w:sz w:val="24"/>
              </w:rPr>
              <w:t>MDSR</w:t>
            </w:r>
            <w:r>
              <w:rPr>
                <w:b w:val="off"/>
                <w:color w:val="000000"/>
                <w:rFonts w:ascii="Times New Roman" w:hAnsi="Times New Roman" w:cs="Times New Roman" w:eastAsia="Times New Roman"/>
                <w:sz w:val="24"/>
              </w:rPr>
              <w:t xml:space="preserve"> – Ministerstvo dopravy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11.</w:t>
            </w:r>
          </w:p>
        </w:tc>
        <w:tc>
          <w:tcPr>
            <w:vAlign w:val="top"/>
          </w:tcPr>
          <w:p>
            <w:pPr>
              <w:spacing w:after="0"/>
              <w:jc w:val="start"/>
            </w:pPr>
            <w:r>
              <w:rPr>
                <w:b w:val="on"/>
                <w:color w:val="000000"/>
                <w:rFonts w:ascii="Times New Roman" w:hAnsi="Times New Roman" w:cs="Times New Roman" w:eastAsia="Times New Roman"/>
                <w:sz w:val="24"/>
              </w:rPr>
              <w:t>MFSR</w:t>
            </w:r>
            <w:r>
              <w:rPr>
                <w:b w:val="off"/>
                <w:color w:val="000000"/>
                <w:rFonts w:ascii="Times New Roman" w:hAnsi="Times New Roman" w:cs="Times New Roman" w:eastAsia="Times New Roman"/>
                <w:sz w:val="24"/>
              </w:rPr>
              <w:t xml:space="preserve"> – Ministerstvo financií Slovenskej republiky</w:t>
            </w:r>
          </w:p>
        </w:tc>
        <w:tc>
          <w:tcPr>
            <w:vAlign w:val="top"/>
          </w:tcPr>
          <w:p>
            <w:pPr>
              <w:spacing w:after="0"/>
              <w:jc w:val="center"/>
            </w:pPr>
            <w:r>
              <w:rPr>
                <w:b w:val="off"/>
                <w:color w:val="000000"/>
                <w:rFonts w:ascii="Times New Roman" w:hAnsi="Times New Roman" w:cs="Times New Roman" w:eastAsia="Times New Roman"/>
                <w:sz w:val="24"/>
              </w:rPr>
              <w:t>4 (3o,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12.</w:t>
            </w:r>
          </w:p>
        </w:tc>
        <w:tc>
          <w:tcPr>
            <w:vAlign w:val="top"/>
          </w:tcPr>
          <w:p>
            <w:pPr>
              <w:spacing w:after="0"/>
              <w:jc w:val="start"/>
            </w:pPr>
            <w:r>
              <w:rPr>
                <w:b w:val="on"/>
                <w:color w:val="000000"/>
                <w:rFonts w:ascii="Times New Roman" w:hAnsi="Times New Roman" w:cs="Times New Roman" w:eastAsia="Times New Roman"/>
                <w:sz w:val="24"/>
              </w:rPr>
              <w:t>MHSR</w:t>
            </w:r>
            <w:r>
              <w:rPr>
                <w:b w:val="off"/>
                <w:color w:val="000000"/>
                <w:rFonts w:ascii="Times New Roman" w:hAnsi="Times New Roman" w:cs="Times New Roman" w:eastAsia="Times New Roman"/>
                <w:sz w:val="24"/>
              </w:rPr>
              <w:t xml:space="preserve"> – Ministerstvo hospodárstva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13.</w:t>
            </w:r>
          </w:p>
        </w:tc>
        <w:tc>
          <w:tcPr>
            <w:vAlign w:val="top"/>
          </w:tcPr>
          <w:p>
            <w:pPr>
              <w:spacing w:after="0"/>
              <w:jc w:val="start"/>
            </w:pPr>
            <w:r>
              <w:rPr>
                <w:b w:val="on"/>
                <w:color w:val="000000"/>
                <w:rFonts w:ascii="Times New Roman" w:hAnsi="Times New Roman" w:cs="Times New Roman" w:eastAsia="Times New Roman"/>
                <w:sz w:val="24"/>
              </w:rPr>
              <w:t>MINCRS</w:t>
            </w:r>
            <w:r>
              <w:rPr>
                <w:b w:val="off"/>
                <w:color w:val="000000"/>
                <w:rFonts w:ascii="Times New Roman" w:hAnsi="Times New Roman" w:cs="Times New Roman" w:eastAsia="Times New Roman"/>
                <w:sz w:val="24"/>
              </w:rPr>
              <w:t xml:space="preserve"> – Ministerstvo cestovného ruchu a športu Slovenskej republiky</w:t>
            </w:r>
          </w:p>
        </w:tc>
        <w:tc>
          <w:tcPr>
            <w:vAlign w:val="top"/>
          </w:tcPr>
          <w:p>
            <w:pPr>
              <w:spacing w:after="0"/>
              <w:jc w:val="center"/>
            </w:pPr>
            <w:r>
              <w:rPr>
                <w:b w:val="off"/>
                <w:color w:val="000000"/>
                <w:rFonts w:ascii="Times New Roman" w:hAnsi="Times New Roman" w:cs="Times New Roman" w:eastAsia="Times New Roman"/>
                <w:sz w:val="24"/>
              </w:rPr>
              <w:t>4 (4o,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14.</w:t>
            </w:r>
          </w:p>
        </w:tc>
        <w:tc>
          <w:tcPr>
            <w:vAlign w:val="top"/>
          </w:tcPr>
          <w:p>
            <w:pPr>
              <w:spacing w:after="0"/>
              <w:jc w:val="start"/>
            </w:pPr>
            <w:r>
              <w:rPr>
                <w:b w:val="on"/>
                <w:color w:val="000000"/>
                <w:rFonts w:ascii="Times New Roman" w:hAnsi="Times New Roman" w:cs="Times New Roman" w:eastAsia="Times New Roman"/>
                <w:sz w:val="24"/>
              </w:rPr>
              <w:t>MIRRI SR</w:t>
            </w:r>
            <w:r>
              <w:rPr>
                <w:b w:val="off"/>
                <w:color w:val="000000"/>
                <w:rFonts w:ascii="Times New Roman" w:hAnsi="Times New Roman" w:cs="Times New Roman" w:eastAsia="Times New Roman"/>
                <w:sz w:val="24"/>
              </w:rPr>
              <w:t xml:space="preserve"> – Ministerstvo investícií, regionálneho rozvoja a informatizácie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15.</w:t>
            </w:r>
          </w:p>
        </w:tc>
        <w:tc>
          <w:tcPr>
            <w:vAlign w:val="top"/>
          </w:tcPr>
          <w:p>
            <w:pPr>
              <w:spacing w:after="0"/>
              <w:jc w:val="start"/>
            </w:pPr>
            <w:r>
              <w:rPr>
                <w:b w:val="on"/>
                <w:color w:val="000000"/>
                <w:rFonts w:ascii="Times New Roman" w:hAnsi="Times New Roman" w:cs="Times New Roman" w:eastAsia="Times New Roman"/>
                <w:sz w:val="24"/>
              </w:rPr>
              <w:t>MKSR</w:t>
            </w:r>
            <w:r>
              <w:rPr>
                <w:b w:val="off"/>
                <w:color w:val="000000"/>
                <w:rFonts w:ascii="Times New Roman" w:hAnsi="Times New Roman" w:cs="Times New Roman" w:eastAsia="Times New Roman"/>
                <w:sz w:val="24"/>
              </w:rPr>
              <w:t xml:space="preserve"> – Ministerstvo kultúry Slovenskej republiky</w:t>
            </w:r>
          </w:p>
        </w:tc>
        <w:tc>
          <w:tcPr>
            <w:vAlign w:val="top"/>
          </w:tcPr>
          <w:p>
            <w:pPr>
              <w:spacing w:after="0"/>
              <w:jc w:val="center"/>
            </w:pPr>
            <w:r>
              <w:rPr>
                <w:b w:val="off"/>
                <w:color w:val="000000"/>
                <w:rFonts w:ascii="Times New Roman" w:hAnsi="Times New Roman" w:cs="Times New Roman" w:eastAsia="Times New Roman"/>
                <w:sz w:val="24"/>
              </w:rPr>
              <w:t>5 (5o,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16.</w:t>
            </w:r>
          </w:p>
        </w:tc>
        <w:tc>
          <w:tcPr>
            <w:vAlign w:val="top"/>
          </w:tcPr>
          <w:p>
            <w:pPr>
              <w:spacing w:after="0"/>
              <w:jc w:val="start"/>
            </w:pPr>
            <w:r>
              <w:rPr>
                <w:b w:val="on"/>
                <w:color w:val="000000"/>
                <w:rFonts w:ascii="Times New Roman" w:hAnsi="Times New Roman" w:cs="Times New Roman" w:eastAsia="Times New Roman"/>
                <w:sz w:val="24"/>
              </w:rPr>
              <w:t>MOSR</w:t>
            </w:r>
            <w:r>
              <w:rPr>
                <w:b w:val="off"/>
                <w:color w:val="000000"/>
                <w:rFonts w:ascii="Times New Roman" w:hAnsi="Times New Roman" w:cs="Times New Roman" w:eastAsia="Times New Roman"/>
                <w:sz w:val="24"/>
              </w:rPr>
              <w:t xml:space="preserve"> – Ministerstvo obrany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17.</w:t>
            </w:r>
          </w:p>
        </w:tc>
        <w:tc>
          <w:tcPr>
            <w:vAlign w:val="top"/>
          </w:tcPr>
          <w:p>
            <w:pPr>
              <w:spacing w:after="0"/>
              <w:jc w:val="start"/>
            </w:pPr>
            <w:r>
              <w:rPr>
                <w:b w:val="on"/>
                <w:color w:val="000000"/>
                <w:rFonts w:ascii="Times New Roman" w:hAnsi="Times New Roman" w:cs="Times New Roman" w:eastAsia="Times New Roman"/>
                <w:sz w:val="24"/>
              </w:rPr>
              <w:t>MPRVSR</w:t>
            </w:r>
            <w:r>
              <w:rPr>
                <w:b w:val="off"/>
                <w:color w:val="000000"/>
                <w:rFonts w:ascii="Times New Roman" w:hAnsi="Times New Roman" w:cs="Times New Roman" w:eastAsia="Times New Roman"/>
                <w:sz w:val="24"/>
              </w:rPr>
              <w:t xml:space="preserve"> – Ministerstvo pôdohospodárstva a rozvoja vidieka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18.</w:t>
            </w:r>
          </w:p>
        </w:tc>
        <w:tc>
          <w:tcPr>
            <w:vAlign w:val="top"/>
          </w:tcPr>
          <w:p>
            <w:pPr>
              <w:spacing w:after="0"/>
              <w:jc w:val="start"/>
            </w:pPr>
            <w:r>
              <w:rPr>
                <w:b w:val="on"/>
                <w:color w:val="000000"/>
                <w:rFonts w:ascii="Times New Roman" w:hAnsi="Times New Roman" w:cs="Times New Roman" w:eastAsia="Times New Roman"/>
                <w:sz w:val="24"/>
              </w:rPr>
              <w:t>MPSVRSR</w:t>
            </w:r>
            <w:r>
              <w:rPr>
                <w:b w:val="off"/>
                <w:color w:val="000000"/>
                <w:rFonts w:ascii="Times New Roman" w:hAnsi="Times New Roman" w:cs="Times New Roman" w:eastAsia="Times New Roman"/>
                <w:sz w:val="24"/>
              </w:rPr>
              <w:t xml:space="preserve"> – Ministerstvo práce, sociálnych vecí a rodiny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19.</w:t>
            </w:r>
          </w:p>
        </w:tc>
        <w:tc>
          <w:tcPr>
            <w:vAlign w:val="top"/>
          </w:tcPr>
          <w:p>
            <w:pPr>
              <w:spacing w:after="0"/>
              <w:jc w:val="start"/>
            </w:pPr>
            <w:r>
              <w:rPr>
                <w:b w:val="on"/>
                <w:color w:val="000000"/>
                <w:rFonts w:ascii="Times New Roman" w:hAnsi="Times New Roman" w:cs="Times New Roman" w:eastAsia="Times New Roman"/>
                <w:sz w:val="24"/>
              </w:rPr>
              <w:t>MSSR</w:t>
            </w:r>
            <w:r>
              <w:rPr>
                <w:b w:val="off"/>
                <w:color w:val="000000"/>
                <w:rFonts w:ascii="Times New Roman" w:hAnsi="Times New Roman" w:cs="Times New Roman" w:eastAsia="Times New Roman"/>
                <w:sz w:val="24"/>
              </w:rPr>
              <w:t xml:space="preserve"> – Ministerstvo spravodlivosti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20.</w:t>
            </w:r>
          </w:p>
        </w:tc>
        <w:tc>
          <w:tcPr>
            <w:vAlign w:val="top"/>
          </w:tcPr>
          <w:p>
            <w:pPr>
              <w:spacing w:after="0"/>
              <w:jc w:val="start"/>
            </w:pPr>
            <w:r>
              <w:rPr>
                <w:b w:val="on"/>
                <w:color w:val="000000"/>
                <w:rFonts w:ascii="Times New Roman" w:hAnsi="Times New Roman" w:cs="Times New Roman" w:eastAsia="Times New Roman"/>
                <w:sz w:val="24"/>
              </w:rPr>
              <w:t>MVSR</w:t>
            </w:r>
            <w:r>
              <w:rPr>
                <w:b w:val="off"/>
                <w:color w:val="000000"/>
                <w:rFonts w:ascii="Times New Roman" w:hAnsi="Times New Roman" w:cs="Times New Roman" w:eastAsia="Times New Roman"/>
                <w:sz w:val="24"/>
              </w:rPr>
              <w:t xml:space="preserve"> – Ministerstvo vnútra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21.</w:t>
            </w:r>
          </w:p>
        </w:tc>
        <w:tc>
          <w:tcPr>
            <w:vAlign w:val="top"/>
          </w:tcPr>
          <w:p>
            <w:pPr>
              <w:spacing w:after="0"/>
              <w:jc w:val="start"/>
            </w:pPr>
            <w:r>
              <w:rPr>
                <w:b w:val="on"/>
                <w:color w:val="000000"/>
                <w:rFonts w:ascii="Times New Roman" w:hAnsi="Times New Roman" w:cs="Times New Roman" w:eastAsia="Times New Roman"/>
                <w:sz w:val="24"/>
              </w:rPr>
              <w:t>MZSR</w:t>
            </w:r>
            <w:r>
              <w:rPr>
                <w:b w:val="off"/>
                <w:color w:val="000000"/>
                <w:rFonts w:ascii="Times New Roman" w:hAnsi="Times New Roman" w:cs="Times New Roman" w:eastAsia="Times New Roman"/>
                <w:sz w:val="24"/>
              </w:rPr>
              <w:t xml:space="preserve"> – Ministerstvo zdravotníctva Slovenskej republiky</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22.</w:t>
            </w:r>
          </w:p>
        </w:tc>
        <w:tc>
          <w:tcPr>
            <w:vAlign w:val="top"/>
          </w:tcPr>
          <w:p>
            <w:pPr>
              <w:spacing w:after="0"/>
              <w:jc w:val="start"/>
            </w:pPr>
            <w:r>
              <w:rPr>
                <w:b w:val="on"/>
                <w:color w:val="000000"/>
                <w:rFonts w:ascii="Times New Roman" w:hAnsi="Times New Roman" w:cs="Times New Roman" w:eastAsia="Times New Roman"/>
                <w:sz w:val="24"/>
              </w:rPr>
              <w:t>MZVEZ SR</w:t>
            </w:r>
            <w:r>
              <w:rPr>
                <w:b w:val="off"/>
                <w:color w:val="000000"/>
                <w:rFonts w:ascii="Times New Roman" w:hAnsi="Times New Roman" w:cs="Times New Roman" w:eastAsia="Times New Roman"/>
                <w:sz w:val="24"/>
              </w:rPr>
              <w:t xml:space="preserve"> – Ministerstvo zahraničných vecí a európskych záležitostí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23.</w:t>
            </w:r>
          </w:p>
        </w:tc>
        <w:tc>
          <w:tcPr>
            <w:vAlign w:val="top"/>
          </w:tcPr>
          <w:p>
            <w:pPr>
              <w:spacing w:after="0"/>
              <w:jc w:val="start"/>
            </w:pPr>
            <w:r>
              <w:rPr>
                <w:b w:val="on"/>
                <w:color w:val="000000"/>
                <w:rFonts w:ascii="Times New Roman" w:hAnsi="Times New Roman" w:cs="Times New Roman" w:eastAsia="Times New Roman"/>
                <w:sz w:val="24"/>
              </w:rPr>
              <w:t>Mesto Banská Bystrica</w:t>
            </w:r>
            <w:r>
              <w:rPr>
                <w:b w:val="off"/>
                <w:color w:val="000000"/>
                <w:rFonts w:ascii="Times New Roman" w:hAnsi="Times New Roman" w:cs="Times New Roman" w:eastAsia="Times New Roman"/>
                <w:sz w:val="24"/>
              </w:rPr>
              <w:t xml:space="preserve"> – Mesto Banská Bystrica</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24.</w:t>
            </w:r>
          </w:p>
        </w:tc>
        <w:tc>
          <w:tcPr>
            <w:vAlign w:val="top"/>
          </w:tcPr>
          <w:p>
            <w:pPr>
              <w:spacing w:after="0"/>
              <w:jc w:val="start"/>
            </w:pPr>
            <w:r>
              <w:rPr>
                <w:b w:val="on"/>
                <w:color w:val="000000"/>
                <w:rFonts w:ascii="Times New Roman" w:hAnsi="Times New Roman" w:cs="Times New Roman" w:eastAsia="Times New Roman"/>
                <w:sz w:val="24"/>
              </w:rPr>
              <w:t>MŠVVaMSR</w:t>
            </w:r>
            <w:r>
              <w:rPr>
                <w:b w:val="off"/>
                <w:color w:val="000000"/>
                <w:rFonts w:ascii="Times New Roman" w:hAnsi="Times New Roman" w:cs="Times New Roman" w:eastAsia="Times New Roman"/>
                <w:sz w:val="24"/>
              </w:rPr>
              <w:t xml:space="preserve"> – Ministerstvo školstva,výskumu,vývoja a mládeže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25.</w:t>
            </w:r>
          </w:p>
        </w:tc>
        <w:tc>
          <w:tcPr>
            <w:vAlign w:val="top"/>
          </w:tcPr>
          <w:p>
            <w:pPr>
              <w:spacing w:after="0"/>
              <w:jc w:val="start"/>
            </w:pPr>
            <w:r>
              <w:rPr>
                <w:b w:val="on"/>
                <w:color w:val="000000"/>
                <w:rFonts w:ascii="Times New Roman" w:hAnsi="Times New Roman" w:cs="Times New Roman" w:eastAsia="Times New Roman"/>
                <w:sz w:val="24"/>
              </w:rPr>
              <w:t>MŽPSR</w:t>
            </w:r>
            <w:r>
              <w:rPr>
                <w:b w:val="off"/>
                <w:color w:val="000000"/>
                <w:rFonts w:ascii="Times New Roman" w:hAnsi="Times New Roman" w:cs="Times New Roman" w:eastAsia="Times New Roman"/>
                <w:sz w:val="24"/>
              </w:rPr>
              <w:t xml:space="preserve"> – Ministerstvo životného prostredia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26.</w:t>
            </w:r>
          </w:p>
        </w:tc>
        <w:tc>
          <w:tcPr>
            <w:vAlign w:val="top"/>
          </w:tcPr>
          <w:p>
            <w:pPr>
              <w:spacing w:after="0"/>
              <w:jc w:val="start"/>
            </w:pPr>
            <w:r>
              <w:rPr>
                <w:b w:val="on"/>
                <w:color w:val="000000"/>
                <w:rFonts w:ascii="Times New Roman" w:hAnsi="Times New Roman" w:cs="Times New Roman" w:eastAsia="Times New Roman"/>
                <w:sz w:val="24"/>
              </w:rPr>
              <w:t>NBS</w:t>
            </w:r>
            <w:r>
              <w:rPr>
                <w:b w:val="off"/>
                <w:color w:val="000000"/>
                <w:rFonts w:ascii="Times New Roman" w:hAnsi="Times New Roman" w:cs="Times New Roman" w:eastAsia="Times New Roman"/>
                <w:sz w:val="24"/>
              </w:rPr>
              <w:t xml:space="preserve"> – Národná banka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27.</w:t>
            </w:r>
          </w:p>
        </w:tc>
        <w:tc>
          <w:tcPr>
            <w:vAlign w:val="top"/>
          </w:tcPr>
          <w:p>
            <w:pPr>
              <w:spacing w:after="0"/>
              <w:jc w:val="start"/>
            </w:pPr>
            <w:r>
              <w:rPr>
                <w:b w:val="on"/>
                <w:color w:val="000000"/>
                <w:rFonts w:ascii="Times New Roman" w:hAnsi="Times New Roman" w:cs="Times New Roman" w:eastAsia="Times New Roman"/>
                <w:sz w:val="24"/>
              </w:rPr>
              <w:t>NBÚ</w:t>
            </w:r>
            <w:r>
              <w:rPr>
                <w:b w:val="off"/>
                <w:color w:val="000000"/>
                <w:rFonts w:ascii="Times New Roman" w:hAnsi="Times New Roman" w:cs="Times New Roman" w:eastAsia="Times New Roman"/>
                <w:sz w:val="24"/>
              </w:rPr>
              <w:t xml:space="preserve"> – Národný bezpečnostný úrad</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28.</w:t>
            </w:r>
          </w:p>
        </w:tc>
        <w:tc>
          <w:tcPr>
            <w:vAlign w:val="top"/>
          </w:tcPr>
          <w:p>
            <w:pPr>
              <w:spacing w:after="0"/>
              <w:jc w:val="start"/>
            </w:pPr>
            <w:r>
              <w:rPr>
                <w:b w:val="on"/>
                <w:color w:val="000000"/>
                <w:rFonts w:ascii="Times New Roman" w:hAnsi="Times New Roman" w:cs="Times New Roman" w:eastAsia="Times New Roman"/>
                <w:sz w:val="24"/>
              </w:rPr>
              <w:t>NKÚSR</w:t>
            </w:r>
            <w:r>
              <w:rPr>
                <w:b w:val="off"/>
                <w:color w:val="000000"/>
                <w:rFonts w:ascii="Times New Roman" w:hAnsi="Times New Roman" w:cs="Times New Roman" w:eastAsia="Times New Roman"/>
                <w:sz w:val="24"/>
              </w:rPr>
              <w:t xml:space="preserve"> – Najvyšší kontrolný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29.</w:t>
            </w:r>
          </w:p>
        </w:tc>
        <w:tc>
          <w:tcPr>
            <w:vAlign w:val="top"/>
          </w:tcPr>
          <w:p>
            <w:pPr>
              <w:spacing w:after="0"/>
              <w:jc w:val="start"/>
            </w:pPr>
            <w:r>
              <w:rPr>
                <w:b w:val="on"/>
                <w:color w:val="000000"/>
                <w:rFonts w:ascii="Times New Roman" w:hAnsi="Times New Roman" w:cs="Times New Roman" w:eastAsia="Times New Roman"/>
                <w:sz w:val="24"/>
              </w:rPr>
              <w:t>NSK</w:t>
            </w:r>
            <w:r>
              <w:rPr>
                <w:b w:val="off"/>
                <w:color w:val="000000"/>
                <w:rFonts w:ascii="Times New Roman" w:hAnsi="Times New Roman" w:cs="Times New Roman" w:eastAsia="Times New Roman"/>
                <w:sz w:val="24"/>
              </w:rPr>
              <w:t xml:space="preserve"> – Nitriansky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30.</w:t>
            </w:r>
          </w:p>
        </w:tc>
        <w:tc>
          <w:tcPr>
            <w:vAlign w:val="top"/>
          </w:tcPr>
          <w:p>
            <w:pPr>
              <w:spacing w:after="0"/>
              <w:jc w:val="start"/>
            </w:pPr>
            <w:r>
              <w:rPr>
                <w:b w:val="on"/>
                <w:color w:val="000000"/>
                <w:rFonts w:ascii="Times New Roman" w:hAnsi="Times New Roman" w:cs="Times New Roman" w:eastAsia="Times New Roman"/>
                <w:sz w:val="24"/>
              </w:rPr>
              <w:t>NSSR</w:t>
            </w:r>
            <w:r>
              <w:rPr>
                <w:b w:val="off"/>
                <w:color w:val="000000"/>
                <w:rFonts w:ascii="Times New Roman" w:hAnsi="Times New Roman" w:cs="Times New Roman" w:eastAsia="Times New Roman"/>
                <w:sz w:val="24"/>
              </w:rPr>
              <w:t xml:space="preserve"> – Najvyšší súd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31.</w:t>
            </w:r>
          </w:p>
        </w:tc>
        <w:tc>
          <w:tcPr>
            <w:vAlign w:val="top"/>
          </w:tcPr>
          <w:p>
            <w:pPr>
              <w:spacing w:after="0"/>
              <w:jc w:val="start"/>
            </w:pPr>
            <w:r>
              <w:rPr>
                <w:b w:val="on"/>
                <w:color w:val="000000"/>
                <w:rFonts w:ascii="Times New Roman" w:hAnsi="Times New Roman" w:cs="Times New Roman" w:eastAsia="Times New Roman"/>
                <w:sz w:val="24"/>
              </w:rPr>
              <w:t>OAPSVLÚVSR</w:t>
            </w:r>
            <w:r>
              <w:rPr>
                <w:b w:val="off"/>
                <w:color w:val="000000"/>
                <w:rFonts w:ascii="Times New Roman" w:hAnsi="Times New Roman" w:cs="Times New Roman" w:eastAsia="Times New Roman"/>
                <w:sz w:val="24"/>
              </w:rPr>
              <w:t xml:space="preserve"> – Odbor aproximácie práva sekcie vládnej legislatívy Úradu vlády SR</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32.</w:t>
            </w:r>
          </w:p>
        </w:tc>
        <w:tc>
          <w:tcPr>
            <w:vAlign w:val="top"/>
          </w:tcPr>
          <w:p>
            <w:pPr>
              <w:spacing w:after="0"/>
              <w:jc w:val="start"/>
            </w:pPr>
            <w:r>
              <w:rPr>
                <w:b w:val="on"/>
                <w:color w:val="000000"/>
                <w:rFonts w:ascii="Times New Roman" w:hAnsi="Times New Roman" w:cs="Times New Roman" w:eastAsia="Times New Roman"/>
                <w:sz w:val="24"/>
              </w:rPr>
              <w:t>PMÚSR</w:t>
            </w:r>
            <w:r>
              <w:rPr>
                <w:b w:val="off"/>
                <w:color w:val="000000"/>
                <w:rFonts w:ascii="Times New Roman" w:hAnsi="Times New Roman" w:cs="Times New Roman" w:eastAsia="Times New Roman"/>
                <w:sz w:val="24"/>
              </w:rPr>
              <w:t xml:space="preserve"> – Protimonopolný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33.</w:t>
            </w:r>
          </w:p>
        </w:tc>
        <w:tc>
          <w:tcPr>
            <w:vAlign w:val="top"/>
          </w:tcPr>
          <w:p>
            <w:pPr>
              <w:spacing w:after="0"/>
              <w:jc w:val="start"/>
            </w:pPr>
            <w:r>
              <w:rPr>
                <w:b w:val="on"/>
                <w:color w:val="000000"/>
                <w:rFonts w:ascii="Times New Roman" w:hAnsi="Times New Roman" w:cs="Times New Roman" w:eastAsia="Times New Roman"/>
                <w:sz w:val="24"/>
              </w:rPr>
              <w:t>PSK</w:t>
            </w:r>
            <w:r>
              <w:rPr>
                <w:b w:val="off"/>
                <w:color w:val="000000"/>
                <w:rFonts w:ascii="Times New Roman" w:hAnsi="Times New Roman" w:cs="Times New Roman" w:eastAsia="Times New Roman"/>
                <w:sz w:val="24"/>
              </w:rPr>
              <w:t xml:space="preserve"> – Prešovský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34.</w:t>
            </w:r>
          </w:p>
        </w:tc>
        <w:tc>
          <w:tcPr>
            <w:vAlign w:val="top"/>
          </w:tcPr>
          <w:p>
            <w:pPr>
              <w:spacing w:after="0"/>
              <w:jc w:val="start"/>
            </w:pPr>
            <w:r>
              <w:rPr>
                <w:b w:val="on"/>
                <w:color w:val="000000"/>
                <w:rFonts w:ascii="Times New Roman" w:hAnsi="Times New Roman" w:cs="Times New Roman" w:eastAsia="Times New Roman"/>
                <w:sz w:val="24"/>
              </w:rPr>
              <w:t>RÚZSR</w:t>
            </w:r>
            <w:r>
              <w:rPr>
                <w:b w:val="off"/>
                <w:color w:val="000000"/>
                <w:rFonts w:ascii="Times New Roman" w:hAnsi="Times New Roman" w:cs="Times New Roman" w:eastAsia="Times New Roman"/>
                <w:sz w:val="24"/>
              </w:rPr>
              <w:t xml:space="preserve"> – Republiková únia zamestnávateľov</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35.</w:t>
            </w:r>
          </w:p>
        </w:tc>
        <w:tc>
          <w:tcPr>
            <w:vAlign w:val="top"/>
          </w:tcPr>
          <w:p>
            <w:pPr>
              <w:spacing w:after="0"/>
              <w:jc w:val="start"/>
            </w:pPr>
            <w:r>
              <w:rPr>
                <w:b w:val="on"/>
                <w:color w:val="000000"/>
                <w:rFonts w:ascii="Times New Roman" w:hAnsi="Times New Roman" w:cs="Times New Roman" w:eastAsia="Times New Roman"/>
                <w:sz w:val="24"/>
              </w:rPr>
              <w:t>SK8</w:t>
            </w:r>
            <w:r>
              <w:rPr>
                <w:b w:val="off"/>
                <w:color w:val="000000"/>
                <w:rFonts w:ascii="Times New Roman" w:hAnsi="Times New Roman" w:cs="Times New Roman" w:eastAsia="Times New Roman"/>
                <w:sz w:val="24"/>
              </w:rPr>
              <w:t xml:space="preserve"> – Samosprávne kraje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36.</w:t>
            </w:r>
          </w:p>
        </w:tc>
        <w:tc>
          <w:tcPr>
            <w:vAlign w:val="top"/>
          </w:tcPr>
          <w:p>
            <w:pPr>
              <w:spacing w:after="0"/>
              <w:jc w:val="start"/>
            </w:pPr>
            <w:r>
              <w:rPr>
                <w:b w:val="on"/>
                <w:color w:val="000000"/>
                <w:rFonts w:ascii="Times New Roman" w:hAnsi="Times New Roman" w:cs="Times New Roman" w:eastAsia="Times New Roman"/>
                <w:sz w:val="24"/>
              </w:rPr>
              <w:t>SPPK</w:t>
            </w:r>
            <w:r>
              <w:rPr>
                <w:b w:val="off"/>
                <w:color w:val="000000"/>
                <w:rFonts w:ascii="Times New Roman" w:hAnsi="Times New Roman" w:cs="Times New Roman" w:eastAsia="Times New Roman"/>
                <w:sz w:val="24"/>
              </w:rPr>
              <w:t xml:space="preserve"> – Slovenská poľnohospodárska a potravinárska komora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37.</w:t>
            </w:r>
          </w:p>
        </w:tc>
        <w:tc>
          <w:tcPr>
            <w:vAlign w:val="top"/>
          </w:tcPr>
          <w:p>
            <w:pPr>
              <w:spacing w:after="0"/>
              <w:jc w:val="start"/>
            </w:pPr>
            <w:r>
              <w:rPr>
                <w:b w:val="on"/>
                <w:color w:val="000000"/>
                <w:rFonts w:ascii="Times New Roman" w:hAnsi="Times New Roman" w:cs="Times New Roman" w:eastAsia="Times New Roman"/>
                <w:sz w:val="24"/>
              </w:rPr>
              <w:t>SVSLPRK</w:t>
            </w:r>
            <w:r>
              <w:rPr>
                <w:b w:val="off"/>
                <w:color w:val="000000"/>
                <w:rFonts w:ascii="Times New Roman" w:hAnsi="Times New Roman" w:cs="Times New Roman" w:eastAsia="Times New Roman"/>
                <w:sz w:val="24"/>
              </w:rPr>
              <w:t xml:space="preserve"> – Splnomocnenec vlády Slovenskej republiky pre rómske komunity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38.</w:t>
            </w:r>
          </w:p>
        </w:tc>
        <w:tc>
          <w:tcPr>
            <w:vAlign w:val="top"/>
          </w:tcPr>
          <w:p>
            <w:pPr>
              <w:spacing w:after="0"/>
              <w:jc w:val="start"/>
            </w:pPr>
            <w:r>
              <w:rPr>
                <w:b w:val="on"/>
                <w:color w:val="000000"/>
                <w:rFonts w:ascii="Times New Roman" w:hAnsi="Times New Roman" w:cs="Times New Roman" w:eastAsia="Times New Roman"/>
                <w:sz w:val="24"/>
              </w:rPr>
              <w:t>SŠHRSR</w:t>
            </w:r>
            <w:r>
              <w:rPr>
                <w:b w:val="off"/>
                <w:color w:val="000000"/>
                <w:rFonts w:ascii="Times New Roman" w:hAnsi="Times New Roman" w:cs="Times New Roman" w:eastAsia="Times New Roman"/>
                <w:sz w:val="24"/>
              </w:rPr>
              <w:t xml:space="preserve"> – Správa štátnych hmotných rezerv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39.</w:t>
            </w:r>
          </w:p>
        </w:tc>
        <w:tc>
          <w:tcPr>
            <w:vAlign w:val="top"/>
          </w:tcPr>
          <w:p>
            <w:pPr>
              <w:spacing w:after="0"/>
              <w:jc w:val="start"/>
            </w:pPr>
            <w:r>
              <w:rPr>
                <w:b w:val="on"/>
                <w:color w:val="000000"/>
                <w:rFonts w:ascii="Times New Roman" w:hAnsi="Times New Roman" w:cs="Times New Roman" w:eastAsia="Times New Roman"/>
                <w:sz w:val="24"/>
              </w:rPr>
              <w:t>TSK</w:t>
            </w:r>
            <w:r>
              <w:rPr>
                <w:b w:val="off"/>
                <w:color w:val="000000"/>
                <w:rFonts w:ascii="Times New Roman" w:hAnsi="Times New Roman" w:cs="Times New Roman" w:eastAsia="Times New Roman"/>
                <w:sz w:val="24"/>
              </w:rPr>
              <w:t xml:space="preserve"> – Trenčiansky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40.</w:t>
            </w:r>
          </w:p>
        </w:tc>
        <w:tc>
          <w:tcPr>
            <w:vAlign w:val="top"/>
          </w:tcPr>
          <w:p>
            <w:pPr>
              <w:spacing w:after="0"/>
              <w:jc w:val="start"/>
            </w:pPr>
            <w:r>
              <w:rPr>
                <w:b w:val="on"/>
                <w:color w:val="000000"/>
                <w:rFonts w:ascii="Times New Roman" w:hAnsi="Times New Roman" w:cs="Times New Roman" w:eastAsia="Times New Roman"/>
                <w:sz w:val="24"/>
              </w:rPr>
              <w:t>TTSK</w:t>
            </w:r>
            <w:r>
              <w:rPr>
                <w:b w:val="off"/>
                <w:color w:val="000000"/>
                <w:rFonts w:ascii="Times New Roman" w:hAnsi="Times New Roman" w:cs="Times New Roman" w:eastAsia="Times New Roman"/>
                <w:sz w:val="24"/>
              </w:rPr>
              <w:t xml:space="preserve"> – Trnavský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41.</w:t>
            </w:r>
          </w:p>
        </w:tc>
        <w:tc>
          <w:tcPr>
            <w:vAlign w:val="top"/>
          </w:tcPr>
          <w:p>
            <w:pPr>
              <w:spacing w:after="0"/>
              <w:jc w:val="start"/>
            </w:pPr>
            <w:r>
              <w:rPr>
                <w:b w:val="on"/>
                <w:color w:val="000000"/>
                <w:rFonts w:ascii="Times New Roman" w:hAnsi="Times New Roman" w:cs="Times New Roman" w:eastAsia="Times New Roman"/>
                <w:sz w:val="24"/>
              </w:rPr>
              <w:t>UOOU SR</w:t>
            </w:r>
            <w:r>
              <w:rPr>
                <w:b w:val="off"/>
                <w:color w:val="000000"/>
                <w:rFonts w:ascii="Times New Roman" w:hAnsi="Times New Roman" w:cs="Times New Roman" w:eastAsia="Times New Roman"/>
                <w:sz w:val="24"/>
              </w:rPr>
              <w:t xml:space="preserve"> – Úrad na ochranu osobných údajov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42.</w:t>
            </w:r>
          </w:p>
        </w:tc>
        <w:tc>
          <w:tcPr>
            <w:vAlign w:val="top"/>
          </w:tcPr>
          <w:p>
            <w:pPr>
              <w:spacing w:after="0"/>
              <w:jc w:val="start"/>
            </w:pPr>
            <w:r>
              <w:rPr>
                <w:b w:val="on"/>
                <w:color w:val="000000"/>
                <w:rFonts w:ascii="Times New Roman" w:hAnsi="Times New Roman" w:cs="Times New Roman" w:eastAsia="Times New Roman"/>
                <w:sz w:val="24"/>
              </w:rPr>
              <w:t>UPVSR POaZE</w:t>
            </w:r>
            <w:r>
              <w:rPr>
                <w:b w:val="off"/>
                <w:color w:val="000000"/>
                <w:rFonts w:ascii="Times New Roman" w:hAnsi="Times New Roman" w:cs="Times New Roman" w:eastAsia="Times New Roman"/>
                <w:sz w:val="24"/>
              </w:rPr>
              <w:t xml:space="preserve"> – Úrad podpredsedu vlády Slovenskej republiky pre Plán obnovy a znalostnú ekonomiku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43.</w:t>
            </w:r>
          </w:p>
        </w:tc>
        <w:tc>
          <w:tcPr>
            <w:vAlign w:val="top"/>
          </w:tcPr>
          <w:p>
            <w:pPr>
              <w:spacing w:after="0"/>
              <w:jc w:val="start"/>
            </w:pPr>
            <w:r>
              <w:rPr>
                <w:b w:val="on"/>
                <w:color w:val="000000"/>
                <w:rFonts w:ascii="Times New Roman" w:hAnsi="Times New Roman" w:cs="Times New Roman" w:eastAsia="Times New Roman"/>
                <w:sz w:val="24"/>
              </w:rPr>
              <w:t>URSO</w:t>
            </w:r>
            <w:r>
              <w:rPr>
                <w:b w:val="off"/>
                <w:color w:val="000000"/>
                <w:rFonts w:ascii="Times New Roman" w:hAnsi="Times New Roman" w:cs="Times New Roman" w:eastAsia="Times New Roman"/>
                <w:sz w:val="24"/>
              </w:rPr>
              <w:t xml:space="preserve"> – Úrad pre reguláciu sieťových odvetví</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44.</w:t>
            </w:r>
          </w:p>
        </w:tc>
        <w:tc>
          <w:tcPr>
            <w:vAlign w:val="top"/>
          </w:tcPr>
          <w:p>
            <w:pPr>
              <w:spacing w:after="0"/>
              <w:jc w:val="start"/>
            </w:pPr>
            <w:r>
              <w:rPr>
                <w:b w:val="on"/>
                <w:color w:val="000000"/>
                <w:rFonts w:ascii="Times New Roman" w:hAnsi="Times New Roman" w:cs="Times New Roman" w:eastAsia="Times New Roman"/>
                <w:sz w:val="24"/>
              </w:rPr>
              <w:t>UpUPaVSR</w:t>
            </w:r>
            <w:r>
              <w:rPr>
                <w:b w:val="off"/>
                <w:color w:val="000000"/>
                <w:rFonts w:ascii="Times New Roman" w:hAnsi="Times New Roman" w:cs="Times New Roman" w:eastAsia="Times New Roman"/>
                <w:sz w:val="24"/>
              </w:rPr>
              <w:t xml:space="preserve"> – Úrad pre územné plánovanie a výstavbu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45.</w:t>
            </w:r>
          </w:p>
        </w:tc>
        <w:tc>
          <w:tcPr>
            <w:vAlign w:val="top"/>
          </w:tcPr>
          <w:p>
            <w:pPr>
              <w:spacing w:after="0"/>
              <w:jc w:val="start"/>
            </w:pPr>
            <w:r>
              <w:rPr>
                <w:b w:val="on"/>
                <w:color w:val="000000"/>
                <w:rFonts w:ascii="Times New Roman" w:hAnsi="Times New Roman" w:cs="Times New Roman" w:eastAsia="Times New Roman"/>
                <w:sz w:val="24"/>
              </w:rPr>
              <w:t>Verejnosť</w:t>
            </w:r>
            <w:r>
              <w:rPr>
                <w:b w:val="off"/>
                <w:color w:val="000000"/>
                <w:rFonts w:ascii="Times New Roman" w:hAnsi="Times New Roman" w:cs="Times New Roman" w:eastAsia="Times New Roman"/>
                <w:sz w:val="24"/>
              </w:rPr>
              <w:t xml:space="preserve"> – Verejnosť</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46.</w:t>
            </w:r>
          </w:p>
        </w:tc>
        <w:tc>
          <w:tcPr>
            <w:vAlign w:val="top"/>
          </w:tcPr>
          <w:p>
            <w:pPr>
              <w:spacing w:after="0"/>
              <w:jc w:val="start"/>
            </w:pPr>
            <w:r>
              <w:rPr>
                <w:b w:val="on"/>
                <w:color w:val="000000"/>
                <w:rFonts w:ascii="Times New Roman" w:hAnsi="Times New Roman" w:cs="Times New Roman" w:eastAsia="Times New Roman"/>
                <w:sz w:val="24"/>
              </w:rPr>
              <w:t>ZMOS</w:t>
            </w:r>
            <w:r>
              <w:rPr>
                <w:b w:val="off"/>
                <w:color w:val="000000"/>
                <w:rFonts w:ascii="Times New Roman" w:hAnsi="Times New Roman" w:cs="Times New Roman" w:eastAsia="Times New Roman"/>
                <w:sz w:val="24"/>
              </w:rPr>
              <w:t xml:space="preserve"> – Združenie miest a obcí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47.</w:t>
            </w:r>
          </w:p>
        </w:tc>
        <w:tc>
          <w:tcPr>
            <w:vAlign w:val="top"/>
          </w:tcPr>
          <w:p>
            <w:pPr>
              <w:spacing w:after="0"/>
              <w:jc w:val="start"/>
            </w:pPr>
            <w:r>
              <w:rPr>
                <w:b w:val="on"/>
                <w:color w:val="000000"/>
                <w:rFonts w:ascii="Times New Roman" w:hAnsi="Times New Roman" w:cs="Times New Roman" w:eastAsia="Times New Roman"/>
                <w:sz w:val="24"/>
              </w:rPr>
              <w:t>hlavné mesto</w:t>
            </w:r>
            <w:r>
              <w:rPr>
                <w:b w:val="off"/>
                <w:color w:val="000000"/>
                <w:rFonts w:ascii="Times New Roman" w:hAnsi="Times New Roman" w:cs="Times New Roman" w:eastAsia="Times New Roman"/>
                <w:sz w:val="24"/>
              </w:rPr>
              <w:t xml:space="preserve"> – Hlavné mesto Slovenskej republiky Bratislava</w:t>
            </w:r>
          </w:p>
        </w:tc>
        <w:tc>
          <w:tcPr>
            <w:vAlign w:val="top"/>
          </w:tcPr>
          <w:p>
            <w:pPr>
              <w:spacing w:after="0"/>
              <w:jc w:val="center"/>
            </w:pPr>
            <w:r>
              <w:rPr>
                <w:b w:val="off"/>
                <w:color w:val="000000"/>
                <w:rFonts w:ascii="Times New Roman" w:hAnsi="Times New Roman" w:cs="Times New Roman" w:eastAsia="Times New Roman"/>
                <w:sz w:val="24"/>
              </w:rPr>
              <w:t>1 (0o,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48.</w:t>
            </w:r>
          </w:p>
        </w:tc>
        <w:tc>
          <w:tcPr>
            <w:vAlign w:val="top"/>
          </w:tcPr>
          <w:p>
            <w:pPr>
              <w:spacing w:after="0"/>
              <w:jc w:val="start"/>
            </w:pPr>
            <w:r>
              <w:rPr>
                <w:b w:val="on"/>
                <w:color w:val="000000"/>
                <w:rFonts w:ascii="Times New Roman" w:hAnsi="Times New Roman" w:cs="Times New Roman" w:eastAsia="Times New Roman"/>
                <w:sz w:val="24"/>
              </w:rPr>
              <w:t>ÚDZS</w:t>
            </w:r>
            <w:r>
              <w:rPr>
                <w:b w:val="off"/>
                <w:color w:val="000000"/>
                <w:rFonts w:ascii="Times New Roman" w:hAnsi="Times New Roman" w:cs="Times New Roman" w:eastAsia="Times New Roman"/>
                <w:sz w:val="24"/>
              </w:rPr>
              <w:t xml:space="preserve"> – Úrad pre dohľad nad zdravotnou starostlivosťou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49.</w:t>
            </w:r>
          </w:p>
        </w:tc>
        <w:tc>
          <w:tcPr>
            <w:vAlign w:val="top"/>
          </w:tcPr>
          <w:p>
            <w:pPr>
              <w:spacing w:after="0"/>
              <w:jc w:val="start"/>
            </w:pPr>
            <w:r>
              <w:rPr>
                <w:b w:val="on"/>
                <w:color w:val="000000"/>
                <w:rFonts w:ascii="Times New Roman" w:hAnsi="Times New Roman" w:cs="Times New Roman" w:eastAsia="Times New Roman"/>
                <w:sz w:val="24"/>
              </w:rPr>
              <w:t>ÚGKKSR</w:t>
            </w:r>
            <w:r>
              <w:rPr>
                <w:b w:val="off"/>
                <w:color w:val="000000"/>
                <w:rFonts w:ascii="Times New Roman" w:hAnsi="Times New Roman" w:cs="Times New Roman" w:eastAsia="Times New Roman"/>
                <w:sz w:val="24"/>
              </w:rPr>
              <w:t xml:space="preserve"> – Úrad geodézie, kartografie a katastra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50.</w:t>
            </w:r>
          </w:p>
        </w:tc>
        <w:tc>
          <w:tcPr>
            <w:vAlign w:val="top"/>
          </w:tcPr>
          <w:p>
            <w:pPr>
              <w:spacing w:after="0"/>
              <w:jc w:val="start"/>
            </w:pPr>
            <w:r>
              <w:rPr>
                <w:b w:val="on"/>
                <w:color w:val="000000"/>
                <w:rFonts w:ascii="Times New Roman" w:hAnsi="Times New Roman" w:cs="Times New Roman" w:eastAsia="Times New Roman"/>
                <w:sz w:val="24"/>
              </w:rPr>
              <w:t>ÚJDSR</w:t>
            </w:r>
            <w:r>
              <w:rPr>
                <w:b w:val="off"/>
                <w:color w:val="000000"/>
                <w:rFonts w:ascii="Times New Roman" w:hAnsi="Times New Roman" w:cs="Times New Roman" w:eastAsia="Times New Roman"/>
                <w:sz w:val="24"/>
              </w:rPr>
              <w:t xml:space="preserve"> – Úrad jadrového dozoru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51.</w:t>
            </w:r>
          </w:p>
        </w:tc>
        <w:tc>
          <w:tcPr>
            <w:vAlign w:val="top"/>
          </w:tcPr>
          <w:p>
            <w:pPr>
              <w:spacing w:after="0"/>
              <w:jc w:val="start"/>
            </w:pPr>
            <w:r>
              <w:rPr>
                <w:b w:val="on"/>
                <w:color w:val="000000"/>
                <w:rFonts w:ascii="Times New Roman" w:hAnsi="Times New Roman" w:cs="Times New Roman" w:eastAsia="Times New Roman"/>
                <w:sz w:val="24"/>
              </w:rPr>
              <w:t>ÚMS</w:t>
            </w:r>
            <w:r>
              <w:rPr>
                <w:b w:val="off"/>
                <w:color w:val="000000"/>
                <w:rFonts w:ascii="Times New Roman" w:hAnsi="Times New Roman" w:cs="Times New Roman" w:eastAsia="Times New Roman"/>
                <w:sz w:val="24"/>
              </w:rPr>
              <w:t xml:space="preserve"> – Únia miest Slovenska</w:t>
            </w:r>
          </w:p>
        </w:tc>
        <w:tc>
          <w:tcPr>
            <w:vAlign w:val="top"/>
          </w:tcPr>
          <w:p>
            <w:pPr>
              <w:spacing w:after="0"/>
              <w:jc w:val="center"/>
            </w:pPr>
            <w:r>
              <w:rPr>
                <w:b w:val="off"/>
                <w:color w:val="000000"/>
                <w:rFonts w:ascii="Times New Roman" w:hAnsi="Times New Roman" w:cs="Times New Roman" w:eastAsia="Times New Roman"/>
                <w:sz w:val="24"/>
              </w:rPr>
              <w:t>1 (0o,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52.</w:t>
            </w:r>
          </w:p>
        </w:tc>
        <w:tc>
          <w:tcPr>
            <w:vAlign w:val="top"/>
          </w:tcPr>
          <w:p>
            <w:pPr>
              <w:spacing w:after="0"/>
              <w:jc w:val="start"/>
            </w:pPr>
            <w:r>
              <w:rPr>
                <w:b w:val="on"/>
                <w:color w:val="000000"/>
                <w:rFonts w:ascii="Times New Roman" w:hAnsi="Times New Roman" w:cs="Times New Roman" w:eastAsia="Times New Roman"/>
                <w:sz w:val="24"/>
              </w:rPr>
              <w:t>ÚNMSSR</w:t>
            </w:r>
            <w:r>
              <w:rPr>
                <w:b w:val="off"/>
                <w:color w:val="000000"/>
                <w:rFonts w:ascii="Times New Roman" w:hAnsi="Times New Roman" w:cs="Times New Roman" w:eastAsia="Times New Roman"/>
                <w:sz w:val="24"/>
              </w:rPr>
              <w:t xml:space="preserve"> – Úrad pre normalizáciu,  metrológiu a skúšobníctvo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53.</w:t>
            </w:r>
          </w:p>
        </w:tc>
        <w:tc>
          <w:tcPr>
            <w:vAlign w:val="top"/>
          </w:tcPr>
          <w:p>
            <w:pPr>
              <w:spacing w:after="0"/>
              <w:jc w:val="start"/>
            </w:pPr>
            <w:r>
              <w:rPr>
                <w:b w:val="on"/>
                <w:color w:val="000000"/>
                <w:rFonts w:ascii="Times New Roman" w:hAnsi="Times New Roman" w:cs="Times New Roman" w:eastAsia="Times New Roman"/>
                <w:sz w:val="24"/>
              </w:rPr>
              <w:t>ÚPVSR</w:t>
            </w:r>
            <w:r>
              <w:rPr>
                <w:b w:val="off"/>
                <w:color w:val="000000"/>
                <w:rFonts w:ascii="Times New Roman" w:hAnsi="Times New Roman" w:cs="Times New Roman" w:eastAsia="Times New Roman"/>
                <w:sz w:val="24"/>
              </w:rPr>
              <w:t xml:space="preserve"> – Úrad priemyselného vlastníctva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54.</w:t>
            </w:r>
          </w:p>
        </w:tc>
        <w:tc>
          <w:tcPr>
            <w:vAlign w:val="top"/>
          </w:tcPr>
          <w:p>
            <w:pPr>
              <w:spacing w:after="0"/>
              <w:jc w:val="start"/>
            </w:pPr>
            <w:r>
              <w:rPr>
                <w:b w:val="on"/>
                <w:color w:val="000000"/>
                <w:rFonts w:ascii="Times New Roman" w:hAnsi="Times New Roman" w:cs="Times New Roman" w:eastAsia="Times New Roman"/>
                <w:sz w:val="24"/>
              </w:rPr>
              <w:t>ÚVO</w:t>
            </w:r>
            <w:r>
              <w:rPr>
                <w:b w:val="off"/>
                <w:color w:val="000000"/>
                <w:rFonts w:ascii="Times New Roman" w:hAnsi="Times New Roman" w:cs="Times New Roman" w:eastAsia="Times New Roman"/>
                <w:sz w:val="24"/>
              </w:rPr>
              <w:t xml:space="preserve"> – Úrad pre verejné obstarávanie</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55.</w:t>
            </w:r>
          </w:p>
        </w:tc>
        <w:tc>
          <w:tcPr>
            <w:vAlign w:val="top"/>
          </w:tcPr>
          <w:p>
            <w:pPr>
              <w:spacing w:after="0"/>
              <w:jc w:val="start"/>
            </w:pPr>
            <w:r>
              <w:rPr>
                <w:b w:val="on"/>
                <w:color w:val="000000"/>
                <w:rFonts w:ascii="Times New Roman" w:hAnsi="Times New Roman" w:cs="Times New Roman" w:eastAsia="Times New Roman"/>
                <w:sz w:val="24"/>
              </w:rPr>
              <w:t>ÚVSR</w:t>
            </w:r>
            <w:r>
              <w:rPr>
                <w:b w:val="off"/>
                <w:color w:val="000000"/>
                <w:rFonts w:ascii="Times New Roman" w:hAnsi="Times New Roman" w:cs="Times New Roman" w:eastAsia="Times New Roman"/>
                <w:sz w:val="24"/>
              </w:rPr>
              <w:t xml:space="preserve"> – Úrad vlády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56.</w:t>
            </w:r>
          </w:p>
        </w:tc>
        <w:tc>
          <w:tcPr>
            <w:vAlign w:val="top"/>
          </w:tcPr>
          <w:p>
            <w:pPr>
              <w:spacing w:after="0"/>
              <w:jc w:val="start"/>
            </w:pPr>
            <w:r>
              <w:rPr>
                <w:b w:val="on"/>
                <w:color w:val="000000"/>
                <w:rFonts w:ascii="Times New Roman" w:hAnsi="Times New Roman" w:cs="Times New Roman" w:eastAsia="Times New Roman"/>
                <w:sz w:val="24"/>
              </w:rPr>
              <w:t>Ústavný súd SR</w:t>
            </w:r>
            <w:r>
              <w:rPr>
                <w:b w:val="off"/>
                <w:color w:val="000000"/>
                <w:rFonts w:ascii="Times New Roman" w:hAnsi="Times New Roman" w:cs="Times New Roman" w:eastAsia="Times New Roman"/>
                <w:sz w:val="24"/>
              </w:rPr>
              <w:t xml:space="preserve"> – Kancelária Ústavného súdu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57.</w:t>
            </w:r>
          </w:p>
        </w:tc>
        <w:tc>
          <w:tcPr>
            <w:vAlign w:val="top"/>
          </w:tcPr>
          <w:p>
            <w:pPr>
              <w:spacing w:after="0"/>
              <w:jc w:val="start"/>
            </w:pPr>
            <w:r>
              <w:rPr>
                <w:b w:val="on"/>
                <w:color w:val="000000"/>
                <w:rFonts w:ascii="Times New Roman" w:hAnsi="Times New Roman" w:cs="Times New Roman" w:eastAsia="Times New Roman"/>
                <w:sz w:val="24"/>
              </w:rPr>
              <w:t>ŠÚSR</w:t>
            </w:r>
            <w:r>
              <w:rPr>
                <w:b w:val="off"/>
                <w:color w:val="000000"/>
                <w:rFonts w:ascii="Times New Roman" w:hAnsi="Times New Roman" w:cs="Times New Roman" w:eastAsia="Times New Roman"/>
                <w:sz w:val="24"/>
              </w:rPr>
              <w:t xml:space="preserve"> – Štatistický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58.</w:t>
            </w:r>
          </w:p>
        </w:tc>
        <w:tc>
          <w:tcPr>
            <w:vAlign w:val="top"/>
          </w:tcPr>
          <w:p>
            <w:pPr>
              <w:spacing w:after="0"/>
              <w:jc w:val="start"/>
            </w:pPr>
            <w:r>
              <w:rPr>
                <w:b w:val="on"/>
                <w:color w:val="000000"/>
                <w:rFonts w:ascii="Times New Roman" w:hAnsi="Times New Roman" w:cs="Times New Roman" w:eastAsia="Times New Roman"/>
                <w:sz w:val="24"/>
              </w:rPr>
              <w:t>ŽSK</w:t>
            </w:r>
            <w:r>
              <w:rPr>
                <w:b w:val="off"/>
                <w:color w:val="000000"/>
                <w:rFonts w:ascii="Times New Roman" w:hAnsi="Times New Roman" w:cs="Times New Roman" w:eastAsia="Times New Roman"/>
                <w:sz w:val="24"/>
              </w:rPr>
              <w:t xml:space="preserve"> – Žilinský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
            </w:r>
          </w:p>
        </w:tc>
        <w:tc>
          <w:tcPr>
            <w:vAlign w:val="center"/>
          </w:tcPr>
          <w:p>
            <w:pPr>
              <w:spacing w:after="0"/>
              <w:jc w:val="start"/>
            </w:pPr>
            <w:r>
              <w:rPr>
                <w:b w:val="on"/>
                <w:color w:val="000000"/>
                <w:rFonts w:ascii="Times New Roman" w:hAnsi="Times New Roman" w:cs="Times New Roman" w:eastAsia="Times New Roman"/>
                <w:sz w:val="24"/>
              </w:rPr>
              <w:t>Spolu</w:t>
            </w:r>
          </w:p>
        </w:tc>
        <w:tc>
          <w:tcPr>
            <w:vAlign w:val="center"/>
          </w:tcPr>
          <w:p>
            <w:pPr>
              <w:spacing w:after="0"/>
              <w:jc w:val="center"/>
            </w:pPr>
            <w:r>
              <w:rPr>
                <w:b w:val="on"/>
                <w:color w:val="000000"/>
                <w:rFonts w:ascii="Times New Roman" w:hAnsi="Times New Roman" w:cs="Times New Roman" w:eastAsia="Times New Roman"/>
                <w:sz w:val="24"/>
              </w:rPr>
              <w:t>25 (22o, 3z)</w:t>
            </w:r>
          </w:p>
        </w:tc>
        <w:tc>
          <w:tcPr>
            <w:vAlign w:val="center"/>
          </w:tcPr>
          <w:p>
            <w:pPr>
              <w:spacing w:after="0"/>
              <w:jc w:val="center"/>
            </w:pPr>
            <w:r>
              <w:rPr>
                <w:b w:val="on"/>
                <w:color w:val="000000"/>
                <w:rFonts w:ascii="Times New Roman" w:hAnsi="Times New Roman" w:cs="Times New Roman" w:eastAsia="Times New Roman"/>
                <w:sz w:val="24"/>
              </w:rPr>
              <w:t>0 (0o, 0z)</w:t>
            </w:r>
          </w:p>
        </w:tc>
        <w:tc>
          <w:tcPr>
            <w:vAlign w:val="center"/>
          </w:tcPr>
          <w:p>
            <w:pPr>
              <w:spacing w:after="0"/>
              <w:jc w:val="center"/>
            </w:pPr>
            <w:r>
              <w:rPr>
                <w:b w:val="on"/>
                <w:color w:val="000000"/>
                <w:rFonts w:ascii="Times New Roman" w:hAnsi="Times New Roman" w:cs="Times New Roman" w:eastAsia="Times New Roman"/>
                <w:sz w:val="24"/>
              </w:rPr>
              <w:t>17</w:t>
            </w:r>
          </w:p>
        </w:tc>
        <w:tc>
          <w:tcPr>
            <w:vAlign w:val="center"/>
          </w:tcPr>
          <w:p>
            <w:pPr>
              <w:spacing w:after="0"/>
              <w:jc w:val="center"/>
            </w:pPr>
            <w:r>
              <w:rPr>
                <w:b w:val="on"/>
                <w:color w:val="000000"/>
                <w:rFonts w:ascii="Times New Roman" w:hAnsi="Times New Roman" w:cs="Times New Roman" w:eastAsia="Times New Roman"/>
                <w:sz w:val="24"/>
              </w:rPr>
              <w:t>30</w:t>
            </w:r>
          </w:p>
        </w:tc>
      </w:tr>
    </w:tbl>
    <w:p w14:paraId="1D280440" w14:textId="77777777" w:rsidR="008960F8" w:rsidRPr="00677591" w:rsidRDefault="008960F8" w:rsidP="00C00CF3">
      <w:pPr>
        <w:spacing w:after="0"/>
        <w:rPr>
          <w:rFonts w:ascii="Times New Roman" w:hAnsi="Times New Roman" w:cs="Times New Roman"/>
          <w:sz w:val="24"/>
          <w:szCs w:val="24"/>
          <w:lang w:val="en-US"/>
        </w:rPr>
      </w:pPr>
    </w:p>
    <w:sectPr w:rsidR="008960F8" w:rsidRPr="00677591" w:rsidSect="00362D69">
      <w:headerReference w:type="first" r:id="rId8"/>
      <w:footerReference w:type="first" r:id="rId9"/>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92465" w14:textId="77777777" w:rsidR="006D051F" w:rsidRPr="00785E8D" w:rsidRDefault="006D051F" w:rsidP="00E66622">
      <w:pPr>
        <w:spacing w:after="0" w:line="240" w:lineRule="auto"/>
      </w:pPr>
      <w:r w:rsidRPr="00785E8D">
        <w:separator/>
      </w:r>
    </w:p>
  </w:endnote>
  <w:endnote w:type="continuationSeparator" w:id="0">
    <w:p w14:paraId="72C637E6" w14:textId="77777777" w:rsidR="006D051F" w:rsidRPr="00785E8D" w:rsidRDefault="006D051F" w:rsidP="00E66622">
      <w:pPr>
        <w:spacing w:after="0" w:line="240" w:lineRule="auto"/>
      </w:pPr>
      <w:r w:rsidRPr="00785E8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274362024"/>
      <w:docPartObj>
        <w:docPartGallery w:val="Page Numbers (Bottom of Page)"/>
        <w:docPartUnique/>
      </w:docPartObj>
    </w:sdtPr>
    <w:sdtEndPr>
      <w:rPr>
        <w:rFonts w:ascii="Times New Roman" w:hAnsi="Times New Roman"/>
        <w:noProof/>
      </w:rPr>
    </w:sdtEndPr>
    <w:sdtContent>
      <w:p w14:paraId="45945688" w14:textId="3489CFEE" w:rsidR="00362D69" w:rsidRPr="00362D69" w:rsidRDefault="00362D69">
        <w:pPr>
          <w:pStyle w:val="Footer"/>
          <w:jc w:val="center"/>
          <w:rPr>
            <w:rFonts w:ascii="Times New Roman" w:hAnsi="Times New Roman"/>
          </w:rPr>
        </w:pPr>
        <w:r w:rsidRPr="00362D69">
          <w:rPr>
            <w:rFonts w:ascii="Times New Roman" w:hAnsi="Times New Roman"/>
            <w:noProof w:val="0"/>
          </w:rPr>
          <w:fldChar w:fldCharType="begin"/>
        </w:r>
        <w:r w:rsidRPr="00362D69">
          <w:rPr>
            <w:rFonts w:ascii="Times New Roman" w:hAnsi="Times New Roman"/>
          </w:rPr>
          <w:instrText xml:space="preserve"> PAGE   \* MERGEFORMAT </w:instrText>
        </w:r>
        <w:r w:rsidRPr="00362D69">
          <w:rPr>
            <w:rFonts w:ascii="Times New Roman" w:hAnsi="Times New Roman"/>
            <w:noProof w:val="0"/>
          </w:rPr>
          <w:fldChar w:fldCharType="separate"/>
        </w:r>
        <w:r w:rsidRPr="00362D69">
          <w:rPr>
            <w:rFonts w:ascii="Times New Roman" w:hAnsi="Times New Roman"/>
          </w:rPr>
          <w:t>2</w:t>
        </w:r>
        <w:r w:rsidRPr="00362D69">
          <w:rPr>
            <w:rFonts w:ascii="Times New Roman" w:hAnsi="Times New Roman"/>
          </w:rPr>
          <w:fldChar w:fldCharType="end"/>
        </w:r>
      </w:p>
    </w:sdtContent>
  </w:sdt>
  <w:p w14:paraId="1A536CAE" w14:textId="77777777" w:rsidR="00362D69" w:rsidRDefault="00362D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709146490"/>
      <w:docPartObj>
        <w:docPartGallery w:val="Page Numbers (Bottom of Page)"/>
        <w:docPartUnique/>
      </w:docPartObj>
    </w:sdtPr>
    <w:sdtEndPr>
      <w:rPr>
        <w:rFonts w:ascii="Times New Roman" w:hAnsi="Times New Roman" w:cs="Times New Roman"/>
        <w:noProof/>
      </w:rPr>
    </w:sdtEndPr>
    <w:sdtContent>
      <w:p w14:paraId="487DCFBA" w14:textId="77777777" w:rsidR="00362D69" w:rsidRPr="003E3F51" w:rsidRDefault="00362D69">
        <w:pPr>
          <w:pStyle w:val="Footer"/>
          <w:jc w:val="center"/>
          <w:rPr>
            <w:rFonts w:ascii="Times New Roman" w:hAnsi="Times New Roman" w:cs="Times New Roman"/>
          </w:rPr>
        </w:pPr>
        <w:r w:rsidRPr="003E3F51">
          <w:rPr>
            <w:rFonts w:ascii="Times New Roman" w:hAnsi="Times New Roman" w:cs="Times New Roman"/>
            <w:noProof w:val="0"/>
          </w:rPr>
          <w:fldChar w:fldCharType="begin"/>
        </w:r>
        <w:r w:rsidRPr="003E3F51">
          <w:rPr>
            <w:rFonts w:ascii="Times New Roman" w:hAnsi="Times New Roman" w:cs="Times New Roman"/>
          </w:rPr>
          <w:instrText xml:space="preserve"> PAGE   \* MERGEFORMAT </w:instrText>
        </w:r>
        <w:r w:rsidRPr="003E3F51">
          <w:rPr>
            <w:rFonts w:ascii="Times New Roman" w:hAnsi="Times New Roman" w:cs="Times New Roman"/>
            <w:noProof w:val="0"/>
          </w:rPr>
          <w:fldChar w:fldCharType="separate"/>
        </w:r>
        <w:r w:rsidRPr="003E3F51">
          <w:rPr>
            <w:rFonts w:ascii="Times New Roman" w:hAnsi="Times New Roman" w:cs="Times New Roman"/>
          </w:rPr>
          <w:t>2</w:t>
        </w:r>
        <w:r w:rsidRPr="003E3F51">
          <w:rPr>
            <w:rFonts w:ascii="Times New Roman" w:hAnsi="Times New Roman" w:cs="Times New Roman"/>
          </w:rPr>
          <w:fldChar w:fldCharType="end"/>
        </w:r>
      </w:p>
    </w:sdtContent>
  </w:sdt>
  <w:p w14:paraId="1D96E3B8" w14:textId="77777777" w:rsidR="00362D69" w:rsidRDefault="00362D69" w:rsidP="00FD38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7C60E1" w14:textId="77777777" w:rsidR="006D051F" w:rsidRPr="00785E8D" w:rsidRDefault="006D051F" w:rsidP="00E66622">
      <w:pPr>
        <w:spacing w:after="0" w:line="240" w:lineRule="auto"/>
      </w:pPr>
      <w:r w:rsidRPr="00785E8D">
        <w:separator/>
      </w:r>
    </w:p>
  </w:footnote>
  <w:footnote w:type="continuationSeparator" w:id="0">
    <w:p w14:paraId="1ED6E918" w14:textId="77777777" w:rsidR="006D051F" w:rsidRPr="00785E8D" w:rsidRDefault="006D051F" w:rsidP="00E66622">
      <w:pPr>
        <w:spacing w:after="0" w:line="240" w:lineRule="auto"/>
      </w:pPr>
      <w:r w:rsidRPr="00785E8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88A22" w14:textId="77777777" w:rsidR="00362D69" w:rsidRDefault="00362D6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11D51"/>
    <w:rsid w:val="0001352E"/>
    <w:rsid w:val="00047E84"/>
    <w:rsid w:val="00050137"/>
    <w:rsid w:val="0006133B"/>
    <w:rsid w:val="000A2F5F"/>
    <w:rsid w:val="000B16EA"/>
    <w:rsid w:val="000B2D78"/>
    <w:rsid w:val="000C172E"/>
    <w:rsid w:val="000D3CA3"/>
    <w:rsid w:val="000D5402"/>
    <w:rsid w:val="001228AD"/>
    <w:rsid w:val="00131490"/>
    <w:rsid w:val="00131742"/>
    <w:rsid w:val="001433FA"/>
    <w:rsid w:val="00146A7D"/>
    <w:rsid w:val="00176679"/>
    <w:rsid w:val="0019276A"/>
    <w:rsid w:val="001B1BE3"/>
    <w:rsid w:val="001D2B4E"/>
    <w:rsid w:val="001E50FA"/>
    <w:rsid w:val="001E6254"/>
    <w:rsid w:val="001F2C94"/>
    <w:rsid w:val="001F5D28"/>
    <w:rsid w:val="001F777F"/>
    <w:rsid w:val="00215E64"/>
    <w:rsid w:val="00231554"/>
    <w:rsid w:val="00237490"/>
    <w:rsid w:val="00245F36"/>
    <w:rsid w:val="0026614F"/>
    <w:rsid w:val="002715E0"/>
    <w:rsid w:val="00273DAE"/>
    <w:rsid w:val="0029170C"/>
    <w:rsid w:val="00295E6A"/>
    <w:rsid w:val="002A0A58"/>
    <w:rsid w:val="002A4482"/>
    <w:rsid w:val="002D3B5E"/>
    <w:rsid w:val="002E17D6"/>
    <w:rsid w:val="002F4660"/>
    <w:rsid w:val="002F717D"/>
    <w:rsid w:val="003034A4"/>
    <w:rsid w:val="00303CA7"/>
    <w:rsid w:val="00335FFB"/>
    <w:rsid w:val="00343965"/>
    <w:rsid w:val="00362D69"/>
    <w:rsid w:val="003640A5"/>
    <w:rsid w:val="003A59FA"/>
    <w:rsid w:val="003C31D4"/>
    <w:rsid w:val="003E3F51"/>
    <w:rsid w:val="003E641E"/>
    <w:rsid w:val="003E7146"/>
    <w:rsid w:val="003F1216"/>
    <w:rsid w:val="003F37C1"/>
    <w:rsid w:val="004050CF"/>
    <w:rsid w:val="00405348"/>
    <w:rsid w:val="00434080"/>
    <w:rsid w:val="00461B69"/>
    <w:rsid w:val="0048545F"/>
    <w:rsid w:val="004A12EE"/>
    <w:rsid w:val="004A48F0"/>
    <w:rsid w:val="004A62B8"/>
    <w:rsid w:val="004B4188"/>
    <w:rsid w:val="004C6C3C"/>
    <w:rsid w:val="004E0BF7"/>
    <w:rsid w:val="004F10FF"/>
    <w:rsid w:val="004F4092"/>
    <w:rsid w:val="00500EBD"/>
    <w:rsid w:val="00506E0B"/>
    <w:rsid w:val="00511A3C"/>
    <w:rsid w:val="00513767"/>
    <w:rsid w:val="005146CA"/>
    <w:rsid w:val="005259A1"/>
    <w:rsid w:val="0053699B"/>
    <w:rsid w:val="00550D13"/>
    <w:rsid w:val="00583F11"/>
    <w:rsid w:val="0059287B"/>
    <w:rsid w:val="005B618C"/>
    <w:rsid w:val="005C0A7E"/>
    <w:rsid w:val="005C4CF5"/>
    <w:rsid w:val="005E6A45"/>
    <w:rsid w:val="005F3B1C"/>
    <w:rsid w:val="005F3E6F"/>
    <w:rsid w:val="005F5908"/>
    <w:rsid w:val="00602231"/>
    <w:rsid w:val="006031E3"/>
    <w:rsid w:val="00634468"/>
    <w:rsid w:val="006371D1"/>
    <w:rsid w:val="00641DD8"/>
    <w:rsid w:val="006434AC"/>
    <w:rsid w:val="00664F3B"/>
    <w:rsid w:val="00677591"/>
    <w:rsid w:val="00695857"/>
    <w:rsid w:val="006C2D6E"/>
    <w:rsid w:val="006D051F"/>
    <w:rsid w:val="0070694E"/>
    <w:rsid w:val="00707B3A"/>
    <w:rsid w:val="0072062B"/>
    <w:rsid w:val="00724A0E"/>
    <w:rsid w:val="00726A34"/>
    <w:rsid w:val="00727704"/>
    <w:rsid w:val="00745443"/>
    <w:rsid w:val="00754CB0"/>
    <w:rsid w:val="0077472A"/>
    <w:rsid w:val="00774ED8"/>
    <w:rsid w:val="00776E62"/>
    <w:rsid w:val="00784062"/>
    <w:rsid w:val="00785E8D"/>
    <w:rsid w:val="00796E02"/>
    <w:rsid w:val="00796EBE"/>
    <w:rsid w:val="007C1A93"/>
    <w:rsid w:val="007C678D"/>
    <w:rsid w:val="007E7C38"/>
    <w:rsid w:val="007E7E01"/>
    <w:rsid w:val="007F53D4"/>
    <w:rsid w:val="0084532B"/>
    <w:rsid w:val="0087153C"/>
    <w:rsid w:val="008741FE"/>
    <w:rsid w:val="00876D47"/>
    <w:rsid w:val="008960F8"/>
    <w:rsid w:val="008C2612"/>
    <w:rsid w:val="008C63F3"/>
    <w:rsid w:val="008D299D"/>
    <w:rsid w:val="008E0404"/>
    <w:rsid w:val="008F1FF3"/>
    <w:rsid w:val="00913D14"/>
    <w:rsid w:val="00917A99"/>
    <w:rsid w:val="00925ABD"/>
    <w:rsid w:val="009275DB"/>
    <w:rsid w:val="00932936"/>
    <w:rsid w:val="00947810"/>
    <w:rsid w:val="00980D7A"/>
    <w:rsid w:val="009912BF"/>
    <w:rsid w:val="00995007"/>
    <w:rsid w:val="009B0C1F"/>
    <w:rsid w:val="009B1491"/>
    <w:rsid w:val="009D152C"/>
    <w:rsid w:val="009D32B4"/>
    <w:rsid w:val="009D3FBE"/>
    <w:rsid w:val="009F35D2"/>
    <w:rsid w:val="00A070EB"/>
    <w:rsid w:val="00A6034C"/>
    <w:rsid w:val="00A61348"/>
    <w:rsid w:val="00A80C4C"/>
    <w:rsid w:val="00A81039"/>
    <w:rsid w:val="00AD6CAE"/>
    <w:rsid w:val="00AE09D4"/>
    <w:rsid w:val="00AF678C"/>
    <w:rsid w:val="00B02EF2"/>
    <w:rsid w:val="00B0310C"/>
    <w:rsid w:val="00B11932"/>
    <w:rsid w:val="00B13C0C"/>
    <w:rsid w:val="00B41FEA"/>
    <w:rsid w:val="00B60148"/>
    <w:rsid w:val="00B74B69"/>
    <w:rsid w:val="00B8742A"/>
    <w:rsid w:val="00B946A0"/>
    <w:rsid w:val="00BD7F55"/>
    <w:rsid w:val="00BE323C"/>
    <w:rsid w:val="00BF207A"/>
    <w:rsid w:val="00C00CF3"/>
    <w:rsid w:val="00C42676"/>
    <w:rsid w:val="00C43D79"/>
    <w:rsid w:val="00C53F43"/>
    <w:rsid w:val="00C62C70"/>
    <w:rsid w:val="00C84A5B"/>
    <w:rsid w:val="00CD7313"/>
    <w:rsid w:val="00D40591"/>
    <w:rsid w:val="00D44E47"/>
    <w:rsid w:val="00D466F6"/>
    <w:rsid w:val="00D50310"/>
    <w:rsid w:val="00D610D0"/>
    <w:rsid w:val="00D91683"/>
    <w:rsid w:val="00DA267A"/>
    <w:rsid w:val="00DD2850"/>
    <w:rsid w:val="00DD302E"/>
    <w:rsid w:val="00DD7CB5"/>
    <w:rsid w:val="00DE3F5A"/>
    <w:rsid w:val="00E06854"/>
    <w:rsid w:val="00E07639"/>
    <w:rsid w:val="00E078E8"/>
    <w:rsid w:val="00E11D16"/>
    <w:rsid w:val="00E245BC"/>
    <w:rsid w:val="00E37A37"/>
    <w:rsid w:val="00E41A2D"/>
    <w:rsid w:val="00E66622"/>
    <w:rsid w:val="00E741B6"/>
    <w:rsid w:val="00E92A50"/>
    <w:rsid w:val="00EA23A2"/>
    <w:rsid w:val="00EB4CEF"/>
    <w:rsid w:val="00ED6E83"/>
    <w:rsid w:val="00EE00C6"/>
    <w:rsid w:val="00F23986"/>
    <w:rsid w:val="00F273EE"/>
    <w:rsid w:val="00F456DC"/>
    <w:rsid w:val="00F727C3"/>
    <w:rsid w:val="00F758C6"/>
    <w:rsid w:val="00F8431B"/>
    <w:rsid w:val="00F85AB8"/>
    <w:rsid w:val="00F907A2"/>
    <w:rsid w:val="00FA016F"/>
    <w:rsid w:val="00FA0A5A"/>
    <w:rsid w:val="00FA40AE"/>
    <w:rsid w:val="00FC0831"/>
    <w:rsid w:val="00FD38D1"/>
    <w:rsid w:val="00FE1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0F8"/>
    <w:rPr>
      <w:noProof/>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fontTable.xml" Type="http://schemas.openxmlformats.org/officeDocument/2006/relationships/fontTable"/><Relationship Id="rId11"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footer1.xml" Type="http://schemas.openxmlformats.org/officeDocument/2006/relationships/footer"/><Relationship Id="rId8" Target="header1.xml" Type="http://schemas.openxmlformats.org/officeDocument/2006/relationships/head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3904B-5DF0-4166-8157-7EF183BD1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2</Pages>
  <Words>219</Words>
  <Characters>1250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2025-01-21T10:34:00Z</dcterms:modified>
  <cp:revision>80</cp:revision>
</cp:coreProperties>
</file>