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15AF" w:rsidRPr="001D7ECF" w:rsidRDefault="00C615AF" w:rsidP="004155D9">
      <w:pPr>
        <w:pStyle w:val="Vchodzie"/>
        <w:keepNext/>
        <w:pBdr>
          <w:top w:val="single" w:sz="4" w:space="1" w:color="000000"/>
          <w:left w:val="single" w:sz="4" w:space="4" w:color="000000"/>
          <w:bottom w:val="single" w:sz="4" w:space="1" w:color="000000"/>
          <w:right w:val="single" w:sz="4" w:space="4" w:color="000000"/>
        </w:pBdr>
        <w:shd w:val="clear" w:color="auto" w:fill="D9D9D9"/>
        <w:spacing w:after="0" w:line="240" w:lineRule="auto"/>
        <w:jc w:val="center"/>
        <w:rPr>
          <w:rFonts w:ascii="Times New Roman" w:hAnsi="Times New Roman" w:cs="Times New Roman"/>
          <w:color w:val="000000" w:themeColor="text1"/>
          <w:sz w:val="24"/>
          <w:szCs w:val="24"/>
        </w:rPr>
      </w:pPr>
      <w:r w:rsidRPr="001D7ECF">
        <w:rPr>
          <w:rFonts w:ascii="Times New Roman" w:hAnsi="Times New Roman" w:cs="Times New Roman"/>
          <w:b/>
          <w:bCs/>
          <w:color w:val="000000" w:themeColor="text1"/>
          <w:sz w:val="24"/>
          <w:szCs w:val="24"/>
          <w:lang w:eastAsia="sk-SK"/>
        </w:rPr>
        <w:t>Predbežné stanovisko k návrhu aktu Európskej únie</w:t>
      </w:r>
    </w:p>
    <w:p w:rsidR="00C615AF" w:rsidRPr="001D7ECF" w:rsidRDefault="00C615AF" w:rsidP="00C615AF">
      <w:pPr>
        <w:pStyle w:val="Vchodzie"/>
        <w:spacing w:after="0" w:line="240" w:lineRule="auto"/>
        <w:ind w:left="1080" w:hanging="1080"/>
        <w:jc w:val="both"/>
        <w:rPr>
          <w:rFonts w:ascii="Times New Roman" w:hAnsi="Times New Roman" w:cs="Times New Roman"/>
          <w:color w:val="000000" w:themeColor="text1"/>
          <w:sz w:val="24"/>
          <w:szCs w:val="24"/>
        </w:rPr>
      </w:pPr>
    </w:p>
    <w:p w:rsidR="00C615AF" w:rsidRPr="001D7ECF" w:rsidRDefault="00C615AF" w:rsidP="00C615AF">
      <w:pPr>
        <w:pStyle w:val="Vchodzie"/>
        <w:numPr>
          <w:ilvl w:val="0"/>
          <w:numId w:val="2"/>
        </w:numPr>
        <w:spacing w:after="0" w:line="240" w:lineRule="auto"/>
        <w:ind w:left="284" w:hanging="284"/>
        <w:jc w:val="both"/>
        <w:rPr>
          <w:rFonts w:ascii="Times New Roman" w:hAnsi="Times New Roman" w:cs="Times New Roman"/>
          <w:b/>
          <w:color w:val="000000" w:themeColor="text1"/>
          <w:sz w:val="24"/>
          <w:szCs w:val="24"/>
          <w:u w:val="single"/>
          <w:lang w:eastAsia="sk-SK"/>
        </w:rPr>
      </w:pPr>
      <w:r w:rsidRPr="001D7ECF">
        <w:rPr>
          <w:rFonts w:ascii="Times New Roman" w:hAnsi="Times New Roman" w:cs="Times New Roman"/>
          <w:b/>
          <w:color w:val="000000" w:themeColor="text1"/>
          <w:sz w:val="24"/>
          <w:szCs w:val="24"/>
          <w:u w:val="single"/>
          <w:lang w:eastAsia="sk-SK"/>
        </w:rPr>
        <w:t xml:space="preserve">PREDBEŽNÉ STANOVISKO </w:t>
      </w:r>
    </w:p>
    <w:p w:rsidR="00C615AF" w:rsidRPr="001D7ECF" w:rsidRDefault="00C615AF" w:rsidP="00C615AF">
      <w:pPr>
        <w:pStyle w:val="Vchodzie"/>
        <w:spacing w:after="0" w:line="240" w:lineRule="auto"/>
        <w:ind w:left="284"/>
        <w:jc w:val="both"/>
        <w:rPr>
          <w:rFonts w:ascii="Times New Roman" w:hAnsi="Times New Roman" w:cs="Times New Roman"/>
          <w:bCs/>
          <w:color w:val="000000" w:themeColor="text1"/>
          <w:sz w:val="24"/>
          <w:szCs w:val="24"/>
          <w:u w:val="single"/>
        </w:rPr>
      </w:pPr>
    </w:p>
    <w:p w:rsidR="00C615AF" w:rsidRPr="001D7ECF" w:rsidRDefault="00C615AF" w:rsidP="00C615AF">
      <w:pPr>
        <w:pStyle w:val="Vchodzie"/>
        <w:numPr>
          <w:ilvl w:val="0"/>
          <w:numId w:val="1"/>
        </w:numPr>
        <w:spacing w:after="0" w:line="240" w:lineRule="auto"/>
        <w:ind w:left="284"/>
        <w:jc w:val="both"/>
        <w:rPr>
          <w:rFonts w:ascii="Times New Roman" w:hAnsi="Times New Roman" w:cs="Times New Roman"/>
          <w:color w:val="000000" w:themeColor="text1"/>
          <w:sz w:val="24"/>
          <w:szCs w:val="24"/>
        </w:rPr>
      </w:pPr>
      <w:r w:rsidRPr="001D7ECF">
        <w:rPr>
          <w:rFonts w:ascii="Times New Roman" w:hAnsi="Times New Roman" w:cs="Times New Roman"/>
          <w:b/>
          <w:color w:val="000000" w:themeColor="text1"/>
          <w:sz w:val="24"/>
          <w:szCs w:val="24"/>
          <w:lang w:eastAsia="sk-SK"/>
        </w:rPr>
        <w:t>Názov</w:t>
      </w:r>
    </w:p>
    <w:p w:rsidR="00C615AF" w:rsidRDefault="00C615AF" w:rsidP="00C615AF">
      <w:pPr>
        <w:pStyle w:val="Vchodzie"/>
        <w:spacing w:after="0" w:line="240" w:lineRule="auto"/>
        <w:ind w:left="284"/>
        <w:jc w:val="both"/>
        <w:rPr>
          <w:rFonts w:ascii="Times New Roman" w:hAnsi="Times New Roman" w:cs="Times New Roman"/>
          <w:color w:val="000000" w:themeColor="text1"/>
          <w:sz w:val="24"/>
          <w:szCs w:val="24"/>
        </w:rPr>
      </w:pPr>
      <w:r w:rsidRPr="00626EE3">
        <w:rPr>
          <w:rFonts w:ascii="Times New Roman" w:hAnsi="Times New Roman" w:cs="Times New Roman"/>
          <w:color w:val="000000" w:themeColor="text1"/>
          <w:sz w:val="24"/>
          <w:szCs w:val="24"/>
        </w:rPr>
        <w:t>Návrh smernice Európskeho parlamentu a Rady, ktorou sa menia a dopĺňajú smernice Európskeho parlamentu a Rady 2008/98/ES, 2010/75/EÚ, (EÚ) 2015/2193 a (EÚ) 2024/1785, pokiaľ ide o zjednodušenie niektorých požiadaviek a zníženie administratívnej záťaže.</w:t>
      </w:r>
    </w:p>
    <w:p w:rsidR="00C615AF" w:rsidRPr="001D7ECF" w:rsidRDefault="00C615AF" w:rsidP="00C615AF">
      <w:pPr>
        <w:pStyle w:val="Vchodzie"/>
        <w:spacing w:after="0" w:line="240" w:lineRule="auto"/>
        <w:ind w:left="284"/>
        <w:jc w:val="both"/>
        <w:rPr>
          <w:rFonts w:ascii="Times New Roman" w:hAnsi="Times New Roman" w:cs="Times New Roman"/>
          <w:color w:val="000000" w:themeColor="text1"/>
          <w:sz w:val="24"/>
          <w:szCs w:val="24"/>
        </w:rPr>
      </w:pPr>
    </w:p>
    <w:p w:rsidR="00C615AF" w:rsidRPr="001D7ECF" w:rsidRDefault="00C615AF" w:rsidP="00C615AF">
      <w:pPr>
        <w:pStyle w:val="Vchodzie"/>
        <w:numPr>
          <w:ilvl w:val="0"/>
          <w:numId w:val="1"/>
        </w:numPr>
        <w:spacing w:after="0" w:line="240" w:lineRule="auto"/>
        <w:ind w:left="284"/>
        <w:jc w:val="both"/>
        <w:rPr>
          <w:rFonts w:ascii="Times New Roman" w:hAnsi="Times New Roman" w:cs="Times New Roman"/>
          <w:color w:val="000000" w:themeColor="text1"/>
          <w:sz w:val="24"/>
          <w:szCs w:val="24"/>
        </w:rPr>
      </w:pPr>
      <w:r w:rsidRPr="001D7ECF">
        <w:rPr>
          <w:rFonts w:ascii="Times New Roman" w:hAnsi="Times New Roman" w:cs="Times New Roman"/>
          <w:b/>
          <w:color w:val="000000" w:themeColor="text1"/>
          <w:sz w:val="24"/>
          <w:szCs w:val="24"/>
          <w:lang w:eastAsia="sk-SK"/>
        </w:rPr>
        <w:t>Číslo a dátum zverejnenia dokumentu EK</w:t>
      </w:r>
    </w:p>
    <w:p w:rsidR="00C615AF" w:rsidRDefault="00C615AF" w:rsidP="00C615AF">
      <w:pPr>
        <w:pStyle w:val="Vchodzie"/>
        <w:spacing w:after="0" w:line="240" w:lineRule="auto"/>
        <w:ind w:left="284"/>
        <w:jc w:val="both"/>
        <w:rPr>
          <w:rFonts w:ascii="Times New Roman" w:hAnsi="Times New Roman" w:cs="Times New Roman"/>
          <w:color w:val="000000" w:themeColor="text1"/>
          <w:sz w:val="24"/>
          <w:szCs w:val="24"/>
          <w:lang w:eastAsia="sk-SK"/>
        </w:rPr>
      </w:pPr>
      <w:r w:rsidRPr="00626EE3">
        <w:rPr>
          <w:rFonts w:ascii="Times New Roman" w:hAnsi="Times New Roman" w:cs="Times New Roman"/>
          <w:color w:val="000000" w:themeColor="text1"/>
          <w:sz w:val="24"/>
          <w:szCs w:val="24"/>
          <w:lang w:eastAsia="sk-SK"/>
        </w:rPr>
        <w:t>COM(2025)986 z 10. decembra 2025</w:t>
      </w:r>
    </w:p>
    <w:p w:rsidR="00C615AF" w:rsidRPr="001D7ECF" w:rsidRDefault="00C615AF" w:rsidP="00C615AF">
      <w:pPr>
        <w:pStyle w:val="Vchodzie"/>
        <w:spacing w:after="0" w:line="240" w:lineRule="auto"/>
        <w:ind w:left="284"/>
        <w:jc w:val="both"/>
        <w:rPr>
          <w:rFonts w:ascii="Times New Roman" w:hAnsi="Times New Roman" w:cs="Times New Roman"/>
          <w:color w:val="000000" w:themeColor="text1"/>
          <w:sz w:val="24"/>
          <w:szCs w:val="24"/>
        </w:rPr>
      </w:pPr>
    </w:p>
    <w:p w:rsidR="00C615AF" w:rsidRPr="001D7ECF" w:rsidRDefault="00C615AF" w:rsidP="00C615AF">
      <w:pPr>
        <w:pStyle w:val="Vchodzie"/>
        <w:numPr>
          <w:ilvl w:val="0"/>
          <w:numId w:val="1"/>
        </w:numPr>
        <w:spacing w:after="0" w:line="240" w:lineRule="auto"/>
        <w:ind w:left="284"/>
        <w:jc w:val="both"/>
        <w:rPr>
          <w:rFonts w:ascii="Times New Roman" w:hAnsi="Times New Roman" w:cs="Times New Roman"/>
          <w:color w:val="000000" w:themeColor="text1"/>
          <w:sz w:val="24"/>
          <w:szCs w:val="24"/>
        </w:rPr>
      </w:pPr>
      <w:r w:rsidRPr="001D7ECF">
        <w:rPr>
          <w:rFonts w:ascii="Times New Roman" w:hAnsi="Times New Roman" w:cs="Times New Roman"/>
          <w:b/>
          <w:color w:val="000000" w:themeColor="text1"/>
          <w:sz w:val="24"/>
          <w:szCs w:val="24"/>
          <w:lang w:eastAsia="sk-SK"/>
        </w:rPr>
        <w:t>Gestor</w:t>
      </w:r>
    </w:p>
    <w:p w:rsidR="00C615AF" w:rsidRPr="001D7ECF" w:rsidRDefault="00C615AF" w:rsidP="00C615AF">
      <w:pPr>
        <w:pStyle w:val="Vchodzie"/>
        <w:spacing w:after="0" w:line="240" w:lineRule="auto"/>
        <w:ind w:left="284"/>
        <w:jc w:val="both"/>
        <w:rPr>
          <w:rFonts w:ascii="Times New Roman" w:hAnsi="Times New Roman" w:cs="Times New Roman"/>
          <w:color w:val="000000" w:themeColor="text1"/>
          <w:sz w:val="24"/>
          <w:szCs w:val="24"/>
          <w:lang w:eastAsia="sk-SK"/>
        </w:rPr>
      </w:pPr>
      <w:r w:rsidRPr="00626EE3">
        <w:rPr>
          <w:rFonts w:ascii="Times New Roman" w:hAnsi="Times New Roman" w:cs="Times New Roman"/>
          <w:color w:val="000000" w:themeColor="text1"/>
          <w:sz w:val="24"/>
          <w:szCs w:val="24"/>
          <w:lang w:eastAsia="sk-SK"/>
        </w:rPr>
        <w:t>Ministerstvo životného prostredia Slovenskej republiky</w:t>
      </w:r>
    </w:p>
    <w:p w:rsidR="00C615AF" w:rsidRPr="001D7ECF" w:rsidRDefault="00C615AF" w:rsidP="00C615AF">
      <w:pPr>
        <w:pStyle w:val="Vchodzie"/>
        <w:spacing w:after="0" w:line="240" w:lineRule="auto"/>
        <w:ind w:left="284"/>
        <w:jc w:val="both"/>
        <w:rPr>
          <w:rFonts w:ascii="Times New Roman" w:hAnsi="Times New Roman" w:cs="Times New Roman"/>
          <w:color w:val="000000" w:themeColor="text1"/>
          <w:sz w:val="24"/>
          <w:szCs w:val="24"/>
        </w:rPr>
      </w:pPr>
    </w:p>
    <w:p w:rsidR="00C615AF" w:rsidRPr="001D7ECF" w:rsidRDefault="00C615AF" w:rsidP="00C615AF">
      <w:pPr>
        <w:pStyle w:val="Vchodzie"/>
        <w:numPr>
          <w:ilvl w:val="0"/>
          <w:numId w:val="1"/>
        </w:numPr>
        <w:spacing w:after="0" w:line="240" w:lineRule="auto"/>
        <w:ind w:left="284"/>
        <w:jc w:val="both"/>
        <w:rPr>
          <w:rFonts w:ascii="Times New Roman" w:hAnsi="Times New Roman" w:cs="Times New Roman"/>
          <w:b/>
          <w:bCs/>
          <w:color w:val="000000" w:themeColor="text1"/>
          <w:sz w:val="24"/>
          <w:szCs w:val="24"/>
        </w:rPr>
      </w:pPr>
      <w:proofErr w:type="spellStart"/>
      <w:r w:rsidRPr="001D7ECF">
        <w:rPr>
          <w:rFonts w:ascii="Times New Roman" w:hAnsi="Times New Roman" w:cs="Times New Roman"/>
          <w:b/>
          <w:bCs/>
          <w:color w:val="000000" w:themeColor="text1"/>
          <w:sz w:val="24"/>
          <w:szCs w:val="24"/>
        </w:rPr>
        <w:t>Spolugestori</w:t>
      </w:r>
      <w:proofErr w:type="spellEnd"/>
    </w:p>
    <w:p w:rsidR="00C615AF" w:rsidRDefault="00C615AF" w:rsidP="00C615AF">
      <w:pPr>
        <w:pStyle w:val="Vchodzie"/>
        <w:spacing w:after="0" w:line="240" w:lineRule="auto"/>
        <w:ind w:left="284"/>
        <w:jc w:val="both"/>
        <w:rPr>
          <w:rFonts w:ascii="Times New Roman" w:hAnsi="Times New Roman" w:cs="Times New Roman"/>
          <w:color w:val="000000" w:themeColor="text1"/>
          <w:sz w:val="24"/>
          <w:szCs w:val="24"/>
        </w:rPr>
      </w:pPr>
      <w:r w:rsidRPr="00626EE3">
        <w:rPr>
          <w:rFonts w:ascii="Times New Roman" w:hAnsi="Times New Roman" w:cs="Times New Roman"/>
          <w:color w:val="000000" w:themeColor="text1"/>
          <w:sz w:val="24"/>
          <w:szCs w:val="24"/>
        </w:rPr>
        <w:t>M</w:t>
      </w:r>
      <w:r>
        <w:rPr>
          <w:rFonts w:ascii="Times New Roman" w:hAnsi="Times New Roman" w:cs="Times New Roman"/>
          <w:color w:val="000000" w:themeColor="text1"/>
          <w:sz w:val="24"/>
          <w:szCs w:val="24"/>
        </w:rPr>
        <w:t xml:space="preserve">inisterstvo hospodárstva SR, </w:t>
      </w:r>
      <w:r w:rsidRPr="00626EE3">
        <w:rPr>
          <w:rFonts w:ascii="Times New Roman" w:hAnsi="Times New Roman" w:cs="Times New Roman"/>
          <w:color w:val="000000" w:themeColor="text1"/>
          <w:sz w:val="24"/>
          <w:szCs w:val="24"/>
        </w:rPr>
        <w:t>M</w:t>
      </w:r>
      <w:r>
        <w:rPr>
          <w:rFonts w:ascii="Times New Roman" w:hAnsi="Times New Roman" w:cs="Times New Roman"/>
          <w:color w:val="000000" w:themeColor="text1"/>
          <w:sz w:val="24"/>
          <w:szCs w:val="24"/>
        </w:rPr>
        <w:t xml:space="preserve">inisterstvo pôdohospodárstva a rozvoja vidieka </w:t>
      </w:r>
      <w:r w:rsidRPr="00626EE3">
        <w:rPr>
          <w:rFonts w:ascii="Times New Roman" w:hAnsi="Times New Roman" w:cs="Times New Roman"/>
          <w:color w:val="000000" w:themeColor="text1"/>
          <w:sz w:val="24"/>
          <w:szCs w:val="24"/>
        </w:rPr>
        <w:t xml:space="preserve">SR   </w:t>
      </w:r>
    </w:p>
    <w:p w:rsidR="00C615AF" w:rsidRPr="001D7ECF" w:rsidRDefault="00C615AF" w:rsidP="00C615AF">
      <w:pPr>
        <w:pStyle w:val="Vchodzie"/>
        <w:spacing w:after="0" w:line="240" w:lineRule="auto"/>
        <w:ind w:left="284"/>
        <w:jc w:val="both"/>
        <w:rPr>
          <w:rFonts w:ascii="Times New Roman" w:hAnsi="Times New Roman" w:cs="Times New Roman"/>
          <w:b/>
          <w:bCs/>
          <w:color w:val="000000" w:themeColor="text1"/>
          <w:sz w:val="24"/>
          <w:szCs w:val="24"/>
        </w:rPr>
      </w:pPr>
    </w:p>
    <w:p w:rsidR="00C615AF" w:rsidRPr="001D7ECF" w:rsidRDefault="00C615AF" w:rsidP="00C615AF">
      <w:pPr>
        <w:pStyle w:val="Vchodzie"/>
        <w:numPr>
          <w:ilvl w:val="0"/>
          <w:numId w:val="1"/>
        </w:numPr>
        <w:spacing w:after="0" w:line="240" w:lineRule="auto"/>
        <w:ind w:left="284"/>
        <w:jc w:val="both"/>
        <w:rPr>
          <w:rFonts w:ascii="Times New Roman" w:hAnsi="Times New Roman" w:cs="Times New Roman"/>
          <w:color w:val="000000" w:themeColor="text1"/>
          <w:sz w:val="24"/>
          <w:szCs w:val="24"/>
        </w:rPr>
      </w:pPr>
      <w:r w:rsidRPr="001D7ECF">
        <w:rPr>
          <w:rFonts w:ascii="Times New Roman" w:hAnsi="Times New Roman" w:cs="Times New Roman"/>
          <w:b/>
          <w:color w:val="000000" w:themeColor="text1"/>
          <w:sz w:val="24"/>
          <w:szCs w:val="24"/>
          <w:lang w:eastAsia="sk-SK"/>
        </w:rPr>
        <w:t xml:space="preserve">Stupeň dôležitosti návrhu </w:t>
      </w:r>
    </w:p>
    <w:p w:rsidR="00C615AF" w:rsidRDefault="00C615AF" w:rsidP="00C615AF">
      <w:pPr>
        <w:pStyle w:val="Vchodzie"/>
        <w:spacing w:after="0" w:line="240" w:lineRule="auto"/>
        <w:ind w:firstLine="28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 – nízky</w:t>
      </w:r>
    </w:p>
    <w:p w:rsidR="00C615AF" w:rsidRPr="001D7ECF" w:rsidRDefault="00C615AF" w:rsidP="00C615AF">
      <w:pPr>
        <w:pStyle w:val="Vchodzie"/>
        <w:spacing w:after="0" w:line="240" w:lineRule="auto"/>
        <w:jc w:val="both"/>
        <w:rPr>
          <w:rFonts w:ascii="Times New Roman" w:hAnsi="Times New Roman" w:cs="Times New Roman"/>
          <w:color w:val="000000" w:themeColor="text1"/>
          <w:sz w:val="24"/>
          <w:szCs w:val="24"/>
        </w:rPr>
      </w:pPr>
    </w:p>
    <w:p w:rsidR="00C615AF" w:rsidRPr="00626EE3" w:rsidRDefault="00C615AF" w:rsidP="00C615AF">
      <w:pPr>
        <w:pStyle w:val="Vchodzie"/>
        <w:numPr>
          <w:ilvl w:val="0"/>
          <w:numId w:val="1"/>
        </w:numPr>
        <w:spacing w:after="0" w:line="240" w:lineRule="auto"/>
        <w:ind w:left="284"/>
        <w:jc w:val="both"/>
        <w:rPr>
          <w:rFonts w:ascii="Times New Roman" w:hAnsi="Times New Roman" w:cs="Times New Roman"/>
          <w:color w:val="000000" w:themeColor="text1"/>
          <w:sz w:val="24"/>
          <w:szCs w:val="24"/>
        </w:rPr>
      </w:pPr>
      <w:r w:rsidRPr="001D7ECF">
        <w:rPr>
          <w:rFonts w:ascii="Times New Roman" w:hAnsi="Times New Roman" w:cs="Times New Roman"/>
          <w:b/>
          <w:color w:val="000000" w:themeColor="text1"/>
          <w:sz w:val="24"/>
          <w:szCs w:val="24"/>
          <w:lang w:eastAsia="sk-SK"/>
        </w:rPr>
        <w:t xml:space="preserve">Stručné zhrnutie obsahu a cieľa návrhu </w:t>
      </w:r>
    </w:p>
    <w:p w:rsidR="00C615AF" w:rsidRDefault="00C615AF" w:rsidP="00C615AF">
      <w:pPr>
        <w:pStyle w:val="Vchodzie"/>
        <w:spacing w:after="0" w:line="240" w:lineRule="auto"/>
        <w:ind w:left="-76"/>
        <w:jc w:val="both"/>
        <w:rPr>
          <w:rFonts w:ascii="Times New Roman" w:hAnsi="Times New Roman" w:cs="Times New Roman"/>
          <w:b/>
          <w:color w:val="000000" w:themeColor="text1"/>
          <w:sz w:val="24"/>
          <w:szCs w:val="24"/>
          <w:lang w:eastAsia="sk-SK"/>
        </w:rPr>
      </w:pPr>
    </w:p>
    <w:p w:rsidR="00C615AF" w:rsidRPr="00C615AF" w:rsidRDefault="00C615AF" w:rsidP="00C615AF">
      <w:pPr>
        <w:pStyle w:val="Vchodzie"/>
        <w:spacing w:after="0" w:line="240" w:lineRule="auto"/>
        <w:ind w:left="-76"/>
        <w:jc w:val="both"/>
        <w:rPr>
          <w:rFonts w:ascii="Times New Roman" w:hAnsi="Times New Roman" w:cs="Times New Roman"/>
          <w:color w:val="000000" w:themeColor="text1"/>
          <w:sz w:val="24"/>
          <w:szCs w:val="24"/>
        </w:rPr>
      </w:pPr>
      <w:r w:rsidRPr="00C615AF">
        <w:rPr>
          <w:rFonts w:ascii="Times New Roman" w:hAnsi="Times New Roman" w:cs="Times New Roman"/>
          <w:noProof/>
          <w:sz w:val="24"/>
          <w:szCs w:val="24"/>
        </w:rPr>
        <w:t xml:space="preserve">Cieľom navrhovanej smernice je vykonať cielené revízie nasledovných legislatívnych aktov EÚ: </w:t>
      </w:r>
    </w:p>
    <w:p w:rsidR="00C615AF" w:rsidRPr="00C615AF" w:rsidRDefault="00C615AF" w:rsidP="00C615AF">
      <w:pPr>
        <w:pStyle w:val="ListDash1"/>
        <w:spacing w:before="0" w:after="0"/>
        <w:ind w:left="1135" w:hanging="284"/>
        <w:rPr>
          <w:noProof/>
          <w:szCs w:val="24"/>
        </w:rPr>
      </w:pPr>
      <w:r w:rsidRPr="00C615AF">
        <w:rPr>
          <w:noProof/>
          <w:szCs w:val="24"/>
        </w:rPr>
        <w:t>smernice 2008/98/ES o odpade</w:t>
      </w:r>
      <w:r w:rsidRPr="00C615AF">
        <w:rPr>
          <w:rStyle w:val="Odkaznapoznmkupodiarou"/>
          <w:rFonts w:eastAsiaTheme="majorEastAsia"/>
          <w:noProof/>
          <w:szCs w:val="24"/>
        </w:rPr>
        <w:footnoteReference w:id="1"/>
      </w:r>
      <w:r w:rsidRPr="00C615AF">
        <w:rPr>
          <w:noProof/>
          <w:szCs w:val="24"/>
        </w:rPr>
        <w:t>,</w:t>
      </w:r>
    </w:p>
    <w:p w:rsidR="00C615AF" w:rsidRPr="00C615AF" w:rsidRDefault="00C615AF" w:rsidP="00C615AF">
      <w:pPr>
        <w:pStyle w:val="ListDash1"/>
        <w:spacing w:before="0" w:after="0"/>
        <w:ind w:left="1135" w:hanging="284"/>
        <w:rPr>
          <w:noProof/>
          <w:szCs w:val="24"/>
        </w:rPr>
      </w:pPr>
      <w:r w:rsidRPr="00C615AF">
        <w:rPr>
          <w:noProof/>
          <w:szCs w:val="24"/>
        </w:rPr>
        <w:t>smernice 2010/75/EÚ o emisiách z priemyslu a chovu hospodárskych zvierat</w:t>
      </w:r>
      <w:bookmarkStart w:id="0" w:name="_Hlk206511561"/>
      <w:r w:rsidRPr="00C615AF">
        <w:rPr>
          <w:rStyle w:val="Odkaznapoznmkupodiarou"/>
          <w:rFonts w:eastAsiaTheme="majorEastAsia"/>
          <w:noProof/>
          <w:szCs w:val="24"/>
        </w:rPr>
        <w:footnoteReference w:id="2"/>
      </w:r>
      <w:bookmarkEnd w:id="0"/>
      <w:r w:rsidRPr="00C615AF">
        <w:rPr>
          <w:noProof/>
          <w:szCs w:val="24"/>
        </w:rPr>
        <w:t>,</w:t>
      </w:r>
    </w:p>
    <w:p w:rsidR="00C615AF" w:rsidRPr="00C615AF" w:rsidRDefault="00C615AF" w:rsidP="00C615AF">
      <w:pPr>
        <w:pStyle w:val="ListDash1"/>
        <w:spacing w:before="0" w:after="0"/>
        <w:ind w:left="1135" w:hanging="284"/>
        <w:rPr>
          <w:noProof/>
          <w:color w:val="000000" w:themeColor="text1"/>
          <w:szCs w:val="24"/>
        </w:rPr>
      </w:pPr>
      <w:r w:rsidRPr="00C615AF">
        <w:rPr>
          <w:noProof/>
          <w:color w:val="000000" w:themeColor="text1"/>
          <w:szCs w:val="24"/>
        </w:rPr>
        <w:t>smernice (EÚ) 2015/2193 o obmedzení emisií určitých znečisťujúcich látok do ovzdušia zo stredne veľkých spaľovacích zariadení</w:t>
      </w:r>
      <w:r w:rsidRPr="00C615AF">
        <w:rPr>
          <w:rStyle w:val="Odkaznapoznmkupodiarou"/>
          <w:rFonts w:eastAsiaTheme="majorEastAsia"/>
          <w:noProof/>
          <w:color w:val="000000" w:themeColor="text1"/>
          <w:szCs w:val="24"/>
        </w:rPr>
        <w:footnoteReference w:id="3"/>
      </w:r>
      <w:r w:rsidRPr="00C615AF">
        <w:rPr>
          <w:noProof/>
          <w:color w:val="000000" w:themeColor="text1"/>
          <w:szCs w:val="24"/>
        </w:rPr>
        <w:t>,</w:t>
      </w:r>
    </w:p>
    <w:p w:rsidR="00C615AF" w:rsidRPr="00C615AF" w:rsidRDefault="00C615AF" w:rsidP="00C615AF">
      <w:pPr>
        <w:pStyle w:val="ListDash1"/>
        <w:spacing w:before="0" w:after="0"/>
        <w:rPr>
          <w:noProof/>
          <w:color w:val="000000" w:themeColor="text1"/>
          <w:szCs w:val="24"/>
        </w:rPr>
      </w:pPr>
      <w:r w:rsidRPr="00C615AF">
        <w:rPr>
          <w:noProof/>
          <w:color w:val="000000" w:themeColor="text1"/>
          <w:szCs w:val="24"/>
        </w:rPr>
        <w:t>smernice (EÚ) 2024/1785, ktorou sa mení smernica Európskeho parlamentu a Rady 2010/75/EÚ o priemyselných emisiách (integrovaná prevencia a kontrola znečisťovania životného prostredia) a smernica Rady 1999/31/ES o skládkach odpadov</w:t>
      </w:r>
      <w:r w:rsidRPr="00C615AF">
        <w:rPr>
          <w:rStyle w:val="Odkaznapoznmkupodiarou"/>
          <w:rFonts w:eastAsiaTheme="majorEastAsia"/>
          <w:noProof/>
          <w:color w:val="000000" w:themeColor="text1"/>
          <w:szCs w:val="24"/>
        </w:rPr>
        <w:footnoteReference w:id="4"/>
      </w:r>
      <w:r w:rsidRPr="00C615AF">
        <w:rPr>
          <w:noProof/>
          <w:color w:val="000000" w:themeColor="text1"/>
          <w:szCs w:val="24"/>
        </w:rPr>
        <w:t>.</w:t>
      </w:r>
    </w:p>
    <w:p w:rsidR="00C615AF" w:rsidRPr="00C615AF" w:rsidRDefault="00C615AF" w:rsidP="00C615AF">
      <w:pPr>
        <w:pStyle w:val="Normlnywebov"/>
        <w:spacing w:after="120"/>
        <w:jc w:val="both"/>
        <w:rPr>
          <w:noProof/>
        </w:rPr>
      </w:pPr>
      <w:r w:rsidRPr="00C615AF">
        <w:rPr>
          <w:noProof/>
        </w:rPr>
        <w:t xml:space="preserve">Tento návrh obsahuje obmedzené a cielené zmeny uvedených smerníc v oblasti životného prostredia, ktoré sú predstavené podľa jednotlivých aktov nižšie. </w:t>
      </w:r>
    </w:p>
    <w:p w:rsidR="00C615AF" w:rsidRPr="00C615AF" w:rsidRDefault="00C615AF" w:rsidP="00C615AF">
      <w:pPr>
        <w:spacing w:after="240"/>
        <w:jc w:val="both"/>
        <w:rPr>
          <w:rFonts w:ascii="Times New Roman" w:hAnsi="Times New Roman" w:cs="Times New Roman"/>
          <w:b/>
          <w:bCs/>
          <w:noProof/>
          <w:sz w:val="24"/>
          <w:szCs w:val="24"/>
          <w:u w:val="single"/>
        </w:rPr>
      </w:pPr>
      <w:r w:rsidRPr="00C615AF">
        <w:rPr>
          <w:rFonts w:ascii="Times New Roman" w:hAnsi="Times New Roman" w:cs="Times New Roman"/>
          <w:b/>
          <w:noProof/>
          <w:sz w:val="24"/>
          <w:szCs w:val="24"/>
          <w:u w:val="single"/>
        </w:rPr>
        <w:t>Smernica 2008/98/ES o odpade:</w:t>
      </w:r>
    </w:p>
    <w:p w:rsidR="00C615AF" w:rsidRPr="00C615AF" w:rsidRDefault="00C615AF" w:rsidP="00C615AF">
      <w:pPr>
        <w:pStyle w:val="Odsekzoznamu"/>
        <w:numPr>
          <w:ilvl w:val="0"/>
          <w:numId w:val="4"/>
        </w:numPr>
        <w:spacing w:after="120"/>
        <w:ind w:left="714" w:hanging="357"/>
        <w:contextualSpacing w:val="0"/>
        <w:jc w:val="both"/>
        <w:rPr>
          <w:noProof/>
        </w:rPr>
      </w:pPr>
      <w:r w:rsidRPr="00C615AF">
        <w:rPr>
          <w:i/>
          <w:noProof/>
        </w:rPr>
        <w:t xml:space="preserve">Zrušenie databázy SCIP - </w:t>
      </w:r>
      <w:r w:rsidRPr="00C615AF">
        <w:rPr>
          <w:noProof/>
        </w:rPr>
        <w:t xml:space="preserve">Mnohé zainteresované strany vyjadrili obavy v súvislosti s užitočnosťou a účinnosťou databázy SCIP pre prevádzkovateľov v oblasti nakladania </w:t>
      </w:r>
      <w:r w:rsidRPr="00C615AF">
        <w:rPr>
          <w:noProof/>
        </w:rPr>
        <w:lastRenderedPageBreak/>
        <w:t>s odpadom a pre spotrebiteľov. Poznamenávajú, že databáza sa využíva pomerne málo a počet „nájdených záznamov“ na internete je nízky. Možno to súvisí s tým, že údaje sú príliš zložité na to, aby boli pre väčšinu ľudí zmysluplné, a sú vnímané tak, že poskytujú malú pridanú hodnotu nad rámec iných prostriedkov poskytovania informácií (ako je označenie na etiketách). Údaje sa takisto považujú za duplicitu článku 33 ods. 1 nariadenia REACH o povinnostiach, čím sa vytvára neprimeraná záťaž bez prínosu, najmä pokiaľ ide o produkty súvisiace s využívaním kozmického priestoru a o transakcie medzi podnikmi. Používanie digitálnych pasov výrobkov a v budúcnosti komplexnejších označení výrobkov ešte viac obmedzí budúci dodatočný prínos databázy.</w:t>
      </w:r>
    </w:p>
    <w:p w:rsidR="00C615AF" w:rsidRPr="00C615AF" w:rsidRDefault="00C615AF" w:rsidP="00C615AF">
      <w:pPr>
        <w:pStyle w:val="Odsekzoznamu"/>
        <w:numPr>
          <w:ilvl w:val="0"/>
          <w:numId w:val="4"/>
        </w:numPr>
        <w:spacing w:after="120"/>
        <w:ind w:left="714" w:hanging="357"/>
        <w:contextualSpacing w:val="0"/>
        <w:jc w:val="both"/>
        <w:rPr>
          <w:noProof/>
          <w:color w:val="000000" w:themeColor="text1"/>
        </w:rPr>
      </w:pPr>
      <w:r w:rsidRPr="00C615AF">
        <w:rPr>
          <w:i/>
          <w:noProof/>
          <w:color w:val="000000" w:themeColor="text1"/>
        </w:rPr>
        <w:t xml:space="preserve">Podávanie správ v súvislosti s rozšírenou zodpovednosťou výrobcov - </w:t>
      </w:r>
      <w:r w:rsidRPr="00C615AF">
        <w:rPr>
          <w:noProof/>
          <w:color w:val="000000" w:themeColor="text1"/>
        </w:rPr>
        <w:t>V návrhu sa predpokladá harmonizovaná frekvencia podávania správ v príslušných právnych predpisoch s cieľom znížiť administratívnu záťaž a zabrániť nepriaznivým vplyvom na fungovanie vnútorného trhu, najmä v prípade výrobcov, ktorí predávajú výrobky vo viacerých členských štátoch.</w:t>
      </w:r>
    </w:p>
    <w:p w:rsidR="00C615AF" w:rsidRDefault="00C615AF" w:rsidP="00C615AF">
      <w:pPr>
        <w:pStyle w:val="Odsekzoznamu"/>
        <w:numPr>
          <w:ilvl w:val="0"/>
          <w:numId w:val="4"/>
        </w:numPr>
        <w:spacing w:after="120"/>
        <w:ind w:left="714" w:hanging="357"/>
        <w:contextualSpacing w:val="0"/>
        <w:jc w:val="both"/>
        <w:rPr>
          <w:noProof/>
        </w:rPr>
      </w:pPr>
      <w:r w:rsidRPr="00C615AF">
        <w:rPr>
          <w:i/>
          <w:noProof/>
        </w:rPr>
        <w:t xml:space="preserve">Stanovenie ukazovateľov na meranie vykonávania opatrení na predchádzanie vzniku odpadu - </w:t>
      </w:r>
      <w:r w:rsidRPr="00C615AF">
        <w:rPr>
          <w:noProof/>
        </w:rPr>
        <w:t>Navrhuje sa vypustenie splnomocnenia Komisie podľa smernice 2009/98/ES na prijatie vykonávacieho aktu s cieľom stanoviť ukazovatele na meranie celkového pokroku pri vykonávaní opatrení na predchádzanie vzniku odpadu v dôsledku absencie požiadavky povinného uplatňovania.</w:t>
      </w:r>
    </w:p>
    <w:p w:rsidR="00C615AF" w:rsidRPr="00C615AF" w:rsidRDefault="00C615AF" w:rsidP="00C615AF">
      <w:pPr>
        <w:spacing w:after="120"/>
        <w:jc w:val="both"/>
        <w:rPr>
          <w:noProof/>
        </w:rPr>
      </w:pPr>
    </w:p>
    <w:p w:rsidR="00C615AF" w:rsidRPr="00C615AF" w:rsidRDefault="00C615AF" w:rsidP="00C615AF">
      <w:pPr>
        <w:jc w:val="both"/>
        <w:rPr>
          <w:rFonts w:ascii="Times New Roman" w:hAnsi="Times New Roman" w:cs="Times New Roman"/>
          <w:b/>
          <w:noProof/>
          <w:sz w:val="24"/>
          <w:szCs w:val="24"/>
          <w:u w:val="single"/>
        </w:rPr>
      </w:pPr>
      <w:r w:rsidRPr="00C615AF">
        <w:rPr>
          <w:rFonts w:ascii="Times New Roman" w:hAnsi="Times New Roman" w:cs="Times New Roman"/>
          <w:b/>
          <w:noProof/>
          <w:sz w:val="24"/>
          <w:szCs w:val="24"/>
          <w:u w:val="single"/>
        </w:rPr>
        <w:t>Smernica 2010/75/EÚ o emisiách z priemyslu a chovu hospodárskych zvierat:</w:t>
      </w:r>
    </w:p>
    <w:p w:rsidR="00C615AF" w:rsidRPr="00C615AF" w:rsidRDefault="00C615AF" w:rsidP="00C615AF">
      <w:pPr>
        <w:pStyle w:val="Normlnywebov"/>
        <w:jc w:val="both"/>
      </w:pPr>
      <w:r w:rsidRPr="00C615AF">
        <w:t>Hlavné ciele a obsah smernice 2010/75/EÚ sa týkajú primárne zjednodušenia požiadaviek na systémy environmentálneho manažérstva (EMS). Prevádzkovateľom sa má umožniť, aby jeden systém EMS pokrýval viacero prevádzok pod rovnakým prevádzkovateľom. Navrhuje sa zrušenie povinnosti viesť register nebezpečných látok, vypracovávať hodnotenia chemických rizík a vykonávať audity EMS, nakoľko existujúce normy, ako EMAS alebo ISO 14001, už zabezpečujú primeranú kontrolu. Okrem toho bola zrušená povinnosť vypracovať orientačné plány transformácie a lehotu na zavedenie EMS sa posunula z roku 2027 na rok 2030, čím sa zabezpečuje dostatočný čas na prípravu prevádzkovateľov a príslušných orgánov.</w:t>
      </w:r>
    </w:p>
    <w:p w:rsidR="00C615AF" w:rsidRPr="00C615AF" w:rsidRDefault="00C615AF" w:rsidP="00C615AF">
      <w:pPr>
        <w:pStyle w:val="Normlnywebov"/>
        <w:jc w:val="both"/>
      </w:pPr>
      <w:r w:rsidRPr="00C615AF">
        <w:t xml:space="preserve">Ďalej bola upravená definícia priemyselných činností odstránením slova „surové“ pri výrobe železa a ocele, čím sa zosúladili pravidlá smernice o priemyselných emisiách so systémom obchodovania s emisiami skleníkových plynov (ETS) a uľahčila sa autorizácia inovatívnych a čistejších technológií. Navrhovaný balík opatrení tiež umožňuje zjednodušenie zahrnutia ekologických chovov hydiny a prepočítavacieho koeficientu pre neodstavené prasiatka pri výpočte dobytčích jednotiek. </w:t>
      </w:r>
    </w:p>
    <w:p w:rsidR="00C615AF" w:rsidRPr="00C615AF" w:rsidRDefault="00C615AF" w:rsidP="00C615AF">
      <w:pPr>
        <w:pStyle w:val="Normlnywebov"/>
        <w:jc w:val="both"/>
      </w:pPr>
    </w:p>
    <w:p w:rsidR="00C615AF" w:rsidRPr="00C615AF" w:rsidRDefault="00C615AF" w:rsidP="00C615AF">
      <w:pPr>
        <w:spacing w:after="120"/>
        <w:jc w:val="both"/>
        <w:rPr>
          <w:rFonts w:ascii="Times New Roman" w:hAnsi="Times New Roman" w:cs="Times New Roman"/>
          <w:b/>
          <w:bCs/>
          <w:noProof/>
          <w:color w:val="000000" w:themeColor="text1"/>
          <w:sz w:val="24"/>
          <w:szCs w:val="24"/>
          <w:u w:val="single"/>
        </w:rPr>
      </w:pPr>
      <w:r w:rsidRPr="00C615AF">
        <w:rPr>
          <w:rFonts w:ascii="Times New Roman" w:hAnsi="Times New Roman" w:cs="Times New Roman"/>
          <w:b/>
          <w:noProof/>
          <w:color w:val="000000" w:themeColor="text1"/>
          <w:sz w:val="24"/>
          <w:szCs w:val="24"/>
          <w:u w:val="single"/>
        </w:rPr>
        <w:t>Smernica 2010/75/ES o emisiách z priemyslu a chovu hospodárskych zvierat a smernica (EÚ) 2015/2193 z 25. novembra 2015 o obmedzení emisií určitých znečisťujúcich látok do ovzdušia zo stredne veľkých spaľovacích zariadení:</w:t>
      </w:r>
    </w:p>
    <w:p w:rsidR="00C615AF" w:rsidRPr="00C615AF" w:rsidRDefault="00C615AF" w:rsidP="00C615AF">
      <w:pPr>
        <w:jc w:val="both"/>
        <w:rPr>
          <w:rFonts w:ascii="Times New Roman" w:hAnsi="Times New Roman" w:cs="Times New Roman"/>
          <w:bCs/>
          <w:sz w:val="24"/>
          <w:szCs w:val="24"/>
        </w:rPr>
      </w:pPr>
      <w:r w:rsidRPr="00C615AF">
        <w:rPr>
          <w:rFonts w:ascii="Times New Roman" w:hAnsi="Times New Roman" w:cs="Times New Roman"/>
          <w:bCs/>
          <w:sz w:val="24"/>
          <w:szCs w:val="24"/>
        </w:rPr>
        <w:t>Predmetom zmien týkajúcich spaľovacích zariadení pod smernicami 2010/75/EÚ a 2015/2193 je podpora priemyselných procesov založených na vodíku, nakoľko spaľovanie vodíka nevytvára CO</w:t>
      </w:r>
      <w:r w:rsidRPr="00C615AF">
        <w:rPr>
          <w:rFonts w:ascii="Times New Roman" w:hAnsi="Times New Roman" w:cs="Times New Roman"/>
          <w:bCs/>
          <w:sz w:val="24"/>
          <w:szCs w:val="24"/>
          <w:vertAlign w:val="subscript"/>
        </w:rPr>
        <w:t>2</w:t>
      </w:r>
      <w:r w:rsidRPr="00C615AF">
        <w:rPr>
          <w:rFonts w:ascii="Times New Roman" w:hAnsi="Times New Roman" w:cs="Times New Roman"/>
          <w:bCs/>
          <w:sz w:val="24"/>
          <w:szCs w:val="24"/>
        </w:rPr>
        <w:t>. Keď sa však zvýši obsah vodíka v palive, zvýšia sa aj emisie NO</w:t>
      </w:r>
      <w:r w:rsidRPr="00C615AF">
        <w:rPr>
          <w:rFonts w:ascii="Times New Roman" w:hAnsi="Times New Roman" w:cs="Times New Roman"/>
          <w:bCs/>
          <w:sz w:val="24"/>
          <w:szCs w:val="24"/>
          <w:vertAlign w:val="subscript"/>
        </w:rPr>
        <w:t>X</w:t>
      </w:r>
      <w:r w:rsidRPr="00C615AF">
        <w:rPr>
          <w:rFonts w:ascii="Times New Roman" w:hAnsi="Times New Roman" w:cs="Times New Roman"/>
          <w:bCs/>
          <w:sz w:val="24"/>
          <w:szCs w:val="24"/>
        </w:rPr>
        <w:t xml:space="preserve">, preto Komisia navrhuje vytvorenie osobitnej výnimky z emisných limitov pre spaľovacie zariadenia spaľujúce plyn s viac ako 20 % (objemu) vodíka. </w:t>
      </w:r>
    </w:p>
    <w:p w:rsidR="00C615AF" w:rsidRPr="00C615AF" w:rsidRDefault="00C615AF" w:rsidP="00C615AF">
      <w:pPr>
        <w:spacing w:before="100" w:beforeAutospacing="1" w:after="100" w:afterAutospacing="1"/>
        <w:jc w:val="both"/>
        <w:rPr>
          <w:rFonts w:ascii="Times New Roman" w:hAnsi="Times New Roman" w:cs="Times New Roman"/>
          <w:bCs/>
          <w:sz w:val="24"/>
          <w:szCs w:val="24"/>
        </w:rPr>
      </w:pPr>
      <w:r w:rsidRPr="00C615AF">
        <w:rPr>
          <w:rFonts w:ascii="Times New Roman" w:hAnsi="Times New Roman" w:cs="Times New Roman"/>
          <w:bCs/>
          <w:sz w:val="24"/>
          <w:szCs w:val="24"/>
        </w:rPr>
        <w:lastRenderedPageBreak/>
        <w:t>S cieľom zjednodušiť dekarbonizáciu priemyselných procesov a umožniť používanie kyslíkovo-palivového spaľovania, pri ktorom kyslíkom obohatený spaľovací vzduch uľahčuje zachytávanie oxidu uhličitého Komisia navrhuje, aby sa príslušným orgánom poskytla flexibilita pri posudzovaní dodržiavania limitných hodnôt emisií.</w:t>
      </w:r>
    </w:p>
    <w:p w:rsidR="00C615AF" w:rsidRPr="00C615AF" w:rsidRDefault="00C615AF" w:rsidP="00C615AF">
      <w:pPr>
        <w:spacing w:before="100" w:beforeAutospacing="1" w:after="100" w:afterAutospacing="1"/>
        <w:jc w:val="both"/>
        <w:rPr>
          <w:rFonts w:ascii="Times New Roman" w:hAnsi="Times New Roman" w:cs="Times New Roman"/>
          <w:bCs/>
          <w:sz w:val="24"/>
          <w:szCs w:val="24"/>
        </w:rPr>
      </w:pPr>
      <w:r w:rsidRPr="00C615AF">
        <w:rPr>
          <w:rFonts w:ascii="Times New Roman" w:hAnsi="Times New Roman" w:cs="Times New Roman"/>
          <w:bCs/>
          <w:sz w:val="24"/>
          <w:szCs w:val="24"/>
        </w:rPr>
        <w:t>S cieľom znížiť administratívnu záťaž vyplývajúcu z požiadaviek na podávanie správ vyplývajúcich zo smernice (EÚ) 2015/2193 v súvislosti s emisiami SO</w:t>
      </w:r>
      <w:r w:rsidRPr="00C615AF">
        <w:rPr>
          <w:rFonts w:ascii="Times New Roman" w:hAnsi="Times New Roman" w:cs="Times New Roman"/>
          <w:bCs/>
          <w:sz w:val="24"/>
          <w:szCs w:val="24"/>
          <w:vertAlign w:val="subscript"/>
        </w:rPr>
        <w:t>2</w:t>
      </w:r>
      <w:r w:rsidRPr="00C615AF">
        <w:rPr>
          <w:rFonts w:ascii="Times New Roman" w:hAnsi="Times New Roman" w:cs="Times New Roman"/>
          <w:bCs/>
          <w:sz w:val="24"/>
          <w:szCs w:val="24"/>
        </w:rPr>
        <w:t>, NO</w:t>
      </w:r>
      <w:r w:rsidRPr="00C615AF">
        <w:rPr>
          <w:rFonts w:ascii="Times New Roman" w:hAnsi="Times New Roman" w:cs="Times New Roman"/>
          <w:bCs/>
          <w:sz w:val="24"/>
          <w:szCs w:val="24"/>
          <w:vertAlign w:val="subscript"/>
        </w:rPr>
        <w:t>X</w:t>
      </w:r>
      <w:r w:rsidRPr="00C615AF">
        <w:rPr>
          <w:rFonts w:ascii="Times New Roman" w:hAnsi="Times New Roman" w:cs="Times New Roman"/>
          <w:bCs/>
          <w:sz w:val="24"/>
          <w:szCs w:val="24"/>
        </w:rPr>
        <w:t>, prachu a CO z niektorých záložných generátorov Komisia navrhuje stanoviť prahovú hodnotu pre minimálny počet prevádzkových hodín takýchto generátorov, pod ktorú by sa frekvencia pravidelných meraní znížila. Ide o záložné generátory, ktoré majú menovitý tepelný príkon rovný alebo vyšší ako 20 MW a ktoré spĺňajú limitné hodnoty emisií platné pre necestné pojazdné stroje kategórie NRG, pokiaľ ide o kontroly etapy V, stanovené v prílohe II k nariadeniu (EÚ) 2016/1628.</w:t>
      </w:r>
    </w:p>
    <w:p w:rsidR="00C615AF" w:rsidRDefault="00C615AF" w:rsidP="00C615AF">
      <w:pPr>
        <w:jc w:val="both"/>
        <w:rPr>
          <w:rFonts w:ascii="Times New Roman" w:hAnsi="Times New Roman" w:cs="Times New Roman"/>
          <w:bCs/>
          <w:sz w:val="24"/>
          <w:szCs w:val="24"/>
        </w:rPr>
      </w:pPr>
      <w:r w:rsidRPr="00C615AF">
        <w:rPr>
          <w:rFonts w:ascii="Times New Roman" w:hAnsi="Times New Roman" w:cs="Times New Roman"/>
          <w:bCs/>
          <w:sz w:val="24"/>
          <w:szCs w:val="24"/>
        </w:rPr>
        <w:t>Požiadavka na monitorovanie záložných generátorov sa zjemňuje z 500 h na 1500 h avšak iba pre motory s MTP nad 20 MW, ktoré spĺňajú limitné hodnoty emisií platné pre necestné pojazdné stroje kategórie NRG, pokiaľ ide o kontroly etapy V. Minimálna frekvencia monitorovania stanovená na minimálne raz za 5 rokov sa týmto nemení.</w:t>
      </w:r>
    </w:p>
    <w:p w:rsidR="00C615AF" w:rsidRPr="00C615AF" w:rsidRDefault="00C615AF" w:rsidP="00C615AF">
      <w:pPr>
        <w:jc w:val="both"/>
        <w:rPr>
          <w:rFonts w:ascii="Times New Roman" w:hAnsi="Times New Roman" w:cs="Times New Roman"/>
          <w:bCs/>
          <w:sz w:val="24"/>
          <w:szCs w:val="24"/>
        </w:rPr>
      </w:pPr>
    </w:p>
    <w:p w:rsidR="00C615AF" w:rsidRPr="00C615AF" w:rsidRDefault="00C615AF" w:rsidP="00C615AF">
      <w:pPr>
        <w:jc w:val="both"/>
        <w:rPr>
          <w:rFonts w:ascii="Times New Roman" w:hAnsi="Times New Roman" w:cs="Times New Roman"/>
          <w:b/>
          <w:noProof/>
          <w:color w:val="000000" w:themeColor="text1"/>
          <w:sz w:val="24"/>
          <w:szCs w:val="24"/>
          <w:u w:val="single"/>
        </w:rPr>
      </w:pPr>
      <w:r w:rsidRPr="00C615AF">
        <w:rPr>
          <w:rFonts w:ascii="Times New Roman" w:hAnsi="Times New Roman" w:cs="Times New Roman"/>
          <w:b/>
          <w:noProof/>
          <w:color w:val="000000" w:themeColor="text1"/>
          <w:sz w:val="24"/>
          <w:szCs w:val="24"/>
          <w:u w:val="single"/>
        </w:rPr>
        <w:t>Smernica (EÚ) 2024/1785, ktorou sa menia smernice 2010/75/EÚ a 1999/31/ES:</w:t>
      </w:r>
    </w:p>
    <w:p w:rsidR="00C615AF" w:rsidRPr="00C615AF" w:rsidRDefault="00C615AF" w:rsidP="00C615AF">
      <w:pPr>
        <w:pStyle w:val="Normlnywebov"/>
        <w:jc w:val="both"/>
      </w:pPr>
      <w:r w:rsidRPr="00C615AF">
        <w:t xml:space="preserve">K zmene smernice </w:t>
      </w:r>
      <w:r w:rsidRPr="00C615AF">
        <w:rPr>
          <w:rStyle w:val="Vrazn"/>
        </w:rPr>
        <w:t>(EÚ) 2024/1785</w:t>
      </w:r>
      <w:r w:rsidRPr="00C615AF">
        <w:rPr>
          <w:b/>
        </w:rPr>
        <w:t xml:space="preserve"> </w:t>
      </w:r>
      <w:r w:rsidRPr="00C615AF">
        <w:t xml:space="preserve">dochádza výlučne tým, že sa navrhuje zaviesť </w:t>
      </w:r>
      <w:r w:rsidRPr="00C615AF">
        <w:rPr>
          <w:rStyle w:val="Vrazn"/>
        </w:rPr>
        <w:t>prechodné ustanovenia</w:t>
      </w:r>
      <w:r w:rsidRPr="00C615AF">
        <w:t xml:space="preserve"> k už existujúcim povinnostiam vyplývajúcim zo smernice 2010/75/EÚ. Tieto povinnosti zahŕňajú zahrnutie požiadaviek do povolení na predchádzanie alebo znižovanie emisií nebezpečných látok (článok 14 ods. 1 písm. </w:t>
      </w:r>
      <w:proofErr w:type="spellStart"/>
      <w:r w:rsidRPr="00C615AF">
        <w:t>ab</w:t>
      </w:r>
      <w:proofErr w:type="spellEnd"/>
      <w:r w:rsidRPr="00C615AF">
        <w:t xml:space="preserve">)), monitorovanie podzemných vôd a pôdy (článok 16 ods. 2) a kontrolu kvality laboratórií vykonávajúcich monitorovanie (článok 16 ods. 3). Nevyhnutnosť úprav prechodných ustanovení vyplynula z dôvodu, že v súčasnom znení smernice 2010/75/EÚ sa neuplatňujú žiadne prechodné pravidlá, a preto by sa všetky tieto povinnosti museli aplikovať naraz pri revízii všetkých povolení od júla 2026. Zavedenie jasných a presných prechodných ustanovení umožní </w:t>
      </w:r>
      <w:r w:rsidRPr="00C615AF">
        <w:rPr>
          <w:rStyle w:val="Vrazn"/>
        </w:rPr>
        <w:t>postupné uplatňovanie týchto požiadaviek</w:t>
      </w:r>
      <w:r w:rsidRPr="00C615AF">
        <w:t>, čím sa zohľadnia kapacitné možnosti povoľovacích orgánov a zabezpečí sa proporcionalita administratívnych a regulačných nárokov.</w:t>
      </w:r>
    </w:p>
    <w:p w:rsidR="00C615AF" w:rsidRPr="00C615AF" w:rsidRDefault="00C615AF" w:rsidP="00C615AF">
      <w:pPr>
        <w:pStyle w:val="Normlnywebov"/>
        <w:jc w:val="both"/>
      </w:pPr>
      <w:r w:rsidRPr="00C615AF">
        <w:t xml:space="preserve">Obe smernice sú súčasťou širšieho kontextu snahy znížiť administratívnu záťaž, zachovať vysoké environmentálne štandardy a podporiť konkurencieschopnosť priemyslu, ako aj prechod na </w:t>
      </w:r>
      <w:proofErr w:type="spellStart"/>
      <w:r w:rsidRPr="00C615AF">
        <w:t>nízkouhlíkové</w:t>
      </w:r>
      <w:proofErr w:type="spellEnd"/>
      <w:r w:rsidRPr="00C615AF">
        <w:t xml:space="preserve"> technológie. </w:t>
      </w:r>
    </w:p>
    <w:p w:rsidR="00C615AF" w:rsidRDefault="00C615AF" w:rsidP="00C615AF">
      <w:pPr>
        <w:pStyle w:val="Normlnywebov"/>
        <w:jc w:val="both"/>
      </w:pPr>
      <w:r w:rsidRPr="00C615AF">
        <w:t>Navrhované zmeny sú cielené, primerané a nezmenia podstatu environmentálnych cieľov smerníc, pričom Slovenská republika pozitívne hodnotí, že umožňujú postupnú implementáciu a primeranú flexibilitu pre všetky typy a veľkosti prevádzok, na ktoré sa</w:t>
      </w:r>
      <w:r>
        <w:t xml:space="preserve"> povinnosť zaviesť EMS vzťahuje.</w:t>
      </w:r>
    </w:p>
    <w:p w:rsidR="00CB64A8" w:rsidRDefault="00CB64A8"/>
    <w:p w:rsidR="00C615AF" w:rsidRDefault="00C615AF" w:rsidP="00C615AF">
      <w:pPr>
        <w:pStyle w:val="Vchodzie"/>
        <w:numPr>
          <w:ilvl w:val="0"/>
          <w:numId w:val="1"/>
        </w:numPr>
        <w:spacing w:after="0"/>
        <w:ind w:left="284"/>
        <w:jc w:val="both"/>
        <w:rPr>
          <w:rFonts w:ascii="Times New Roman" w:hAnsi="Times New Roman" w:cs="Times New Roman"/>
          <w:b/>
          <w:bCs/>
          <w:color w:val="000000" w:themeColor="text1"/>
          <w:sz w:val="24"/>
          <w:szCs w:val="24"/>
        </w:rPr>
      </w:pPr>
      <w:r w:rsidRPr="001D7ECF">
        <w:rPr>
          <w:rFonts w:ascii="Times New Roman" w:hAnsi="Times New Roman" w:cs="Times New Roman"/>
          <w:b/>
          <w:bCs/>
          <w:color w:val="000000" w:themeColor="text1"/>
          <w:sz w:val="24"/>
          <w:szCs w:val="24"/>
        </w:rPr>
        <w:t>Predbežná pozícia Slovenskej republiky</w:t>
      </w:r>
    </w:p>
    <w:p w:rsidR="00C615AF" w:rsidRDefault="00C615AF" w:rsidP="00C615AF">
      <w:pPr>
        <w:pStyle w:val="Vchodzie"/>
        <w:spacing w:after="0"/>
        <w:jc w:val="both"/>
        <w:rPr>
          <w:rFonts w:ascii="Times New Roman" w:hAnsi="Times New Roman" w:cs="Times New Roman"/>
          <w:b/>
          <w:bCs/>
          <w:color w:val="000000" w:themeColor="text1"/>
          <w:sz w:val="24"/>
          <w:szCs w:val="24"/>
        </w:rPr>
      </w:pPr>
    </w:p>
    <w:p w:rsidR="00C615AF" w:rsidRPr="00AA3154" w:rsidRDefault="00C615AF" w:rsidP="00C615AF">
      <w:pPr>
        <w:pStyle w:val="Vchodzie"/>
        <w:spacing w:after="0" w:line="240" w:lineRule="auto"/>
        <w:ind w:left="284"/>
        <w:jc w:val="both"/>
        <w:rPr>
          <w:rFonts w:ascii="Times New Roman" w:hAnsi="Times New Roman" w:cs="Times New Roman"/>
          <w:sz w:val="24"/>
          <w:szCs w:val="24"/>
          <w:lang w:eastAsia="sk-SK"/>
        </w:rPr>
      </w:pPr>
      <w:r w:rsidRPr="00AA3154">
        <w:rPr>
          <w:rFonts w:ascii="Times New Roman" w:hAnsi="Times New Roman" w:cs="Times New Roman"/>
          <w:sz w:val="24"/>
          <w:szCs w:val="24"/>
          <w:lang w:eastAsia="sk-SK"/>
        </w:rPr>
        <w:t xml:space="preserve">SR </w:t>
      </w:r>
      <w:r>
        <w:rPr>
          <w:rFonts w:ascii="Times New Roman" w:hAnsi="Times New Roman" w:cs="Times New Roman"/>
          <w:sz w:val="24"/>
          <w:szCs w:val="24"/>
          <w:lang w:eastAsia="sk-SK"/>
        </w:rPr>
        <w:t xml:space="preserve">predbežne </w:t>
      </w:r>
      <w:r w:rsidRPr="00AA3154">
        <w:rPr>
          <w:rFonts w:ascii="Times New Roman" w:hAnsi="Times New Roman" w:cs="Times New Roman"/>
          <w:sz w:val="24"/>
          <w:szCs w:val="24"/>
          <w:lang w:eastAsia="sk-SK"/>
        </w:rPr>
        <w:t>podporuje prijatie navrhovaných zmien smerníc 2010/75/EÚ a (EÚ) 2024/1785</w:t>
      </w:r>
      <w:r>
        <w:rPr>
          <w:rFonts w:ascii="Times New Roman" w:hAnsi="Times New Roman" w:cs="Times New Roman"/>
          <w:sz w:val="24"/>
          <w:szCs w:val="24"/>
          <w:lang w:eastAsia="sk-SK"/>
        </w:rPr>
        <w:t xml:space="preserve">. </w:t>
      </w:r>
      <w:r w:rsidRPr="00AA3154">
        <w:rPr>
          <w:rFonts w:ascii="Times New Roman" w:hAnsi="Times New Roman" w:cs="Times New Roman"/>
          <w:sz w:val="24"/>
          <w:szCs w:val="24"/>
          <w:lang w:eastAsia="sk-SK"/>
        </w:rPr>
        <w:t>SR pozitívne hodnotí zavedenie prechodných ustanovení, zjednodušenie požiadaviek na systémy environmentálneho manažérstva (EMS), odstránenie duplicitných administratívnych povinností a predĺženie lehoty na zavedenie EMS do roku 2030.</w:t>
      </w:r>
      <w:r>
        <w:rPr>
          <w:rFonts w:ascii="Times New Roman" w:hAnsi="Times New Roman" w:cs="Times New Roman"/>
          <w:sz w:val="24"/>
          <w:szCs w:val="24"/>
          <w:lang w:eastAsia="sk-SK"/>
        </w:rPr>
        <w:t xml:space="preserve"> </w:t>
      </w:r>
      <w:r w:rsidRPr="00AC5E3B">
        <w:rPr>
          <w:rFonts w:ascii="Times New Roman" w:hAnsi="Times New Roman" w:cs="Times New Roman"/>
          <w:sz w:val="24"/>
          <w:szCs w:val="24"/>
          <w:lang w:eastAsia="sk-SK"/>
        </w:rPr>
        <w:t>V súčasnosti neboli identifikované žiadne zásadné výhrady ani „</w:t>
      </w:r>
      <w:proofErr w:type="spellStart"/>
      <w:r w:rsidRPr="00AC5E3B">
        <w:rPr>
          <w:rFonts w:ascii="Times New Roman" w:hAnsi="Times New Roman" w:cs="Times New Roman"/>
          <w:sz w:val="24"/>
          <w:szCs w:val="24"/>
          <w:lang w:eastAsia="sk-SK"/>
        </w:rPr>
        <w:t>red</w:t>
      </w:r>
      <w:proofErr w:type="spellEnd"/>
      <w:r w:rsidRPr="00AC5E3B">
        <w:rPr>
          <w:rFonts w:ascii="Times New Roman" w:hAnsi="Times New Roman" w:cs="Times New Roman"/>
          <w:sz w:val="24"/>
          <w:szCs w:val="24"/>
          <w:lang w:eastAsia="sk-SK"/>
        </w:rPr>
        <w:t xml:space="preserve"> </w:t>
      </w:r>
      <w:proofErr w:type="spellStart"/>
      <w:r w:rsidRPr="00AC5E3B">
        <w:rPr>
          <w:rFonts w:ascii="Times New Roman" w:hAnsi="Times New Roman" w:cs="Times New Roman"/>
          <w:sz w:val="24"/>
          <w:szCs w:val="24"/>
          <w:lang w:eastAsia="sk-SK"/>
        </w:rPr>
        <w:t>lines</w:t>
      </w:r>
      <w:proofErr w:type="spellEnd"/>
      <w:r w:rsidRPr="00AC5E3B">
        <w:rPr>
          <w:rFonts w:ascii="Times New Roman" w:hAnsi="Times New Roman" w:cs="Times New Roman"/>
          <w:sz w:val="24"/>
          <w:szCs w:val="24"/>
          <w:lang w:eastAsia="sk-SK"/>
        </w:rPr>
        <w:t>“.</w:t>
      </w:r>
    </w:p>
    <w:p w:rsidR="00C615AF" w:rsidRPr="00C615AF" w:rsidRDefault="00C615AF" w:rsidP="00C615AF">
      <w:pPr>
        <w:spacing w:after="120"/>
        <w:jc w:val="both"/>
        <w:rPr>
          <w:rFonts w:ascii="Times New Roman" w:hAnsi="Times New Roman" w:cs="Times New Roman"/>
          <w:noProof/>
          <w:sz w:val="24"/>
          <w:u w:val="single"/>
        </w:rPr>
      </w:pPr>
      <w:r w:rsidRPr="00C615AF">
        <w:rPr>
          <w:rFonts w:ascii="Times New Roman" w:hAnsi="Times New Roman" w:cs="Times New Roman"/>
          <w:noProof/>
          <w:sz w:val="24"/>
          <w:u w:val="single"/>
        </w:rPr>
        <w:lastRenderedPageBreak/>
        <w:t xml:space="preserve">Stanovisko k navrhovaným zmenám smernice 2008/98/ES o odpade: </w:t>
      </w:r>
    </w:p>
    <w:p w:rsidR="00C615AF" w:rsidRPr="00C615AF" w:rsidRDefault="00C615AF" w:rsidP="00C615AF">
      <w:pPr>
        <w:spacing w:after="120"/>
        <w:jc w:val="both"/>
        <w:rPr>
          <w:rFonts w:ascii="Times New Roman" w:hAnsi="Times New Roman" w:cs="Times New Roman"/>
          <w:sz w:val="24"/>
        </w:rPr>
      </w:pPr>
      <w:r w:rsidRPr="00C615AF">
        <w:rPr>
          <w:rFonts w:ascii="Times New Roman" w:hAnsi="Times New Roman" w:cs="Times New Roman"/>
          <w:sz w:val="24"/>
        </w:rPr>
        <w:t xml:space="preserve">K článku 1 ods. 1 Slovenská republika (ďalej ako SR) súhlasí s návrhom zjednotenia ohlasovacej povinnosti na maximálnu frekvenciu raz za 12 mesiacov za každý predchádzajúci kalendárny rok, keďže táto frekvencia už funguje vo vnútroštátnych podmienkach v zmysle </w:t>
      </w:r>
      <w:r w:rsidRPr="00C615AF">
        <w:rPr>
          <w:rFonts w:ascii="Times New Roman" w:hAnsi="Times New Roman" w:cs="Times New Roman"/>
          <w:noProof/>
          <w:sz w:val="24"/>
        </w:rPr>
        <w:t>zákona č. 79/2015 Z. z. o odpadoch a o zmene a doplnení niektorých zákonov v znení neskorších predpisov.</w:t>
      </w:r>
    </w:p>
    <w:p w:rsidR="00C615AF" w:rsidRPr="00C615AF" w:rsidRDefault="00C615AF" w:rsidP="00C615AF">
      <w:pPr>
        <w:spacing w:after="120"/>
        <w:jc w:val="both"/>
        <w:rPr>
          <w:rFonts w:ascii="Times New Roman" w:hAnsi="Times New Roman" w:cs="Times New Roman"/>
          <w:sz w:val="24"/>
        </w:rPr>
      </w:pPr>
      <w:r w:rsidRPr="00C615AF">
        <w:rPr>
          <w:rFonts w:ascii="Times New Roman" w:hAnsi="Times New Roman" w:cs="Times New Roman"/>
          <w:noProof/>
          <w:sz w:val="24"/>
        </w:rPr>
        <w:t>K článku 1 ods. 2</w:t>
      </w:r>
      <w:r w:rsidRPr="00C615AF">
        <w:rPr>
          <w:rFonts w:ascii="Times New Roman" w:hAnsi="Times New Roman" w:cs="Times New Roman"/>
          <w:sz w:val="24"/>
        </w:rPr>
        <w:t xml:space="preserve"> SR nepredkladá žiadne pripomienky.</w:t>
      </w:r>
    </w:p>
    <w:p w:rsidR="00C615AF" w:rsidRDefault="00C615AF" w:rsidP="00C615AF">
      <w:pPr>
        <w:spacing w:after="120"/>
        <w:jc w:val="both"/>
        <w:rPr>
          <w:rFonts w:ascii="Times New Roman" w:hAnsi="Times New Roman" w:cs="Times New Roman"/>
          <w:sz w:val="24"/>
        </w:rPr>
      </w:pPr>
      <w:r w:rsidRPr="00C615AF">
        <w:rPr>
          <w:rFonts w:ascii="Times New Roman" w:hAnsi="Times New Roman" w:cs="Times New Roman"/>
          <w:sz w:val="24"/>
        </w:rPr>
        <w:t>K článku 1 ods. 3 SR nepredkladá žiadne pripomienky.</w:t>
      </w:r>
    </w:p>
    <w:p w:rsidR="00C615AF" w:rsidRPr="00C615AF" w:rsidRDefault="00C615AF" w:rsidP="00C615AF">
      <w:pPr>
        <w:spacing w:after="120"/>
        <w:jc w:val="both"/>
        <w:rPr>
          <w:rFonts w:ascii="Times New Roman" w:hAnsi="Times New Roman" w:cs="Times New Roman"/>
          <w:sz w:val="24"/>
        </w:rPr>
      </w:pPr>
    </w:p>
    <w:p w:rsidR="00C615AF" w:rsidRPr="00C615AF" w:rsidRDefault="00C615AF" w:rsidP="00C615AF">
      <w:pPr>
        <w:spacing w:after="120"/>
        <w:jc w:val="both"/>
        <w:rPr>
          <w:rFonts w:ascii="Times New Roman" w:hAnsi="Times New Roman" w:cs="Times New Roman"/>
          <w:sz w:val="24"/>
          <w:u w:val="single"/>
        </w:rPr>
      </w:pPr>
      <w:r w:rsidRPr="00C615AF">
        <w:rPr>
          <w:rFonts w:ascii="Times New Roman" w:hAnsi="Times New Roman" w:cs="Times New Roman"/>
          <w:sz w:val="24"/>
          <w:u w:val="single"/>
        </w:rPr>
        <w:t>Stanovisko k navrhovaným zmenám smernice 2010/75/ES o emisiách z priemyslu a chovu hospodárskych zvierat a smernica (EÚ) 2015/2193 z 25. novembra 2015 o obmedzení emisií určitých znečisťujúcich látok do ovzdušia zo stredne veľkých spaľovacích zariadení:</w:t>
      </w:r>
    </w:p>
    <w:p w:rsidR="00C615AF" w:rsidRPr="00C615AF" w:rsidRDefault="00C615AF" w:rsidP="00C615AF">
      <w:pPr>
        <w:spacing w:before="100" w:beforeAutospacing="1" w:after="100" w:afterAutospacing="1"/>
        <w:jc w:val="both"/>
        <w:rPr>
          <w:rFonts w:ascii="Times New Roman" w:hAnsi="Times New Roman" w:cs="Times New Roman"/>
          <w:bCs/>
          <w:sz w:val="24"/>
        </w:rPr>
      </w:pPr>
      <w:r w:rsidRPr="00C615AF">
        <w:rPr>
          <w:rFonts w:ascii="Times New Roman" w:hAnsi="Times New Roman" w:cs="Times New Roman"/>
          <w:bCs/>
          <w:sz w:val="24"/>
        </w:rPr>
        <w:t xml:space="preserve">Návrh Komisie  umožniť, aby sa príslušným orgánom poskytla flexibilita pri posudzovaní dodržiavania limitných hodnôt emisií pri spaľovaní palív s </w:t>
      </w:r>
      <w:r w:rsidRPr="00C615AF">
        <w:rPr>
          <w:rFonts w:ascii="Times New Roman" w:hAnsi="Times New Roman" w:cs="Times New Roman"/>
          <w:sz w:val="24"/>
        </w:rPr>
        <w:t xml:space="preserve"> obsahom viac ako 20 % (objemu) vodíka umožňuje </w:t>
      </w:r>
      <w:r w:rsidRPr="00C615AF">
        <w:rPr>
          <w:rFonts w:ascii="Times New Roman" w:hAnsi="Times New Roman" w:cs="Times New Roman"/>
          <w:bCs/>
          <w:sz w:val="24"/>
        </w:rPr>
        <w:t>používanie kyslíkovo-palivového spaľovania, pri ktorom kyslíkom obohatený spaľovací vzduch uľahčuje zachytávanie oxidu uhličitého, čím prispeje k zjednodušeniu dekarbonizácie priemyselných procesov.</w:t>
      </w:r>
    </w:p>
    <w:p w:rsidR="00C615AF" w:rsidRPr="00C615AF" w:rsidRDefault="00C615AF" w:rsidP="00C615AF">
      <w:pPr>
        <w:jc w:val="both"/>
        <w:rPr>
          <w:rFonts w:ascii="Times New Roman" w:hAnsi="Times New Roman" w:cs="Times New Roman"/>
          <w:bCs/>
          <w:sz w:val="24"/>
        </w:rPr>
      </w:pPr>
      <w:r w:rsidRPr="00C615AF">
        <w:rPr>
          <w:rFonts w:ascii="Times New Roman" w:hAnsi="Times New Roman" w:cs="Times New Roman"/>
          <w:bCs/>
          <w:sz w:val="24"/>
        </w:rPr>
        <w:t>Vzhľadom na ciele súvisiace s politikou uhlíkovej neutrality k navrhovaným zmenám nemáme pripomienky za predpokladu, že bude zachovaná vysoká úroveň ochrany životného prostredia, nakoľko z hľadiska zachovania kvality ovzdušia nie je žiadúce navyšovanie emisií NO</w:t>
      </w:r>
      <w:r w:rsidRPr="00C615AF">
        <w:rPr>
          <w:rFonts w:ascii="Times New Roman" w:hAnsi="Times New Roman" w:cs="Times New Roman"/>
          <w:bCs/>
          <w:sz w:val="24"/>
          <w:vertAlign w:val="subscript"/>
        </w:rPr>
        <w:t>X</w:t>
      </w:r>
      <w:r w:rsidRPr="00C615AF">
        <w:rPr>
          <w:rFonts w:ascii="Times New Roman" w:hAnsi="Times New Roman" w:cs="Times New Roman"/>
          <w:bCs/>
          <w:sz w:val="24"/>
        </w:rPr>
        <w:t>.</w:t>
      </w:r>
    </w:p>
    <w:p w:rsidR="00C615AF" w:rsidRPr="00C615AF" w:rsidRDefault="00C615AF" w:rsidP="00C615AF">
      <w:pPr>
        <w:jc w:val="both"/>
        <w:rPr>
          <w:rFonts w:ascii="Times New Roman" w:hAnsi="Times New Roman" w:cs="Times New Roman"/>
          <w:sz w:val="24"/>
        </w:rPr>
      </w:pPr>
      <w:r w:rsidRPr="00C615AF">
        <w:rPr>
          <w:rFonts w:ascii="Times New Roman" w:hAnsi="Times New Roman" w:cs="Times New Roman"/>
          <w:bCs/>
          <w:sz w:val="24"/>
        </w:rPr>
        <w:t xml:space="preserve">Z tohto dôvodu súčasťou návrhu je, aby sa limitná hodnota pre </w:t>
      </w:r>
      <w:proofErr w:type="spellStart"/>
      <w:r w:rsidRPr="00C615AF">
        <w:rPr>
          <w:rFonts w:ascii="Times New Roman" w:hAnsi="Times New Roman" w:cs="Times New Roman"/>
          <w:bCs/>
          <w:sz w:val="24"/>
        </w:rPr>
        <w:t>NOx</w:t>
      </w:r>
      <w:proofErr w:type="spellEnd"/>
      <w:r w:rsidRPr="00C615AF">
        <w:rPr>
          <w:rFonts w:ascii="Times New Roman" w:hAnsi="Times New Roman" w:cs="Times New Roman"/>
          <w:bCs/>
          <w:sz w:val="24"/>
        </w:rPr>
        <w:t xml:space="preserve"> neuplatňovala za predpokladu, že </w:t>
      </w:r>
      <w:r w:rsidRPr="00C615AF">
        <w:rPr>
          <w:rFonts w:ascii="Times New Roman" w:hAnsi="Times New Roman" w:cs="Times New Roman"/>
          <w:sz w:val="24"/>
        </w:rPr>
        <w:t xml:space="preserve">celkové ročné množstvo emisií </w:t>
      </w:r>
      <w:proofErr w:type="spellStart"/>
      <w:r w:rsidRPr="00C615AF">
        <w:rPr>
          <w:rFonts w:ascii="Times New Roman" w:hAnsi="Times New Roman" w:cs="Times New Roman"/>
          <w:sz w:val="24"/>
        </w:rPr>
        <w:t>NOx</w:t>
      </w:r>
      <w:proofErr w:type="spellEnd"/>
      <w:r w:rsidRPr="00C615AF">
        <w:rPr>
          <w:rFonts w:ascii="Times New Roman" w:hAnsi="Times New Roman" w:cs="Times New Roman"/>
          <w:sz w:val="24"/>
        </w:rPr>
        <w:t xml:space="preserve">  z príslušného zariadenia nesmie byť vyššie ako keby emisie z príslušného zariadenia zostali v súlade s limitnými hodnotami emisií stanovenými v tomto bode pre </w:t>
      </w:r>
      <w:proofErr w:type="spellStart"/>
      <w:r w:rsidRPr="00C615AF">
        <w:rPr>
          <w:rFonts w:ascii="Times New Roman" w:hAnsi="Times New Roman" w:cs="Times New Roman"/>
          <w:sz w:val="24"/>
        </w:rPr>
        <w:t>NOx</w:t>
      </w:r>
      <w:proofErr w:type="spellEnd"/>
      <w:r w:rsidRPr="00C615AF">
        <w:rPr>
          <w:rFonts w:ascii="Times New Roman" w:hAnsi="Times New Roman" w:cs="Times New Roman"/>
          <w:sz w:val="24"/>
        </w:rPr>
        <w:t xml:space="preserve"> pri spaľovaní zemného plynu, bez toho, aby boli dotknuté prísnejšie opatrenia požadované podľa článku 18.</w:t>
      </w:r>
    </w:p>
    <w:p w:rsidR="00C615AF" w:rsidRPr="00C615AF" w:rsidRDefault="00C615AF" w:rsidP="00C615AF">
      <w:pPr>
        <w:spacing w:before="100" w:beforeAutospacing="1" w:after="100" w:afterAutospacing="1"/>
        <w:jc w:val="both"/>
        <w:rPr>
          <w:rFonts w:ascii="Times New Roman" w:hAnsi="Times New Roman" w:cs="Times New Roman"/>
          <w:bCs/>
          <w:sz w:val="24"/>
        </w:rPr>
      </w:pPr>
      <w:r w:rsidRPr="00C615AF">
        <w:rPr>
          <w:rFonts w:ascii="Times New Roman" w:hAnsi="Times New Roman" w:cs="Times New Roman"/>
          <w:bCs/>
          <w:sz w:val="24"/>
        </w:rPr>
        <w:t>Vítame návrh Komisie na z</w:t>
      </w:r>
      <w:r w:rsidRPr="00C615AF">
        <w:rPr>
          <w:rFonts w:ascii="Times New Roman" w:hAnsi="Times New Roman" w:cs="Times New Roman"/>
          <w:sz w:val="24"/>
        </w:rPr>
        <w:t>níženie frekvencie monitorovania niektorých záložných spaľovacích zariadení, najmä vo vzťahu k preukazovaniu ustanovených emisných limitov pre tuhé palivá a emisné limity pre TZL</w:t>
      </w:r>
      <w:r w:rsidRPr="00C615AF">
        <w:rPr>
          <w:rFonts w:ascii="Times New Roman" w:hAnsi="Times New Roman" w:cs="Times New Roman"/>
          <w:bCs/>
          <w:sz w:val="24"/>
        </w:rPr>
        <w:t xml:space="preserve">, avšak domnievame sa, že aj tento návrh stále obsahuje prísne pravidlá. Príloha III., časť I., bod 2. smernice </w:t>
      </w:r>
      <w:r w:rsidRPr="00C615AF">
        <w:rPr>
          <w:rFonts w:ascii="Times New Roman" w:hAnsi="Times New Roman" w:cs="Times New Roman"/>
          <w:sz w:val="24"/>
        </w:rPr>
        <w:t>(EÚ) 2015/2193</w:t>
      </w:r>
      <w:r w:rsidRPr="00C615AF">
        <w:rPr>
          <w:rFonts w:ascii="Times New Roman" w:hAnsi="Times New Roman" w:cs="Times New Roman"/>
          <w:bCs/>
          <w:sz w:val="24"/>
        </w:rPr>
        <w:t>, okrem počtu prevádzkových hodín ustanovuje, že frekvencia meraní nemôže byť nižšia ako 5 rokov. Podľa našich skúseností pri niektorých záložných zariadeniach, ktoré sa spúšťajú ako záloha pri výnimočných situáciách a zvyčajne sú počas roka v chode iba z dôvodu ich preskúšania sa počet prevádzkových hodín pohybuje na úrovni 100 - 200 h ročne. To znamená, že počas 5 rokov je to menej ako 1000 h, čiže 1500 h by bolo dosiahnutých až za približne 7,5 roka.</w:t>
      </w:r>
    </w:p>
    <w:p w:rsidR="00C615AF" w:rsidRPr="00C615AF" w:rsidRDefault="00C615AF" w:rsidP="00C615AF">
      <w:pPr>
        <w:jc w:val="both"/>
        <w:rPr>
          <w:rFonts w:ascii="Times New Roman" w:hAnsi="Times New Roman" w:cs="Times New Roman"/>
          <w:bCs/>
          <w:sz w:val="24"/>
        </w:rPr>
      </w:pPr>
      <w:r w:rsidRPr="00C615AF">
        <w:rPr>
          <w:rFonts w:ascii="Times New Roman" w:hAnsi="Times New Roman" w:cs="Times New Roman"/>
          <w:bCs/>
          <w:sz w:val="24"/>
        </w:rPr>
        <w:t xml:space="preserve">Ani nariadenie (EÚ) 2016/1628 neustanovuje povinnosť vykonávať pravidelné monitorovanie emisií z necestných strojov počas ich prevádzky (len pri uvedení na trh), preto navrhujeme aby aj Komisia v rámci </w:t>
      </w:r>
      <w:proofErr w:type="spellStart"/>
      <w:r w:rsidRPr="00C615AF">
        <w:rPr>
          <w:rFonts w:ascii="Times New Roman" w:hAnsi="Times New Roman" w:cs="Times New Roman"/>
          <w:bCs/>
          <w:sz w:val="24"/>
        </w:rPr>
        <w:t>Omnibusu</w:t>
      </w:r>
      <w:proofErr w:type="spellEnd"/>
      <w:r w:rsidRPr="00C615AF">
        <w:rPr>
          <w:rFonts w:ascii="Times New Roman" w:hAnsi="Times New Roman" w:cs="Times New Roman"/>
          <w:bCs/>
          <w:sz w:val="24"/>
        </w:rPr>
        <w:t xml:space="preserve"> VIII ustúpila od požiadavky vykonávať na týchto zariadeniach pravidelné merania, pokiaľ sa na dané zariadenie nevzťahujú emisné limity, ako je to ustanovené v prílohe č. III </w:t>
      </w:r>
      <w:proofErr w:type="spellStart"/>
      <w:r w:rsidRPr="00C615AF">
        <w:rPr>
          <w:rFonts w:ascii="Times New Roman" w:hAnsi="Times New Roman" w:cs="Times New Roman"/>
          <w:bCs/>
          <w:sz w:val="24"/>
        </w:rPr>
        <w:t>časťi</w:t>
      </w:r>
      <w:proofErr w:type="spellEnd"/>
      <w:r w:rsidRPr="00C615AF">
        <w:rPr>
          <w:rFonts w:ascii="Times New Roman" w:hAnsi="Times New Roman" w:cs="Times New Roman"/>
          <w:bCs/>
          <w:sz w:val="24"/>
        </w:rPr>
        <w:t xml:space="preserve"> I bod 3 smernice </w:t>
      </w:r>
      <w:r w:rsidRPr="00C615AF">
        <w:rPr>
          <w:rFonts w:ascii="Times New Roman" w:hAnsi="Times New Roman" w:cs="Times New Roman"/>
          <w:sz w:val="24"/>
        </w:rPr>
        <w:t>(EÚ) 2015/2193.</w:t>
      </w:r>
    </w:p>
    <w:p w:rsidR="00C615AF" w:rsidRPr="00C615AF" w:rsidRDefault="00C615AF" w:rsidP="00C615AF">
      <w:pPr>
        <w:spacing w:after="120"/>
        <w:jc w:val="both"/>
      </w:pPr>
    </w:p>
    <w:p w:rsidR="00C615AF" w:rsidRPr="001D7ECF" w:rsidRDefault="00C615AF" w:rsidP="00C615AF">
      <w:pPr>
        <w:pStyle w:val="Vchodzie"/>
        <w:numPr>
          <w:ilvl w:val="0"/>
          <w:numId w:val="1"/>
        </w:numPr>
        <w:spacing w:after="0"/>
        <w:ind w:left="284"/>
        <w:jc w:val="both"/>
        <w:rPr>
          <w:rFonts w:ascii="Times New Roman" w:hAnsi="Times New Roman" w:cs="Times New Roman"/>
          <w:color w:val="000000" w:themeColor="text1"/>
          <w:sz w:val="24"/>
          <w:szCs w:val="24"/>
        </w:rPr>
      </w:pPr>
      <w:r w:rsidRPr="001D7ECF">
        <w:rPr>
          <w:rFonts w:ascii="Times New Roman" w:hAnsi="Times New Roman" w:cs="Times New Roman"/>
          <w:b/>
          <w:bCs/>
          <w:color w:val="000000" w:themeColor="text1"/>
          <w:sz w:val="24"/>
          <w:szCs w:val="24"/>
        </w:rPr>
        <w:lastRenderedPageBreak/>
        <w:t>Súlad so zásadou subsidiarity</w:t>
      </w:r>
    </w:p>
    <w:p w:rsidR="00C615AF" w:rsidRDefault="00C615AF" w:rsidP="00C615AF">
      <w:pPr>
        <w:pStyle w:val="Vchodzie"/>
        <w:spacing w:after="0" w:line="240" w:lineRule="auto"/>
        <w:ind w:left="284"/>
        <w:jc w:val="both"/>
        <w:rPr>
          <w:rFonts w:ascii="Times New Roman" w:hAnsi="Times New Roman" w:cs="Times New Roman"/>
          <w:bCs/>
          <w:color w:val="000000" w:themeColor="text1"/>
          <w:sz w:val="24"/>
          <w:szCs w:val="24"/>
        </w:rPr>
      </w:pPr>
      <w:r w:rsidRPr="00F76F3E">
        <w:rPr>
          <w:rFonts w:ascii="Times New Roman" w:hAnsi="Times New Roman" w:cs="Times New Roman"/>
          <w:bCs/>
          <w:color w:val="000000" w:themeColor="text1"/>
          <w:sz w:val="24"/>
          <w:szCs w:val="24"/>
        </w:rPr>
        <w:t>Návrh je v súlade so zásadou subsidiarity</w:t>
      </w:r>
      <w:r>
        <w:rPr>
          <w:rFonts w:ascii="Times New Roman" w:hAnsi="Times New Roman" w:cs="Times New Roman"/>
          <w:bCs/>
          <w:color w:val="000000" w:themeColor="text1"/>
          <w:sz w:val="24"/>
          <w:szCs w:val="24"/>
        </w:rPr>
        <w:t>.</w:t>
      </w:r>
    </w:p>
    <w:p w:rsidR="00C615AF" w:rsidRDefault="00C615AF" w:rsidP="00C615AF">
      <w:pPr>
        <w:pStyle w:val="Vchodzie"/>
        <w:spacing w:after="0" w:line="240" w:lineRule="auto"/>
        <w:jc w:val="both"/>
        <w:rPr>
          <w:rFonts w:ascii="Times New Roman" w:hAnsi="Times New Roman" w:cs="Times New Roman"/>
          <w:bCs/>
          <w:color w:val="000000" w:themeColor="text1"/>
          <w:sz w:val="24"/>
          <w:szCs w:val="24"/>
        </w:rPr>
      </w:pPr>
    </w:p>
    <w:p w:rsidR="00C615AF" w:rsidRPr="00C615AF" w:rsidRDefault="00C615AF" w:rsidP="00C615AF">
      <w:pPr>
        <w:pStyle w:val="Vchodzie"/>
        <w:spacing w:after="0" w:line="240" w:lineRule="auto"/>
        <w:jc w:val="both"/>
        <w:rPr>
          <w:rFonts w:ascii="Times New Roman" w:hAnsi="Times New Roman" w:cs="Times New Roman"/>
          <w:bCs/>
          <w:color w:val="000000" w:themeColor="text1"/>
          <w:sz w:val="24"/>
          <w:szCs w:val="24"/>
        </w:rPr>
      </w:pPr>
    </w:p>
    <w:p w:rsidR="00C615AF" w:rsidRPr="00C615AF" w:rsidRDefault="00C615AF" w:rsidP="00C615AF">
      <w:pPr>
        <w:pStyle w:val="Normlnywebov"/>
        <w:numPr>
          <w:ilvl w:val="0"/>
          <w:numId w:val="2"/>
        </w:numPr>
        <w:ind w:left="284" w:hanging="426"/>
        <w:jc w:val="both"/>
        <w:rPr>
          <w:b/>
          <w:bCs/>
          <w:color w:val="000000" w:themeColor="text1"/>
          <w:u w:val="single"/>
        </w:rPr>
      </w:pPr>
      <w:r w:rsidRPr="00C615AF">
        <w:rPr>
          <w:b/>
          <w:bCs/>
          <w:color w:val="000000" w:themeColor="text1"/>
          <w:u w:val="single"/>
        </w:rPr>
        <w:t>DOPLNENÉ PREDBEŽNÉ STANOVISKO SLOVENSKEJ REPUBLIKY</w:t>
      </w:r>
      <w:r w:rsidRPr="00C615AF">
        <w:rPr>
          <w:b/>
          <w:bCs/>
          <w:color w:val="000000" w:themeColor="text1"/>
        </w:rPr>
        <w:t xml:space="preserve"> </w:t>
      </w:r>
    </w:p>
    <w:p w:rsidR="00C615AF" w:rsidRPr="00C615AF" w:rsidRDefault="00C615AF" w:rsidP="00C615AF">
      <w:pPr>
        <w:pStyle w:val="Normlnywebov"/>
        <w:ind w:left="425"/>
        <w:jc w:val="both"/>
        <w:rPr>
          <w:bCs/>
          <w:color w:val="000000" w:themeColor="text1"/>
          <w:u w:val="single"/>
        </w:rPr>
      </w:pPr>
    </w:p>
    <w:p w:rsidR="00C615AF" w:rsidRPr="00C615AF" w:rsidRDefault="00C615AF" w:rsidP="00C615AF">
      <w:pPr>
        <w:pStyle w:val="Odsekzoznamu"/>
        <w:numPr>
          <w:ilvl w:val="0"/>
          <w:numId w:val="1"/>
        </w:numPr>
        <w:spacing w:line="276" w:lineRule="auto"/>
        <w:ind w:left="170"/>
        <w:jc w:val="both"/>
        <w:rPr>
          <w:b/>
          <w:bCs/>
          <w:color w:val="000000" w:themeColor="text1"/>
        </w:rPr>
      </w:pPr>
      <w:r w:rsidRPr="00C615AF">
        <w:rPr>
          <w:b/>
          <w:bCs/>
          <w:color w:val="000000" w:themeColor="text1"/>
        </w:rPr>
        <w:t>Hodnotenie obsahu a cieľov návrhu z pohľadu priorít a záujmov Slovenskej republiky</w:t>
      </w:r>
    </w:p>
    <w:p w:rsidR="00C615AF" w:rsidRPr="00C615AF" w:rsidRDefault="00C615AF" w:rsidP="00C615AF">
      <w:pPr>
        <w:jc w:val="both"/>
        <w:rPr>
          <w:rFonts w:ascii="Times New Roman" w:hAnsi="Times New Roman" w:cs="Times New Roman"/>
          <w:bCs/>
          <w:noProof/>
          <w:sz w:val="24"/>
          <w:szCs w:val="24"/>
        </w:rPr>
      </w:pPr>
      <w:r w:rsidRPr="00C615AF">
        <w:rPr>
          <w:rFonts w:ascii="Times New Roman" w:hAnsi="Times New Roman" w:cs="Times New Roman"/>
          <w:bCs/>
          <w:noProof/>
          <w:sz w:val="24"/>
          <w:szCs w:val="24"/>
        </w:rPr>
        <w:t xml:space="preserve">Smernica 2010/75/EÚ o emisiách z priemyslu a chovu hospodárskych zvierat a </w:t>
      </w:r>
      <w:r w:rsidRPr="00C615AF">
        <w:rPr>
          <w:rFonts w:ascii="Times New Roman" w:hAnsi="Times New Roman" w:cs="Times New Roman"/>
          <w:bCs/>
          <w:noProof/>
          <w:color w:val="000000" w:themeColor="text1"/>
          <w:sz w:val="24"/>
          <w:szCs w:val="24"/>
        </w:rPr>
        <w:t>Smernica (EÚ) 2024/1785, ktorou sa menia smernice 2010/75/EÚ a 1999/31/ES:</w:t>
      </w:r>
    </w:p>
    <w:p w:rsidR="00C615AF" w:rsidRPr="00C615AF" w:rsidRDefault="00C615AF" w:rsidP="00C615AF">
      <w:pPr>
        <w:jc w:val="both"/>
        <w:rPr>
          <w:rFonts w:ascii="Times New Roman" w:hAnsi="Times New Roman" w:cs="Times New Roman"/>
          <w:bCs/>
          <w:noProof/>
          <w:sz w:val="24"/>
          <w:szCs w:val="24"/>
        </w:rPr>
      </w:pPr>
      <w:r w:rsidRPr="00C615AF">
        <w:rPr>
          <w:rFonts w:ascii="Times New Roman" w:hAnsi="Times New Roman" w:cs="Times New Roman"/>
          <w:bCs/>
          <w:noProof/>
          <w:sz w:val="24"/>
          <w:szCs w:val="24"/>
        </w:rPr>
        <w:t xml:space="preserve">SR predbežne hodnotí návrh pozitívne, keďže jeho cieľom je zníženie administratívnej záťaže pri zachovaní vysokej úrovne ochrany životného prostredia. Navrhované zmeny článku 2 smerujú najmä k zjednodušeniu požiadaviek na systémy environmentálneho manažérstva (EMS), odstráneniu duplicitných administratívnych povinností, predĺženiu lehoty na ich zavedenie do roku 2030, podpore zavádzania nízkouhlíkových technológií a zosúladeniu požiadaviek smernice s ostatnými právnymi predpismi Európskej únie. Návrh je z pohľadu priorít SR v súlade s cieľom znižovať regulačnú záťaž pri zachovaní účinnej ochrany životného prostredia. </w:t>
      </w:r>
    </w:p>
    <w:p w:rsidR="00C615AF" w:rsidRPr="00C615AF" w:rsidRDefault="00C615AF" w:rsidP="00C615AF">
      <w:pPr>
        <w:jc w:val="both"/>
        <w:rPr>
          <w:rFonts w:ascii="Times New Roman" w:hAnsi="Times New Roman" w:cs="Times New Roman"/>
          <w:bCs/>
          <w:noProof/>
          <w:sz w:val="24"/>
          <w:szCs w:val="24"/>
        </w:rPr>
      </w:pPr>
      <w:r w:rsidRPr="00C615AF">
        <w:rPr>
          <w:rFonts w:ascii="Times New Roman" w:hAnsi="Times New Roman" w:cs="Times New Roman"/>
          <w:bCs/>
          <w:noProof/>
          <w:sz w:val="24"/>
          <w:szCs w:val="24"/>
        </w:rPr>
        <w:t>Slovenská republika zároveň považuje za potrebné zabezpečiť, aby nové požiadavky, najmä v oblasti chemickej inventarizácie, neviedli k duplicitným povinnostiam vo vzťahu k existujúcim právnym predpisom EÚ, najmä nariadeniu REACH, a aby ich uplatňovanie bolo jednotné a harmonizované vo všetkých členských štátoch. SR podporuje prijatie návrhu v predloženom znení. Neboli identifikované žiadne „red lines“.</w:t>
      </w:r>
    </w:p>
    <w:p w:rsidR="00C615AF" w:rsidRPr="00C615AF" w:rsidRDefault="00C615AF" w:rsidP="00C615AF">
      <w:pPr>
        <w:spacing w:after="120"/>
        <w:jc w:val="both"/>
        <w:rPr>
          <w:rFonts w:ascii="Times New Roman" w:hAnsi="Times New Roman" w:cs="Times New Roman"/>
          <w:noProof/>
          <w:sz w:val="24"/>
          <w:u w:val="single"/>
        </w:rPr>
      </w:pPr>
      <w:r w:rsidRPr="00C615AF">
        <w:rPr>
          <w:rFonts w:ascii="Times New Roman" w:hAnsi="Times New Roman" w:cs="Times New Roman"/>
          <w:noProof/>
          <w:sz w:val="24"/>
          <w:u w:val="single"/>
        </w:rPr>
        <w:t xml:space="preserve">Stanovisko k navrhovaným zmenám smernice 2008/98/ES o odpade: </w:t>
      </w:r>
    </w:p>
    <w:p w:rsidR="00C615AF" w:rsidRPr="00C615AF" w:rsidRDefault="00C615AF" w:rsidP="00C615AF">
      <w:pPr>
        <w:spacing w:after="120"/>
        <w:jc w:val="both"/>
        <w:rPr>
          <w:rFonts w:ascii="Times New Roman" w:hAnsi="Times New Roman" w:cs="Times New Roman"/>
          <w:noProof/>
          <w:sz w:val="24"/>
        </w:rPr>
      </w:pPr>
      <w:r w:rsidRPr="00C615AF">
        <w:rPr>
          <w:rFonts w:ascii="Times New Roman" w:hAnsi="Times New Roman" w:cs="Times New Roman"/>
          <w:sz w:val="24"/>
        </w:rPr>
        <w:t xml:space="preserve">K článku 1 ods. 1 Slovenská republika (ďalej ako SR) súhlasí s návrhom zjednotenia ohlasovacej povinnosti na maximálnu frekvenciu raz za 12 mesiacov za každý predchádzajúci kalendárny rok, keďže táto frekvencia už funguje vo vnútroštátnych podmienkach v zmysle </w:t>
      </w:r>
      <w:r w:rsidRPr="00C615AF">
        <w:rPr>
          <w:rFonts w:ascii="Times New Roman" w:hAnsi="Times New Roman" w:cs="Times New Roman"/>
          <w:noProof/>
          <w:sz w:val="24"/>
        </w:rPr>
        <w:t xml:space="preserve">zákona č. 79/2015 Z. z. o odpadoch a o zmene a doplnení niektorých zákonov v znení neskorších predpisov. Keďže počas rokovaní prišlo k stiahnutiu daného návrhu na harmonizáciu reportovania informácií v rámci rozšírenej zodpovednosti výrobcov, SR berie tento krok na vedomie a je ďalej otvorené diskusií horizontálnej harmonizácie systémov rozšírenej zoddpovednosti výrobcov napieč členskými štátmi Únie. </w:t>
      </w:r>
    </w:p>
    <w:p w:rsidR="00C615AF" w:rsidRPr="00C615AF" w:rsidRDefault="00C615AF" w:rsidP="00C615AF">
      <w:pPr>
        <w:spacing w:after="120"/>
        <w:jc w:val="both"/>
        <w:rPr>
          <w:rFonts w:ascii="Times New Roman" w:hAnsi="Times New Roman" w:cs="Times New Roman"/>
          <w:sz w:val="24"/>
        </w:rPr>
      </w:pPr>
      <w:r w:rsidRPr="00C615AF">
        <w:rPr>
          <w:rFonts w:ascii="Times New Roman" w:hAnsi="Times New Roman" w:cs="Times New Roman"/>
          <w:noProof/>
          <w:sz w:val="24"/>
        </w:rPr>
        <w:t>K článku 1 ods. 2</w:t>
      </w:r>
      <w:r w:rsidRPr="00C615AF">
        <w:rPr>
          <w:rFonts w:ascii="Times New Roman" w:hAnsi="Times New Roman" w:cs="Times New Roman"/>
          <w:sz w:val="24"/>
        </w:rPr>
        <w:t xml:space="preserve"> SR nepredkladá žiadne pripomienky.</w:t>
      </w:r>
    </w:p>
    <w:p w:rsidR="00C615AF" w:rsidRPr="00C615AF" w:rsidRDefault="00C615AF" w:rsidP="00C615AF">
      <w:pPr>
        <w:spacing w:after="120"/>
        <w:jc w:val="both"/>
        <w:rPr>
          <w:rFonts w:ascii="Times New Roman" w:hAnsi="Times New Roman" w:cs="Times New Roman"/>
          <w:sz w:val="24"/>
        </w:rPr>
      </w:pPr>
      <w:r w:rsidRPr="00C615AF">
        <w:rPr>
          <w:rFonts w:ascii="Times New Roman" w:hAnsi="Times New Roman" w:cs="Times New Roman"/>
          <w:sz w:val="24"/>
        </w:rPr>
        <w:t>K článku 1 ods. 3 SR nepredkladá žiadne pripomienky.</w:t>
      </w:r>
    </w:p>
    <w:p w:rsidR="00C615AF" w:rsidRDefault="00C615AF" w:rsidP="00C615AF">
      <w:pPr>
        <w:pStyle w:val="Vchodzie"/>
        <w:spacing w:after="0" w:line="240" w:lineRule="auto"/>
        <w:jc w:val="both"/>
        <w:rPr>
          <w:rFonts w:ascii="Times New Roman" w:hAnsi="Times New Roman" w:cs="Times New Roman"/>
          <w:color w:val="000000" w:themeColor="text1"/>
          <w:sz w:val="24"/>
          <w:szCs w:val="24"/>
        </w:rPr>
      </w:pPr>
    </w:p>
    <w:p w:rsidR="00C615AF" w:rsidRPr="001D7ECF" w:rsidRDefault="00C615AF" w:rsidP="00C615AF">
      <w:pPr>
        <w:pStyle w:val="Vchodzie"/>
        <w:numPr>
          <w:ilvl w:val="0"/>
          <w:numId w:val="1"/>
        </w:numPr>
        <w:spacing w:after="0" w:line="240" w:lineRule="auto"/>
        <w:ind w:left="170"/>
        <w:jc w:val="both"/>
        <w:rPr>
          <w:rFonts w:ascii="Times New Roman" w:hAnsi="Times New Roman" w:cs="Times New Roman"/>
          <w:b/>
          <w:bCs/>
          <w:color w:val="000000" w:themeColor="text1"/>
          <w:sz w:val="24"/>
          <w:szCs w:val="24"/>
        </w:rPr>
      </w:pPr>
      <w:r w:rsidRPr="001D7ECF">
        <w:rPr>
          <w:rFonts w:ascii="Times New Roman" w:hAnsi="Times New Roman" w:cs="Times New Roman"/>
          <w:b/>
          <w:bCs/>
          <w:color w:val="000000" w:themeColor="text1"/>
          <w:sz w:val="24"/>
          <w:szCs w:val="24"/>
        </w:rPr>
        <w:t xml:space="preserve">Druh rozhodovacieho procesu v Európskej únii </w:t>
      </w:r>
    </w:p>
    <w:p w:rsidR="00C615AF" w:rsidRDefault="00C615AF" w:rsidP="00C615AF">
      <w:pPr>
        <w:pStyle w:val="Vchodzie"/>
        <w:spacing w:after="0" w:line="240" w:lineRule="auto"/>
        <w:ind w:left="170"/>
        <w:jc w:val="both"/>
        <w:rPr>
          <w:rFonts w:ascii="Times New Roman" w:hAnsi="Times New Roman" w:cs="Times New Roman"/>
          <w:color w:val="000000" w:themeColor="text1"/>
          <w:sz w:val="24"/>
          <w:szCs w:val="24"/>
        </w:rPr>
      </w:pPr>
    </w:p>
    <w:p w:rsidR="00C615AF" w:rsidRPr="001D7ECF" w:rsidRDefault="00C615AF" w:rsidP="00C615AF">
      <w:pPr>
        <w:pStyle w:val="Vchodzie"/>
        <w:spacing w:after="0" w:line="240" w:lineRule="auto"/>
        <w:ind w:left="17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Riadny</w:t>
      </w:r>
      <w:r w:rsidRPr="001D7ECF">
        <w:rPr>
          <w:rFonts w:ascii="Times New Roman" w:hAnsi="Times New Roman" w:cs="Times New Roman"/>
          <w:color w:val="000000" w:themeColor="text1"/>
          <w:sz w:val="24"/>
          <w:szCs w:val="24"/>
        </w:rPr>
        <w:t xml:space="preserve"> legislatívny postup </w:t>
      </w:r>
    </w:p>
    <w:p w:rsidR="00C615AF" w:rsidRPr="001D7ECF" w:rsidRDefault="00C615AF" w:rsidP="00C615AF">
      <w:pPr>
        <w:pStyle w:val="Odsekzoznamu"/>
        <w:spacing w:line="276" w:lineRule="auto"/>
        <w:ind w:left="170"/>
        <w:jc w:val="both"/>
        <w:rPr>
          <w:b/>
          <w:bCs/>
          <w:color w:val="000000" w:themeColor="text1"/>
        </w:rPr>
      </w:pPr>
    </w:p>
    <w:p w:rsidR="00C615AF" w:rsidRPr="001D7ECF" w:rsidRDefault="00C615AF" w:rsidP="00C615AF">
      <w:pPr>
        <w:pStyle w:val="Vchodzie"/>
        <w:numPr>
          <w:ilvl w:val="0"/>
          <w:numId w:val="1"/>
        </w:numPr>
        <w:spacing w:after="0" w:line="240" w:lineRule="auto"/>
        <w:ind w:left="170"/>
        <w:jc w:val="both"/>
        <w:rPr>
          <w:rFonts w:ascii="Times New Roman" w:hAnsi="Times New Roman" w:cs="Times New Roman"/>
          <w:b/>
          <w:bCs/>
          <w:color w:val="000000" w:themeColor="text1"/>
          <w:sz w:val="24"/>
          <w:szCs w:val="24"/>
        </w:rPr>
      </w:pPr>
      <w:r w:rsidRPr="001D7ECF">
        <w:rPr>
          <w:rFonts w:ascii="Times New Roman" w:hAnsi="Times New Roman" w:cs="Times New Roman"/>
          <w:b/>
          <w:bCs/>
          <w:color w:val="000000" w:themeColor="text1"/>
          <w:sz w:val="24"/>
          <w:szCs w:val="24"/>
        </w:rPr>
        <w:t>Časový priebeh rozhodovacieho procesu v Európskej únii</w:t>
      </w:r>
    </w:p>
    <w:p w:rsidR="00C615AF" w:rsidRDefault="00C615AF" w:rsidP="00C615AF">
      <w:pPr>
        <w:pStyle w:val="Vchodzie"/>
        <w:tabs>
          <w:tab w:val="left" w:pos="426"/>
        </w:tabs>
        <w:spacing w:after="0" w:line="240" w:lineRule="auto"/>
        <w:ind w:left="170"/>
        <w:jc w:val="both"/>
        <w:rPr>
          <w:rFonts w:ascii="Times New Roman" w:hAnsi="Times New Roman" w:cs="Times New Roman"/>
          <w:color w:val="000000" w:themeColor="text1"/>
          <w:sz w:val="24"/>
          <w:szCs w:val="24"/>
        </w:rPr>
      </w:pPr>
    </w:p>
    <w:p w:rsidR="00C615AF" w:rsidRDefault="00C615AF" w:rsidP="00C615AF">
      <w:pPr>
        <w:pStyle w:val="Vchodzie"/>
        <w:tabs>
          <w:tab w:val="left" w:pos="426"/>
        </w:tabs>
        <w:spacing w:after="0" w:line="240" w:lineRule="auto"/>
        <w:ind w:left="17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w:t>
      </w:r>
      <w:r w:rsidRPr="001D7ECF">
        <w:rPr>
          <w:rFonts w:ascii="Times New Roman" w:hAnsi="Times New Roman" w:cs="Times New Roman"/>
          <w:color w:val="000000" w:themeColor="text1"/>
          <w:sz w:val="24"/>
          <w:szCs w:val="24"/>
        </w:rPr>
        <w:t xml:space="preserve">dhadovaný termín prijatia návrhu </w:t>
      </w:r>
      <w:r>
        <w:rPr>
          <w:rFonts w:ascii="Times New Roman" w:hAnsi="Times New Roman" w:cs="Times New Roman"/>
          <w:color w:val="000000" w:themeColor="text1"/>
          <w:sz w:val="24"/>
          <w:szCs w:val="24"/>
        </w:rPr>
        <w:t>– do konca roka 2026.</w:t>
      </w:r>
    </w:p>
    <w:p w:rsidR="00C615AF" w:rsidRDefault="00C615AF" w:rsidP="00C615AF">
      <w:pPr>
        <w:pStyle w:val="Vchodzie"/>
        <w:tabs>
          <w:tab w:val="left" w:pos="426"/>
        </w:tabs>
        <w:spacing w:after="0" w:line="240" w:lineRule="auto"/>
        <w:jc w:val="both"/>
        <w:rPr>
          <w:rFonts w:ascii="Times New Roman" w:hAnsi="Times New Roman" w:cs="Times New Roman"/>
          <w:color w:val="000000" w:themeColor="text1"/>
          <w:sz w:val="24"/>
          <w:szCs w:val="24"/>
        </w:rPr>
      </w:pPr>
    </w:p>
    <w:p w:rsidR="00C615AF" w:rsidRPr="001D7ECF" w:rsidRDefault="00C615AF" w:rsidP="00C615AF">
      <w:pPr>
        <w:pStyle w:val="Odsekzoznamu"/>
        <w:numPr>
          <w:ilvl w:val="0"/>
          <w:numId w:val="1"/>
        </w:numPr>
        <w:ind w:left="170"/>
        <w:jc w:val="both"/>
        <w:rPr>
          <w:b/>
          <w:bCs/>
          <w:color w:val="000000" w:themeColor="text1"/>
        </w:rPr>
      </w:pPr>
      <w:r w:rsidRPr="001D7ECF">
        <w:rPr>
          <w:b/>
          <w:bCs/>
          <w:color w:val="000000" w:themeColor="text1"/>
        </w:rPr>
        <w:t xml:space="preserve">Hodnotenie vplyvu a dosahu návrhu na Slovenskú republiku </w:t>
      </w:r>
    </w:p>
    <w:p w:rsidR="00C615AF" w:rsidRDefault="00C615AF" w:rsidP="00C615AF">
      <w:pPr>
        <w:ind w:firstLine="170"/>
        <w:rPr>
          <w:color w:val="000000" w:themeColor="text1"/>
        </w:rPr>
      </w:pPr>
    </w:p>
    <w:p w:rsidR="00C615AF" w:rsidRPr="00C615AF" w:rsidRDefault="00C615AF" w:rsidP="00C615AF">
      <w:pPr>
        <w:ind w:firstLine="170"/>
        <w:rPr>
          <w:rFonts w:ascii="Times New Roman" w:hAnsi="Times New Roman" w:cs="Times New Roman"/>
          <w:color w:val="000000" w:themeColor="text1"/>
          <w:sz w:val="24"/>
          <w:szCs w:val="24"/>
        </w:rPr>
      </w:pPr>
      <w:r w:rsidRPr="00C615AF">
        <w:rPr>
          <w:rFonts w:ascii="Times New Roman" w:hAnsi="Times New Roman" w:cs="Times New Roman"/>
          <w:color w:val="000000" w:themeColor="text1"/>
          <w:sz w:val="24"/>
          <w:szCs w:val="24"/>
        </w:rPr>
        <w:lastRenderedPageBreak/>
        <w:t>Politický dosah: Bez významných politických dopadov.</w:t>
      </w:r>
    </w:p>
    <w:p w:rsidR="00C615AF" w:rsidRPr="00C615AF" w:rsidRDefault="00C615AF" w:rsidP="00C615AF">
      <w:pPr>
        <w:ind w:firstLine="170"/>
        <w:rPr>
          <w:rFonts w:ascii="Times New Roman" w:hAnsi="Times New Roman" w:cs="Times New Roman"/>
          <w:color w:val="000000" w:themeColor="text1"/>
          <w:sz w:val="24"/>
          <w:szCs w:val="24"/>
        </w:rPr>
      </w:pPr>
      <w:r w:rsidRPr="00C615AF">
        <w:rPr>
          <w:rFonts w:ascii="Times New Roman" w:hAnsi="Times New Roman" w:cs="Times New Roman"/>
          <w:color w:val="000000" w:themeColor="text1"/>
          <w:sz w:val="24"/>
          <w:szCs w:val="24"/>
        </w:rPr>
        <w:t xml:space="preserve">Legislatívny dosah: Očakáva sa, že SR bude meniť a dopĺňať nasledovné právne predpisy: </w:t>
      </w:r>
    </w:p>
    <w:p w:rsidR="00C615AF" w:rsidRPr="00C615AF" w:rsidRDefault="00C615AF" w:rsidP="00C615AF">
      <w:pPr>
        <w:numPr>
          <w:ilvl w:val="0"/>
          <w:numId w:val="5"/>
        </w:numPr>
        <w:spacing w:after="0" w:line="240" w:lineRule="auto"/>
        <w:rPr>
          <w:rFonts w:ascii="Times New Roman" w:hAnsi="Times New Roman" w:cs="Times New Roman"/>
          <w:color w:val="000000" w:themeColor="text1"/>
          <w:sz w:val="24"/>
          <w:szCs w:val="24"/>
        </w:rPr>
      </w:pPr>
      <w:r w:rsidRPr="00C615AF">
        <w:rPr>
          <w:rFonts w:ascii="Times New Roman" w:hAnsi="Times New Roman" w:cs="Times New Roman"/>
          <w:color w:val="000000" w:themeColor="text1"/>
          <w:sz w:val="24"/>
          <w:szCs w:val="24"/>
        </w:rPr>
        <w:t>zákon č. 39/2013 Z. z. o integrovanej prevencii a kontrole znečisťovania životného prostredia a o zmene a doplnení niektorých zákonov;</w:t>
      </w:r>
    </w:p>
    <w:p w:rsidR="00C615AF" w:rsidRPr="00C615AF" w:rsidRDefault="00C615AF" w:rsidP="00C615AF">
      <w:pPr>
        <w:pStyle w:val="Odsekzoznamu"/>
        <w:rPr>
          <w:color w:val="000000" w:themeColor="text1"/>
        </w:rPr>
      </w:pPr>
    </w:p>
    <w:p w:rsidR="00C615AF" w:rsidRPr="00C615AF" w:rsidRDefault="00C615AF" w:rsidP="00C615AF">
      <w:pPr>
        <w:ind w:firstLine="170"/>
        <w:rPr>
          <w:rFonts w:ascii="Times New Roman" w:hAnsi="Times New Roman" w:cs="Times New Roman"/>
          <w:color w:val="000000" w:themeColor="text1"/>
          <w:sz w:val="24"/>
          <w:szCs w:val="24"/>
        </w:rPr>
      </w:pPr>
      <w:r w:rsidRPr="00C615AF">
        <w:rPr>
          <w:rFonts w:ascii="Times New Roman" w:hAnsi="Times New Roman" w:cs="Times New Roman"/>
          <w:color w:val="000000" w:themeColor="text1"/>
          <w:sz w:val="24"/>
          <w:szCs w:val="24"/>
        </w:rPr>
        <w:t>Ekonomický dosah: Neidentifikovaný.</w:t>
      </w:r>
    </w:p>
    <w:p w:rsidR="00C615AF" w:rsidRPr="00C615AF" w:rsidRDefault="00C615AF" w:rsidP="00C615AF">
      <w:pPr>
        <w:ind w:firstLine="170"/>
        <w:rPr>
          <w:rFonts w:ascii="Times New Roman" w:hAnsi="Times New Roman" w:cs="Times New Roman"/>
          <w:color w:val="000000" w:themeColor="text1"/>
          <w:sz w:val="24"/>
          <w:szCs w:val="24"/>
        </w:rPr>
      </w:pPr>
      <w:r w:rsidRPr="00C615AF">
        <w:rPr>
          <w:rFonts w:ascii="Times New Roman" w:hAnsi="Times New Roman" w:cs="Times New Roman"/>
          <w:color w:val="000000" w:themeColor="text1"/>
          <w:sz w:val="24"/>
          <w:szCs w:val="24"/>
        </w:rPr>
        <w:t>Sociálny dosah: Neidentifikovaný.</w:t>
      </w:r>
    </w:p>
    <w:p w:rsidR="00C615AF" w:rsidRPr="00C615AF" w:rsidRDefault="00C615AF" w:rsidP="00C615AF">
      <w:pPr>
        <w:pStyle w:val="Odsekzoznamu"/>
        <w:ind w:left="170"/>
        <w:jc w:val="both"/>
        <w:rPr>
          <w:color w:val="000000" w:themeColor="text1"/>
        </w:rPr>
      </w:pPr>
      <w:r w:rsidRPr="00C615AF">
        <w:rPr>
          <w:color w:val="000000" w:themeColor="text1"/>
        </w:rPr>
        <w:t>Environmentálny dosah: pozitívny nepriamy vplyv na životné prostredie.</w:t>
      </w:r>
    </w:p>
    <w:p w:rsidR="00C615AF" w:rsidRPr="001D7ECF" w:rsidRDefault="00C615AF" w:rsidP="00C615AF">
      <w:pPr>
        <w:pStyle w:val="Vchodzie"/>
        <w:tabs>
          <w:tab w:val="left" w:pos="426"/>
        </w:tabs>
        <w:spacing w:after="0" w:line="240" w:lineRule="auto"/>
        <w:jc w:val="both"/>
        <w:rPr>
          <w:rFonts w:ascii="Times New Roman" w:hAnsi="Times New Roman" w:cs="Times New Roman"/>
          <w:color w:val="000000" w:themeColor="text1"/>
          <w:sz w:val="24"/>
          <w:szCs w:val="24"/>
        </w:rPr>
      </w:pPr>
    </w:p>
    <w:p w:rsidR="00A669D2" w:rsidRPr="001D7ECF" w:rsidRDefault="00A669D2" w:rsidP="00A669D2">
      <w:pPr>
        <w:pStyle w:val="Odsekzoznamu"/>
        <w:numPr>
          <w:ilvl w:val="0"/>
          <w:numId w:val="1"/>
        </w:numPr>
        <w:ind w:left="170"/>
        <w:jc w:val="both"/>
        <w:rPr>
          <w:color w:val="000000" w:themeColor="text1"/>
        </w:rPr>
      </w:pPr>
      <w:r w:rsidRPr="001D7ECF">
        <w:rPr>
          <w:b/>
          <w:bCs/>
          <w:color w:val="000000" w:themeColor="text1"/>
        </w:rPr>
        <w:t>Vplyvy na vybrané oblasti</w:t>
      </w:r>
    </w:p>
    <w:p w:rsidR="00A669D2" w:rsidRPr="00A669D2" w:rsidRDefault="00A669D2" w:rsidP="00A669D2">
      <w:pPr>
        <w:ind w:left="-190"/>
        <w:jc w:val="both"/>
        <w:rPr>
          <w:rFonts w:ascii="Times New Roman" w:hAnsi="Times New Roman" w:cs="Times New Roman"/>
          <w:color w:val="000000" w:themeColor="text1"/>
        </w:rPr>
      </w:pPr>
    </w:p>
    <w:tbl>
      <w:tblPr>
        <w:tblStyle w:val="Mriekatabuky11"/>
        <w:tblW w:w="9180" w:type="dxa"/>
        <w:tblInd w:w="0" w:type="dxa"/>
        <w:tblLayout w:type="fixed"/>
        <w:tblLook w:val="04A0" w:firstRow="1" w:lastRow="0" w:firstColumn="1" w:lastColumn="0" w:noHBand="0" w:noVBand="1"/>
      </w:tblPr>
      <w:tblGrid>
        <w:gridCol w:w="3812"/>
        <w:gridCol w:w="541"/>
        <w:gridCol w:w="1312"/>
        <w:gridCol w:w="284"/>
        <w:gridCol w:w="254"/>
        <w:gridCol w:w="1133"/>
        <w:gridCol w:w="547"/>
        <w:gridCol w:w="1297"/>
      </w:tblGrid>
      <w:tr w:rsidR="00A669D2" w:rsidRPr="00A669D2" w:rsidTr="00CF0370">
        <w:trPr>
          <w:trHeight w:val="283"/>
        </w:trPr>
        <w:tc>
          <w:tcPr>
            <w:tcW w:w="9180" w:type="dxa"/>
            <w:gridSpan w:val="8"/>
            <w:tcBorders>
              <w:top w:val="single" w:sz="4" w:space="0" w:color="auto"/>
              <w:left w:val="single" w:sz="4" w:space="0" w:color="auto"/>
              <w:bottom w:val="single" w:sz="4" w:space="0" w:color="FFFFFF"/>
              <w:right w:val="single" w:sz="4" w:space="0" w:color="auto"/>
            </w:tcBorders>
            <w:shd w:val="clear" w:color="auto" w:fill="E2E2E2"/>
            <w:vAlign w:val="center"/>
          </w:tcPr>
          <w:p w:rsidR="00A669D2" w:rsidRPr="00A669D2" w:rsidRDefault="00A669D2" w:rsidP="00A669D2">
            <w:pPr>
              <w:numPr>
                <w:ilvl w:val="0"/>
                <w:numId w:val="6"/>
              </w:numPr>
              <w:ind w:left="426"/>
              <w:contextualSpacing/>
              <w:rPr>
                <w:rFonts w:ascii="Times New Roman" w:hAnsi="Times New Roman"/>
                <w:b/>
                <w:sz w:val="20"/>
                <w:szCs w:val="20"/>
              </w:rPr>
            </w:pPr>
            <w:r w:rsidRPr="00A669D2">
              <w:rPr>
                <w:rFonts w:ascii="Times New Roman" w:hAnsi="Times New Roman"/>
                <w:b/>
                <w:sz w:val="20"/>
                <w:szCs w:val="20"/>
              </w:rPr>
              <w:t>Vybrané vplyvy  materiálu</w:t>
            </w:r>
          </w:p>
        </w:tc>
      </w:tr>
      <w:tr w:rsidR="00A669D2" w:rsidRPr="00A669D2" w:rsidTr="00CF0370">
        <w:tc>
          <w:tcPr>
            <w:tcW w:w="3812" w:type="dxa"/>
            <w:tcBorders>
              <w:top w:val="single" w:sz="4" w:space="0" w:color="auto"/>
              <w:left w:val="single" w:sz="4" w:space="0" w:color="auto"/>
              <w:bottom w:val="nil"/>
              <w:right w:val="single" w:sz="4" w:space="0" w:color="auto"/>
            </w:tcBorders>
            <w:shd w:val="clear" w:color="auto" w:fill="E2E2E2"/>
          </w:tcPr>
          <w:p w:rsidR="00A669D2" w:rsidRPr="00A669D2" w:rsidRDefault="00A669D2" w:rsidP="00CF0370">
            <w:pPr>
              <w:rPr>
                <w:rFonts w:ascii="Times New Roman" w:hAnsi="Times New Roman"/>
                <w:b/>
                <w:sz w:val="20"/>
                <w:szCs w:val="20"/>
              </w:rPr>
            </w:pPr>
            <w:r w:rsidRPr="00A669D2">
              <w:rPr>
                <w:rFonts w:ascii="Times New Roman" w:hAnsi="Times New Roman"/>
                <w:b/>
                <w:sz w:val="20"/>
                <w:szCs w:val="20"/>
              </w:rPr>
              <w:t>Vplyvy na rozpočet verejnej správy</w:t>
            </w:r>
          </w:p>
        </w:tc>
        <w:sdt>
          <w:sdtPr>
            <w:rPr>
              <w:rFonts w:ascii="Times New Roman" w:hAnsi="Times New Roman"/>
              <w:b/>
              <w:sz w:val="20"/>
              <w:szCs w:val="20"/>
            </w:rPr>
            <w:id w:val="-1066412587"/>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dotted" w:sz="4" w:space="0" w:color="auto"/>
                  <w:right w:val="nil"/>
                </w:tcBorders>
              </w:tcPr>
              <w:p w:rsidR="00A669D2" w:rsidRPr="00A669D2" w:rsidRDefault="00A669D2" w:rsidP="00CF0370">
                <w:pPr>
                  <w:jc w:val="center"/>
                  <w:rPr>
                    <w:rFonts w:ascii="Times New Roman" w:hAnsi="Times New Roman"/>
                    <w:b/>
                    <w:sz w:val="20"/>
                    <w:szCs w:val="20"/>
                  </w:rPr>
                </w:pPr>
                <w:r w:rsidRPr="00A669D2">
                  <w:rPr>
                    <w:rFonts w:ascii="Segoe UI Symbol" w:hAnsi="Segoe UI Symbol" w:cs="Segoe UI Symbol"/>
                    <w:b/>
                    <w:sz w:val="20"/>
                    <w:szCs w:val="20"/>
                  </w:rPr>
                  <w:t>☐</w:t>
                </w:r>
              </w:p>
            </w:tc>
          </w:sdtContent>
        </w:sdt>
        <w:tc>
          <w:tcPr>
            <w:tcW w:w="1312" w:type="dxa"/>
            <w:tcBorders>
              <w:top w:val="single" w:sz="4" w:space="0" w:color="auto"/>
              <w:left w:val="nil"/>
              <w:bottom w:val="dotted" w:sz="4" w:space="0" w:color="auto"/>
              <w:right w:val="nil"/>
            </w:tcBorders>
          </w:tcPr>
          <w:p w:rsidR="00A669D2" w:rsidRPr="00A669D2" w:rsidRDefault="00A669D2" w:rsidP="00CF0370">
            <w:pPr>
              <w:rPr>
                <w:rFonts w:ascii="Times New Roman" w:hAnsi="Times New Roman"/>
                <w:b/>
                <w:sz w:val="20"/>
                <w:szCs w:val="20"/>
              </w:rPr>
            </w:pPr>
            <w:r w:rsidRPr="00A669D2">
              <w:rPr>
                <w:rFonts w:ascii="Times New Roman" w:hAnsi="Times New Roman"/>
                <w:b/>
                <w:sz w:val="20"/>
                <w:szCs w:val="20"/>
              </w:rPr>
              <w:t>Pozitívne</w:t>
            </w:r>
          </w:p>
        </w:tc>
        <w:sdt>
          <w:sdtPr>
            <w:rPr>
              <w:rFonts w:ascii="Times New Roman" w:hAnsi="Times New Roman"/>
              <w:b/>
              <w:sz w:val="20"/>
              <w:szCs w:val="20"/>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rsidR="00A669D2" w:rsidRPr="00A669D2" w:rsidRDefault="00A669D2" w:rsidP="00CF0370">
                <w:pPr>
                  <w:jc w:val="center"/>
                  <w:rPr>
                    <w:rFonts w:ascii="Times New Roman" w:hAnsi="Times New Roman"/>
                    <w:b/>
                    <w:sz w:val="20"/>
                    <w:szCs w:val="20"/>
                  </w:rPr>
                </w:pPr>
                <w:r w:rsidRPr="00A669D2">
                  <w:rPr>
                    <w:rFonts w:ascii="Segoe UI Symbol" w:eastAsia="MS Gothic" w:hAnsi="Segoe UI Symbol" w:cs="Segoe UI Symbol"/>
                    <w:b/>
                    <w:sz w:val="20"/>
                    <w:szCs w:val="20"/>
                  </w:rPr>
                  <w:t>☒</w:t>
                </w:r>
              </w:p>
            </w:tc>
          </w:sdtContent>
        </w:sdt>
        <w:tc>
          <w:tcPr>
            <w:tcW w:w="1133" w:type="dxa"/>
            <w:tcBorders>
              <w:top w:val="single" w:sz="4" w:space="0" w:color="auto"/>
              <w:left w:val="nil"/>
              <w:bottom w:val="dotted" w:sz="4" w:space="0" w:color="auto"/>
              <w:right w:val="nil"/>
            </w:tcBorders>
          </w:tcPr>
          <w:p w:rsidR="00A669D2" w:rsidRPr="00A669D2" w:rsidRDefault="00A669D2" w:rsidP="00CF0370">
            <w:pPr>
              <w:rPr>
                <w:rFonts w:ascii="Times New Roman" w:hAnsi="Times New Roman"/>
                <w:b/>
                <w:sz w:val="20"/>
                <w:szCs w:val="20"/>
              </w:rPr>
            </w:pPr>
            <w:r w:rsidRPr="00A669D2">
              <w:rPr>
                <w:rFonts w:ascii="Times New Roman" w:hAnsi="Times New Roman"/>
                <w:b/>
                <w:sz w:val="20"/>
                <w:szCs w:val="20"/>
              </w:rPr>
              <w:t>Žiadne</w:t>
            </w:r>
          </w:p>
        </w:tc>
        <w:sdt>
          <w:sdtPr>
            <w:rPr>
              <w:rFonts w:ascii="Times New Roman" w:hAnsi="Times New Roman"/>
              <w:b/>
              <w:sz w:val="20"/>
              <w:szCs w:val="20"/>
            </w:rPr>
            <w:id w:val="-755052973"/>
            <w14:checkbox>
              <w14:checked w14:val="0"/>
              <w14:checkedState w14:val="2612" w14:font="MS Gothic"/>
              <w14:uncheckedState w14:val="2610" w14:font="MS Gothic"/>
            </w14:checkbox>
          </w:sdtPr>
          <w:sdtEndPr/>
          <w:sdtContent>
            <w:tc>
              <w:tcPr>
                <w:tcW w:w="547" w:type="dxa"/>
                <w:tcBorders>
                  <w:top w:val="single" w:sz="4" w:space="0" w:color="auto"/>
                  <w:left w:val="nil"/>
                  <w:bottom w:val="dotted" w:sz="4" w:space="0" w:color="auto"/>
                  <w:right w:val="nil"/>
                </w:tcBorders>
              </w:tcPr>
              <w:p w:rsidR="00A669D2" w:rsidRPr="00A669D2" w:rsidRDefault="00A669D2" w:rsidP="00CF0370">
                <w:pPr>
                  <w:ind w:left="-107" w:right="-108"/>
                  <w:jc w:val="center"/>
                  <w:rPr>
                    <w:rFonts w:ascii="Times New Roman" w:hAnsi="Times New Roman"/>
                    <w:b/>
                    <w:sz w:val="20"/>
                    <w:szCs w:val="20"/>
                  </w:rPr>
                </w:pPr>
                <w:r w:rsidRPr="00A669D2">
                  <w:rPr>
                    <w:rFonts w:ascii="Segoe UI Symbol" w:hAnsi="Segoe UI Symbol" w:cs="Segoe UI Symbol"/>
                    <w:b/>
                    <w:sz w:val="20"/>
                    <w:szCs w:val="20"/>
                  </w:rPr>
                  <w:t>☐</w:t>
                </w:r>
              </w:p>
            </w:tc>
          </w:sdtContent>
        </w:sdt>
        <w:tc>
          <w:tcPr>
            <w:tcW w:w="1297" w:type="dxa"/>
            <w:tcBorders>
              <w:top w:val="single" w:sz="4" w:space="0" w:color="auto"/>
              <w:left w:val="nil"/>
              <w:bottom w:val="dotted" w:sz="4" w:space="0" w:color="auto"/>
              <w:right w:val="single" w:sz="4" w:space="0" w:color="auto"/>
            </w:tcBorders>
          </w:tcPr>
          <w:p w:rsidR="00A669D2" w:rsidRPr="00A669D2" w:rsidRDefault="00A669D2" w:rsidP="00CF0370">
            <w:pPr>
              <w:ind w:left="34"/>
              <w:rPr>
                <w:rFonts w:ascii="Times New Roman" w:hAnsi="Times New Roman"/>
                <w:b/>
                <w:sz w:val="20"/>
                <w:szCs w:val="20"/>
              </w:rPr>
            </w:pPr>
            <w:r w:rsidRPr="00A669D2">
              <w:rPr>
                <w:rFonts w:ascii="Times New Roman" w:hAnsi="Times New Roman"/>
                <w:b/>
                <w:sz w:val="20"/>
                <w:szCs w:val="20"/>
              </w:rPr>
              <w:t>Negatívne</w:t>
            </w:r>
          </w:p>
        </w:tc>
      </w:tr>
      <w:tr w:rsidR="00A669D2" w:rsidRPr="00A669D2" w:rsidTr="00CF0370">
        <w:tc>
          <w:tcPr>
            <w:tcW w:w="3812" w:type="dxa"/>
            <w:tcBorders>
              <w:top w:val="nil"/>
              <w:left w:val="single" w:sz="4" w:space="0" w:color="auto"/>
              <w:bottom w:val="nil"/>
              <w:right w:val="single" w:sz="4" w:space="0" w:color="auto"/>
            </w:tcBorders>
            <w:shd w:val="clear" w:color="auto" w:fill="E2E2E2"/>
          </w:tcPr>
          <w:p w:rsidR="00A669D2" w:rsidRPr="00A669D2" w:rsidRDefault="00A669D2" w:rsidP="00CF0370">
            <w:pPr>
              <w:rPr>
                <w:rFonts w:ascii="Times New Roman" w:hAnsi="Times New Roman"/>
                <w:sz w:val="20"/>
                <w:szCs w:val="20"/>
              </w:rPr>
            </w:pPr>
            <w:r w:rsidRPr="00A669D2">
              <w:rPr>
                <w:rFonts w:ascii="Times New Roman" w:hAnsi="Times New Roman"/>
                <w:sz w:val="20"/>
                <w:szCs w:val="20"/>
              </w:rPr>
              <w:t xml:space="preserve">    z toho rozpočtovo zabezpečené vplyvy,         </w:t>
            </w:r>
          </w:p>
          <w:p w:rsidR="00A669D2" w:rsidRPr="00A669D2" w:rsidRDefault="00A669D2" w:rsidP="00CF0370">
            <w:pPr>
              <w:rPr>
                <w:rFonts w:ascii="Times New Roman" w:hAnsi="Times New Roman"/>
                <w:sz w:val="20"/>
                <w:szCs w:val="20"/>
              </w:rPr>
            </w:pPr>
            <w:r w:rsidRPr="00A669D2">
              <w:rPr>
                <w:rFonts w:ascii="Times New Roman" w:hAnsi="Times New Roman"/>
                <w:sz w:val="20"/>
                <w:szCs w:val="20"/>
              </w:rPr>
              <w:t xml:space="preserve">    v prípade identifikovaného negatívneho </w:t>
            </w:r>
          </w:p>
          <w:p w:rsidR="00A669D2" w:rsidRPr="00A669D2" w:rsidRDefault="00A669D2" w:rsidP="00CF0370">
            <w:pPr>
              <w:rPr>
                <w:rFonts w:ascii="Times New Roman" w:hAnsi="Times New Roman"/>
                <w:sz w:val="20"/>
                <w:szCs w:val="20"/>
              </w:rPr>
            </w:pPr>
            <w:r w:rsidRPr="00A669D2">
              <w:rPr>
                <w:rFonts w:ascii="Times New Roman" w:hAnsi="Times New Roman"/>
                <w:sz w:val="20"/>
                <w:szCs w:val="20"/>
              </w:rPr>
              <w:t xml:space="preserve">    vplyvu</w:t>
            </w:r>
          </w:p>
        </w:tc>
        <w:sdt>
          <w:sdtPr>
            <w:rPr>
              <w:rFonts w:ascii="Times New Roman" w:hAnsi="Times New Roman"/>
              <w:sz w:val="20"/>
              <w:szCs w:val="20"/>
            </w:rPr>
            <w:id w:val="-1143340457"/>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rsidR="00A669D2" w:rsidRPr="00A669D2" w:rsidRDefault="00A669D2" w:rsidP="00CF0370">
                <w:pPr>
                  <w:jc w:val="center"/>
                  <w:rPr>
                    <w:rFonts w:ascii="Times New Roman" w:hAnsi="Times New Roman"/>
                    <w:sz w:val="20"/>
                    <w:szCs w:val="20"/>
                  </w:rPr>
                </w:pPr>
                <w:r w:rsidRPr="00A669D2">
                  <w:rPr>
                    <w:rFonts w:ascii="Segoe UI Symbol" w:hAnsi="Segoe UI Symbol" w:cs="Segoe UI Symbol"/>
                    <w:sz w:val="20"/>
                    <w:szCs w:val="20"/>
                  </w:rPr>
                  <w:t>☐</w:t>
                </w:r>
              </w:p>
            </w:tc>
          </w:sdtContent>
        </w:sdt>
        <w:tc>
          <w:tcPr>
            <w:tcW w:w="1312" w:type="dxa"/>
            <w:tcBorders>
              <w:top w:val="dotted" w:sz="4" w:space="0" w:color="auto"/>
              <w:left w:val="nil"/>
              <w:bottom w:val="dotted" w:sz="4" w:space="0" w:color="auto"/>
              <w:right w:val="nil"/>
            </w:tcBorders>
            <w:vAlign w:val="center"/>
          </w:tcPr>
          <w:p w:rsidR="00A669D2" w:rsidRPr="00A669D2" w:rsidRDefault="00A669D2" w:rsidP="00CF0370">
            <w:pPr>
              <w:rPr>
                <w:rFonts w:ascii="Times New Roman" w:hAnsi="Times New Roman"/>
                <w:sz w:val="20"/>
                <w:szCs w:val="20"/>
              </w:rPr>
            </w:pPr>
            <w:r w:rsidRPr="00A669D2">
              <w:rPr>
                <w:rFonts w:ascii="Times New Roman" w:hAnsi="Times New Roman"/>
                <w:sz w:val="20"/>
                <w:szCs w:val="20"/>
              </w:rPr>
              <w:t>Áno</w:t>
            </w:r>
          </w:p>
        </w:tc>
        <w:sdt>
          <w:sdtPr>
            <w:rPr>
              <w:rFonts w:ascii="Times New Roman" w:hAnsi="Times New Roman"/>
              <w:sz w:val="20"/>
              <w:szCs w:val="20"/>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A669D2" w:rsidRPr="00A669D2" w:rsidRDefault="00A669D2" w:rsidP="00CF0370">
                <w:pPr>
                  <w:jc w:val="center"/>
                  <w:rPr>
                    <w:rFonts w:ascii="Times New Roman" w:hAnsi="Times New Roman"/>
                    <w:sz w:val="20"/>
                    <w:szCs w:val="20"/>
                  </w:rPr>
                </w:pPr>
                <w:r w:rsidRPr="00A669D2">
                  <w:rPr>
                    <w:rFonts w:ascii="Segoe UI Symbol" w:hAnsi="Segoe UI Symbol" w:cs="Segoe UI Symbol"/>
                    <w:sz w:val="20"/>
                    <w:szCs w:val="20"/>
                  </w:rPr>
                  <w:t>☐</w:t>
                </w:r>
              </w:p>
            </w:tc>
          </w:sdtContent>
        </w:sdt>
        <w:tc>
          <w:tcPr>
            <w:tcW w:w="1133" w:type="dxa"/>
            <w:tcBorders>
              <w:top w:val="dotted" w:sz="4" w:space="0" w:color="auto"/>
              <w:left w:val="nil"/>
              <w:bottom w:val="dotted" w:sz="4" w:space="0" w:color="auto"/>
              <w:right w:val="nil"/>
            </w:tcBorders>
            <w:vAlign w:val="center"/>
          </w:tcPr>
          <w:p w:rsidR="00A669D2" w:rsidRPr="00A669D2" w:rsidRDefault="00A669D2" w:rsidP="00CF0370">
            <w:pPr>
              <w:rPr>
                <w:rFonts w:ascii="Times New Roman" w:hAnsi="Times New Roman"/>
                <w:sz w:val="20"/>
                <w:szCs w:val="20"/>
              </w:rPr>
            </w:pPr>
            <w:r w:rsidRPr="00A669D2">
              <w:rPr>
                <w:rFonts w:ascii="Times New Roman" w:hAnsi="Times New Roman"/>
                <w:sz w:val="20"/>
                <w:szCs w:val="20"/>
              </w:rPr>
              <w:t>Nie</w:t>
            </w:r>
          </w:p>
        </w:tc>
        <w:sdt>
          <w:sdtPr>
            <w:rPr>
              <w:rFonts w:ascii="Times New Roman" w:hAnsi="Times New Roman"/>
              <w:sz w:val="20"/>
              <w:szCs w:val="20"/>
            </w:rPr>
            <w:id w:val="-1346477702"/>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rsidR="00A669D2" w:rsidRPr="00A669D2" w:rsidRDefault="00A669D2" w:rsidP="00CF0370">
                <w:pPr>
                  <w:ind w:left="-107" w:right="-108"/>
                  <w:jc w:val="center"/>
                  <w:rPr>
                    <w:rFonts w:ascii="Times New Roman" w:hAnsi="Times New Roman"/>
                    <w:sz w:val="20"/>
                    <w:szCs w:val="20"/>
                  </w:rPr>
                </w:pPr>
                <w:r w:rsidRPr="00A669D2">
                  <w:rPr>
                    <w:rFonts w:ascii="Segoe UI Symbol" w:hAnsi="Segoe UI Symbol" w:cs="Segoe UI Symbol"/>
                    <w:sz w:val="20"/>
                    <w:szCs w:val="20"/>
                  </w:rPr>
                  <w:t>☐</w:t>
                </w:r>
              </w:p>
            </w:tc>
          </w:sdtContent>
        </w:sdt>
        <w:tc>
          <w:tcPr>
            <w:tcW w:w="1297" w:type="dxa"/>
            <w:tcBorders>
              <w:top w:val="dotted" w:sz="4" w:space="0" w:color="auto"/>
              <w:left w:val="nil"/>
              <w:bottom w:val="dotted" w:sz="4" w:space="0" w:color="auto"/>
              <w:right w:val="single" w:sz="4" w:space="0" w:color="auto"/>
            </w:tcBorders>
            <w:vAlign w:val="center"/>
          </w:tcPr>
          <w:p w:rsidR="00A669D2" w:rsidRPr="00A669D2" w:rsidRDefault="00A669D2" w:rsidP="00CF0370">
            <w:pPr>
              <w:ind w:left="34"/>
              <w:rPr>
                <w:rFonts w:ascii="Times New Roman" w:hAnsi="Times New Roman"/>
                <w:sz w:val="20"/>
                <w:szCs w:val="20"/>
              </w:rPr>
            </w:pPr>
            <w:r w:rsidRPr="00A669D2">
              <w:rPr>
                <w:rFonts w:ascii="Times New Roman" w:hAnsi="Times New Roman"/>
                <w:sz w:val="20"/>
                <w:szCs w:val="20"/>
              </w:rPr>
              <w:t>Čiastočne</w:t>
            </w:r>
          </w:p>
        </w:tc>
      </w:tr>
      <w:tr w:rsidR="00A669D2" w:rsidRPr="00A669D2" w:rsidTr="00CF0370">
        <w:tc>
          <w:tcPr>
            <w:tcW w:w="3812" w:type="dxa"/>
            <w:tcBorders>
              <w:top w:val="nil"/>
              <w:left w:val="single" w:sz="4" w:space="0" w:color="auto"/>
              <w:bottom w:val="nil"/>
              <w:right w:val="single" w:sz="4" w:space="0" w:color="auto"/>
            </w:tcBorders>
            <w:shd w:val="clear" w:color="auto" w:fill="E2E2E2"/>
          </w:tcPr>
          <w:p w:rsidR="00A669D2" w:rsidRPr="00A669D2" w:rsidRDefault="00A669D2" w:rsidP="00CF0370">
            <w:pPr>
              <w:rPr>
                <w:rFonts w:ascii="Times New Roman" w:hAnsi="Times New Roman"/>
                <w:b/>
                <w:sz w:val="20"/>
                <w:szCs w:val="20"/>
              </w:rPr>
            </w:pPr>
            <w:r w:rsidRPr="00A669D2">
              <w:rPr>
                <w:rFonts w:ascii="Times New Roman" w:hAnsi="Times New Roman"/>
                <w:b/>
                <w:sz w:val="20"/>
                <w:szCs w:val="20"/>
              </w:rPr>
              <w:t>v tom vplyvy na rozpočty obcí a vyšších územných celkov</w:t>
            </w:r>
          </w:p>
        </w:tc>
        <w:sdt>
          <w:sdtPr>
            <w:rPr>
              <w:rFonts w:ascii="Times New Roman" w:hAnsi="Times New Roman"/>
              <w:b/>
              <w:sz w:val="20"/>
              <w:szCs w:val="20"/>
            </w:rPr>
            <w:id w:val="-1577430931"/>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tcPr>
              <w:p w:rsidR="00A669D2" w:rsidRPr="00A669D2" w:rsidRDefault="00A669D2" w:rsidP="00CF0370">
                <w:pPr>
                  <w:jc w:val="center"/>
                  <w:rPr>
                    <w:rFonts w:ascii="Times New Roman" w:hAnsi="Times New Roman"/>
                    <w:b/>
                    <w:sz w:val="20"/>
                    <w:szCs w:val="20"/>
                  </w:rPr>
                </w:pPr>
                <w:r w:rsidRPr="00A669D2">
                  <w:rPr>
                    <w:rFonts w:ascii="Segoe UI Symbol" w:hAnsi="Segoe UI Symbol" w:cs="Segoe UI Symbol"/>
                    <w:b/>
                    <w:sz w:val="20"/>
                    <w:szCs w:val="20"/>
                  </w:rPr>
                  <w:t>☐</w:t>
                </w:r>
              </w:p>
            </w:tc>
          </w:sdtContent>
        </w:sdt>
        <w:tc>
          <w:tcPr>
            <w:tcW w:w="1312" w:type="dxa"/>
            <w:tcBorders>
              <w:top w:val="dotted" w:sz="4" w:space="0" w:color="auto"/>
              <w:left w:val="nil"/>
              <w:bottom w:val="dotted" w:sz="4" w:space="0" w:color="auto"/>
              <w:right w:val="nil"/>
            </w:tcBorders>
          </w:tcPr>
          <w:p w:rsidR="00A669D2" w:rsidRPr="00A669D2" w:rsidRDefault="00A669D2" w:rsidP="00CF0370">
            <w:pPr>
              <w:rPr>
                <w:rFonts w:ascii="Times New Roman" w:hAnsi="Times New Roman"/>
                <w:b/>
                <w:sz w:val="20"/>
                <w:szCs w:val="20"/>
              </w:rPr>
            </w:pPr>
            <w:r w:rsidRPr="00A669D2">
              <w:rPr>
                <w:rFonts w:ascii="Times New Roman" w:hAnsi="Times New Roman"/>
                <w:b/>
                <w:sz w:val="20"/>
                <w:szCs w:val="20"/>
              </w:rPr>
              <w:t>Pozitívne</w:t>
            </w:r>
          </w:p>
        </w:tc>
        <w:sdt>
          <w:sdtPr>
            <w:rPr>
              <w:rFonts w:ascii="Times New Roman" w:hAnsi="Times New Roman"/>
              <w:b/>
              <w:sz w:val="20"/>
              <w:szCs w:val="20"/>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rsidR="00A669D2" w:rsidRPr="00A669D2" w:rsidRDefault="00A669D2" w:rsidP="00CF0370">
                <w:pPr>
                  <w:jc w:val="center"/>
                  <w:rPr>
                    <w:rFonts w:ascii="Times New Roman" w:hAnsi="Times New Roman"/>
                    <w:b/>
                    <w:sz w:val="20"/>
                    <w:szCs w:val="20"/>
                  </w:rPr>
                </w:pPr>
                <w:r w:rsidRPr="00A669D2">
                  <w:rPr>
                    <w:rFonts w:ascii="Segoe UI Symbol" w:eastAsia="MS Gothic" w:hAnsi="Segoe UI Symbol" w:cs="Segoe UI Symbol"/>
                    <w:b/>
                    <w:sz w:val="20"/>
                    <w:szCs w:val="20"/>
                  </w:rPr>
                  <w:t>☒</w:t>
                </w:r>
              </w:p>
            </w:tc>
          </w:sdtContent>
        </w:sdt>
        <w:tc>
          <w:tcPr>
            <w:tcW w:w="1133" w:type="dxa"/>
            <w:tcBorders>
              <w:top w:val="dotted" w:sz="4" w:space="0" w:color="auto"/>
              <w:left w:val="nil"/>
              <w:bottom w:val="dotted" w:sz="4" w:space="0" w:color="auto"/>
              <w:right w:val="nil"/>
            </w:tcBorders>
          </w:tcPr>
          <w:p w:rsidR="00A669D2" w:rsidRPr="00A669D2" w:rsidRDefault="00A669D2" w:rsidP="00CF0370">
            <w:pPr>
              <w:rPr>
                <w:rFonts w:ascii="Times New Roman" w:hAnsi="Times New Roman"/>
                <w:b/>
                <w:sz w:val="20"/>
                <w:szCs w:val="20"/>
              </w:rPr>
            </w:pPr>
            <w:r w:rsidRPr="00A669D2">
              <w:rPr>
                <w:rFonts w:ascii="Times New Roman" w:hAnsi="Times New Roman"/>
                <w:b/>
                <w:sz w:val="20"/>
                <w:szCs w:val="20"/>
              </w:rPr>
              <w:t>Žiadne</w:t>
            </w:r>
          </w:p>
        </w:tc>
        <w:sdt>
          <w:sdtPr>
            <w:rPr>
              <w:rFonts w:ascii="Times New Roman" w:hAnsi="Times New Roman"/>
              <w:b/>
              <w:sz w:val="20"/>
              <w:szCs w:val="20"/>
            </w:rPr>
            <w:id w:val="1094750243"/>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tcPr>
              <w:p w:rsidR="00A669D2" w:rsidRPr="00A669D2" w:rsidRDefault="00A669D2" w:rsidP="00CF0370">
                <w:pPr>
                  <w:ind w:left="-107" w:right="-108"/>
                  <w:jc w:val="center"/>
                  <w:rPr>
                    <w:rFonts w:ascii="Times New Roman" w:hAnsi="Times New Roman"/>
                    <w:b/>
                    <w:sz w:val="20"/>
                    <w:szCs w:val="20"/>
                  </w:rPr>
                </w:pPr>
                <w:r w:rsidRPr="00A669D2">
                  <w:rPr>
                    <w:rFonts w:ascii="Segoe UI Symbol" w:hAnsi="Segoe UI Symbol" w:cs="Segoe UI Symbol"/>
                    <w:b/>
                    <w:sz w:val="20"/>
                    <w:szCs w:val="20"/>
                  </w:rPr>
                  <w:t>☐</w:t>
                </w:r>
              </w:p>
            </w:tc>
          </w:sdtContent>
        </w:sdt>
        <w:tc>
          <w:tcPr>
            <w:tcW w:w="1297" w:type="dxa"/>
            <w:tcBorders>
              <w:top w:val="dotted" w:sz="4" w:space="0" w:color="auto"/>
              <w:left w:val="nil"/>
              <w:bottom w:val="dotted" w:sz="4" w:space="0" w:color="auto"/>
              <w:right w:val="single" w:sz="4" w:space="0" w:color="auto"/>
            </w:tcBorders>
          </w:tcPr>
          <w:p w:rsidR="00A669D2" w:rsidRPr="00A669D2" w:rsidRDefault="00A669D2" w:rsidP="00CF0370">
            <w:pPr>
              <w:ind w:left="34"/>
              <w:rPr>
                <w:rFonts w:ascii="Times New Roman" w:hAnsi="Times New Roman"/>
                <w:b/>
                <w:sz w:val="20"/>
                <w:szCs w:val="20"/>
              </w:rPr>
            </w:pPr>
            <w:r w:rsidRPr="00A669D2">
              <w:rPr>
                <w:rFonts w:ascii="Times New Roman" w:hAnsi="Times New Roman"/>
                <w:b/>
                <w:sz w:val="20"/>
                <w:szCs w:val="20"/>
              </w:rPr>
              <w:t>Negatívne</w:t>
            </w:r>
          </w:p>
        </w:tc>
      </w:tr>
      <w:tr w:rsidR="00A669D2" w:rsidRPr="00A669D2" w:rsidTr="00CF0370">
        <w:tc>
          <w:tcPr>
            <w:tcW w:w="3812" w:type="dxa"/>
            <w:tcBorders>
              <w:top w:val="nil"/>
              <w:left w:val="single" w:sz="4" w:space="0" w:color="auto"/>
              <w:bottom w:val="single" w:sz="4" w:space="0" w:color="auto"/>
              <w:right w:val="single" w:sz="4" w:space="0" w:color="auto"/>
            </w:tcBorders>
            <w:shd w:val="clear" w:color="auto" w:fill="E2E2E2"/>
          </w:tcPr>
          <w:p w:rsidR="00A669D2" w:rsidRPr="00A669D2" w:rsidRDefault="00A669D2" w:rsidP="00CF0370">
            <w:pPr>
              <w:ind w:left="171"/>
              <w:rPr>
                <w:rFonts w:ascii="Times New Roman" w:hAnsi="Times New Roman"/>
                <w:sz w:val="20"/>
                <w:szCs w:val="20"/>
              </w:rPr>
            </w:pPr>
            <w:r w:rsidRPr="00A669D2">
              <w:rPr>
                <w:rFonts w:ascii="Times New Roman" w:hAnsi="Times New Roman"/>
                <w:sz w:val="20"/>
                <w:szCs w:val="20"/>
              </w:rPr>
              <w:t>z toho rozpočtovo zabezpečené vplyvy,</w:t>
            </w:r>
          </w:p>
          <w:p w:rsidR="00A669D2" w:rsidRPr="00A669D2" w:rsidRDefault="00A669D2" w:rsidP="00CF0370">
            <w:pPr>
              <w:ind w:left="171"/>
              <w:rPr>
                <w:rFonts w:ascii="Times New Roman" w:hAnsi="Times New Roman"/>
                <w:sz w:val="20"/>
                <w:szCs w:val="20"/>
              </w:rPr>
            </w:pPr>
            <w:r w:rsidRPr="00A669D2">
              <w:rPr>
                <w:rFonts w:ascii="Times New Roman" w:hAnsi="Times New Roman"/>
                <w:sz w:val="20"/>
                <w:szCs w:val="20"/>
              </w:rPr>
              <w:t>v prípade identifikovaného negatívneho vplyvu</w:t>
            </w:r>
          </w:p>
        </w:tc>
        <w:sdt>
          <w:sdtPr>
            <w:rPr>
              <w:rFonts w:ascii="Times New Roman" w:hAnsi="Times New Roman"/>
              <w:sz w:val="20"/>
              <w:szCs w:val="20"/>
            </w:rPr>
            <w:id w:val="64164179"/>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single" w:sz="4" w:space="0" w:color="auto"/>
                  <w:right w:val="nil"/>
                </w:tcBorders>
                <w:vAlign w:val="center"/>
              </w:tcPr>
              <w:p w:rsidR="00A669D2" w:rsidRPr="00A669D2" w:rsidRDefault="00A669D2" w:rsidP="00CF0370">
                <w:pPr>
                  <w:jc w:val="center"/>
                  <w:rPr>
                    <w:rFonts w:ascii="Times New Roman" w:hAnsi="Times New Roman"/>
                    <w:sz w:val="20"/>
                    <w:szCs w:val="20"/>
                  </w:rPr>
                </w:pPr>
                <w:r w:rsidRPr="00A669D2">
                  <w:rPr>
                    <w:rFonts w:ascii="Segoe UI Symbol" w:hAnsi="Segoe UI Symbol" w:cs="Segoe UI Symbol"/>
                    <w:sz w:val="20"/>
                    <w:szCs w:val="20"/>
                  </w:rPr>
                  <w:t>☐</w:t>
                </w:r>
              </w:p>
            </w:tc>
          </w:sdtContent>
        </w:sdt>
        <w:tc>
          <w:tcPr>
            <w:tcW w:w="1312" w:type="dxa"/>
            <w:tcBorders>
              <w:top w:val="dotted" w:sz="4" w:space="0" w:color="auto"/>
              <w:left w:val="nil"/>
              <w:bottom w:val="single" w:sz="4" w:space="0" w:color="auto"/>
              <w:right w:val="nil"/>
            </w:tcBorders>
            <w:vAlign w:val="center"/>
          </w:tcPr>
          <w:p w:rsidR="00A669D2" w:rsidRPr="00A669D2" w:rsidRDefault="00A669D2" w:rsidP="00CF0370">
            <w:pPr>
              <w:rPr>
                <w:rFonts w:ascii="Times New Roman" w:hAnsi="Times New Roman"/>
                <w:sz w:val="20"/>
                <w:szCs w:val="20"/>
              </w:rPr>
            </w:pPr>
            <w:r w:rsidRPr="00A669D2">
              <w:rPr>
                <w:rFonts w:ascii="Times New Roman" w:hAnsi="Times New Roman"/>
                <w:sz w:val="20"/>
                <w:szCs w:val="20"/>
              </w:rPr>
              <w:t>Áno</w:t>
            </w:r>
          </w:p>
        </w:tc>
        <w:sdt>
          <w:sdtPr>
            <w:rPr>
              <w:rFonts w:ascii="Times New Roman" w:hAnsi="Times New Roman"/>
              <w:sz w:val="20"/>
              <w:szCs w:val="20"/>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rsidR="00A669D2" w:rsidRPr="00A669D2" w:rsidRDefault="00A669D2" w:rsidP="00CF0370">
                <w:pPr>
                  <w:jc w:val="center"/>
                  <w:rPr>
                    <w:rFonts w:ascii="Times New Roman" w:hAnsi="Times New Roman"/>
                    <w:sz w:val="20"/>
                    <w:szCs w:val="20"/>
                  </w:rPr>
                </w:pPr>
                <w:r w:rsidRPr="00A669D2">
                  <w:rPr>
                    <w:rFonts w:ascii="Segoe UI Symbol" w:hAnsi="Segoe UI Symbol" w:cs="Segoe UI Symbol"/>
                    <w:sz w:val="20"/>
                    <w:szCs w:val="20"/>
                  </w:rPr>
                  <w:t>☐</w:t>
                </w:r>
              </w:p>
            </w:tc>
          </w:sdtContent>
        </w:sdt>
        <w:tc>
          <w:tcPr>
            <w:tcW w:w="1133" w:type="dxa"/>
            <w:tcBorders>
              <w:top w:val="dotted" w:sz="4" w:space="0" w:color="auto"/>
              <w:left w:val="nil"/>
              <w:bottom w:val="single" w:sz="4" w:space="0" w:color="auto"/>
              <w:right w:val="nil"/>
            </w:tcBorders>
            <w:vAlign w:val="center"/>
          </w:tcPr>
          <w:p w:rsidR="00A669D2" w:rsidRPr="00A669D2" w:rsidRDefault="00A669D2" w:rsidP="00CF0370">
            <w:pPr>
              <w:rPr>
                <w:rFonts w:ascii="Times New Roman" w:hAnsi="Times New Roman"/>
                <w:sz w:val="20"/>
                <w:szCs w:val="20"/>
              </w:rPr>
            </w:pPr>
            <w:r w:rsidRPr="00A669D2">
              <w:rPr>
                <w:rFonts w:ascii="Times New Roman" w:hAnsi="Times New Roman"/>
                <w:sz w:val="20"/>
                <w:szCs w:val="20"/>
              </w:rPr>
              <w:t>Nie</w:t>
            </w:r>
          </w:p>
        </w:tc>
        <w:sdt>
          <w:sdtPr>
            <w:rPr>
              <w:rFonts w:ascii="Times New Roman" w:hAnsi="Times New Roman"/>
              <w:sz w:val="20"/>
              <w:szCs w:val="20"/>
            </w:rPr>
            <w:id w:val="-302770412"/>
            <w14:checkbox>
              <w14:checked w14:val="0"/>
              <w14:checkedState w14:val="2612" w14:font="MS Gothic"/>
              <w14:uncheckedState w14:val="2610" w14:font="MS Gothic"/>
            </w14:checkbox>
          </w:sdtPr>
          <w:sdtEndPr/>
          <w:sdtContent>
            <w:tc>
              <w:tcPr>
                <w:tcW w:w="547" w:type="dxa"/>
                <w:tcBorders>
                  <w:top w:val="dotted" w:sz="4" w:space="0" w:color="auto"/>
                  <w:left w:val="nil"/>
                  <w:bottom w:val="single" w:sz="4" w:space="0" w:color="auto"/>
                  <w:right w:val="nil"/>
                </w:tcBorders>
                <w:vAlign w:val="center"/>
              </w:tcPr>
              <w:p w:rsidR="00A669D2" w:rsidRPr="00A669D2" w:rsidRDefault="00A669D2" w:rsidP="00CF0370">
                <w:pPr>
                  <w:ind w:left="-107" w:right="-108"/>
                  <w:jc w:val="center"/>
                  <w:rPr>
                    <w:rFonts w:ascii="Times New Roman" w:hAnsi="Times New Roman"/>
                    <w:sz w:val="20"/>
                    <w:szCs w:val="20"/>
                  </w:rPr>
                </w:pPr>
                <w:r w:rsidRPr="00A669D2">
                  <w:rPr>
                    <w:rFonts w:ascii="Segoe UI Symbol" w:hAnsi="Segoe UI Symbol" w:cs="Segoe UI Symbol"/>
                    <w:sz w:val="20"/>
                    <w:szCs w:val="20"/>
                  </w:rPr>
                  <w:t>☐</w:t>
                </w:r>
              </w:p>
            </w:tc>
          </w:sdtContent>
        </w:sdt>
        <w:tc>
          <w:tcPr>
            <w:tcW w:w="1297" w:type="dxa"/>
            <w:tcBorders>
              <w:top w:val="dotted" w:sz="4" w:space="0" w:color="auto"/>
              <w:left w:val="nil"/>
              <w:bottom w:val="single" w:sz="4" w:space="0" w:color="auto"/>
              <w:right w:val="single" w:sz="4" w:space="0" w:color="auto"/>
            </w:tcBorders>
            <w:vAlign w:val="center"/>
          </w:tcPr>
          <w:p w:rsidR="00A669D2" w:rsidRPr="00A669D2" w:rsidRDefault="00A669D2" w:rsidP="00CF0370">
            <w:pPr>
              <w:ind w:left="34"/>
              <w:rPr>
                <w:rFonts w:ascii="Times New Roman" w:hAnsi="Times New Roman"/>
                <w:sz w:val="20"/>
                <w:szCs w:val="20"/>
              </w:rPr>
            </w:pPr>
            <w:r w:rsidRPr="00A669D2">
              <w:rPr>
                <w:rFonts w:ascii="Times New Roman" w:hAnsi="Times New Roman"/>
                <w:sz w:val="20"/>
                <w:szCs w:val="20"/>
              </w:rPr>
              <w:t>Čiastočne</w:t>
            </w:r>
          </w:p>
        </w:tc>
      </w:tr>
      <w:tr w:rsidR="00A669D2" w:rsidRPr="00A669D2" w:rsidTr="00CF0370">
        <w:tc>
          <w:tcPr>
            <w:tcW w:w="3812" w:type="dxa"/>
            <w:tcBorders>
              <w:top w:val="single" w:sz="4" w:space="0" w:color="auto"/>
              <w:left w:val="single" w:sz="4" w:space="0" w:color="auto"/>
              <w:bottom w:val="single" w:sz="4" w:space="0" w:color="auto"/>
              <w:right w:val="single" w:sz="4" w:space="0" w:color="auto"/>
            </w:tcBorders>
            <w:shd w:val="clear" w:color="auto" w:fill="E2E2E2"/>
          </w:tcPr>
          <w:p w:rsidR="00A669D2" w:rsidRPr="00A669D2" w:rsidRDefault="00A669D2" w:rsidP="00CF0370">
            <w:pPr>
              <w:ind w:left="171"/>
              <w:rPr>
                <w:rFonts w:ascii="Times New Roman" w:hAnsi="Times New Roman"/>
                <w:sz w:val="20"/>
                <w:szCs w:val="20"/>
              </w:rPr>
            </w:pPr>
            <w:r w:rsidRPr="00A669D2">
              <w:rPr>
                <w:rFonts w:ascii="Times New Roman" w:hAnsi="Times New Roman"/>
                <w:sz w:val="20"/>
                <w:szCs w:val="20"/>
              </w:rPr>
              <w:t>Vplyv na dlhodobú udržateľnosť verejných financií v prípade vybraných opatrení ***</w:t>
            </w:r>
          </w:p>
        </w:tc>
        <w:sdt>
          <w:sdtPr>
            <w:rPr>
              <w:rFonts w:ascii="Times New Roman" w:hAnsi="Times New Roman"/>
              <w:sz w:val="20"/>
              <w:szCs w:val="20"/>
            </w:rPr>
            <w:id w:val="-1319963142"/>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669D2" w:rsidRPr="00A669D2" w:rsidRDefault="00A669D2" w:rsidP="00CF0370">
                <w:pPr>
                  <w:jc w:val="center"/>
                  <w:rPr>
                    <w:rFonts w:ascii="Times New Roman" w:hAnsi="Times New Roman"/>
                    <w:sz w:val="20"/>
                    <w:szCs w:val="20"/>
                  </w:rPr>
                </w:pPr>
                <w:r w:rsidRPr="00A669D2">
                  <w:rPr>
                    <w:rFonts w:ascii="Segoe UI Symbol" w:hAnsi="Segoe UI Symbol" w:cs="Segoe UI Symbol"/>
                    <w:sz w:val="20"/>
                    <w:szCs w:val="20"/>
                  </w:rPr>
                  <w:t>☐</w:t>
                </w:r>
              </w:p>
            </w:tc>
          </w:sdtContent>
        </w:sdt>
        <w:tc>
          <w:tcPr>
            <w:tcW w:w="1312" w:type="dxa"/>
            <w:tcBorders>
              <w:top w:val="single" w:sz="4" w:space="0" w:color="auto"/>
              <w:left w:val="nil"/>
              <w:bottom w:val="single" w:sz="4" w:space="0" w:color="auto"/>
              <w:right w:val="nil"/>
            </w:tcBorders>
            <w:vAlign w:val="center"/>
          </w:tcPr>
          <w:p w:rsidR="00A669D2" w:rsidRPr="00A669D2" w:rsidRDefault="00A669D2" w:rsidP="00CF0370">
            <w:pPr>
              <w:rPr>
                <w:rFonts w:ascii="Times New Roman" w:hAnsi="Times New Roman"/>
                <w:sz w:val="20"/>
                <w:szCs w:val="20"/>
              </w:rPr>
            </w:pPr>
            <w:r w:rsidRPr="00A669D2">
              <w:rPr>
                <w:rFonts w:ascii="Times New Roman" w:hAnsi="Times New Roman"/>
                <w:sz w:val="20"/>
                <w:szCs w:val="20"/>
              </w:rPr>
              <w:t>Áno</w:t>
            </w:r>
          </w:p>
        </w:tc>
        <w:tc>
          <w:tcPr>
            <w:tcW w:w="538" w:type="dxa"/>
            <w:gridSpan w:val="2"/>
            <w:tcBorders>
              <w:top w:val="single" w:sz="4" w:space="0" w:color="auto"/>
              <w:left w:val="nil"/>
              <w:bottom w:val="single" w:sz="4" w:space="0" w:color="auto"/>
              <w:right w:val="nil"/>
            </w:tcBorders>
            <w:vAlign w:val="center"/>
          </w:tcPr>
          <w:p w:rsidR="00A669D2" w:rsidRPr="00A669D2" w:rsidRDefault="00A669D2" w:rsidP="00CF0370">
            <w:pPr>
              <w:jc w:val="center"/>
              <w:rPr>
                <w:rFonts w:ascii="Times New Roman" w:hAnsi="Times New Roman"/>
                <w:sz w:val="20"/>
                <w:szCs w:val="20"/>
              </w:rPr>
            </w:pPr>
          </w:p>
        </w:tc>
        <w:tc>
          <w:tcPr>
            <w:tcW w:w="1133" w:type="dxa"/>
            <w:tcBorders>
              <w:top w:val="single" w:sz="4" w:space="0" w:color="auto"/>
              <w:left w:val="nil"/>
              <w:bottom w:val="single" w:sz="4" w:space="0" w:color="auto"/>
              <w:right w:val="nil"/>
            </w:tcBorders>
            <w:vAlign w:val="center"/>
          </w:tcPr>
          <w:p w:rsidR="00A669D2" w:rsidRPr="00A669D2" w:rsidRDefault="00A669D2" w:rsidP="00CF0370">
            <w:pPr>
              <w:rPr>
                <w:rFonts w:ascii="Times New Roman" w:hAnsi="Times New Roman"/>
                <w:sz w:val="20"/>
                <w:szCs w:val="20"/>
              </w:rPr>
            </w:pPr>
          </w:p>
        </w:tc>
        <w:sdt>
          <w:sdtPr>
            <w:rPr>
              <w:rFonts w:ascii="Times New Roman" w:hAnsi="Times New Roman"/>
              <w:sz w:val="20"/>
              <w:szCs w:val="20"/>
            </w:rPr>
            <w:id w:val="217795167"/>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669D2" w:rsidRPr="00A669D2" w:rsidRDefault="00A669D2" w:rsidP="00CF0370">
                <w:pPr>
                  <w:ind w:left="-107" w:right="-108"/>
                  <w:jc w:val="center"/>
                  <w:rPr>
                    <w:rFonts w:ascii="Times New Roman" w:hAnsi="Times New Roman"/>
                    <w:sz w:val="20"/>
                    <w:szCs w:val="20"/>
                  </w:rPr>
                </w:pPr>
                <w:r w:rsidRPr="00A669D2">
                  <w:rPr>
                    <w:rFonts w:ascii="Segoe UI Symbol" w:hAnsi="Segoe UI Symbol" w:cs="Segoe UI Symbol"/>
                    <w:sz w:val="20"/>
                    <w:szCs w:val="20"/>
                  </w:rPr>
                  <w:t>☐</w:t>
                </w:r>
              </w:p>
            </w:tc>
          </w:sdtContent>
        </w:sdt>
        <w:tc>
          <w:tcPr>
            <w:tcW w:w="1297" w:type="dxa"/>
            <w:tcBorders>
              <w:top w:val="single" w:sz="4" w:space="0" w:color="auto"/>
              <w:left w:val="nil"/>
              <w:bottom w:val="single" w:sz="4" w:space="0" w:color="auto"/>
              <w:right w:val="single" w:sz="4" w:space="0" w:color="auto"/>
            </w:tcBorders>
            <w:vAlign w:val="center"/>
          </w:tcPr>
          <w:p w:rsidR="00A669D2" w:rsidRPr="00A669D2" w:rsidRDefault="00A669D2" w:rsidP="00CF0370">
            <w:pPr>
              <w:ind w:left="34"/>
              <w:rPr>
                <w:rFonts w:ascii="Times New Roman" w:hAnsi="Times New Roman"/>
                <w:sz w:val="20"/>
                <w:szCs w:val="20"/>
              </w:rPr>
            </w:pPr>
            <w:r w:rsidRPr="00A669D2">
              <w:rPr>
                <w:rFonts w:ascii="Times New Roman" w:hAnsi="Times New Roman"/>
                <w:sz w:val="20"/>
                <w:szCs w:val="20"/>
              </w:rPr>
              <w:t>Nie</w:t>
            </w:r>
          </w:p>
        </w:tc>
      </w:tr>
      <w:tr w:rsidR="00A669D2" w:rsidRPr="00A669D2" w:rsidTr="00CF0370">
        <w:tc>
          <w:tcPr>
            <w:tcW w:w="3812" w:type="dxa"/>
            <w:tcBorders>
              <w:top w:val="single" w:sz="4" w:space="0" w:color="auto"/>
              <w:left w:val="single" w:sz="4" w:space="0" w:color="auto"/>
              <w:bottom w:val="single" w:sz="4" w:space="0" w:color="auto"/>
              <w:right w:val="single" w:sz="4" w:space="0" w:color="auto"/>
            </w:tcBorders>
            <w:shd w:val="clear" w:color="auto" w:fill="E2E2E2"/>
          </w:tcPr>
          <w:p w:rsidR="00A669D2" w:rsidRPr="00A669D2" w:rsidRDefault="00A669D2" w:rsidP="00CF0370">
            <w:pPr>
              <w:rPr>
                <w:rFonts w:ascii="Times New Roman" w:hAnsi="Times New Roman"/>
                <w:b/>
                <w:sz w:val="20"/>
                <w:szCs w:val="20"/>
              </w:rPr>
            </w:pPr>
            <w:r w:rsidRPr="00A669D2">
              <w:rPr>
                <w:rFonts w:ascii="Times New Roman" w:hAnsi="Times New Roman"/>
                <w:b/>
                <w:sz w:val="20"/>
                <w:szCs w:val="20"/>
              </w:rPr>
              <w:t>Vplyvy na limit verejných výdavkov</w:t>
            </w:r>
          </w:p>
        </w:tc>
        <w:sdt>
          <w:sdtPr>
            <w:rPr>
              <w:rFonts w:ascii="Times New Roman" w:hAnsi="Times New Roman"/>
              <w:b/>
              <w:sz w:val="20"/>
              <w:szCs w:val="20"/>
            </w:rPr>
            <w:id w:val="829944910"/>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669D2" w:rsidRPr="00A669D2" w:rsidRDefault="00A669D2" w:rsidP="00CF0370">
                <w:pPr>
                  <w:jc w:val="center"/>
                  <w:rPr>
                    <w:rFonts w:ascii="Times New Roman" w:hAnsi="Times New Roman"/>
                    <w:sz w:val="20"/>
                    <w:szCs w:val="20"/>
                  </w:rPr>
                </w:pPr>
                <w:r w:rsidRPr="00A669D2">
                  <w:rPr>
                    <w:rFonts w:ascii="Segoe UI Symbol" w:eastAsia="MS Gothic" w:hAnsi="Segoe UI Symbol" w:cs="Segoe UI Symbol"/>
                    <w:b/>
                    <w:sz w:val="20"/>
                    <w:szCs w:val="20"/>
                  </w:rPr>
                  <w:t>☐</w:t>
                </w:r>
              </w:p>
            </w:tc>
          </w:sdtContent>
        </w:sdt>
        <w:tc>
          <w:tcPr>
            <w:tcW w:w="1312" w:type="dxa"/>
            <w:tcBorders>
              <w:top w:val="single" w:sz="4" w:space="0" w:color="auto"/>
              <w:left w:val="nil"/>
              <w:bottom w:val="single" w:sz="4" w:space="0" w:color="auto"/>
              <w:right w:val="nil"/>
            </w:tcBorders>
            <w:vAlign w:val="center"/>
          </w:tcPr>
          <w:p w:rsidR="00A669D2" w:rsidRPr="00A669D2" w:rsidRDefault="00A669D2" w:rsidP="00CF0370">
            <w:pPr>
              <w:rPr>
                <w:rFonts w:ascii="Times New Roman" w:hAnsi="Times New Roman"/>
                <w:sz w:val="20"/>
                <w:szCs w:val="20"/>
              </w:rPr>
            </w:pPr>
            <w:r w:rsidRPr="00A669D2">
              <w:rPr>
                <w:rFonts w:ascii="Times New Roman" w:hAnsi="Times New Roman"/>
                <w:b/>
                <w:sz w:val="20"/>
                <w:szCs w:val="20"/>
              </w:rPr>
              <w:t>Pozitívne</w:t>
            </w:r>
          </w:p>
        </w:tc>
        <w:sdt>
          <w:sdtPr>
            <w:rPr>
              <w:rFonts w:ascii="Times New Roman" w:hAnsi="Times New Roman"/>
              <w:b/>
              <w:sz w:val="20"/>
              <w:szCs w:val="20"/>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rsidR="00A669D2" w:rsidRPr="00A669D2" w:rsidRDefault="00A669D2" w:rsidP="00CF0370">
                <w:pPr>
                  <w:jc w:val="center"/>
                  <w:rPr>
                    <w:rFonts w:ascii="Times New Roman" w:hAnsi="Times New Roman"/>
                    <w:sz w:val="20"/>
                    <w:szCs w:val="20"/>
                  </w:rPr>
                </w:pPr>
                <w:r w:rsidRPr="00A669D2">
                  <w:rPr>
                    <w:rFonts w:ascii="Segoe UI Symbol" w:eastAsia="MS Gothic" w:hAnsi="Segoe UI Symbol" w:cs="Segoe UI Symbol"/>
                    <w:b/>
                    <w:sz w:val="20"/>
                    <w:szCs w:val="20"/>
                  </w:rPr>
                  <w:t>☒</w:t>
                </w:r>
              </w:p>
            </w:tc>
          </w:sdtContent>
        </w:sdt>
        <w:tc>
          <w:tcPr>
            <w:tcW w:w="1133" w:type="dxa"/>
            <w:tcBorders>
              <w:top w:val="single" w:sz="4" w:space="0" w:color="auto"/>
              <w:left w:val="nil"/>
              <w:bottom w:val="single" w:sz="4" w:space="0" w:color="auto"/>
              <w:right w:val="nil"/>
            </w:tcBorders>
            <w:vAlign w:val="center"/>
          </w:tcPr>
          <w:p w:rsidR="00A669D2" w:rsidRPr="00A669D2" w:rsidRDefault="00A669D2" w:rsidP="00CF0370">
            <w:pPr>
              <w:rPr>
                <w:rFonts w:ascii="Times New Roman" w:hAnsi="Times New Roman"/>
                <w:sz w:val="20"/>
                <w:szCs w:val="20"/>
              </w:rPr>
            </w:pPr>
            <w:r w:rsidRPr="00A669D2">
              <w:rPr>
                <w:rFonts w:ascii="Times New Roman" w:hAnsi="Times New Roman"/>
                <w:b/>
                <w:sz w:val="20"/>
                <w:szCs w:val="20"/>
              </w:rPr>
              <w:t>Žiadne</w:t>
            </w:r>
          </w:p>
        </w:tc>
        <w:sdt>
          <w:sdtPr>
            <w:rPr>
              <w:rFonts w:ascii="Times New Roman" w:hAnsi="Times New Roman"/>
              <w:b/>
              <w:sz w:val="20"/>
              <w:szCs w:val="20"/>
            </w:rPr>
            <w:id w:val="1889299136"/>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669D2" w:rsidRPr="00A669D2" w:rsidRDefault="00A669D2" w:rsidP="00CF0370">
                <w:pPr>
                  <w:ind w:left="-107" w:right="-108"/>
                  <w:jc w:val="center"/>
                  <w:rPr>
                    <w:rFonts w:ascii="Times New Roman" w:hAnsi="Times New Roman"/>
                    <w:sz w:val="20"/>
                    <w:szCs w:val="20"/>
                  </w:rPr>
                </w:pPr>
                <w:r w:rsidRPr="00A669D2">
                  <w:rPr>
                    <w:rFonts w:ascii="Segoe UI Symbol" w:hAnsi="Segoe UI Symbol" w:cs="Segoe UI Symbol"/>
                    <w:b/>
                    <w:sz w:val="20"/>
                    <w:szCs w:val="20"/>
                  </w:rPr>
                  <w:t>☐</w:t>
                </w:r>
              </w:p>
            </w:tc>
          </w:sdtContent>
        </w:sdt>
        <w:tc>
          <w:tcPr>
            <w:tcW w:w="1297" w:type="dxa"/>
            <w:tcBorders>
              <w:top w:val="single" w:sz="4" w:space="0" w:color="auto"/>
              <w:left w:val="nil"/>
              <w:bottom w:val="single" w:sz="4" w:space="0" w:color="auto"/>
              <w:right w:val="single" w:sz="4" w:space="0" w:color="auto"/>
            </w:tcBorders>
            <w:vAlign w:val="center"/>
          </w:tcPr>
          <w:p w:rsidR="00A669D2" w:rsidRPr="00A669D2" w:rsidRDefault="00A669D2" w:rsidP="00CF0370">
            <w:pPr>
              <w:ind w:left="34"/>
              <w:rPr>
                <w:rFonts w:ascii="Times New Roman" w:hAnsi="Times New Roman"/>
                <w:sz w:val="20"/>
                <w:szCs w:val="20"/>
              </w:rPr>
            </w:pPr>
            <w:r w:rsidRPr="00A669D2">
              <w:rPr>
                <w:rFonts w:ascii="Times New Roman" w:hAnsi="Times New Roman"/>
                <w:b/>
                <w:sz w:val="20"/>
                <w:szCs w:val="20"/>
              </w:rPr>
              <w:t>Negatívne</w:t>
            </w:r>
          </w:p>
        </w:tc>
      </w:tr>
      <w:tr w:rsidR="00A669D2" w:rsidRPr="00A669D2" w:rsidTr="00CF0370">
        <w:tc>
          <w:tcPr>
            <w:tcW w:w="3812" w:type="dxa"/>
            <w:tcBorders>
              <w:top w:val="single" w:sz="4" w:space="0" w:color="auto"/>
              <w:left w:val="single" w:sz="4" w:space="0" w:color="auto"/>
              <w:bottom w:val="nil"/>
              <w:right w:val="single" w:sz="4" w:space="0" w:color="auto"/>
            </w:tcBorders>
            <w:shd w:val="clear" w:color="auto" w:fill="E2E2E2"/>
          </w:tcPr>
          <w:p w:rsidR="00A669D2" w:rsidRPr="00A669D2" w:rsidRDefault="00A669D2" w:rsidP="00CF0370">
            <w:pPr>
              <w:rPr>
                <w:rFonts w:ascii="Times New Roman" w:hAnsi="Times New Roman"/>
                <w:b/>
                <w:sz w:val="20"/>
                <w:szCs w:val="20"/>
              </w:rPr>
            </w:pPr>
            <w:r w:rsidRPr="00A669D2">
              <w:rPr>
                <w:rFonts w:ascii="Times New Roman" w:hAnsi="Times New Roman"/>
                <w:b/>
                <w:sz w:val="20"/>
                <w:szCs w:val="20"/>
              </w:rPr>
              <w:t>Vplyvy na podnikateľské prostredie</w:t>
            </w:r>
          </w:p>
        </w:tc>
        <w:sdt>
          <w:sdtPr>
            <w:rPr>
              <w:rFonts w:ascii="Times New Roman" w:hAnsi="Times New Roman"/>
              <w:b/>
              <w:sz w:val="20"/>
              <w:szCs w:val="20"/>
            </w:rPr>
            <w:id w:val="470941242"/>
            <w14:checkbox>
              <w14:checked w14:val="1"/>
              <w14:checkedState w14:val="2612" w14:font="MS Gothic"/>
              <w14:uncheckedState w14:val="2610" w14:font="MS Gothic"/>
            </w14:checkbox>
          </w:sdtPr>
          <w:sdtEndPr/>
          <w:sdtContent>
            <w:tc>
              <w:tcPr>
                <w:tcW w:w="541" w:type="dxa"/>
                <w:tcBorders>
                  <w:top w:val="single" w:sz="4" w:space="0" w:color="auto"/>
                  <w:left w:val="single" w:sz="4" w:space="0" w:color="auto"/>
                  <w:bottom w:val="dotted" w:sz="4" w:space="0" w:color="auto"/>
                  <w:right w:val="nil"/>
                </w:tcBorders>
                <w:vAlign w:val="center"/>
              </w:tcPr>
              <w:p w:rsidR="00A669D2" w:rsidRPr="00A669D2" w:rsidRDefault="00A669D2" w:rsidP="00CF0370">
                <w:pPr>
                  <w:jc w:val="center"/>
                  <w:rPr>
                    <w:rFonts w:ascii="Times New Roman" w:hAnsi="Times New Roman"/>
                    <w:b/>
                    <w:sz w:val="20"/>
                    <w:szCs w:val="20"/>
                  </w:rPr>
                </w:pPr>
                <w:r w:rsidRPr="00A669D2">
                  <w:rPr>
                    <w:rFonts w:ascii="Segoe UI Symbol" w:eastAsia="MS Gothic" w:hAnsi="Segoe UI Symbol" w:cs="Segoe UI Symbol"/>
                    <w:b/>
                    <w:sz w:val="20"/>
                    <w:szCs w:val="20"/>
                  </w:rPr>
                  <w:t>☒</w:t>
                </w:r>
              </w:p>
            </w:tc>
          </w:sdtContent>
        </w:sdt>
        <w:tc>
          <w:tcPr>
            <w:tcW w:w="1312" w:type="dxa"/>
            <w:tcBorders>
              <w:top w:val="single" w:sz="4" w:space="0" w:color="auto"/>
              <w:left w:val="nil"/>
              <w:bottom w:val="dotted" w:sz="4" w:space="0" w:color="auto"/>
              <w:right w:val="nil"/>
            </w:tcBorders>
            <w:vAlign w:val="center"/>
          </w:tcPr>
          <w:p w:rsidR="00A669D2" w:rsidRPr="00A669D2" w:rsidRDefault="00A669D2" w:rsidP="00CF0370">
            <w:pPr>
              <w:ind w:right="-108"/>
              <w:rPr>
                <w:rFonts w:ascii="Times New Roman" w:hAnsi="Times New Roman"/>
                <w:b/>
                <w:sz w:val="20"/>
                <w:szCs w:val="20"/>
              </w:rPr>
            </w:pPr>
            <w:r w:rsidRPr="00A669D2">
              <w:rPr>
                <w:rFonts w:ascii="Times New Roman" w:hAnsi="Times New Roman"/>
                <w:b/>
                <w:sz w:val="20"/>
                <w:szCs w:val="20"/>
              </w:rPr>
              <w:t>Pozitívne</w:t>
            </w:r>
          </w:p>
        </w:tc>
        <w:sdt>
          <w:sdtPr>
            <w:rPr>
              <w:rFonts w:ascii="Times New Roman" w:hAnsi="Times New Roman"/>
              <w:b/>
              <w:sz w:val="20"/>
              <w:szCs w:val="20"/>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rsidR="00A669D2" w:rsidRPr="00A669D2" w:rsidRDefault="00A669D2" w:rsidP="00CF0370">
                <w:pPr>
                  <w:jc w:val="center"/>
                  <w:rPr>
                    <w:rFonts w:ascii="Times New Roman" w:hAnsi="Times New Roman"/>
                    <w:b/>
                    <w:sz w:val="20"/>
                    <w:szCs w:val="20"/>
                  </w:rPr>
                </w:pPr>
                <w:r w:rsidRPr="00A669D2">
                  <w:rPr>
                    <w:rFonts w:ascii="Segoe UI Symbol" w:eastAsia="MS Gothic" w:hAnsi="Segoe UI Symbol" w:cs="Segoe UI Symbol"/>
                    <w:b/>
                    <w:sz w:val="20"/>
                    <w:szCs w:val="20"/>
                  </w:rPr>
                  <w:t>☐</w:t>
                </w:r>
              </w:p>
            </w:tc>
          </w:sdtContent>
        </w:sdt>
        <w:tc>
          <w:tcPr>
            <w:tcW w:w="1133" w:type="dxa"/>
            <w:tcBorders>
              <w:top w:val="single" w:sz="4" w:space="0" w:color="auto"/>
              <w:left w:val="nil"/>
              <w:bottom w:val="dotted" w:sz="4" w:space="0" w:color="auto"/>
              <w:right w:val="nil"/>
            </w:tcBorders>
            <w:vAlign w:val="center"/>
          </w:tcPr>
          <w:p w:rsidR="00A669D2" w:rsidRPr="00A669D2" w:rsidRDefault="00A669D2" w:rsidP="00CF0370">
            <w:pPr>
              <w:rPr>
                <w:rFonts w:ascii="Times New Roman" w:hAnsi="Times New Roman"/>
                <w:b/>
                <w:sz w:val="20"/>
                <w:szCs w:val="20"/>
              </w:rPr>
            </w:pPr>
            <w:r w:rsidRPr="00A669D2">
              <w:rPr>
                <w:rFonts w:ascii="Times New Roman" w:hAnsi="Times New Roman"/>
                <w:b/>
                <w:sz w:val="20"/>
                <w:szCs w:val="20"/>
              </w:rPr>
              <w:t>Žiadne</w:t>
            </w:r>
          </w:p>
        </w:tc>
        <w:sdt>
          <w:sdtPr>
            <w:rPr>
              <w:rFonts w:ascii="Times New Roman" w:hAnsi="Times New Roman"/>
              <w:b/>
              <w:sz w:val="20"/>
              <w:szCs w:val="20"/>
            </w:rPr>
            <w:id w:val="-558398718"/>
            <w14:checkbox>
              <w14:checked w14:val="0"/>
              <w14:checkedState w14:val="2612" w14:font="MS Gothic"/>
              <w14:uncheckedState w14:val="2610" w14:font="MS Gothic"/>
            </w14:checkbox>
          </w:sdtPr>
          <w:sdtEndPr/>
          <w:sdtContent>
            <w:tc>
              <w:tcPr>
                <w:tcW w:w="547" w:type="dxa"/>
                <w:tcBorders>
                  <w:top w:val="single" w:sz="4" w:space="0" w:color="auto"/>
                  <w:left w:val="nil"/>
                  <w:bottom w:val="dotted" w:sz="4" w:space="0" w:color="auto"/>
                  <w:right w:val="nil"/>
                </w:tcBorders>
                <w:vAlign w:val="center"/>
              </w:tcPr>
              <w:p w:rsidR="00A669D2" w:rsidRPr="00A669D2" w:rsidRDefault="00DA2B2F" w:rsidP="00CF0370">
                <w:pPr>
                  <w:jc w:val="center"/>
                  <w:rPr>
                    <w:rFonts w:ascii="Times New Roman" w:hAnsi="Times New Roman"/>
                    <w:b/>
                    <w:sz w:val="20"/>
                    <w:szCs w:val="20"/>
                  </w:rPr>
                </w:pPr>
                <w:r>
                  <w:rPr>
                    <w:rFonts w:ascii="MS Gothic" w:eastAsia="MS Gothic" w:hAnsi="MS Gothic" w:hint="eastAsia"/>
                    <w:b/>
                    <w:sz w:val="20"/>
                    <w:szCs w:val="20"/>
                  </w:rPr>
                  <w:t>☐</w:t>
                </w:r>
              </w:p>
            </w:tc>
          </w:sdtContent>
        </w:sdt>
        <w:tc>
          <w:tcPr>
            <w:tcW w:w="1297" w:type="dxa"/>
            <w:tcBorders>
              <w:top w:val="single" w:sz="4" w:space="0" w:color="auto"/>
              <w:left w:val="nil"/>
              <w:bottom w:val="dotted" w:sz="4" w:space="0" w:color="auto"/>
              <w:right w:val="single" w:sz="4" w:space="0" w:color="auto"/>
            </w:tcBorders>
            <w:vAlign w:val="center"/>
          </w:tcPr>
          <w:p w:rsidR="00A669D2" w:rsidRPr="00A669D2" w:rsidRDefault="00A669D2" w:rsidP="00CF0370">
            <w:pPr>
              <w:ind w:left="54"/>
              <w:rPr>
                <w:rFonts w:ascii="Times New Roman" w:hAnsi="Times New Roman"/>
                <w:b/>
                <w:sz w:val="20"/>
                <w:szCs w:val="20"/>
              </w:rPr>
            </w:pPr>
            <w:r w:rsidRPr="00A669D2">
              <w:rPr>
                <w:rFonts w:ascii="Times New Roman" w:hAnsi="Times New Roman"/>
                <w:b/>
                <w:sz w:val="20"/>
                <w:szCs w:val="20"/>
              </w:rPr>
              <w:t>Negatívne</w:t>
            </w:r>
          </w:p>
        </w:tc>
      </w:tr>
      <w:tr w:rsidR="00A669D2" w:rsidRPr="00A669D2" w:rsidTr="00CF0370">
        <w:tc>
          <w:tcPr>
            <w:tcW w:w="3812" w:type="dxa"/>
            <w:tcBorders>
              <w:top w:val="nil"/>
              <w:left w:val="single" w:sz="4" w:space="0" w:color="000000"/>
              <w:bottom w:val="nil"/>
              <w:right w:val="single" w:sz="4" w:space="0" w:color="000000"/>
            </w:tcBorders>
            <w:shd w:val="clear" w:color="auto" w:fill="E2E2E2"/>
          </w:tcPr>
          <w:p w:rsidR="00A669D2" w:rsidRPr="00A669D2" w:rsidRDefault="00A669D2" w:rsidP="00CF0370">
            <w:pPr>
              <w:rPr>
                <w:rFonts w:ascii="Times New Roman" w:hAnsi="Times New Roman"/>
                <w:sz w:val="20"/>
                <w:szCs w:val="20"/>
              </w:rPr>
            </w:pPr>
            <w:r w:rsidRPr="00A669D2">
              <w:rPr>
                <w:rFonts w:ascii="Times New Roman" w:hAnsi="Times New Roman"/>
                <w:sz w:val="20"/>
                <w:szCs w:val="20"/>
              </w:rPr>
              <w:t xml:space="preserve">    z toho vplyvy na MSP</w:t>
            </w:r>
          </w:p>
          <w:p w:rsidR="00A669D2" w:rsidRPr="00A669D2" w:rsidRDefault="00A669D2" w:rsidP="00CF0370">
            <w:pPr>
              <w:rPr>
                <w:rFonts w:ascii="Times New Roman" w:hAnsi="Times New Roman"/>
                <w:sz w:val="20"/>
                <w:szCs w:val="20"/>
              </w:rPr>
            </w:pPr>
          </w:p>
        </w:tc>
        <w:sdt>
          <w:sdtPr>
            <w:rPr>
              <w:rFonts w:ascii="Times New Roman" w:hAnsi="Times New Roman"/>
              <w:sz w:val="20"/>
              <w:szCs w:val="20"/>
            </w:rPr>
            <w:id w:val="862408102"/>
            <w14:checkbox>
              <w14:checked w14:val="1"/>
              <w14:checkedState w14:val="2612" w14:font="MS Gothic"/>
              <w14:uncheckedState w14:val="2610" w14:font="MS Gothic"/>
            </w14:checkbox>
          </w:sdtPr>
          <w:sdtEndPr/>
          <w:sdtContent>
            <w:tc>
              <w:tcPr>
                <w:tcW w:w="541" w:type="dxa"/>
                <w:tcBorders>
                  <w:top w:val="dotted" w:sz="4" w:space="0" w:color="auto"/>
                  <w:left w:val="single" w:sz="4" w:space="0" w:color="000000"/>
                  <w:bottom w:val="dotted" w:sz="4" w:space="0" w:color="auto"/>
                  <w:right w:val="nil"/>
                </w:tcBorders>
                <w:vAlign w:val="center"/>
              </w:tcPr>
              <w:p w:rsidR="00A669D2" w:rsidRPr="00A669D2" w:rsidRDefault="00A669D2" w:rsidP="00CF0370">
                <w:pPr>
                  <w:jc w:val="center"/>
                  <w:rPr>
                    <w:rFonts w:ascii="Times New Roman" w:hAnsi="Times New Roman"/>
                    <w:sz w:val="20"/>
                    <w:szCs w:val="20"/>
                  </w:rPr>
                </w:pPr>
                <w:r w:rsidRPr="00A669D2">
                  <w:rPr>
                    <w:rFonts w:ascii="Segoe UI Symbol" w:eastAsia="MS Gothic" w:hAnsi="Segoe UI Symbol" w:cs="Segoe UI Symbol"/>
                    <w:sz w:val="20"/>
                    <w:szCs w:val="20"/>
                  </w:rPr>
                  <w:t>☒</w:t>
                </w:r>
              </w:p>
            </w:tc>
          </w:sdtContent>
        </w:sdt>
        <w:tc>
          <w:tcPr>
            <w:tcW w:w="1312" w:type="dxa"/>
            <w:tcBorders>
              <w:top w:val="dotted" w:sz="4" w:space="0" w:color="auto"/>
              <w:left w:val="nil"/>
              <w:bottom w:val="dotted" w:sz="4" w:space="0" w:color="auto"/>
              <w:right w:val="nil"/>
            </w:tcBorders>
            <w:vAlign w:val="center"/>
          </w:tcPr>
          <w:p w:rsidR="00A669D2" w:rsidRPr="00A669D2" w:rsidRDefault="00A669D2" w:rsidP="00CF0370">
            <w:pPr>
              <w:ind w:right="-108"/>
              <w:rPr>
                <w:rFonts w:ascii="Times New Roman" w:hAnsi="Times New Roman"/>
                <w:sz w:val="20"/>
                <w:szCs w:val="20"/>
              </w:rPr>
            </w:pPr>
            <w:r w:rsidRPr="00A669D2">
              <w:rPr>
                <w:rFonts w:ascii="Times New Roman" w:hAnsi="Times New Roman"/>
                <w:sz w:val="20"/>
                <w:szCs w:val="20"/>
              </w:rPr>
              <w:t>Pozitívne</w:t>
            </w:r>
          </w:p>
        </w:tc>
        <w:sdt>
          <w:sdtPr>
            <w:rPr>
              <w:rFonts w:ascii="Times New Roman" w:hAnsi="Times New Roman"/>
              <w:sz w:val="20"/>
              <w:szCs w:val="20"/>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A669D2" w:rsidRPr="00A669D2" w:rsidRDefault="00A669D2" w:rsidP="00CF0370">
                <w:pPr>
                  <w:jc w:val="center"/>
                  <w:rPr>
                    <w:rFonts w:ascii="Times New Roman" w:hAnsi="Times New Roman"/>
                    <w:sz w:val="20"/>
                    <w:szCs w:val="20"/>
                  </w:rPr>
                </w:pPr>
                <w:r w:rsidRPr="00A669D2">
                  <w:rPr>
                    <w:rFonts w:ascii="Segoe UI Symbol" w:eastAsia="MS Gothic" w:hAnsi="Segoe UI Symbol" w:cs="Segoe UI Symbol"/>
                    <w:sz w:val="20"/>
                    <w:szCs w:val="20"/>
                  </w:rPr>
                  <w:t>☐</w:t>
                </w:r>
              </w:p>
            </w:tc>
          </w:sdtContent>
        </w:sdt>
        <w:tc>
          <w:tcPr>
            <w:tcW w:w="1133" w:type="dxa"/>
            <w:tcBorders>
              <w:top w:val="dotted" w:sz="4" w:space="0" w:color="auto"/>
              <w:left w:val="nil"/>
              <w:bottom w:val="dotted" w:sz="4" w:space="0" w:color="auto"/>
              <w:right w:val="nil"/>
            </w:tcBorders>
            <w:vAlign w:val="center"/>
          </w:tcPr>
          <w:p w:rsidR="00A669D2" w:rsidRPr="00A669D2" w:rsidRDefault="00A669D2" w:rsidP="00CF0370">
            <w:pPr>
              <w:rPr>
                <w:rFonts w:ascii="Times New Roman" w:hAnsi="Times New Roman"/>
                <w:sz w:val="20"/>
                <w:szCs w:val="20"/>
              </w:rPr>
            </w:pPr>
            <w:r w:rsidRPr="00A669D2">
              <w:rPr>
                <w:rFonts w:ascii="Times New Roman" w:hAnsi="Times New Roman"/>
                <w:sz w:val="20"/>
                <w:szCs w:val="20"/>
              </w:rPr>
              <w:t>Žiadne</w:t>
            </w:r>
          </w:p>
        </w:tc>
        <w:sdt>
          <w:sdtPr>
            <w:rPr>
              <w:rFonts w:ascii="Times New Roman" w:hAnsi="Times New Roman"/>
              <w:sz w:val="20"/>
              <w:szCs w:val="20"/>
            </w:rPr>
            <w:id w:val="-386717170"/>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rsidR="00A669D2" w:rsidRPr="00A669D2" w:rsidRDefault="00A669D2" w:rsidP="00CF0370">
                <w:pPr>
                  <w:jc w:val="center"/>
                  <w:rPr>
                    <w:rFonts w:ascii="Times New Roman" w:hAnsi="Times New Roman"/>
                    <w:sz w:val="20"/>
                    <w:szCs w:val="20"/>
                  </w:rPr>
                </w:pPr>
                <w:r w:rsidRPr="00A669D2">
                  <w:rPr>
                    <w:rFonts w:ascii="Segoe UI Symbol" w:eastAsia="MS Gothic" w:hAnsi="Segoe UI Symbol" w:cs="Segoe UI Symbol"/>
                    <w:sz w:val="20"/>
                    <w:szCs w:val="20"/>
                  </w:rPr>
                  <w:t>☐</w:t>
                </w:r>
              </w:p>
            </w:tc>
          </w:sdtContent>
        </w:sdt>
        <w:tc>
          <w:tcPr>
            <w:tcW w:w="1297" w:type="dxa"/>
            <w:tcBorders>
              <w:top w:val="dotted" w:sz="4" w:space="0" w:color="auto"/>
              <w:left w:val="nil"/>
              <w:bottom w:val="dotted" w:sz="4" w:space="0" w:color="auto"/>
              <w:right w:val="single" w:sz="4" w:space="0" w:color="auto"/>
            </w:tcBorders>
            <w:vAlign w:val="center"/>
          </w:tcPr>
          <w:p w:rsidR="00A669D2" w:rsidRPr="00A669D2" w:rsidRDefault="00A669D2" w:rsidP="00CF0370">
            <w:pPr>
              <w:ind w:left="54"/>
              <w:rPr>
                <w:rFonts w:ascii="Times New Roman" w:hAnsi="Times New Roman"/>
                <w:sz w:val="20"/>
                <w:szCs w:val="20"/>
              </w:rPr>
            </w:pPr>
            <w:r w:rsidRPr="00A669D2">
              <w:rPr>
                <w:rFonts w:ascii="Times New Roman" w:hAnsi="Times New Roman"/>
                <w:sz w:val="20"/>
                <w:szCs w:val="20"/>
              </w:rPr>
              <w:t>Negatívne</w:t>
            </w:r>
          </w:p>
        </w:tc>
      </w:tr>
      <w:tr w:rsidR="00A669D2" w:rsidRPr="00A669D2" w:rsidTr="00CF0370">
        <w:tc>
          <w:tcPr>
            <w:tcW w:w="3812" w:type="dxa"/>
            <w:tcBorders>
              <w:top w:val="nil"/>
              <w:left w:val="single" w:sz="4" w:space="0" w:color="auto"/>
              <w:bottom w:val="single" w:sz="4" w:space="0" w:color="auto"/>
              <w:right w:val="single" w:sz="4" w:space="0" w:color="auto"/>
            </w:tcBorders>
            <w:shd w:val="clear" w:color="auto" w:fill="E2E2E2"/>
          </w:tcPr>
          <w:p w:rsidR="00A669D2" w:rsidRPr="00A669D2" w:rsidRDefault="00A669D2" w:rsidP="00CF0370">
            <w:pPr>
              <w:rPr>
                <w:rFonts w:ascii="Times New Roman" w:hAnsi="Times New Roman"/>
                <w:sz w:val="20"/>
                <w:szCs w:val="20"/>
              </w:rPr>
            </w:pPr>
            <w:r w:rsidRPr="00A669D2">
              <w:rPr>
                <w:rFonts w:ascii="Times New Roman" w:hAnsi="Times New Roman"/>
                <w:sz w:val="20"/>
                <w:szCs w:val="20"/>
              </w:rPr>
              <w:t xml:space="preserve">    Mechanizmus znižovania byrokracie    </w:t>
            </w:r>
          </w:p>
          <w:p w:rsidR="00A669D2" w:rsidRPr="00A669D2" w:rsidRDefault="00A669D2" w:rsidP="00CF0370">
            <w:pPr>
              <w:rPr>
                <w:rFonts w:ascii="Times New Roman" w:hAnsi="Times New Roman"/>
                <w:b/>
                <w:sz w:val="20"/>
                <w:szCs w:val="20"/>
              </w:rPr>
            </w:pPr>
            <w:r w:rsidRPr="00A669D2">
              <w:rPr>
                <w:rFonts w:ascii="Times New Roman" w:hAnsi="Times New Roman"/>
                <w:sz w:val="20"/>
                <w:szCs w:val="20"/>
              </w:rPr>
              <w:t xml:space="preserve">    a nákladov sa uplatňuje:</w:t>
            </w:r>
          </w:p>
        </w:tc>
        <w:sdt>
          <w:sdtPr>
            <w:rPr>
              <w:rFonts w:ascii="Times New Roman" w:hAnsi="Times New Roman"/>
              <w:b/>
              <w:sz w:val="20"/>
              <w:szCs w:val="20"/>
            </w:rPr>
            <w:id w:val="-817577505"/>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single" w:sz="4" w:space="0" w:color="auto"/>
                  <w:right w:val="nil"/>
                </w:tcBorders>
                <w:vAlign w:val="center"/>
              </w:tcPr>
              <w:p w:rsidR="00A669D2" w:rsidRPr="00A669D2" w:rsidRDefault="00A669D2" w:rsidP="00CF0370">
                <w:pPr>
                  <w:jc w:val="center"/>
                  <w:rPr>
                    <w:rFonts w:ascii="Times New Roman" w:hAnsi="Times New Roman"/>
                    <w:b/>
                    <w:sz w:val="20"/>
                    <w:szCs w:val="20"/>
                  </w:rPr>
                </w:pPr>
                <w:r w:rsidRPr="00A669D2">
                  <w:rPr>
                    <w:rFonts w:ascii="Segoe UI Symbol" w:hAnsi="Segoe UI Symbol" w:cs="Segoe UI Symbol"/>
                    <w:b/>
                    <w:sz w:val="20"/>
                    <w:szCs w:val="20"/>
                  </w:rPr>
                  <w:t>☐</w:t>
                </w:r>
              </w:p>
            </w:tc>
          </w:sdtContent>
        </w:sdt>
        <w:tc>
          <w:tcPr>
            <w:tcW w:w="1596" w:type="dxa"/>
            <w:gridSpan w:val="2"/>
            <w:tcBorders>
              <w:top w:val="dotted" w:sz="4" w:space="0" w:color="auto"/>
              <w:left w:val="nil"/>
              <w:bottom w:val="single" w:sz="4" w:space="0" w:color="auto"/>
              <w:right w:val="nil"/>
            </w:tcBorders>
            <w:vAlign w:val="center"/>
          </w:tcPr>
          <w:p w:rsidR="00A669D2" w:rsidRPr="00A669D2" w:rsidRDefault="00A669D2" w:rsidP="00CF0370">
            <w:pPr>
              <w:ind w:right="-108"/>
              <w:rPr>
                <w:rFonts w:ascii="Times New Roman" w:hAnsi="Times New Roman"/>
                <w:b/>
                <w:sz w:val="20"/>
                <w:szCs w:val="20"/>
              </w:rPr>
            </w:pPr>
            <w:r w:rsidRPr="00A669D2">
              <w:rPr>
                <w:rFonts w:ascii="Times New Roman" w:hAnsi="Times New Roman"/>
                <w:sz w:val="20"/>
                <w:szCs w:val="20"/>
              </w:rPr>
              <w:t>Áno</w:t>
            </w:r>
          </w:p>
        </w:tc>
        <w:tc>
          <w:tcPr>
            <w:tcW w:w="254" w:type="dxa"/>
            <w:tcBorders>
              <w:top w:val="dotted" w:sz="4" w:space="0" w:color="auto"/>
              <w:left w:val="nil"/>
              <w:bottom w:val="single" w:sz="4" w:space="0" w:color="auto"/>
              <w:right w:val="nil"/>
            </w:tcBorders>
            <w:vAlign w:val="center"/>
          </w:tcPr>
          <w:p w:rsidR="00A669D2" w:rsidRPr="00A669D2" w:rsidRDefault="00A669D2" w:rsidP="00CF0370">
            <w:pPr>
              <w:jc w:val="center"/>
              <w:rPr>
                <w:rFonts w:ascii="Times New Roman" w:hAnsi="Times New Roman"/>
                <w:b/>
                <w:sz w:val="20"/>
                <w:szCs w:val="20"/>
              </w:rPr>
            </w:pPr>
          </w:p>
        </w:tc>
        <w:tc>
          <w:tcPr>
            <w:tcW w:w="1133" w:type="dxa"/>
            <w:tcBorders>
              <w:top w:val="dotted" w:sz="4" w:space="0" w:color="auto"/>
              <w:left w:val="nil"/>
              <w:bottom w:val="single" w:sz="4" w:space="0" w:color="auto"/>
              <w:right w:val="nil"/>
            </w:tcBorders>
            <w:vAlign w:val="center"/>
          </w:tcPr>
          <w:p w:rsidR="00A669D2" w:rsidRPr="00A669D2" w:rsidRDefault="00A669D2" w:rsidP="00CF0370">
            <w:pPr>
              <w:jc w:val="center"/>
              <w:rPr>
                <w:rFonts w:ascii="Times New Roman" w:hAnsi="Times New Roman"/>
                <w:b/>
                <w:sz w:val="20"/>
                <w:szCs w:val="20"/>
              </w:rPr>
            </w:pPr>
          </w:p>
        </w:tc>
        <w:sdt>
          <w:sdtPr>
            <w:rPr>
              <w:rFonts w:ascii="Times New Roman" w:hAnsi="Times New Roman"/>
              <w:b/>
              <w:sz w:val="20"/>
              <w:szCs w:val="20"/>
            </w:rPr>
            <w:id w:val="-365677636"/>
            <w14:checkbox>
              <w14:checked w14:val="1"/>
              <w14:checkedState w14:val="2612" w14:font="MS Gothic"/>
              <w14:uncheckedState w14:val="2610" w14:font="MS Gothic"/>
            </w14:checkbox>
          </w:sdtPr>
          <w:sdtEndPr/>
          <w:sdtContent>
            <w:tc>
              <w:tcPr>
                <w:tcW w:w="547" w:type="dxa"/>
                <w:tcBorders>
                  <w:top w:val="dotted" w:sz="4" w:space="0" w:color="auto"/>
                  <w:left w:val="nil"/>
                  <w:bottom w:val="single" w:sz="4" w:space="0" w:color="auto"/>
                  <w:right w:val="nil"/>
                </w:tcBorders>
                <w:vAlign w:val="center"/>
              </w:tcPr>
              <w:p w:rsidR="00A669D2" w:rsidRPr="00A669D2" w:rsidRDefault="00A669D2" w:rsidP="00CF0370">
                <w:pPr>
                  <w:jc w:val="center"/>
                  <w:rPr>
                    <w:rFonts w:ascii="Times New Roman" w:hAnsi="Times New Roman"/>
                    <w:b/>
                    <w:sz w:val="20"/>
                    <w:szCs w:val="20"/>
                  </w:rPr>
                </w:pPr>
                <w:r w:rsidRPr="00A669D2">
                  <w:rPr>
                    <w:rFonts w:ascii="Segoe UI Symbol" w:eastAsia="MS Gothic" w:hAnsi="Segoe UI Symbol" w:cs="Segoe UI Symbol"/>
                    <w:b/>
                    <w:sz w:val="20"/>
                    <w:szCs w:val="20"/>
                  </w:rPr>
                  <w:t>☒</w:t>
                </w:r>
              </w:p>
            </w:tc>
          </w:sdtContent>
        </w:sdt>
        <w:tc>
          <w:tcPr>
            <w:tcW w:w="1297" w:type="dxa"/>
            <w:tcBorders>
              <w:top w:val="dotted" w:sz="4" w:space="0" w:color="auto"/>
              <w:left w:val="nil"/>
              <w:bottom w:val="single" w:sz="4" w:space="0" w:color="auto"/>
              <w:right w:val="single" w:sz="4" w:space="0" w:color="auto"/>
            </w:tcBorders>
            <w:vAlign w:val="center"/>
          </w:tcPr>
          <w:p w:rsidR="00A669D2" w:rsidRPr="00A669D2" w:rsidRDefault="00A669D2" w:rsidP="00CF0370">
            <w:pPr>
              <w:ind w:left="54"/>
              <w:rPr>
                <w:rFonts w:ascii="Times New Roman" w:hAnsi="Times New Roman"/>
                <w:b/>
                <w:sz w:val="20"/>
                <w:szCs w:val="20"/>
              </w:rPr>
            </w:pPr>
            <w:r w:rsidRPr="00A669D2">
              <w:rPr>
                <w:rFonts w:ascii="Times New Roman" w:hAnsi="Times New Roman"/>
                <w:sz w:val="20"/>
                <w:szCs w:val="20"/>
              </w:rPr>
              <w:t>Nie</w:t>
            </w:r>
          </w:p>
        </w:tc>
        <w:bookmarkStart w:id="1" w:name="_GoBack"/>
        <w:bookmarkEnd w:id="1"/>
      </w:tr>
      <w:tr w:rsidR="00A669D2" w:rsidRPr="00A669D2" w:rsidTr="00CF0370">
        <w:tc>
          <w:tcPr>
            <w:tcW w:w="3812" w:type="dxa"/>
            <w:tcBorders>
              <w:top w:val="single" w:sz="4" w:space="0" w:color="000000"/>
              <w:left w:val="single" w:sz="4" w:space="0" w:color="auto"/>
              <w:bottom w:val="single" w:sz="4" w:space="0" w:color="auto"/>
              <w:right w:val="single" w:sz="4" w:space="0" w:color="auto"/>
            </w:tcBorders>
            <w:shd w:val="clear" w:color="auto" w:fill="E2E2E2"/>
          </w:tcPr>
          <w:p w:rsidR="00A669D2" w:rsidRPr="00A669D2" w:rsidRDefault="00A669D2" w:rsidP="00CF0370">
            <w:pPr>
              <w:rPr>
                <w:rFonts w:ascii="Times New Roman" w:hAnsi="Times New Roman"/>
                <w:b/>
                <w:sz w:val="20"/>
                <w:szCs w:val="20"/>
              </w:rPr>
            </w:pPr>
            <w:r w:rsidRPr="00A669D2">
              <w:rPr>
                <w:rFonts w:ascii="Times New Roman" w:hAnsi="Times New Roman"/>
                <w:b/>
                <w:sz w:val="20"/>
                <w:szCs w:val="20"/>
              </w:rPr>
              <w:t>Sociálne vplyvy</w:t>
            </w:r>
          </w:p>
        </w:tc>
        <w:sdt>
          <w:sdtPr>
            <w:rPr>
              <w:rFonts w:ascii="Times New Roman" w:hAnsi="Times New Roman"/>
              <w:b/>
              <w:sz w:val="20"/>
              <w:szCs w:val="20"/>
            </w:rPr>
            <w:id w:val="-1958945844"/>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tcPr>
              <w:p w:rsidR="00A669D2" w:rsidRPr="00A669D2" w:rsidRDefault="00A669D2" w:rsidP="00CF0370">
                <w:pPr>
                  <w:jc w:val="center"/>
                  <w:rPr>
                    <w:rFonts w:ascii="Times New Roman" w:hAnsi="Times New Roman"/>
                    <w:b/>
                    <w:sz w:val="20"/>
                    <w:szCs w:val="20"/>
                  </w:rPr>
                </w:pPr>
                <w:r w:rsidRPr="00A669D2">
                  <w:rPr>
                    <w:rFonts w:ascii="Segoe UI Symbol" w:hAnsi="Segoe UI Symbol" w:cs="Segoe UI Symbol"/>
                    <w:b/>
                    <w:sz w:val="20"/>
                    <w:szCs w:val="20"/>
                  </w:rPr>
                  <w:t>☐</w:t>
                </w:r>
              </w:p>
            </w:tc>
          </w:sdtContent>
        </w:sdt>
        <w:tc>
          <w:tcPr>
            <w:tcW w:w="1312" w:type="dxa"/>
            <w:tcBorders>
              <w:top w:val="single" w:sz="4" w:space="0" w:color="auto"/>
              <w:left w:val="nil"/>
              <w:bottom w:val="single" w:sz="4" w:space="0" w:color="auto"/>
              <w:right w:val="nil"/>
            </w:tcBorders>
          </w:tcPr>
          <w:p w:rsidR="00A669D2" w:rsidRPr="00A669D2" w:rsidRDefault="00A669D2" w:rsidP="00CF0370">
            <w:pPr>
              <w:ind w:right="-108"/>
              <w:rPr>
                <w:rFonts w:ascii="Times New Roman" w:hAnsi="Times New Roman"/>
                <w:b/>
                <w:sz w:val="20"/>
                <w:szCs w:val="20"/>
              </w:rPr>
            </w:pPr>
            <w:r w:rsidRPr="00A669D2">
              <w:rPr>
                <w:rFonts w:ascii="Times New Roman" w:hAnsi="Times New Roman"/>
                <w:b/>
                <w:sz w:val="20"/>
                <w:szCs w:val="20"/>
              </w:rPr>
              <w:t>Pozitívne</w:t>
            </w:r>
          </w:p>
        </w:tc>
        <w:sdt>
          <w:sdtPr>
            <w:rPr>
              <w:rFonts w:ascii="Times New Roman" w:hAnsi="Times New Roman"/>
              <w:b/>
              <w:sz w:val="20"/>
              <w:szCs w:val="20"/>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A669D2" w:rsidRPr="00A669D2" w:rsidRDefault="00A669D2" w:rsidP="00CF0370">
                <w:pPr>
                  <w:jc w:val="center"/>
                  <w:rPr>
                    <w:rFonts w:ascii="Times New Roman" w:hAnsi="Times New Roman"/>
                    <w:b/>
                    <w:sz w:val="20"/>
                    <w:szCs w:val="20"/>
                  </w:rPr>
                </w:pPr>
                <w:r w:rsidRPr="00A669D2">
                  <w:rPr>
                    <w:rFonts w:ascii="Segoe UI Symbol" w:eastAsia="MS Gothic" w:hAnsi="Segoe UI Symbol" w:cs="Segoe UI Symbol"/>
                    <w:b/>
                    <w:sz w:val="20"/>
                    <w:szCs w:val="20"/>
                  </w:rPr>
                  <w:t>☒</w:t>
                </w:r>
              </w:p>
            </w:tc>
          </w:sdtContent>
        </w:sdt>
        <w:tc>
          <w:tcPr>
            <w:tcW w:w="1133" w:type="dxa"/>
            <w:tcBorders>
              <w:top w:val="single" w:sz="4" w:space="0" w:color="auto"/>
              <w:left w:val="nil"/>
              <w:bottom w:val="single" w:sz="4" w:space="0" w:color="auto"/>
              <w:right w:val="nil"/>
            </w:tcBorders>
          </w:tcPr>
          <w:p w:rsidR="00A669D2" w:rsidRPr="00A669D2" w:rsidRDefault="00A669D2" w:rsidP="00CF0370">
            <w:pPr>
              <w:rPr>
                <w:rFonts w:ascii="Times New Roman" w:hAnsi="Times New Roman"/>
                <w:b/>
                <w:sz w:val="20"/>
                <w:szCs w:val="20"/>
              </w:rPr>
            </w:pPr>
            <w:r w:rsidRPr="00A669D2">
              <w:rPr>
                <w:rFonts w:ascii="Times New Roman" w:hAnsi="Times New Roman"/>
                <w:b/>
                <w:sz w:val="20"/>
                <w:szCs w:val="20"/>
              </w:rPr>
              <w:t>Žiadne</w:t>
            </w:r>
          </w:p>
        </w:tc>
        <w:sdt>
          <w:sdtPr>
            <w:rPr>
              <w:rFonts w:ascii="Times New Roman" w:hAnsi="Times New Roman"/>
              <w:b/>
              <w:sz w:val="20"/>
              <w:szCs w:val="20"/>
            </w:rPr>
            <w:id w:val="-1692835279"/>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tcPr>
              <w:p w:rsidR="00A669D2" w:rsidRPr="00A669D2" w:rsidRDefault="00A669D2" w:rsidP="00CF0370">
                <w:pPr>
                  <w:jc w:val="center"/>
                  <w:rPr>
                    <w:rFonts w:ascii="Times New Roman" w:hAnsi="Times New Roman"/>
                    <w:b/>
                    <w:sz w:val="20"/>
                    <w:szCs w:val="20"/>
                  </w:rPr>
                </w:pPr>
                <w:r w:rsidRPr="00A669D2">
                  <w:rPr>
                    <w:rFonts w:ascii="Segoe UI Symbol" w:hAnsi="Segoe UI Symbol" w:cs="Segoe UI Symbol"/>
                    <w:b/>
                    <w:sz w:val="20"/>
                    <w:szCs w:val="20"/>
                  </w:rPr>
                  <w:t>☐</w:t>
                </w:r>
              </w:p>
            </w:tc>
          </w:sdtContent>
        </w:sdt>
        <w:tc>
          <w:tcPr>
            <w:tcW w:w="1297" w:type="dxa"/>
            <w:tcBorders>
              <w:top w:val="single" w:sz="4" w:space="0" w:color="auto"/>
              <w:left w:val="nil"/>
              <w:bottom w:val="single" w:sz="4" w:space="0" w:color="auto"/>
              <w:right w:val="single" w:sz="4" w:space="0" w:color="auto"/>
            </w:tcBorders>
          </w:tcPr>
          <w:p w:rsidR="00A669D2" w:rsidRPr="00A669D2" w:rsidRDefault="00A669D2" w:rsidP="00CF0370">
            <w:pPr>
              <w:ind w:left="54"/>
              <w:rPr>
                <w:rFonts w:ascii="Times New Roman" w:hAnsi="Times New Roman"/>
                <w:b/>
                <w:sz w:val="20"/>
                <w:szCs w:val="20"/>
              </w:rPr>
            </w:pPr>
            <w:r w:rsidRPr="00A669D2">
              <w:rPr>
                <w:rFonts w:ascii="Times New Roman" w:hAnsi="Times New Roman"/>
                <w:b/>
                <w:sz w:val="20"/>
                <w:szCs w:val="20"/>
              </w:rPr>
              <w:t>Negatívne</w:t>
            </w:r>
          </w:p>
        </w:tc>
      </w:tr>
      <w:tr w:rsidR="00A669D2" w:rsidRPr="00A669D2" w:rsidTr="00CF0370">
        <w:tc>
          <w:tcPr>
            <w:tcW w:w="3812" w:type="dxa"/>
            <w:tcBorders>
              <w:top w:val="single" w:sz="4" w:space="0" w:color="auto"/>
              <w:left w:val="single" w:sz="4" w:space="0" w:color="auto"/>
              <w:bottom w:val="nil"/>
              <w:right w:val="single" w:sz="4" w:space="0" w:color="auto"/>
            </w:tcBorders>
            <w:shd w:val="clear" w:color="auto" w:fill="E2E2E2"/>
          </w:tcPr>
          <w:p w:rsidR="00A669D2" w:rsidRPr="00A669D2" w:rsidRDefault="00A669D2" w:rsidP="00CF0370">
            <w:pPr>
              <w:rPr>
                <w:rFonts w:ascii="Times New Roman" w:hAnsi="Times New Roman"/>
                <w:b/>
                <w:sz w:val="20"/>
                <w:szCs w:val="20"/>
              </w:rPr>
            </w:pPr>
            <w:r w:rsidRPr="00A669D2">
              <w:rPr>
                <w:rFonts w:ascii="Times New Roman" w:hAnsi="Times New Roman"/>
                <w:b/>
                <w:sz w:val="20"/>
                <w:szCs w:val="20"/>
              </w:rPr>
              <w:t>Vplyvy na životné prostredie</w:t>
            </w:r>
          </w:p>
        </w:tc>
        <w:sdt>
          <w:sdtPr>
            <w:rPr>
              <w:rFonts w:ascii="Times New Roman" w:hAnsi="Times New Roman"/>
              <w:b/>
              <w:sz w:val="20"/>
              <w:szCs w:val="20"/>
            </w:rPr>
            <w:id w:val="1474483314"/>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tcPr>
              <w:p w:rsidR="00A669D2" w:rsidRPr="00A669D2" w:rsidRDefault="00A669D2" w:rsidP="00CF0370">
                <w:pPr>
                  <w:jc w:val="center"/>
                  <w:rPr>
                    <w:rFonts w:ascii="Times New Roman" w:hAnsi="Times New Roman"/>
                    <w:b/>
                    <w:sz w:val="20"/>
                    <w:szCs w:val="20"/>
                  </w:rPr>
                </w:pPr>
                <w:r w:rsidRPr="00A669D2">
                  <w:rPr>
                    <w:rFonts w:ascii="Segoe UI Symbol" w:eastAsia="MS Gothic" w:hAnsi="Segoe UI Symbol" w:cs="Segoe UI Symbol"/>
                    <w:b/>
                    <w:sz w:val="20"/>
                    <w:szCs w:val="20"/>
                  </w:rPr>
                  <w:t>☐</w:t>
                </w:r>
              </w:p>
            </w:tc>
          </w:sdtContent>
        </w:sdt>
        <w:tc>
          <w:tcPr>
            <w:tcW w:w="1312" w:type="dxa"/>
            <w:tcBorders>
              <w:top w:val="single" w:sz="4" w:space="0" w:color="auto"/>
              <w:left w:val="nil"/>
              <w:bottom w:val="single" w:sz="4" w:space="0" w:color="auto"/>
              <w:right w:val="nil"/>
            </w:tcBorders>
          </w:tcPr>
          <w:p w:rsidR="00A669D2" w:rsidRPr="00A669D2" w:rsidRDefault="00A669D2" w:rsidP="00CF0370">
            <w:pPr>
              <w:ind w:right="-108"/>
              <w:rPr>
                <w:rFonts w:ascii="Times New Roman" w:hAnsi="Times New Roman"/>
                <w:b/>
                <w:sz w:val="20"/>
                <w:szCs w:val="20"/>
              </w:rPr>
            </w:pPr>
            <w:r w:rsidRPr="00A669D2">
              <w:rPr>
                <w:rFonts w:ascii="Times New Roman" w:hAnsi="Times New Roman"/>
                <w:b/>
                <w:sz w:val="20"/>
                <w:szCs w:val="20"/>
              </w:rPr>
              <w:t>Pozitívne</w:t>
            </w:r>
          </w:p>
        </w:tc>
        <w:sdt>
          <w:sdtPr>
            <w:rPr>
              <w:rFonts w:ascii="Times New Roman" w:hAnsi="Times New Roman"/>
              <w:b/>
              <w:sz w:val="20"/>
              <w:szCs w:val="20"/>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A669D2" w:rsidRPr="00A669D2" w:rsidRDefault="00A669D2" w:rsidP="00CF0370">
                <w:pPr>
                  <w:jc w:val="center"/>
                  <w:rPr>
                    <w:rFonts w:ascii="Times New Roman" w:hAnsi="Times New Roman"/>
                    <w:b/>
                    <w:sz w:val="20"/>
                    <w:szCs w:val="20"/>
                  </w:rPr>
                </w:pPr>
                <w:r w:rsidRPr="00A669D2">
                  <w:rPr>
                    <w:rFonts w:ascii="Segoe UI Symbol" w:eastAsia="MS Gothic" w:hAnsi="Segoe UI Symbol" w:cs="Segoe UI Symbol"/>
                    <w:b/>
                    <w:sz w:val="20"/>
                    <w:szCs w:val="20"/>
                  </w:rPr>
                  <w:t>☒</w:t>
                </w:r>
              </w:p>
            </w:tc>
          </w:sdtContent>
        </w:sdt>
        <w:tc>
          <w:tcPr>
            <w:tcW w:w="1133" w:type="dxa"/>
            <w:tcBorders>
              <w:top w:val="single" w:sz="4" w:space="0" w:color="auto"/>
              <w:left w:val="nil"/>
              <w:bottom w:val="single" w:sz="4" w:space="0" w:color="auto"/>
              <w:right w:val="nil"/>
            </w:tcBorders>
          </w:tcPr>
          <w:p w:rsidR="00A669D2" w:rsidRPr="00A669D2" w:rsidRDefault="00A669D2" w:rsidP="00CF0370">
            <w:pPr>
              <w:rPr>
                <w:rFonts w:ascii="Times New Roman" w:hAnsi="Times New Roman"/>
                <w:b/>
                <w:sz w:val="20"/>
                <w:szCs w:val="20"/>
              </w:rPr>
            </w:pPr>
            <w:r w:rsidRPr="00A669D2">
              <w:rPr>
                <w:rFonts w:ascii="Times New Roman" w:hAnsi="Times New Roman"/>
                <w:b/>
                <w:sz w:val="20"/>
                <w:szCs w:val="20"/>
              </w:rPr>
              <w:t>Žiadne</w:t>
            </w:r>
          </w:p>
        </w:tc>
        <w:sdt>
          <w:sdtPr>
            <w:rPr>
              <w:rFonts w:ascii="Times New Roman" w:hAnsi="Times New Roman"/>
              <w:b/>
              <w:sz w:val="20"/>
              <w:szCs w:val="20"/>
            </w:rPr>
            <w:id w:val="285088255"/>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tcPr>
              <w:p w:rsidR="00A669D2" w:rsidRPr="00A669D2" w:rsidRDefault="00A669D2" w:rsidP="00CF0370">
                <w:pPr>
                  <w:jc w:val="center"/>
                  <w:rPr>
                    <w:rFonts w:ascii="Times New Roman" w:hAnsi="Times New Roman"/>
                    <w:b/>
                    <w:sz w:val="20"/>
                    <w:szCs w:val="20"/>
                  </w:rPr>
                </w:pPr>
                <w:r w:rsidRPr="00A669D2">
                  <w:rPr>
                    <w:rFonts w:ascii="Segoe UI Symbol" w:eastAsia="MS Gothic" w:hAnsi="Segoe UI Symbol" w:cs="Segoe UI Symbol"/>
                    <w:b/>
                    <w:sz w:val="20"/>
                    <w:szCs w:val="20"/>
                  </w:rPr>
                  <w:t>☐</w:t>
                </w:r>
              </w:p>
            </w:tc>
          </w:sdtContent>
        </w:sdt>
        <w:tc>
          <w:tcPr>
            <w:tcW w:w="1297" w:type="dxa"/>
            <w:tcBorders>
              <w:top w:val="single" w:sz="4" w:space="0" w:color="auto"/>
              <w:left w:val="nil"/>
              <w:bottom w:val="single" w:sz="4" w:space="0" w:color="auto"/>
              <w:right w:val="single" w:sz="4" w:space="0" w:color="auto"/>
            </w:tcBorders>
          </w:tcPr>
          <w:p w:rsidR="00A669D2" w:rsidRPr="00A669D2" w:rsidRDefault="00A669D2" w:rsidP="00CF0370">
            <w:pPr>
              <w:ind w:left="54"/>
              <w:rPr>
                <w:rFonts w:ascii="Times New Roman" w:hAnsi="Times New Roman"/>
                <w:b/>
                <w:sz w:val="20"/>
                <w:szCs w:val="20"/>
              </w:rPr>
            </w:pPr>
            <w:r w:rsidRPr="00A669D2">
              <w:rPr>
                <w:rFonts w:ascii="Times New Roman" w:hAnsi="Times New Roman"/>
                <w:b/>
                <w:sz w:val="20"/>
                <w:szCs w:val="20"/>
              </w:rPr>
              <w:t>Negatívne</w:t>
            </w:r>
          </w:p>
        </w:tc>
      </w:tr>
      <w:tr w:rsidR="00A669D2" w:rsidRPr="00A669D2" w:rsidTr="00CF0370">
        <w:tc>
          <w:tcPr>
            <w:tcW w:w="3812" w:type="dxa"/>
            <w:tcBorders>
              <w:top w:val="nil"/>
              <w:left w:val="single" w:sz="4" w:space="0" w:color="auto"/>
              <w:bottom w:val="single" w:sz="4" w:space="0" w:color="auto"/>
              <w:right w:val="single" w:sz="4" w:space="0" w:color="auto"/>
            </w:tcBorders>
            <w:shd w:val="clear" w:color="auto" w:fill="E2E2E2"/>
          </w:tcPr>
          <w:p w:rsidR="00A669D2" w:rsidRPr="00A669D2" w:rsidRDefault="00A669D2" w:rsidP="00CF0370">
            <w:pPr>
              <w:rPr>
                <w:rFonts w:ascii="Times New Roman" w:hAnsi="Times New Roman"/>
                <w:sz w:val="20"/>
                <w:szCs w:val="20"/>
              </w:rPr>
            </w:pPr>
          </w:p>
          <w:p w:rsidR="00A669D2" w:rsidRPr="00A669D2" w:rsidRDefault="00A669D2" w:rsidP="00CF0370">
            <w:pPr>
              <w:ind w:left="164"/>
              <w:rPr>
                <w:rFonts w:ascii="Times New Roman" w:hAnsi="Times New Roman"/>
                <w:b/>
                <w:sz w:val="20"/>
                <w:szCs w:val="20"/>
              </w:rPr>
            </w:pPr>
            <w:r w:rsidRPr="00A669D2">
              <w:rPr>
                <w:rFonts w:ascii="Times New Roman" w:hAnsi="Times New Roman"/>
                <w:sz w:val="20"/>
                <w:szCs w:val="20"/>
              </w:rPr>
              <w:t>Materiál je posudzovaný podľa zákona č. 24/2006 Z. z. o posudzovaní vplyvov na životné prostredie a o zmene a doplnení niektorých zákonov v znení neskorších predpisov</w:t>
            </w:r>
          </w:p>
        </w:tc>
        <w:sdt>
          <w:sdtPr>
            <w:rPr>
              <w:rFonts w:ascii="Times New Roman" w:hAnsi="Times New Roman"/>
              <w:b/>
              <w:sz w:val="20"/>
              <w:szCs w:val="20"/>
            </w:rPr>
            <w:id w:val="1422219185"/>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669D2" w:rsidRPr="00A669D2" w:rsidRDefault="00A669D2" w:rsidP="00CF0370">
                <w:pPr>
                  <w:jc w:val="center"/>
                  <w:rPr>
                    <w:rFonts w:ascii="Times New Roman" w:hAnsi="Times New Roman"/>
                    <w:b/>
                    <w:sz w:val="20"/>
                    <w:szCs w:val="20"/>
                  </w:rPr>
                </w:pPr>
                <w:r w:rsidRPr="00A669D2">
                  <w:rPr>
                    <w:rFonts w:ascii="Segoe UI Symbol" w:eastAsia="MS Gothic" w:hAnsi="Segoe UI Symbol" w:cs="Segoe UI Symbol"/>
                    <w:b/>
                    <w:sz w:val="20"/>
                    <w:szCs w:val="20"/>
                  </w:rPr>
                  <w:t>☐</w:t>
                </w:r>
              </w:p>
            </w:tc>
          </w:sdtContent>
        </w:sdt>
        <w:tc>
          <w:tcPr>
            <w:tcW w:w="1312" w:type="dxa"/>
            <w:tcBorders>
              <w:top w:val="single" w:sz="4" w:space="0" w:color="auto"/>
              <w:left w:val="nil"/>
              <w:bottom w:val="single" w:sz="4" w:space="0" w:color="auto"/>
              <w:right w:val="nil"/>
            </w:tcBorders>
            <w:vAlign w:val="center"/>
          </w:tcPr>
          <w:p w:rsidR="00A669D2" w:rsidRPr="00A669D2" w:rsidRDefault="00A669D2" w:rsidP="00CF0370">
            <w:pPr>
              <w:ind w:right="-108"/>
              <w:rPr>
                <w:rFonts w:ascii="Times New Roman" w:hAnsi="Times New Roman"/>
                <w:b/>
                <w:sz w:val="20"/>
                <w:szCs w:val="20"/>
              </w:rPr>
            </w:pPr>
            <w:r w:rsidRPr="00A669D2">
              <w:rPr>
                <w:rFonts w:ascii="Times New Roman" w:hAnsi="Times New Roman"/>
                <w:sz w:val="20"/>
                <w:szCs w:val="20"/>
              </w:rPr>
              <w:t>Áno</w:t>
            </w:r>
          </w:p>
        </w:tc>
        <w:tc>
          <w:tcPr>
            <w:tcW w:w="538" w:type="dxa"/>
            <w:gridSpan w:val="2"/>
            <w:tcBorders>
              <w:top w:val="single" w:sz="4" w:space="0" w:color="auto"/>
              <w:left w:val="nil"/>
              <w:bottom w:val="single" w:sz="4" w:space="0" w:color="auto"/>
              <w:right w:val="nil"/>
            </w:tcBorders>
            <w:vAlign w:val="center"/>
          </w:tcPr>
          <w:p w:rsidR="00A669D2" w:rsidRPr="00A669D2" w:rsidRDefault="00A669D2" w:rsidP="00CF0370">
            <w:pPr>
              <w:jc w:val="center"/>
              <w:rPr>
                <w:rFonts w:ascii="Times New Roman" w:hAnsi="Times New Roman"/>
                <w:b/>
                <w:sz w:val="20"/>
                <w:szCs w:val="20"/>
              </w:rPr>
            </w:pPr>
          </w:p>
        </w:tc>
        <w:tc>
          <w:tcPr>
            <w:tcW w:w="1133" w:type="dxa"/>
            <w:tcBorders>
              <w:top w:val="single" w:sz="4" w:space="0" w:color="auto"/>
              <w:left w:val="nil"/>
              <w:bottom w:val="single" w:sz="4" w:space="0" w:color="auto"/>
              <w:right w:val="nil"/>
            </w:tcBorders>
            <w:vAlign w:val="center"/>
          </w:tcPr>
          <w:p w:rsidR="00A669D2" w:rsidRPr="00A669D2" w:rsidRDefault="00A669D2" w:rsidP="00CF0370">
            <w:pPr>
              <w:jc w:val="center"/>
              <w:rPr>
                <w:rFonts w:ascii="Times New Roman" w:hAnsi="Times New Roman"/>
                <w:b/>
                <w:sz w:val="20"/>
                <w:szCs w:val="20"/>
              </w:rPr>
            </w:pPr>
          </w:p>
        </w:tc>
        <w:sdt>
          <w:sdtPr>
            <w:rPr>
              <w:rFonts w:ascii="Times New Roman" w:hAnsi="Times New Roman"/>
              <w:b/>
              <w:sz w:val="20"/>
              <w:szCs w:val="20"/>
            </w:rPr>
            <w:id w:val="1786776775"/>
            <w14:checkbox>
              <w14:checked w14:val="1"/>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669D2" w:rsidRPr="00A669D2" w:rsidRDefault="00A669D2" w:rsidP="00CF0370">
                <w:pPr>
                  <w:jc w:val="center"/>
                  <w:rPr>
                    <w:rFonts w:ascii="Times New Roman" w:hAnsi="Times New Roman"/>
                    <w:b/>
                    <w:sz w:val="20"/>
                    <w:szCs w:val="20"/>
                  </w:rPr>
                </w:pPr>
                <w:r w:rsidRPr="00A669D2">
                  <w:rPr>
                    <w:rFonts w:ascii="Segoe UI Symbol" w:eastAsia="MS Gothic" w:hAnsi="Segoe UI Symbol" w:cs="Segoe UI Symbol"/>
                    <w:b/>
                    <w:sz w:val="20"/>
                    <w:szCs w:val="20"/>
                  </w:rPr>
                  <w:t>☒</w:t>
                </w:r>
              </w:p>
            </w:tc>
          </w:sdtContent>
        </w:sdt>
        <w:tc>
          <w:tcPr>
            <w:tcW w:w="1297" w:type="dxa"/>
            <w:tcBorders>
              <w:top w:val="single" w:sz="4" w:space="0" w:color="auto"/>
              <w:left w:val="nil"/>
              <w:bottom w:val="single" w:sz="4" w:space="0" w:color="auto"/>
              <w:right w:val="single" w:sz="4" w:space="0" w:color="auto"/>
            </w:tcBorders>
            <w:vAlign w:val="center"/>
          </w:tcPr>
          <w:p w:rsidR="00A669D2" w:rsidRPr="00A669D2" w:rsidRDefault="00A669D2" w:rsidP="00CF0370">
            <w:pPr>
              <w:ind w:left="54"/>
              <w:rPr>
                <w:rFonts w:ascii="Times New Roman" w:hAnsi="Times New Roman"/>
                <w:b/>
                <w:sz w:val="20"/>
                <w:szCs w:val="20"/>
              </w:rPr>
            </w:pPr>
            <w:r w:rsidRPr="00A669D2">
              <w:rPr>
                <w:rFonts w:ascii="Times New Roman" w:hAnsi="Times New Roman"/>
                <w:sz w:val="20"/>
                <w:szCs w:val="20"/>
              </w:rPr>
              <w:t>Nie</w:t>
            </w:r>
          </w:p>
        </w:tc>
      </w:tr>
      <w:tr w:rsidR="00A669D2" w:rsidRPr="00A669D2" w:rsidTr="00CF0370">
        <w:tc>
          <w:tcPr>
            <w:tcW w:w="3812" w:type="dxa"/>
            <w:tcBorders>
              <w:top w:val="single" w:sz="4" w:space="0" w:color="auto"/>
              <w:left w:val="single" w:sz="4" w:space="0" w:color="auto"/>
              <w:bottom w:val="single" w:sz="4" w:space="0" w:color="auto"/>
              <w:right w:val="single" w:sz="4" w:space="0" w:color="auto"/>
            </w:tcBorders>
            <w:shd w:val="clear" w:color="auto" w:fill="E2E2E2"/>
          </w:tcPr>
          <w:p w:rsidR="00A669D2" w:rsidRPr="00A669D2" w:rsidRDefault="00A669D2" w:rsidP="00CF0370">
            <w:pPr>
              <w:rPr>
                <w:rFonts w:ascii="Times New Roman" w:hAnsi="Times New Roman"/>
                <w:b/>
                <w:sz w:val="20"/>
                <w:szCs w:val="20"/>
              </w:rPr>
            </w:pPr>
            <w:r w:rsidRPr="00A669D2">
              <w:rPr>
                <w:rFonts w:ascii="Times New Roman" w:hAnsi="Times New Roman"/>
                <w:b/>
                <w:sz w:val="20"/>
                <w:szCs w:val="20"/>
              </w:rPr>
              <w:t>Vplyvy na informatizáciu spoločnosti</w:t>
            </w:r>
          </w:p>
        </w:tc>
        <w:sdt>
          <w:sdtPr>
            <w:rPr>
              <w:rFonts w:ascii="Times New Roman" w:hAnsi="Times New Roman"/>
              <w:b/>
              <w:sz w:val="20"/>
              <w:szCs w:val="20"/>
            </w:rPr>
            <w:id w:val="-1573421395"/>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tcPr>
              <w:p w:rsidR="00A669D2" w:rsidRPr="00A669D2" w:rsidRDefault="00A669D2" w:rsidP="00CF0370">
                <w:pPr>
                  <w:jc w:val="center"/>
                  <w:rPr>
                    <w:rFonts w:ascii="Times New Roman" w:hAnsi="Times New Roman"/>
                    <w:b/>
                    <w:sz w:val="20"/>
                    <w:szCs w:val="20"/>
                  </w:rPr>
                </w:pPr>
                <w:r w:rsidRPr="00A669D2">
                  <w:rPr>
                    <w:rFonts w:ascii="Segoe UI Symbol" w:hAnsi="Segoe UI Symbol" w:cs="Segoe UI Symbol"/>
                    <w:b/>
                    <w:sz w:val="20"/>
                    <w:szCs w:val="20"/>
                  </w:rPr>
                  <w:t>☐</w:t>
                </w:r>
              </w:p>
            </w:tc>
          </w:sdtContent>
        </w:sdt>
        <w:tc>
          <w:tcPr>
            <w:tcW w:w="1312" w:type="dxa"/>
            <w:tcBorders>
              <w:top w:val="single" w:sz="4" w:space="0" w:color="auto"/>
              <w:left w:val="nil"/>
              <w:bottom w:val="single" w:sz="4" w:space="0" w:color="auto"/>
              <w:right w:val="nil"/>
            </w:tcBorders>
          </w:tcPr>
          <w:p w:rsidR="00A669D2" w:rsidRPr="00A669D2" w:rsidRDefault="00A669D2" w:rsidP="00CF0370">
            <w:pPr>
              <w:ind w:right="-108"/>
              <w:rPr>
                <w:rFonts w:ascii="Times New Roman" w:hAnsi="Times New Roman"/>
                <w:b/>
                <w:sz w:val="20"/>
                <w:szCs w:val="20"/>
              </w:rPr>
            </w:pPr>
            <w:r w:rsidRPr="00A669D2">
              <w:rPr>
                <w:rFonts w:ascii="Times New Roman" w:hAnsi="Times New Roman"/>
                <w:b/>
                <w:sz w:val="20"/>
                <w:szCs w:val="20"/>
              </w:rPr>
              <w:t>Pozitívne</w:t>
            </w:r>
          </w:p>
        </w:tc>
        <w:sdt>
          <w:sdtPr>
            <w:rPr>
              <w:rFonts w:ascii="Times New Roman" w:hAnsi="Times New Roman"/>
              <w:b/>
              <w:sz w:val="20"/>
              <w:szCs w:val="20"/>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A669D2" w:rsidRPr="00A669D2" w:rsidRDefault="00A669D2" w:rsidP="00CF0370">
                <w:pPr>
                  <w:jc w:val="center"/>
                  <w:rPr>
                    <w:rFonts w:ascii="Times New Roman" w:hAnsi="Times New Roman"/>
                    <w:b/>
                    <w:sz w:val="20"/>
                    <w:szCs w:val="20"/>
                  </w:rPr>
                </w:pPr>
                <w:r w:rsidRPr="00A669D2">
                  <w:rPr>
                    <w:rFonts w:ascii="Segoe UI Symbol" w:eastAsia="MS Gothic" w:hAnsi="Segoe UI Symbol" w:cs="Segoe UI Symbol"/>
                    <w:b/>
                    <w:sz w:val="20"/>
                    <w:szCs w:val="20"/>
                  </w:rPr>
                  <w:t>☒</w:t>
                </w:r>
              </w:p>
            </w:tc>
          </w:sdtContent>
        </w:sdt>
        <w:tc>
          <w:tcPr>
            <w:tcW w:w="1133" w:type="dxa"/>
            <w:tcBorders>
              <w:top w:val="single" w:sz="4" w:space="0" w:color="auto"/>
              <w:left w:val="nil"/>
              <w:bottom w:val="single" w:sz="4" w:space="0" w:color="auto"/>
              <w:right w:val="nil"/>
            </w:tcBorders>
          </w:tcPr>
          <w:p w:rsidR="00A669D2" w:rsidRPr="00A669D2" w:rsidRDefault="00A669D2" w:rsidP="00CF0370">
            <w:pPr>
              <w:rPr>
                <w:rFonts w:ascii="Times New Roman" w:hAnsi="Times New Roman"/>
                <w:b/>
                <w:sz w:val="20"/>
                <w:szCs w:val="20"/>
              </w:rPr>
            </w:pPr>
            <w:r w:rsidRPr="00A669D2">
              <w:rPr>
                <w:rFonts w:ascii="Times New Roman" w:hAnsi="Times New Roman"/>
                <w:b/>
                <w:sz w:val="20"/>
                <w:szCs w:val="20"/>
              </w:rPr>
              <w:t>Žiadne</w:t>
            </w:r>
          </w:p>
        </w:tc>
        <w:sdt>
          <w:sdtPr>
            <w:rPr>
              <w:rFonts w:ascii="Times New Roman" w:hAnsi="Times New Roman"/>
              <w:b/>
              <w:sz w:val="20"/>
              <w:szCs w:val="20"/>
            </w:rPr>
            <w:id w:val="169528927"/>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tcPr>
              <w:p w:rsidR="00A669D2" w:rsidRPr="00A669D2" w:rsidRDefault="00A669D2" w:rsidP="00CF0370">
                <w:pPr>
                  <w:jc w:val="center"/>
                  <w:rPr>
                    <w:rFonts w:ascii="Times New Roman" w:hAnsi="Times New Roman"/>
                    <w:b/>
                    <w:sz w:val="20"/>
                    <w:szCs w:val="20"/>
                  </w:rPr>
                </w:pPr>
                <w:r w:rsidRPr="00A669D2">
                  <w:rPr>
                    <w:rFonts w:ascii="Segoe UI Symbol" w:hAnsi="Segoe UI Symbol" w:cs="Segoe UI Symbol"/>
                    <w:b/>
                    <w:sz w:val="20"/>
                    <w:szCs w:val="20"/>
                  </w:rPr>
                  <w:t>☐</w:t>
                </w:r>
              </w:p>
            </w:tc>
          </w:sdtContent>
        </w:sdt>
        <w:tc>
          <w:tcPr>
            <w:tcW w:w="1297" w:type="dxa"/>
            <w:tcBorders>
              <w:top w:val="single" w:sz="4" w:space="0" w:color="auto"/>
              <w:left w:val="nil"/>
              <w:bottom w:val="single" w:sz="4" w:space="0" w:color="auto"/>
              <w:right w:val="single" w:sz="4" w:space="0" w:color="auto"/>
            </w:tcBorders>
          </w:tcPr>
          <w:p w:rsidR="00A669D2" w:rsidRPr="00A669D2" w:rsidRDefault="00A669D2" w:rsidP="00CF0370">
            <w:pPr>
              <w:ind w:left="54"/>
              <w:rPr>
                <w:rFonts w:ascii="Times New Roman" w:hAnsi="Times New Roman"/>
                <w:b/>
                <w:sz w:val="20"/>
                <w:szCs w:val="20"/>
              </w:rPr>
            </w:pPr>
            <w:r w:rsidRPr="00A669D2">
              <w:rPr>
                <w:rFonts w:ascii="Times New Roman" w:hAnsi="Times New Roman"/>
                <w:b/>
                <w:sz w:val="20"/>
                <w:szCs w:val="20"/>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A669D2" w:rsidRPr="00A669D2" w:rsidTr="00CF0370">
        <w:tc>
          <w:tcPr>
            <w:tcW w:w="3812" w:type="dxa"/>
            <w:tcBorders>
              <w:top w:val="single" w:sz="4" w:space="0" w:color="auto"/>
              <w:left w:val="single" w:sz="4" w:space="0" w:color="auto"/>
              <w:bottom w:val="nil"/>
              <w:right w:val="single" w:sz="4" w:space="0" w:color="auto"/>
            </w:tcBorders>
            <w:shd w:val="clear" w:color="auto" w:fill="E2E2E2"/>
          </w:tcPr>
          <w:p w:rsidR="00A669D2" w:rsidRPr="00A669D2" w:rsidRDefault="00A669D2" w:rsidP="00CF0370">
            <w:pPr>
              <w:rPr>
                <w:rFonts w:ascii="Times New Roman" w:hAnsi="Times New Roman" w:cs="Times New Roman"/>
                <w:b/>
                <w:sz w:val="20"/>
                <w:szCs w:val="20"/>
              </w:rPr>
            </w:pPr>
            <w:r w:rsidRPr="00A669D2">
              <w:rPr>
                <w:rFonts w:ascii="Times New Roman" w:hAnsi="Times New Roman" w:cs="Times New Roman"/>
                <w:b/>
                <w:sz w:val="20"/>
                <w:szCs w:val="20"/>
              </w:rPr>
              <w:t>Vplyvy na služby verejnej správy pre občana, z toho</w:t>
            </w:r>
          </w:p>
        </w:tc>
        <w:tc>
          <w:tcPr>
            <w:tcW w:w="541" w:type="dxa"/>
            <w:tcBorders>
              <w:top w:val="single" w:sz="4" w:space="0" w:color="auto"/>
              <w:left w:val="single" w:sz="4" w:space="0" w:color="auto"/>
              <w:bottom w:val="nil"/>
              <w:right w:val="nil"/>
            </w:tcBorders>
          </w:tcPr>
          <w:p w:rsidR="00A669D2" w:rsidRPr="00A669D2" w:rsidRDefault="00A669D2" w:rsidP="00CF0370">
            <w:pPr>
              <w:jc w:val="center"/>
              <w:rPr>
                <w:rFonts w:ascii="Times New Roman" w:eastAsia="MS Mincho" w:hAnsi="Times New Roman" w:cs="Times New Roman"/>
                <w:b/>
                <w:sz w:val="20"/>
                <w:szCs w:val="20"/>
              </w:rPr>
            </w:pPr>
          </w:p>
        </w:tc>
        <w:tc>
          <w:tcPr>
            <w:tcW w:w="1281" w:type="dxa"/>
            <w:tcBorders>
              <w:top w:val="single" w:sz="4" w:space="0" w:color="auto"/>
              <w:left w:val="nil"/>
              <w:bottom w:val="nil"/>
              <w:right w:val="nil"/>
            </w:tcBorders>
          </w:tcPr>
          <w:p w:rsidR="00A669D2" w:rsidRPr="00A669D2" w:rsidRDefault="00A669D2" w:rsidP="00CF0370">
            <w:pPr>
              <w:ind w:right="-108"/>
              <w:rPr>
                <w:rFonts w:ascii="Times New Roman" w:hAnsi="Times New Roman" w:cs="Times New Roman"/>
                <w:b/>
                <w:sz w:val="20"/>
                <w:szCs w:val="20"/>
              </w:rPr>
            </w:pPr>
          </w:p>
        </w:tc>
        <w:tc>
          <w:tcPr>
            <w:tcW w:w="569" w:type="dxa"/>
            <w:gridSpan w:val="2"/>
            <w:tcBorders>
              <w:top w:val="single" w:sz="4" w:space="0" w:color="auto"/>
              <w:left w:val="nil"/>
              <w:bottom w:val="nil"/>
              <w:right w:val="nil"/>
            </w:tcBorders>
          </w:tcPr>
          <w:p w:rsidR="00A669D2" w:rsidRPr="00A669D2" w:rsidRDefault="00A669D2" w:rsidP="00CF0370">
            <w:pPr>
              <w:jc w:val="center"/>
              <w:rPr>
                <w:rFonts w:ascii="Times New Roman" w:eastAsia="MS Mincho" w:hAnsi="Times New Roman" w:cs="Times New Roman"/>
                <w:b/>
                <w:sz w:val="20"/>
                <w:szCs w:val="20"/>
              </w:rPr>
            </w:pPr>
          </w:p>
        </w:tc>
        <w:tc>
          <w:tcPr>
            <w:tcW w:w="1133" w:type="dxa"/>
            <w:tcBorders>
              <w:top w:val="single" w:sz="4" w:space="0" w:color="auto"/>
              <w:left w:val="nil"/>
              <w:bottom w:val="nil"/>
              <w:right w:val="nil"/>
            </w:tcBorders>
          </w:tcPr>
          <w:p w:rsidR="00A669D2" w:rsidRPr="00A669D2" w:rsidRDefault="00A669D2" w:rsidP="00CF0370">
            <w:pPr>
              <w:rPr>
                <w:rFonts w:ascii="Times New Roman" w:hAnsi="Times New Roman" w:cs="Times New Roman"/>
                <w:b/>
                <w:sz w:val="20"/>
                <w:szCs w:val="20"/>
              </w:rPr>
            </w:pPr>
          </w:p>
        </w:tc>
        <w:tc>
          <w:tcPr>
            <w:tcW w:w="547" w:type="dxa"/>
            <w:tcBorders>
              <w:top w:val="single" w:sz="4" w:space="0" w:color="auto"/>
              <w:left w:val="nil"/>
              <w:bottom w:val="nil"/>
              <w:right w:val="nil"/>
            </w:tcBorders>
          </w:tcPr>
          <w:p w:rsidR="00A669D2" w:rsidRPr="00A669D2" w:rsidRDefault="00A669D2" w:rsidP="00CF0370">
            <w:pPr>
              <w:jc w:val="center"/>
              <w:rPr>
                <w:rFonts w:ascii="Times New Roman" w:eastAsia="MS Mincho" w:hAnsi="Times New Roman" w:cs="Times New Roman"/>
                <w:b/>
                <w:sz w:val="20"/>
                <w:szCs w:val="20"/>
              </w:rPr>
            </w:pPr>
          </w:p>
        </w:tc>
        <w:tc>
          <w:tcPr>
            <w:tcW w:w="1297" w:type="dxa"/>
            <w:tcBorders>
              <w:top w:val="single" w:sz="4" w:space="0" w:color="auto"/>
              <w:left w:val="nil"/>
              <w:bottom w:val="nil"/>
              <w:right w:val="single" w:sz="4" w:space="0" w:color="auto"/>
            </w:tcBorders>
          </w:tcPr>
          <w:p w:rsidR="00A669D2" w:rsidRPr="00A669D2" w:rsidRDefault="00A669D2" w:rsidP="00CF0370">
            <w:pPr>
              <w:ind w:left="54"/>
              <w:rPr>
                <w:rFonts w:ascii="Times New Roman" w:hAnsi="Times New Roman" w:cs="Times New Roman"/>
                <w:b/>
                <w:sz w:val="20"/>
                <w:szCs w:val="20"/>
              </w:rPr>
            </w:pPr>
          </w:p>
        </w:tc>
      </w:tr>
      <w:tr w:rsidR="00A669D2" w:rsidRPr="00A669D2" w:rsidTr="00CF0370">
        <w:tc>
          <w:tcPr>
            <w:tcW w:w="3812" w:type="dxa"/>
            <w:tcBorders>
              <w:top w:val="nil"/>
              <w:left w:val="single" w:sz="4" w:space="0" w:color="auto"/>
              <w:bottom w:val="nil"/>
              <w:right w:val="single" w:sz="4" w:space="0" w:color="auto"/>
            </w:tcBorders>
            <w:shd w:val="clear" w:color="auto" w:fill="E2E2E2"/>
          </w:tcPr>
          <w:p w:rsidR="00A669D2" w:rsidRPr="00A669D2" w:rsidRDefault="00A669D2" w:rsidP="00CF0370">
            <w:pPr>
              <w:ind w:left="196" w:hanging="196"/>
              <w:rPr>
                <w:rFonts w:ascii="Times New Roman" w:hAnsi="Times New Roman" w:cs="Times New Roman"/>
                <w:b/>
                <w:sz w:val="20"/>
                <w:szCs w:val="20"/>
              </w:rPr>
            </w:pPr>
            <w:r w:rsidRPr="00A669D2">
              <w:rPr>
                <w:rFonts w:ascii="Times New Roman" w:hAnsi="Times New Roman" w:cs="Times New Roman"/>
                <w:b/>
                <w:sz w:val="20"/>
                <w:szCs w:val="20"/>
              </w:rPr>
              <w:t xml:space="preserve">    vplyvy služieb verejnej správy na občana</w:t>
            </w:r>
          </w:p>
        </w:tc>
        <w:sdt>
          <w:sdtPr>
            <w:rPr>
              <w:rFonts w:ascii="Times New Roman" w:hAnsi="Times New Roman" w:cs="Times New Roman"/>
              <w:b/>
              <w:sz w:val="20"/>
              <w:szCs w:val="20"/>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tcPr>
              <w:p w:rsidR="00A669D2" w:rsidRPr="00A669D2" w:rsidRDefault="00A669D2" w:rsidP="00CF0370">
                <w:pPr>
                  <w:jc w:val="center"/>
                  <w:rPr>
                    <w:rFonts w:ascii="Times New Roman" w:hAnsi="Times New Roman" w:cs="Times New Roman"/>
                    <w:b/>
                    <w:sz w:val="20"/>
                    <w:szCs w:val="20"/>
                  </w:rPr>
                </w:pPr>
                <w:r w:rsidRPr="00A669D2">
                  <w:rPr>
                    <w:rFonts w:ascii="Segoe UI Symbol" w:eastAsia="MS Gothic" w:hAnsi="Segoe UI Symbol" w:cs="Segoe UI Symbol"/>
                    <w:b/>
                    <w:sz w:val="20"/>
                    <w:szCs w:val="20"/>
                  </w:rPr>
                  <w:t>☐</w:t>
                </w:r>
              </w:p>
            </w:tc>
          </w:sdtContent>
        </w:sdt>
        <w:tc>
          <w:tcPr>
            <w:tcW w:w="1312" w:type="dxa"/>
            <w:gridSpan w:val="2"/>
            <w:tcBorders>
              <w:top w:val="nil"/>
              <w:left w:val="nil"/>
              <w:bottom w:val="dotted" w:sz="4" w:space="0" w:color="auto"/>
              <w:right w:val="nil"/>
            </w:tcBorders>
          </w:tcPr>
          <w:p w:rsidR="00A669D2" w:rsidRPr="00A669D2" w:rsidRDefault="00A669D2" w:rsidP="00CF0370">
            <w:pPr>
              <w:ind w:right="-108"/>
              <w:rPr>
                <w:rFonts w:ascii="Times New Roman" w:hAnsi="Times New Roman" w:cs="Times New Roman"/>
                <w:b/>
                <w:sz w:val="20"/>
                <w:szCs w:val="20"/>
              </w:rPr>
            </w:pPr>
            <w:r w:rsidRPr="00A669D2">
              <w:rPr>
                <w:rFonts w:ascii="Times New Roman" w:hAnsi="Times New Roman" w:cs="Times New Roman"/>
                <w:b/>
                <w:sz w:val="20"/>
                <w:szCs w:val="20"/>
              </w:rPr>
              <w:t>Pozitívne</w:t>
            </w:r>
          </w:p>
        </w:tc>
        <w:sdt>
          <w:sdtPr>
            <w:rPr>
              <w:rFonts w:ascii="Times New Roman" w:hAnsi="Times New Roman" w:cs="Times New Roman"/>
              <w:b/>
              <w:sz w:val="20"/>
              <w:szCs w:val="20"/>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tcPr>
              <w:p w:rsidR="00A669D2" w:rsidRPr="00A669D2" w:rsidRDefault="00A669D2" w:rsidP="00CF0370">
                <w:pPr>
                  <w:jc w:val="center"/>
                  <w:rPr>
                    <w:rFonts w:ascii="Times New Roman" w:hAnsi="Times New Roman" w:cs="Times New Roman"/>
                    <w:b/>
                    <w:sz w:val="20"/>
                    <w:szCs w:val="20"/>
                  </w:rPr>
                </w:pPr>
                <w:r w:rsidRPr="00A669D2">
                  <w:rPr>
                    <w:rFonts w:ascii="Segoe UI Symbol" w:eastAsia="MS Gothic" w:hAnsi="Segoe UI Symbol" w:cs="Segoe UI Symbol"/>
                    <w:b/>
                    <w:sz w:val="20"/>
                    <w:szCs w:val="20"/>
                  </w:rPr>
                  <w:t>☒</w:t>
                </w:r>
              </w:p>
            </w:tc>
          </w:sdtContent>
        </w:sdt>
        <w:tc>
          <w:tcPr>
            <w:tcW w:w="1133" w:type="dxa"/>
            <w:tcBorders>
              <w:top w:val="nil"/>
              <w:left w:val="nil"/>
              <w:bottom w:val="dotted" w:sz="4" w:space="0" w:color="auto"/>
              <w:right w:val="nil"/>
            </w:tcBorders>
          </w:tcPr>
          <w:p w:rsidR="00A669D2" w:rsidRPr="00A669D2" w:rsidRDefault="00A669D2" w:rsidP="00CF0370">
            <w:pPr>
              <w:rPr>
                <w:rFonts w:ascii="Times New Roman" w:hAnsi="Times New Roman" w:cs="Times New Roman"/>
                <w:b/>
                <w:sz w:val="20"/>
                <w:szCs w:val="20"/>
              </w:rPr>
            </w:pPr>
            <w:r w:rsidRPr="00A669D2">
              <w:rPr>
                <w:rFonts w:ascii="Times New Roman" w:hAnsi="Times New Roman" w:cs="Times New Roman"/>
                <w:b/>
                <w:sz w:val="20"/>
                <w:szCs w:val="20"/>
              </w:rPr>
              <w:t>Žiadne</w:t>
            </w:r>
          </w:p>
        </w:tc>
        <w:sdt>
          <w:sdtPr>
            <w:rPr>
              <w:rFonts w:ascii="Times New Roman" w:hAnsi="Times New Roman" w:cs="Times New Roman"/>
              <w:b/>
              <w:sz w:val="20"/>
              <w:szCs w:val="20"/>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tcPr>
              <w:p w:rsidR="00A669D2" w:rsidRPr="00A669D2" w:rsidRDefault="00A669D2" w:rsidP="00CF0370">
                <w:pPr>
                  <w:jc w:val="center"/>
                  <w:rPr>
                    <w:rFonts w:ascii="Times New Roman" w:hAnsi="Times New Roman" w:cs="Times New Roman"/>
                    <w:b/>
                    <w:sz w:val="20"/>
                    <w:szCs w:val="20"/>
                  </w:rPr>
                </w:pPr>
                <w:r w:rsidRPr="00A669D2">
                  <w:rPr>
                    <w:rFonts w:ascii="Segoe UI Symbol" w:eastAsia="MS Gothic" w:hAnsi="Segoe UI Symbol" w:cs="Segoe UI Symbol"/>
                    <w:b/>
                    <w:sz w:val="20"/>
                    <w:szCs w:val="20"/>
                  </w:rPr>
                  <w:t>☐</w:t>
                </w:r>
              </w:p>
            </w:tc>
          </w:sdtContent>
        </w:sdt>
        <w:tc>
          <w:tcPr>
            <w:tcW w:w="1297" w:type="dxa"/>
            <w:tcBorders>
              <w:top w:val="nil"/>
              <w:left w:val="nil"/>
              <w:bottom w:val="dotted" w:sz="4" w:space="0" w:color="auto"/>
              <w:right w:val="single" w:sz="4" w:space="0" w:color="auto"/>
            </w:tcBorders>
          </w:tcPr>
          <w:p w:rsidR="00A669D2" w:rsidRPr="00A669D2" w:rsidRDefault="00A669D2" w:rsidP="00CF0370">
            <w:pPr>
              <w:ind w:left="54"/>
              <w:rPr>
                <w:rFonts w:ascii="Times New Roman" w:hAnsi="Times New Roman" w:cs="Times New Roman"/>
                <w:b/>
                <w:sz w:val="20"/>
                <w:szCs w:val="20"/>
              </w:rPr>
            </w:pPr>
            <w:r w:rsidRPr="00A669D2">
              <w:rPr>
                <w:rFonts w:ascii="Times New Roman" w:hAnsi="Times New Roman" w:cs="Times New Roman"/>
                <w:b/>
                <w:sz w:val="20"/>
                <w:szCs w:val="20"/>
              </w:rPr>
              <w:t>Negatívne</w:t>
            </w:r>
          </w:p>
        </w:tc>
      </w:tr>
      <w:tr w:rsidR="00A669D2" w:rsidRPr="00A669D2" w:rsidTr="00CF0370">
        <w:tc>
          <w:tcPr>
            <w:tcW w:w="3812" w:type="dxa"/>
            <w:tcBorders>
              <w:top w:val="nil"/>
              <w:left w:val="single" w:sz="4" w:space="0" w:color="auto"/>
              <w:bottom w:val="nil"/>
              <w:right w:val="single" w:sz="4" w:space="0" w:color="auto"/>
            </w:tcBorders>
            <w:shd w:val="clear" w:color="auto" w:fill="E2E2E2"/>
          </w:tcPr>
          <w:p w:rsidR="00A669D2" w:rsidRPr="00A669D2" w:rsidRDefault="00A669D2" w:rsidP="00CF0370">
            <w:pPr>
              <w:ind w:left="168" w:hanging="168"/>
              <w:rPr>
                <w:rFonts w:ascii="Times New Roman" w:hAnsi="Times New Roman" w:cs="Times New Roman"/>
                <w:b/>
                <w:sz w:val="20"/>
                <w:szCs w:val="20"/>
              </w:rPr>
            </w:pPr>
            <w:r w:rsidRPr="00A669D2">
              <w:rPr>
                <w:rFonts w:ascii="Times New Roman" w:hAnsi="Times New Roman" w:cs="Times New Roman"/>
                <w:b/>
                <w:sz w:val="20"/>
                <w:szCs w:val="20"/>
              </w:rPr>
              <w:t xml:space="preserve">    vplyvy na procesy služieb vo verejnej správe</w:t>
            </w:r>
          </w:p>
        </w:tc>
        <w:sdt>
          <w:sdtPr>
            <w:rPr>
              <w:rFonts w:ascii="Times New Roman" w:hAnsi="Times New Roman" w:cs="Times New Roman"/>
              <w:b/>
              <w:sz w:val="20"/>
              <w:szCs w:val="20"/>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rsidR="00A669D2" w:rsidRPr="00A669D2" w:rsidRDefault="00A669D2" w:rsidP="00CF0370">
                <w:pPr>
                  <w:jc w:val="center"/>
                  <w:rPr>
                    <w:rFonts w:ascii="Times New Roman" w:hAnsi="Times New Roman" w:cs="Times New Roman"/>
                    <w:b/>
                    <w:sz w:val="20"/>
                    <w:szCs w:val="20"/>
                  </w:rPr>
                </w:pPr>
                <w:r w:rsidRPr="00A669D2">
                  <w:rPr>
                    <w:rFonts w:ascii="Segoe UI Symbol" w:eastAsia="MS Gothic" w:hAnsi="Segoe UI Symbol" w:cs="Segoe UI Symbol"/>
                    <w:b/>
                    <w:sz w:val="20"/>
                    <w:szCs w:val="20"/>
                  </w:rPr>
                  <w:t>☐</w:t>
                </w:r>
              </w:p>
            </w:tc>
          </w:sdtContent>
        </w:sdt>
        <w:tc>
          <w:tcPr>
            <w:tcW w:w="1312" w:type="dxa"/>
            <w:gridSpan w:val="2"/>
            <w:tcBorders>
              <w:top w:val="dotted" w:sz="4" w:space="0" w:color="auto"/>
              <w:left w:val="nil"/>
              <w:bottom w:val="dotted" w:sz="4" w:space="0" w:color="auto"/>
              <w:right w:val="nil"/>
            </w:tcBorders>
            <w:vAlign w:val="center"/>
          </w:tcPr>
          <w:p w:rsidR="00A669D2" w:rsidRPr="00A669D2" w:rsidRDefault="00A669D2" w:rsidP="00CF0370">
            <w:pPr>
              <w:ind w:right="-108"/>
              <w:rPr>
                <w:rFonts w:ascii="Times New Roman" w:hAnsi="Times New Roman" w:cs="Times New Roman"/>
                <w:b/>
                <w:sz w:val="20"/>
                <w:szCs w:val="20"/>
              </w:rPr>
            </w:pPr>
            <w:r w:rsidRPr="00A669D2">
              <w:rPr>
                <w:rFonts w:ascii="Times New Roman" w:hAnsi="Times New Roman" w:cs="Times New Roman"/>
                <w:b/>
                <w:sz w:val="20"/>
                <w:szCs w:val="20"/>
              </w:rPr>
              <w:t>Pozitívne</w:t>
            </w:r>
          </w:p>
        </w:tc>
        <w:sdt>
          <w:sdtPr>
            <w:rPr>
              <w:rFonts w:ascii="Times New Roman" w:hAnsi="Times New Roman" w:cs="Times New Roman"/>
              <w:b/>
              <w:sz w:val="20"/>
              <w:szCs w:val="20"/>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vAlign w:val="center"/>
              </w:tcPr>
              <w:p w:rsidR="00A669D2" w:rsidRPr="00A669D2" w:rsidRDefault="00A669D2" w:rsidP="00CF0370">
                <w:pPr>
                  <w:jc w:val="center"/>
                  <w:rPr>
                    <w:rFonts w:ascii="Times New Roman" w:hAnsi="Times New Roman" w:cs="Times New Roman"/>
                    <w:b/>
                    <w:sz w:val="20"/>
                    <w:szCs w:val="20"/>
                  </w:rPr>
                </w:pPr>
                <w:r w:rsidRPr="00A669D2">
                  <w:rPr>
                    <w:rFonts w:ascii="Segoe UI Symbol" w:eastAsia="MS Gothic" w:hAnsi="Segoe UI Symbol" w:cs="Segoe UI Symbol"/>
                    <w:b/>
                    <w:sz w:val="20"/>
                    <w:szCs w:val="20"/>
                  </w:rPr>
                  <w:t>☒</w:t>
                </w:r>
              </w:p>
            </w:tc>
          </w:sdtContent>
        </w:sdt>
        <w:tc>
          <w:tcPr>
            <w:tcW w:w="1133" w:type="dxa"/>
            <w:tcBorders>
              <w:top w:val="dotted" w:sz="4" w:space="0" w:color="auto"/>
              <w:left w:val="nil"/>
              <w:bottom w:val="dotted" w:sz="4" w:space="0" w:color="auto"/>
              <w:right w:val="nil"/>
            </w:tcBorders>
            <w:vAlign w:val="center"/>
          </w:tcPr>
          <w:p w:rsidR="00A669D2" w:rsidRPr="00A669D2" w:rsidRDefault="00A669D2" w:rsidP="00CF0370">
            <w:pPr>
              <w:rPr>
                <w:rFonts w:ascii="Times New Roman" w:hAnsi="Times New Roman" w:cs="Times New Roman"/>
                <w:b/>
                <w:sz w:val="20"/>
                <w:szCs w:val="20"/>
              </w:rPr>
            </w:pPr>
            <w:r w:rsidRPr="00A669D2">
              <w:rPr>
                <w:rFonts w:ascii="Times New Roman" w:hAnsi="Times New Roman" w:cs="Times New Roman"/>
                <w:b/>
                <w:sz w:val="20"/>
                <w:szCs w:val="20"/>
              </w:rPr>
              <w:t>Žiadne</w:t>
            </w:r>
          </w:p>
        </w:tc>
        <w:sdt>
          <w:sdtPr>
            <w:rPr>
              <w:rFonts w:ascii="Times New Roman" w:hAnsi="Times New Roman" w:cs="Times New Roman"/>
              <w:b/>
              <w:sz w:val="20"/>
              <w:szCs w:val="20"/>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rsidR="00A669D2" w:rsidRPr="00A669D2" w:rsidRDefault="00A669D2" w:rsidP="00CF0370">
                <w:pPr>
                  <w:jc w:val="center"/>
                  <w:rPr>
                    <w:rFonts w:ascii="Times New Roman" w:hAnsi="Times New Roman" w:cs="Times New Roman"/>
                    <w:b/>
                    <w:sz w:val="20"/>
                    <w:szCs w:val="20"/>
                  </w:rPr>
                </w:pPr>
                <w:r w:rsidRPr="00A669D2">
                  <w:rPr>
                    <w:rFonts w:ascii="Segoe UI Symbol" w:eastAsia="MS Gothic" w:hAnsi="Segoe UI Symbol" w:cs="Segoe UI Symbol"/>
                    <w:b/>
                    <w:sz w:val="20"/>
                    <w:szCs w:val="20"/>
                  </w:rPr>
                  <w:t>☐</w:t>
                </w:r>
              </w:p>
            </w:tc>
          </w:sdtContent>
        </w:sdt>
        <w:tc>
          <w:tcPr>
            <w:tcW w:w="1297" w:type="dxa"/>
            <w:tcBorders>
              <w:top w:val="dotted" w:sz="4" w:space="0" w:color="auto"/>
              <w:left w:val="nil"/>
              <w:bottom w:val="dotted" w:sz="4" w:space="0" w:color="auto"/>
              <w:right w:val="single" w:sz="4" w:space="0" w:color="auto"/>
            </w:tcBorders>
            <w:vAlign w:val="center"/>
          </w:tcPr>
          <w:p w:rsidR="00A669D2" w:rsidRPr="00A669D2" w:rsidRDefault="00A669D2" w:rsidP="00CF0370">
            <w:pPr>
              <w:ind w:left="54"/>
              <w:rPr>
                <w:rFonts w:ascii="Times New Roman" w:hAnsi="Times New Roman" w:cs="Times New Roman"/>
                <w:b/>
                <w:sz w:val="20"/>
                <w:szCs w:val="20"/>
              </w:rPr>
            </w:pPr>
            <w:r w:rsidRPr="00A669D2">
              <w:rPr>
                <w:rFonts w:ascii="Times New Roman" w:hAnsi="Times New Roman" w:cs="Times New Roman"/>
                <w:b/>
                <w:sz w:val="20"/>
                <w:szCs w:val="20"/>
              </w:rPr>
              <w:t>Negatívne</w:t>
            </w:r>
          </w:p>
        </w:tc>
      </w:tr>
    </w:tbl>
    <w:tbl>
      <w:tblPr>
        <w:tblStyle w:val="Mriekatabuky11"/>
        <w:tblW w:w="9180" w:type="dxa"/>
        <w:tblInd w:w="0" w:type="dxa"/>
        <w:tblLayout w:type="fixed"/>
        <w:tblLook w:val="04A0" w:firstRow="1" w:lastRow="0" w:firstColumn="1" w:lastColumn="0" w:noHBand="0" w:noVBand="1"/>
      </w:tblPr>
      <w:tblGrid>
        <w:gridCol w:w="3812"/>
        <w:gridCol w:w="541"/>
        <w:gridCol w:w="1312"/>
        <w:gridCol w:w="538"/>
        <w:gridCol w:w="1133"/>
        <w:gridCol w:w="547"/>
        <w:gridCol w:w="1297"/>
      </w:tblGrid>
      <w:tr w:rsidR="00A669D2" w:rsidRPr="00A669D2" w:rsidTr="00CF0370">
        <w:tc>
          <w:tcPr>
            <w:tcW w:w="3812" w:type="dxa"/>
            <w:tcBorders>
              <w:top w:val="single" w:sz="4" w:space="0" w:color="000000"/>
              <w:left w:val="single" w:sz="4" w:space="0" w:color="auto"/>
              <w:bottom w:val="single" w:sz="4" w:space="0" w:color="auto"/>
              <w:right w:val="single" w:sz="4" w:space="0" w:color="auto"/>
            </w:tcBorders>
            <w:shd w:val="clear" w:color="auto" w:fill="E2E2E2"/>
          </w:tcPr>
          <w:p w:rsidR="00A669D2" w:rsidRPr="00A669D2" w:rsidRDefault="00A669D2" w:rsidP="00CF0370">
            <w:pPr>
              <w:rPr>
                <w:rFonts w:ascii="Times New Roman" w:hAnsi="Times New Roman"/>
                <w:b/>
                <w:sz w:val="20"/>
                <w:szCs w:val="20"/>
              </w:rPr>
            </w:pPr>
            <w:r w:rsidRPr="00A669D2">
              <w:rPr>
                <w:rFonts w:ascii="Times New Roman" w:hAnsi="Times New Roman"/>
                <w:b/>
                <w:sz w:val="20"/>
                <w:szCs w:val="20"/>
              </w:rPr>
              <w:t>Vplyvy na manželstvo, rodičovstvo a rodinu</w:t>
            </w:r>
          </w:p>
        </w:tc>
        <w:sdt>
          <w:sdtPr>
            <w:rPr>
              <w:rFonts w:ascii="Times New Roman" w:hAnsi="Times New Roman"/>
              <w:b/>
              <w:sz w:val="20"/>
              <w:szCs w:val="20"/>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669D2" w:rsidRPr="00A669D2" w:rsidRDefault="00A669D2" w:rsidP="00CF0370">
                <w:pPr>
                  <w:jc w:val="center"/>
                  <w:rPr>
                    <w:rFonts w:ascii="Times New Roman" w:hAnsi="Times New Roman"/>
                    <w:b/>
                    <w:sz w:val="20"/>
                    <w:szCs w:val="20"/>
                  </w:rPr>
                </w:pPr>
                <w:r w:rsidRPr="00A669D2">
                  <w:rPr>
                    <w:rFonts w:ascii="Segoe UI Symbol" w:hAnsi="Segoe UI Symbol" w:cs="Segoe UI Symbol"/>
                    <w:b/>
                    <w:sz w:val="20"/>
                    <w:szCs w:val="20"/>
                  </w:rPr>
                  <w:t>☐</w:t>
                </w:r>
              </w:p>
            </w:tc>
          </w:sdtContent>
        </w:sdt>
        <w:tc>
          <w:tcPr>
            <w:tcW w:w="1312" w:type="dxa"/>
            <w:tcBorders>
              <w:top w:val="single" w:sz="4" w:space="0" w:color="auto"/>
              <w:left w:val="nil"/>
              <w:bottom w:val="single" w:sz="4" w:space="0" w:color="auto"/>
              <w:right w:val="nil"/>
            </w:tcBorders>
            <w:vAlign w:val="center"/>
          </w:tcPr>
          <w:p w:rsidR="00A669D2" w:rsidRPr="00A669D2" w:rsidRDefault="00A669D2" w:rsidP="00CF0370">
            <w:pPr>
              <w:ind w:right="-108"/>
              <w:rPr>
                <w:rFonts w:ascii="Times New Roman" w:hAnsi="Times New Roman"/>
                <w:b/>
                <w:sz w:val="20"/>
                <w:szCs w:val="20"/>
              </w:rPr>
            </w:pPr>
            <w:r w:rsidRPr="00A669D2">
              <w:rPr>
                <w:rFonts w:ascii="Times New Roman" w:hAnsi="Times New Roman"/>
                <w:b/>
                <w:sz w:val="20"/>
                <w:szCs w:val="20"/>
              </w:rPr>
              <w:t>Pozitívne</w:t>
            </w:r>
          </w:p>
        </w:tc>
        <w:sdt>
          <w:sdtPr>
            <w:rPr>
              <w:rFonts w:ascii="Times New Roman" w:hAnsi="Times New Roman"/>
              <w:b/>
              <w:sz w:val="20"/>
              <w:szCs w:val="20"/>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rsidR="00A669D2" w:rsidRPr="00A669D2" w:rsidRDefault="00A669D2" w:rsidP="00CF0370">
                <w:pPr>
                  <w:jc w:val="center"/>
                  <w:rPr>
                    <w:rFonts w:ascii="Times New Roman" w:hAnsi="Times New Roman"/>
                    <w:b/>
                    <w:sz w:val="20"/>
                    <w:szCs w:val="20"/>
                  </w:rPr>
                </w:pPr>
                <w:r w:rsidRPr="00A669D2">
                  <w:rPr>
                    <w:rFonts w:ascii="Segoe UI Symbol" w:eastAsia="MS Gothic" w:hAnsi="Segoe UI Symbol" w:cs="Segoe UI Symbol"/>
                    <w:b/>
                    <w:sz w:val="20"/>
                    <w:szCs w:val="20"/>
                  </w:rPr>
                  <w:t>☒</w:t>
                </w:r>
              </w:p>
            </w:tc>
          </w:sdtContent>
        </w:sdt>
        <w:tc>
          <w:tcPr>
            <w:tcW w:w="1133" w:type="dxa"/>
            <w:tcBorders>
              <w:top w:val="single" w:sz="4" w:space="0" w:color="auto"/>
              <w:left w:val="nil"/>
              <w:bottom w:val="single" w:sz="4" w:space="0" w:color="auto"/>
              <w:right w:val="nil"/>
            </w:tcBorders>
            <w:vAlign w:val="center"/>
          </w:tcPr>
          <w:p w:rsidR="00A669D2" w:rsidRPr="00A669D2" w:rsidRDefault="00A669D2" w:rsidP="00CF0370">
            <w:pPr>
              <w:rPr>
                <w:rFonts w:ascii="Times New Roman" w:hAnsi="Times New Roman"/>
                <w:b/>
                <w:sz w:val="20"/>
                <w:szCs w:val="20"/>
              </w:rPr>
            </w:pPr>
            <w:r w:rsidRPr="00A669D2">
              <w:rPr>
                <w:rFonts w:ascii="Times New Roman" w:hAnsi="Times New Roman"/>
                <w:b/>
                <w:sz w:val="20"/>
                <w:szCs w:val="20"/>
              </w:rPr>
              <w:t>Žiadne</w:t>
            </w:r>
          </w:p>
        </w:tc>
        <w:sdt>
          <w:sdtPr>
            <w:rPr>
              <w:rFonts w:ascii="Times New Roman" w:hAnsi="Times New Roman"/>
              <w:b/>
              <w:sz w:val="20"/>
              <w:szCs w:val="20"/>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669D2" w:rsidRPr="00A669D2" w:rsidRDefault="00A669D2" w:rsidP="00CF0370">
                <w:pPr>
                  <w:jc w:val="center"/>
                  <w:rPr>
                    <w:rFonts w:ascii="Times New Roman" w:hAnsi="Times New Roman"/>
                    <w:b/>
                    <w:sz w:val="20"/>
                    <w:szCs w:val="20"/>
                  </w:rPr>
                </w:pPr>
                <w:r w:rsidRPr="00A669D2">
                  <w:rPr>
                    <w:rFonts w:ascii="Segoe UI Symbol" w:hAnsi="Segoe UI Symbol" w:cs="Segoe UI Symbol"/>
                    <w:b/>
                    <w:sz w:val="20"/>
                    <w:szCs w:val="20"/>
                  </w:rPr>
                  <w:t>☐</w:t>
                </w:r>
              </w:p>
            </w:tc>
          </w:sdtContent>
        </w:sdt>
        <w:tc>
          <w:tcPr>
            <w:tcW w:w="1297" w:type="dxa"/>
            <w:tcBorders>
              <w:top w:val="single" w:sz="4" w:space="0" w:color="auto"/>
              <w:left w:val="nil"/>
              <w:bottom w:val="single" w:sz="4" w:space="0" w:color="auto"/>
              <w:right w:val="single" w:sz="4" w:space="0" w:color="auto"/>
            </w:tcBorders>
            <w:vAlign w:val="center"/>
          </w:tcPr>
          <w:p w:rsidR="00A669D2" w:rsidRPr="00A669D2" w:rsidRDefault="00A669D2" w:rsidP="00CF0370">
            <w:pPr>
              <w:ind w:left="54"/>
              <w:rPr>
                <w:rFonts w:ascii="Times New Roman" w:hAnsi="Times New Roman"/>
                <w:b/>
                <w:sz w:val="20"/>
                <w:szCs w:val="20"/>
              </w:rPr>
            </w:pPr>
            <w:r w:rsidRPr="00A669D2">
              <w:rPr>
                <w:rFonts w:ascii="Times New Roman" w:hAnsi="Times New Roman"/>
                <w:b/>
                <w:sz w:val="20"/>
                <w:szCs w:val="20"/>
              </w:rPr>
              <w:t>Negatívne</w:t>
            </w:r>
          </w:p>
        </w:tc>
      </w:tr>
    </w:tbl>
    <w:p w:rsidR="00C615AF" w:rsidRPr="00A669D2" w:rsidRDefault="00C615AF">
      <w:pPr>
        <w:rPr>
          <w:rFonts w:ascii="Times New Roman" w:hAnsi="Times New Roman" w:cs="Times New Roman"/>
        </w:rPr>
      </w:pPr>
    </w:p>
    <w:p w:rsidR="00A669D2" w:rsidRPr="00A669D2" w:rsidRDefault="00A669D2" w:rsidP="00A669D2">
      <w:pPr>
        <w:spacing w:before="120" w:after="120"/>
        <w:jc w:val="both"/>
        <w:rPr>
          <w:rFonts w:ascii="Times New Roman" w:hAnsi="Times New Roman" w:cs="Times New Roman"/>
          <w:sz w:val="24"/>
        </w:rPr>
      </w:pPr>
      <w:r w:rsidRPr="00A669D2">
        <w:rPr>
          <w:rFonts w:ascii="Times New Roman" w:hAnsi="Times New Roman" w:cs="Times New Roman"/>
          <w:sz w:val="24"/>
        </w:rPr>
        <w:lastRenderedPageBreak/>
        <w:t>V súčasnosti nie je možné kvantifikovať ani jednoznačne identifikovať vplyvy návrhu smernice, keďže tieto budú závisieť od jej konečného znenia, ktoré bude predmetom ďalších politických rokovaní na úrovni Európskej únie. Na základe aktuálneho znenia návrhu smernice a s prihliadnutím na jej všeobecný cieľ možno predbežne konštatovať pozitívny vplyv na životné prostredie, ako aj pozitívne a negatívne vplyvy na podnikateľské prostredie.</w:t>
      </w:r>
    </w:p>
    <w:p w:rsidR="00A669D2" w:rsidRPr="00A669D2" w:rsidRDefault="00A669D2" w:rsidP="00A669D2">
      <w:pPr>
        <w:spacing w:before="120" w:after="120"/>
        <w:jc w:val="both"/>
        <w:rPr>
          <w:rFonts w:ascii="Times New Roman" w:hAnsi="Times New Roman" w:cs="Times New Roman"/>
          <w:sz w:val="24"/>
        </w:rPr>
      </w:pPr>
      <w:r w:rsidRPr="00A669D2">
        <w:rPr>
          <w:rFonts w:ascii="Times New Roman" w:hAnsi="Times New Roman" w:cs="Times New Roman"/>
          <w:sz w:val="24"/>
        </w:rPr>
        <w:t>Návrh má potenciálny pozitívny nepriamy vplyv na životné prostredie, keďže jeho cieľom je zefektívnenie uplatňovania existujúcich environmentálnych požiadaviek a vytvorenie podmienok na efektívnejšiu implementáciu opatrení v oblasti priemyselných emisií a dekarbonizácie. Navrhované zmeny zároveň zachovávajú súčasnú úroveň ochrany životného prostredia, keďže nedochádza k zrušeniu environmentálnych štandardov ani k obmedzeniu požiadaviek na monitorovanie a kontrolu emisií.</w:t>
      </w:r>
    </w:p>
    <w:p w:rsidR="004155D9" w:rsidRDefault="004155D9">
      <w:pPr>
        <w:rPr>
          <w:rFonts w:ascii="Times New Roman" w:hAnsi="Times New Roman" w:cs="Times New Roman"/>
        </w:rPr>
      </w:pPr>
      <w:r>
        <w:rPr>
          <w:rFonts w:ascii="Times New Roman" w:hAnsi="Times New Roman" w:cs="Times New Roman"/>
        </w:rPr>
        <w:br w:type="page"/>
      </w:r>
    </w:p>
    <w:tbl>
      <w:tblPr>
        <w:tblW w:w="0" w:type="auto"/>
        <w:tblInd w:w="217" w:type="dxa"/>
        <w:tblLayout w:type="fixed"/>
        <w:tblLook w:val="0000" w:firstRow="0" w:lastRow="0" w:firstColumn="0" w:lastColumn="0" w:noHBand="0" w:noVBand="0"/>
      </w:tblPr>
      <w:tblGrid>
        <w:gridCol w:w="4252"/>
        <w:gridCol w:w="5243"/>
      </w:tblGrid>
      <w:tr w:rsidR="004155D9" w:rsidTr="00C25A01">
        <w:tc>
          <w:tcPr>
            <w:tcW w:w="4252" w:type="dxa"/>
            <w:shd w:val="clear" w:color="auto" w:fill="FFFFFF"/>
          </w:tcPr>
          <w:p w:rsidR="004155D9" w:rsidRDefault="004155D9" w:rsidP="00C25A01">
            <w:pPr>
              <w:snapToGrid w:val="0"/>
              <w:jc w:val="both"/>
              <w:rPr>
                <w:i/>
                <w:smallCaps/>
                <w:sz w:val="24"/>
                <w:szCs w:val="24"/>
              </w:rPr>
            </w:pPr>
          </w:p>
        </w:tc>
        <w:tc>
          <w:tcPr>
            <w:tcW w:w="5243" w:type="dxa"/>
            <w:shd w:val="clear" w:color="auto" w:fill="FFFFFF"/>
          </w:tcPr>
          <w:p w:rsidR="004155D9" w:rsidRPr="00AC4148" w:rsidRDefault="004155D9" w:rsidP="00C25A01">
            <w:pPr>
              <w:rPr>
                <w:smallCaps/>
                <w:sz w:val="24"/>
                <w:szCs w:val="24"/>
              </w:rPr>
            </w:pPr>
            <w:r>
              <w:rPr>
                <w:smallCaps/>
                <w:sz w:val="24"/>
                <w:szCs w:val="24"/>
              </w:rPr>
              <w:t xml:space="preserve">                                       Bratislava: 26.06.2026</w:t>
            </w:r>
          </w:p>
          <w:p w:rsidR="004155D9" w:rsidRPr="0085649A" w:rsidRDefault="004155D9" w:rsidP="00C25A01">
            <w:pPr>
              <w:rPr>
                <w:smallCaps/>
                <w:sz w:val="24"/>
                <w:szCs w:val="24"/>
              </w:rPr>
            </w:pPr>
            <w:r>
              <w:rPr>
                <w:smallCaps/>
                <w:sz w:val="24"/>
                <w:szCs w:val="24"/>
              </w:rPr>
              <w:t xml:space="preserve">                                       Číslo: 105/2026</w:t>
            </w:r>
          </w:p>
          <w:p w:rsidR="004155D9" w:rsidRPr="0085649A" w:rsidRDefault="004155D9" w:rsidP="00C25A01">
            <w:pPr>
              <w:rPr>
                <w:smallCaps/>
                <w:sz w:val="24"/>
                <w:szCs w:val="24"/>
              </w:rPr>
            </w:pPr>
            <w:r>
              <w:rPr>
                <w:smallCaps/>
                <w:sz w:val="24"/>
                <w:szCs w:val="24"/>
              </w:rPr>
              <w:t xml:space="preserve">                                       Vybavuje: Mgr. </w:t>
            </w:r>
            <w:proofErr w:type="spellStart"/>
            <w:r>
              <w:rPr>
                <w:smallCaps/>
                <w:sz w:val="24"/>
                <w:szCs w:val="24"/>
              </w:rPr>
              <w:t>Fontányová</w:t>
            </w:r>
            <w:proofErr w:type="spellEnd"/>
          </w:p>
        </w:tc>
      </w:tr>
    </w:tbl>
    <w:p w:rsidR="004155D9" w:rsidRDefault="004155D9" w:rsidP="004155D9">
      <w:pPr>
        <w:pStyle w:val="Nadpis4"/>
        <w:numPr>
          <w:ilvl w:val="3"/>
          <w:numId w:val="7"/>
        </w:numPr>
        <w:rPr>
          <w:rFonts w:ascii="Arial" w:hAnsi="Arial" w:cs="Arial"/>
          <w:sz w:val="22"/>
        </w:rPr>
      </w:pPr>
    </w:p>
    <w:p w:rsidR="004155D9" w:rsidRDefault="004155D9" w:rsidP="004155D9">
      <w:pPr>
        <w:pStyle w:val="Nadpis4"/>
        <w:numPr>
          <w:ilvl w:val="3"/>
          <w:numId w:val="7"/>
        </w:numPr>
      </w:pPr>
      <w:r>
        <w:rPr>
          <w:rFonts w:ascii="Arial" w:hAnsi="Arial" w:cs="Arial"/>
          <w:spacing w:val="20"/>
          <w:sz w:val="32"/>
        </w:rPr>
        <w:t>stanovisko komisie</w:t>
      </w:r>
      <w:r>
        <w:rPr>
          <w:rFonts w:ascii="Arial" w:hAnsi="Arial" w:cs="Arial"/>
          <w:sz w:val="22"/>
        </w:rPr>
        <w:t xml:space="preserve"> </w:t>
      </w:r>
    </w:p>
    <w:p w:rsidR="004155D9" w:rsidRDefault="004155D9" w:rsidP="004155D9">
      <w:pPr>
        <w:ind w:right="-2"/>
        <w:jc w:val="center"/>
      </w:pPr>
      <w:r>
        <w:rPr>
          <w:rFonts w:ascii="Arial" w:hAnsi="Arial" w:cs="Arial"/>
          <w:b/>
          <w:smallCaps/>
        </w:rPr>
        <w:t>(predbežné pripomienkové konanie)</w:t>
      </w:r>
    </w:p>
    <w:p w:rsidR="004155D9" w:rsidRDefault="004155D9" w:rsidP="004155D9">
      <w:pPr>
        <w:ind w:right="-2"/>
        <w:jc w:val="center"/>
        <w:rPr>
          <w:rFonts w:ascii="Arial" w:hAnsi="Arial" w:cs="Arial"/>
          <w:b/>
          <w:smallCaps/>
        </w:rPr>
      </w:pPr>
      <w:r>
        <w:rPr>
          <w:rFonts w:ascii="Arial" w:hAnsi="Arial" w:cs="Arial"/>
          <w:b/>
          <w:smallCaps/>
        </w:rPr>
        <w:t>k materiálu</w:t>
      </w:r>
    </w:p>
    <w:p w:rsidR="004155D9" w:rsidRPr="00F0316A" w:rsidRDefault="004155D9" w:rsidP="004155D9">
      <w:pPr>
        <w:pBdr>
          <w:bottom w:val="single" w:sz="4" w:space="1" w:color="auto"/>
        </w:pBdr>
        <w:jc w:val="center"/>
        <w:rPr>
          <w:rStyle w:val="Jemnodkaz"/>
          <w:rFonts w:ascii="Arial" w:hAnsi="Arial" w:cs="Arial"/>
          <w:b/>
          <w:sz w:val="24"/>
        </w:rPr>
      </w:pPr>
      <w:r w:rsidRPr="002160E8">
        <w:rPr>
          <w:rFonts w:ascii="Arial" w:hAnsi="Arial" w:cs="Arial"/>
          <w:b/>
          <w:smallCaps/>
          <w:sz w:val="24"/>
        </w:rPr>
        <w:t xml:space="preserve">Predbežné stanovisko k návrhu smernice Európskeho parlamentu a Rady, ktorou sa menia a dopĺňajú smernice Európskeho parlamentu a Rady 2008/98/ES, 2010/75/EÚ, (EÚ) 2015/2193 a (EÚ) 2024/1785, pokiaľ ide </w:t>
      </w:r>
      <w:r>
        <w:rPr>
          <w:rFonts w:ascii="Arial" w:hAnsi="Arial" w:cs="Arial"/>
          <w:b/>
          <w:smallCaps/>
          <w:sz w:val="24"/>
        </w:rPr>
        <w:br/>
      </w:r>
      <w:r w:rsidRPr="002160E8">
        <w:rPr>
          <w:rFonts w:ascii="Arial" w:hAnsi="Arial" w:cs="Arial"/>
          <w:b/>
          <w:smallCaps/>
          <w:sz w:val="24"/>
        </w:rPr>
        <w:t>o zjednodušenie niektorých požiadaviek a zníženie administratívnej záťaže</w:t>
      </w:r>
      <w:r>
        <w:rPr>
          <w:rFonts w:ascii="Arial" w:hAnsi="Arial" w:cs="Arial"/>
          <w:b/>
          <w:smallCaps/>
          <w:sz w:val="24"/>
        </w:rPr>
        <w:t xml:space="preserve"> </w:t>
      </w:r>
    </w:p>
    <w:p w:rsidR="004155D9" w:rsidRDefault="004155D9" w:rsidP="004155D9">
      <w:pPr>
        <w:jc w:val="both"/>
        <w:rPr>
          <w:rFonts w:ascii="Arial" w:hAnsi="Arial" w:cs="Arial"/>
          <w:b/>
          <w:bCs/>
          <w:sz w:val="24"/>
        </w:rPr>
      </w:pPr>
    </w:p>
    <w:p w:rsidR="004155D9" w:rsidRPr="0083033C" w:rsidRDefault="004155D9" w:rsidP="004155D9">
      <w:pPr>
        <w:jc w:val="both"/>
        <w:rPr>
          <w:rFonts w:ascii="Arial" w:hAnsi="Arial" w:cs="Arial"/>
          <w:bCs/>
          <w:sz w:val="24"/>
        </w:rPr>
      </w:pPr>
      <w:r w:rsidRPr="00E339D8">
        <w:rPr>
          <w:rFonts w:ascii="Arial" w:hAnsi="Arial" w:cs="Arial"/>
          <w:b/>
          <w:bCs/>
          <w:sz w:val="24"/>
        </w:rPr>
        <w:t xml:space="preserve">I. Úvod: </w:t>
      </w:r>
      <w:r>
        <w:rPr>
          <w:rFonts w:ascii="Arial" w:hAnsi="Arial" w:cs="Arial"/>
          <w:bCs/>
          <w:sz w:val="24"/>
        </w:rPr>
        <w:t xml:space="preserve">Ministerstvo životného prostredia Slovenskej republiky dňa 17. júna 2026 predložilo na predbežné pripomienkové konanie materiál: </w:t>
      </w:r>
      <w:r w:rsidRPr="004F4FB2">
        <w:rPr>
          <w:rFonts w:ascii="Arial" w:hAnsi="Arial" w:cs="Arial"/>
          <w:bCs/>
          <w:i/>
          <w:sz w:val="24"/>
        </w:rPr>
        <w:t>„</w:t>
      </w:r>
      <w:r w:rsidRPr="002160E8">
        <w:rPr>
          <w:rFonts w:ascii="Arial" w:hAnsi="Arial" w:cs="Arial"/>
          <w:bCs/>
          <w:i/>
          <w:sz w:val="24"/>
        </w:rPr>
        <w:t xml:space="preserve">Predbežné stanovisko </w:t>
      </w:r>
      <w:r>
        <w:rPr>
          <w:rFonts w:ascii="Arial" w:hAnsi="Arial" w:cs="Arial"/>
          <w:bCs/>
          <w:i/>
          <w:sz w:val="24"/>
        </w:rPr>
        <w:br/>
      </w:r>
      <w:r w:rsidRPr="002160E8">
        <w:rPr>
          <w:rFonts w:ascii="Arial" w:hAnsi="Arial" w:cs="Arial"/>
          <w:bCs/>
          <w:i/>
          <w:sz w:val="24"/>
        </w:rPr>
        <w:t>k návrhu smernice Európskeho parlamentu a Rady, ktorou sa menia a dopĺňajú smernice Európskeho parlamentu a Rady 2008/98/ES, 2010/75/EÚ, (EÚ) 2015/2193 a (EÚ) 2024/1785, pokiaľ ide o zjednodušenie niektorých požiadaviek a zníženie administratívnej záťaže</w:t>
      </w:r>
      <w:r w:rsidRPr="004F4FB2">
        <w:rPr>
          <w:rFonts w:ascii="Arial" w:hAnsi="Arial" w:cs="Arial"/>
          <w:bCs/>
          <w:i/>
          <w:sz w:val="24"/>
        </w:rPr>
        <w:t>“</w:t>
      </w:r>
      <w:r>
        <w:rPr>
          <w:rFonts w:ascii="Arial" w:hAnsi="Arial" w:cs="Arial"/>
          <w:bCs/>
          <w:sz w:val="24"/>
        </w:rPr>
        <w:t xml:space="preserve">. </w:t>
      </w:r>
      <w:r w:rsidRPr="006C4C13">
        <w:rPr>
          <w:rFonts w:ascii="Arial" w:hAnsi="Arial" w:cs="Arial"/>
          <w:bCs/>
          <w:sz w:val="24"/>
        </w:rPr>
        <w:t xml:space="preserve">Materiál predpokladá </w:t>
      </w:r>
      <w:r w:rsidRPr="0083033C">
        <w:rPr>
          <w:rFonts w:ascii="Arial" w:hAnsi="Arial" w:cs="Arial"/>
          <w:bCs/>
          <w:sz w:val="24"/>
        </w:rPr>
        <w:t xml:space="preserve">pozitívne vplyvy na podnikateľské prostredie, vrátane pozitívnych vplyvov na </w:t>
      </w:r>
      <w:r>
        <w:rPr>
          <w:rFonts w:ascii="Arial" w:hAnsi="Arial" w:cs="Arial"/>
          <w:bCs/>
          <w:sz w:val="24"/>
        </w:rPr>
        <w:t>malé a stredné podniky.</w:t>
      </w:r>
    </w:p>
    <w:p w:rsidR="004155D9" w:rsidRDefault="004155D9" w:rsidP="004155D9">
      <w:pPr>
        <w:jc w:val="both"/>
      </w:pPr>
      <w:r w:rsidRPr="004F3667">
        <w:rPr>
          <w:rFonts w:ascii="Arial" w:hAnsi="Arial" w:cs="Arial"/>
          <w:b/>
          <w:bCs/>
          <w:sz w:val="24"/>
          <w:szCs w:val="24"/>
        </w:rPr>
        <w:t>II. P</w:t>
      </w:r>
      <w:r w:rsidRPr="004F3667">
        <w:rPr>
          <w:rFonts w:ascii="Arial" w:hAnsi="Arial" w:cs="Arial"/>
          <w:b/>
          <w:sz w:val="24"/>
          <w:szCs w:val="24"/>
        </w:rPr>
        <w:t>r</w:t>
      </w:r>
      <w:r w:rsidRPr="004F3667">
        <w:rPr>
          <w:rFonts w:ascii="Arial" w:hAnsi="Arial" w:cs="Arial"/>
          <w:b/>
          <w:bCs/>
          <w:sz w:val="24"/>
          <w:szCs w:val="24"/>
        </w:rPr>
        <w:t>ipomienky a návrhy zm</w:t>
      </w:r>
      <w:r w:rsidRPr="004F3667">
        <w:rPr>
          <w:rFonts w:ascii="Arial" w:hAnsi="Arial" w:cs="Arial"/>
          <w:b/>
          <w:sz w:val="24"/>
          <w:szCs w:val="24"/>
        </w:rPr>
        <w:t>ie</w:t>
      </w:r>
      <w:r w:rsidRPr="004F3667">
        <w:rPr>
          <w:rFonts w:ascii="Arial" w:hAnsi="Arial" w:cs="Arial"/>
          <w:b/>
          <w:bCs/>
          <w:sz w:val="24"/>
          <w:szCs w:val="24"/>
        </w:rPr>
        <w:t>n</w:t>
      </w:r>
      <w:r>
        <w:rPr>
          <w:rFonts w:ascii="Arial" w:hAnsi="Arial" w:cs="Arial"/>
          <w:b/>
          <w:bCs/>
          <w:sz w:val="24"/>
          <w:szCs w:val="24"/>
        </w:rPr>
        <w:t xml:space="preserve">: </w:t>
      </w:r>
      <w:r>
        <w:rPr>
          <w:rFonts w:ascii="Arial" w:hAnsi="Arial" w:cs="Arial"/>
          <w:bCs/>
          <w:sz w:val="24"/>
        </w:rPr>
        <w:t>Komisia uplatňuje k materiálu nasledovné pripomienky a odporúčania:</w:t>
      </w:r>
    </w:p>
    <w:p w:rsidR="004155D9" w:rsidRDefault="004155D9" w:rsidP="004155D9">
      <w:pPr>
        <w:jc w:val="both"/>
        <w:rPr>
          <w:rFonts w:ascii="Arial" w:hAnsi="Arial" w:cs="Arial"/>
          <w:b/>
          <w:bCs/>
          <w:sz w:val="24"/>
        </w:rPr>
      </w:pPr>
      <w:r>
        <w:rPr>
          <w:rFonts w:ascii="Arial" w:hAnsi="Arial" w:cs="Arial"/>
          <w:b/>
          <w:bCs/>
          <w:sz w:val="24"/>
        </w:rPr>
        <w:t>K Predbežnému stanovisku</w:t>
      </w:r>
    </w:p>
    <w:p w:rsidR="004155D9" w:rsidRPr="00B638DA" w:rsidRDefault="004155D9" w:rsidP="004155D9">
      <w:pPr>
        <w:jc w:val="both"/>
        <w:rPr>
          <w:rFonts w:ascii="Arial" w:hAnsi="Arial" w:cs="Arial"/>
          <w:sz w:val="24"/>
        </w:rPr>
      </w:pPr>
      <w:r>
        <w:rPr>
          <w:rFonts w:ascii="Arial" w:hAnsi="Arial" w:cs="Arial"/>
          <w:sz w:val="24"/>
        </w:rPr>
        <w:t xml:space="preserve">Komisia upozorňuje, že </w:t>
      </w:r>
      <w:r w:rsidRPr="00B638DA">
        <w:rPr>
          <w:rFonts w:ascii="Arial" w:hAnsi="Arial" w:cs="Arial"/>
          <w:sz w:val="24"/>
        </w:rPr>
        <w:t>Predbežné stanovisko je potrebné vypracovať v súlade so vzorom predbežného stanoviska určeného </w:t>
      </w:r>
      <w:r w:rsidRPr="00B638DA">
        <w:rPr>
          <w:rFonts w:ascii="Arial" w:hAnsi="Arial" w:cs="Arial"/>
          <w:i/>
          <w:iCs/>
          <w:sz w:val="24"/>
        </w:rPr>
        <w:t>Pravidlami tvorby stanovísk Slovenskej republiky k návrhom aktov Európskej únie</w:t>
      </w:r>
      <w:r w:rsidRPr="00B638DA">
        <w:rPr>
          <w:rFonts w:ascii="Arial" w:hAnsi="Arial" w:cs="Arial"/>
          <w:sz w:val="24"/>
        </w:rPr>
        <w:t xml:space="preserve"> schváleným uznesením vlády SR č. 211 </w:t>
      </w:r>
      <w:r>
        <w:rPr>
          <w:rFonts w:ascii="Arial" w:hAnsi="Arial" w:cs="Arial"/>
          <w:sz w:val="24"/>
        </w:rPr>
        <w:br/>
      </w:r>
      <w:r w:rsidRPr="00B638DA">
        <w:rPr>
          <w:rFonts w:ascii="Arial" w:hAnsi="Arial" w:cs="Arial"/>
          <w:sz w:val="24"/>
        </w:rPr>
        <w:t>z 13. 5. 2026 a účinnými od 15. 5. 2026.</w:t>
      </w:r>
    </w:p>
    <w:p w:rsidR="004155D9" w:rsidRPr="00B638DA" w:rsidRDefault="004155D9" w:rsidP="004155D9">
      <w:pPr>
        <w:jc w:val="both"/>
        <w:rPr>
          <w:rFonts w:ascii="Arial" w:hAnsi="Arial" w:cs="Arial"/>
          <w:sz w:val="24"/>
        </w:rPr>
      </w:pPr>
      <w:r w:rsidRPr="00AD4545">
        <w:rPr>
          <w:rFonts w:ascii="Arial" w:hAnsi="Arial" w:cs="Arial"/>
          <w:sz w:val="24"/>
          <w:u w:val="single"/>
        </w:rPr>
        <w:t>Odôvodnenie</w:t>
      </w:r>
      <w:r w:rsidRPr="00B638DA">
        <w:rPr>
          <w:rFonts w:ascii="Arial" w:hAnsi="Arial" w:cs="Arial"/>
          <w:sz w:val="24"/>
        </w:rPr>
        <w:t>:</w:t>
      </w:r>
      <w:r>
        <w:rPr>
          <w:rFonts w:ascii="Arial" w:hAnsi="Arial" w:cs="Arial"/>
          <w:sz w:val="24"/>
        </w:rPr>
        <w:t xml:space="preserve"> </w:t>
      </w:r>
      <w:r w:rsidRPr="00B638DA">
        <w:rPr>
          <w:rFonts w:ascii="Arial" w:hAnsi="Arial" w:cs="Arial"/>
          <w:sz w:val="24"/>
        </w:rPr>
        <w:t>Forma predbežného stanoviska nezodpovedá vyššie uvedenému vzoru.</w:t>
      </w:r>
    </w:p>
    <w:p w:rsidR="004155D9" w:rsidRPr="009A0B7F" w:rsidRDefault="004155D9" w:rsidP="004155D9">
      <w:pPr>
        <w:jc w:val="both"/>
        <w:rPr>
          <w:rFonts w:ascii="Arial" w:hAnsi="Arial" w:cs="Arial"/>
          <w:b/>
          <w:bCs/>
          <w:sz w:val="24"/>
        </w:rPr>
      </w:pPr>
      <w:r w:rsidRPr="009A0B7F">
        <w:rPr>
          <w:rFonts w:ascii="Arial" w:hAnsi="Arial" w:cs="Arial"/>
          <w:b/>
          <w:bCs/>
          <w:sz w:val="24"/>
        </w:rPr>
        <w:t xml:space="preserve">K časti Vplyvy na vybrané oblasti </w:t>
      </w:r>
    </w:p>
    <w:p w:rsidR="004155D9" w:rsidRPr="00B9365D" w:rsidRDefault="004155D9" w:rsidP="004155D9">
      <w:pPr>
        <w:jc w:val="both"/>
        <w:rPr>
          <w:rFonts w:ascii="Arial" w:hAnsi="Arial" w:cs="Arial"/>
          <w:sz w:val="24"/>
        </w:rPr>
      </w:pPr>
      <w:r w:rsidRPr="00B9365D">
        <w:rPr>
          <w:rFonts w:ascii="Arial" w:hAnsi="Arial" w:cs="Arial"/>
          <w:sz w:val="24"/>
        </w:rPr>
        <w:t xml:space="preserve">Z formálneho hľadiska </w:t>
      </w:r>
      <w:r>
        <w:rPr>
          <w:rFonts w:ascii="Arial" w:hAnsi="Arial" w:cs="Arial"/>
          <w:sz w:val="24"/>
        </w:rPr>
        <w:t xml:space="preserve">Komisia </w:t>
      </w:r>
      <w:r w:rsidRPr="00B9365D">
        <w:rPr>
          <w:rFonts w:ascii="Arial" w:hAnsi="Arial" w:cs="Arial"/>
          <w:sz w:val="24"/>
        </w:rPr>
        <w:t>upozorňuje, že v súlade s označenými vplyvmi návrhu smernice Európskeho parlamentu a Rady na rozpočet verejnej správy je potrebné označiť aj jeho vplyvy na limit verejných výdavkov.</w:t>
      </w:r>
    </w:p>
    <w:p w:rsidR="004155D9" w:rsidRPr="00F20B03" w:rsidRDefault="004155D9" w:rsidP="004155D9">
      <w:pPr>
        <w:jc w:val="both"/>
        <w:rPr>
          <w:rFonts w:ascii="Arial" w:hAnsi="Arial" w:cs="Arial"/>
          <w:sz w:val="24"/>
        </w:rPr>
      </w:pPr>
      <w:r w:rsidRPr="00F20B03">
        <w:rPr>
          <w:rFonts w:ascii="Arial" w:hAnsi="Arial" w:cs="Arial"/>
          <w:sz w:val="24"/>
        </w:rPr>
        <w:t xml:space="preserve">Pri vplyvoch na životné prostredie </w:t>
      </w:r>
      <w:r>
        <w:rPr>
          <w:rFonts w:ascii="Arial" w:hAnsi="Arial" w:cs="Arial"/>
          <w:sz w:val="24"/>
        </w:rPr>
        <w:t xml:space="preserve">Komisia </w:t>
      </w:r>
      <w:r w:rsidRPr="00F20B03">
        <w:rPr>
          <w:rFonts w:ascii="Arial" w:hAnsi="Arial" w:cs="Arial"/>
          <w:sz w:val="24"/>
        </w:rPr>
        <w:t>odporúča predkladateľovi prehodnotiť označenie „žiadne“.</w:t>
      </w:r>
    </w:p>
    <w:p w:rsidR="004155D9" w:rsidRPr="00F20B03" w:rsidRDefault="004155D9" w:rsidP="004155D9">
      <w:pPr>
        <w:jc w:val="both"/>
        <w:rPr>
          <w:rFonts w:ascii="Arial" w:hAnsi="Arial" w:cs="Arial"/>
          <w:sz w:val="24"/>
        </w:rPr>
      </w:pPr>
      <w:r w:rsidRPr="006073E0">
        <w:rPr>
          <w:rFonts w:ascii="Arial" w:hAnsi="Arial" w:cs="Arial"/>
          <w:sz w:val="24"/>
          <w:u w:val="single"/>
        </w:rPr>
        <w:t>Odôvodnenie</w:t>
      </w:r>
      <w:r>
        <w:rPr>
          <w:rFonts w:ascii="Arial" w:hAnsi="Arial" w:cs="Arial"/>
          <w:sz w:val="24"/>
        </w:rPr>
        <w:t xml:space="preserve">: </w:t>
      </w:r>
      <w:r w:rsidRPr="00F20B03">
        <w:rPr>
          <w:rFonts w:ascii="Arial" w:hAnsi="Arial" w:cs="Arial"/>
          <w:sz w:val="24"/>
        </w:rPr>
        <w:t>Vzhľadom na obsah návrhu by bolo vhodnejšie uviesť aspoň kvalitatívne posúdenie potenciálnych pozitívnych a rizikových environmentálnych vplyvov. Ak predkladateľ ponechá</w:t>
      </w:r>
      <w:r>
        <w:rPr>
          <w:rFonts w:ascii="Arial" w:hAnsi="Arial" w:cs="Arial"/>
          <w:sz w:val="24"/>
        </w:rPr>
        <w:t xml:space="preserve"> označenie </w:t>
      </w:r>
      <w:r w:rsidRPr="00F20B03">
        <w:rPr>
          <w:rFonts w:ascii="Arial" w:hAnsi="Arial" w:cs="Arial"/>
          <w:sz w:val="24"/>
        </w:rPr>
        <w:t xml:space="preserve">„žiadne“, musí doplniť jasné </w:t>
      </w:r>
      <w:r w:rsidRPr="00F20B03">
        <w:rPr>
          <w:rFonts w:ascii="Arial" w:hAnsi="Arial" w:cs="Arial"/>
          <w:sz w:val="24"/>
        </w:rPr>
        <w:lastRenderedPageBreak/>
        <w:t>odôvodnenie, že návrh len administratívne zjednodušuje existujúce povinnosti bez zníženia úrovne ochrany životného prostredia.</w:t>
      </w:r>
    </w:p>
    <w:p w:rsidR="004155D9" w:rsidRDefault="004155D9" w:rsidP="004155D9">
      <w:pPr>
        <w:jc w:val="both"/>
        <w:rPr>
          <w:rStyle w:val="norm00e1lnychar1"/>
          <w:rFonts w:ascii="Arial" w:hAnsi="Arial" w:cs="Arial"/>
          <w:sz w:val="24"/>
          <w:szCs w:val="24"/>
        </w:rPr>
      </w:pPr>
      <w:r>
        <w:rPr>
          <w:rStyle w:val="norm00e1lnychar1"/>
          <w:rFonts w:ascii="Arial" w:hAnsi="Arial" w:cs="Arial"/>
          <w:b/>
          <w:bCs/>
          <w:sz w:val="24"/>
          <w:szCs w:val="24"/>
        </w:rPr>
        <w:t xml:space="preserve">III. Záver: </w:t>
      </w:r>
      <w:r>
        <w:rPr>
          <w:rStyle w:val="norm00e1lnychar1"/>
          <w:rFonts w:ascii="Arial" w:hAnsi="Arial" w:cs="Arial"/>
          <w:sz w:val="24"/>
          <w:szCs w:val="24"/>
        </w:rPr>
        <w:t xml:space="preserve">Stála pracovná komisia na posudzovanie vybraných vplyvov vyjadruje </w:t>
      </w:r>
    </w:p>
    <w:p w:rsidR="004155D9" w:rsidRDefault="004155D9" w:rsidP="004155D9">
      <w:pPr>
        <w:spacing w:line="240" w:lineRule="auto"/>
      </w:pPr>
    </w:p>
    <w:p w:rsidR="004155D9" w:rsidRDefault="004155D9" w:rsidP="004155D9">
      <w:pPr>
        <w:pStyle w:val="norm00e1lny"/>
        <w:spacing w:line="240" w:lineRule="atLeast"/>
        <w:jc w:val="center"/>
      </w:pPr>
      <w:r>
        <w:t> </w:t>
      </w:r>
      <w:r>
        <w:rPr>
          <w:rStyle w:val="norm00e1lnychar1"/>
          <w:rFonts w:ascii="Arial" w:hAnsi="Arial" w:cs="Arial"/>
          <w:b/>
          <w:bCs/>
          <w:sz w:val="24"/>
          <w:szCs w:val="24"/>
        </w:rPr>
        <w:t>súhlasné stanovisko s návrhom na dopracovanie</w:t>
      </w:r>
    </w:p>
    <w:p w:rsidR="004155D9" w:rsidRDefault="004155D9" w:rsidP="004155D9">
      <w:pPr>
        <w:pStyle w:val="norm00e1lny"/>
        <w:spacing w:line="240" w:lineRule="atLeast"/>
        <w:jc w:val="both"/>
        <w:rPr>
          <w:rStyle w:val="norm00e1lnychar1"/>
          <w:rFonts w:ascii="Arial" w:hAnsi="Arial" w:cs="Arial"/>
          <w:sz w:val="24"/>
          <w:szCs w:val="24"/>
        </w:rPr>
      </w:pPr>
    </w:p>
    <w:p w:rsidR="004155D9" w:rsidRDefault="004155D9" w:rsidP="004155D9">
      <w:pPr>
        <w:pStyle w:val="norm00e1lny"/>
        <w:spacing w:line="240" w:lineRule="atLeast"/>
        <w:jc w:val="both"/>
        <w:rPr>
          <w:rStyle w:val="norm00e1lnychar1"/>
          <w:rFonts w:ascii="Arial" w:hAnsi="Arial" w:cs="Arial"/>
          <w:sz w:val="24"/>
          <w:szCs w:val="24"/>
        </w:rPr>
      </w:pPr>
    </w:p>
    <w:p w:rsidR="004155D9" w:rsidRDefault="004155D9" w:rsidP="004155D9">
      <w:pPr>
        <w:pStyle w:val="norm00e1lny"/>
        <w:spacing w:line="240" w:lineRule="atLeast"/>
        <w:jc w:val="both"/>
      </w:pPr>
      <w:r>
        <w:rPr>
          <w:rStyle w:val="norm00e1lnychar1"/>
          <w:rFonts w:ascii="Arial" w:hAnsi="Arial" w:cs="Arial"/>
          <w:sz w:val="24"/>
          <w:szCs w:val="24"/>
        </w:rPr>
        <w:t>s materiálom predloženým na predbežné pripomienkové konanie s odporúčaním na jeho dopracovanie podľa pripomienok v bode II.</w:t>
      </w:r>
    </w:p>
    <w:p w:rsidR="004155D9" w:rsidRDefault="004155D9" w:rsidP="004155D9">
      <w:pPr>
        <w:pStyle w:val="norm00e1lny"/>
      </w:pPr>
    </w:p>
    <w:p w:rsidR="004155D9" w:rsidRDefault="004155D9" w:rsidP="004155D9">
      <w:pPr>
        <w:pStyle w:val="norm00e1lny"/>
        <w:spacing w:line="240" w:lineRule="atLeast"/>
        <w:jc w:val="both"/>
        <w:rPr>
          <w:rStyle w:val="z00e1kladn00fd0020textchar1"/>
          <w:rFonts w:ascii="Arial" w:eastAsia="Calibri" w:hAnsi="Arial" w:cs="Arial"/>
          <w:sz w:val="24"/>
          <w:szCs w:val="24"/>
        </w:rPr>
      </w:pPr>
      <w:r>
        <w:rPr>
          <w:rStyle w:val="norm00e1lnychar1"/>
          <w:rFonts w:ascii="Arial" w:hAnsi="Arial" w:cs="Arial"/>
          <w:b/>
          <w:bCs/>
          <w:sz w:val="24"/>
          <w:szCs w:val="24"/>
        </w:rPr>
        <w:t>IV. Poznámka:</w:t>
      </w:r>
      <w:r>
        <w:rPr>
          <w:rStyle w:val="norm00e1lnychar1"/>
          <w:rFonts w:ascii="Arial" w:hAnsi="Arial" w:cs="Arial"/>
          <w:sz w:val="24"/>
          <w:szCs w:val="24"/>
        </w:rPr>
        <w:t xml:space="preserve"> </w:t>
      </w:r>
      <w:r w:rsidRPr="00CD1D0E">
        <w:rPr>
          <w:rFonts w:ascii="Arial" w:hAnsi="Arial" w:cs="Arial"/>
          <w:sz w:val="24"/>
          <w:szCs w:val="24"/>
        </w:rPr>
        <w:t>Predkladateľ uvedie stanovisko Komisie do doložky vybraných vplyvov v časti 13. spolu s vyhodnotením pripomienok, ktoré sú uvedené v bode II.</w:t>
      </w:r>
    </w:p>
    <w:p w:rsidR="004155D9" w:rsidRDefault="004155D9" w:rsidP="004155D9">
      <w:pPr>
        <w:spacing w:line="240" w:lineRule="auto"/>
        <w:jc w:val="both"/>
        <w:rPr>
          <w:rFonts w:ascii="Arial" w:hAnsi="Arial" w:cs="Arial"/>
          <w:sz w:val="24"/>
          <w:szCs w:val="24"/>
          <w:lang w:eastAsia="sk-SK"/>
        </w:rPr>
      </w:pPr>
    </w:p>
    <w:p w:rsidR="004155D9" w:rsidRPr="0054109F" w:rsidRDefault="004155D9" w:rsidP="004155D9">
      <w:pPr>
        <w:spacing w:line="240" w:lineRule="auto"/>
        <w:jc w:val="both"/>
        <w:rPr>
          <w:rFonts w:ascii="Arial" w:hAnsi="Arial" w:cs="Arial"/>
          <w:sz w:val="24"/>
          <w:szCs w:val="24"/>
          <w:lang w:eastAsia="sk-SK"/>
        </w:rPr>
      </w:pPr>
    </w:p>
    <w:p w:rsidR="004155D9" w:rsidRPr="00706161" w:rsidRDefault="004155D9" w:rsidP="004155D9">
      <w:pPr>
        <w:spacing w:line="240" w:lineRule="auto"/>
        <w:jc w:val="right"/>
        <w:rPr>
          <w:rFonts w:ascii="Arial" w:hAnsi="Arial" w:cs="Arial"/>
          <w:b/>
          <w:bCs/>
          <w:sz w:val="24"/>
          <w:szCs w:val="24"/>
        </w:rPr>
      </w:pPr>
      <w:r w:rsidRPr="00706161">
        <w:rPr>
          <w:rFonts w:ascii="Arial" w:hAnsi="Arial" w:cs="Arial"/>
          <w:b/>
          <w:bCs/>
          <w:sz w:val="24"/>
          <w:szCs w:val="24"/>
        </w:rPr>
        <w:t xml:space="preserve">Mgr., PhDr. Vladimír </w:t>
      </w:r>
      <w:proofErr w:type="spellStart"/>
      <w:r w:rsidRPr="00706161">
        <w:rPr>
          <w:rFonts w:ascii="Arial" w:hAnsi="Arial" w:cs="Arial"/>
          <w:b/>
          <w:bCs/>
          <w:sz w:val="24"/>
          <w:szCs w:val="24"/>
        </w:rPr>
        <w:t>Šimoňák</w:t>
      </w:r>
      <w:proofErr w:type="spellEnd"/>
      <w:r w:rsidRPr="00706161">
        <w:rPr>
          <w:rFonts w:ascii="Arial" w:hAnsi="Arial" w:cs="Arial"/>
          <w:b/>
          <w:bCs/>
          <w:sz w:val="24"/>
          <w:szCs w:val="24"/>
        </w:rPr>
        <w:t>, PhD.</w:t>
      </w:r>
    </w:p>
    <w:p w:rsidR="004155D9" w:rsidRDefault="004155D9" w:rsidP="004155D9">
      <w:pPr>
        <w:tabs>
          <w:tab w:val="center" w:pos="6379"/>
        </w:tabs>
        <w:ind w:right="-2"/>
        <w:rPr>
          <w:rFonts w:ascii="Arial" w:hAnsi="Arial" w:cs="Arial"/>
          <w:b/>
          <w:bCs/>
          <w:sz w:val="24"/>
          <w:szCs w:val="24"/>
        </w:rPr>
      </w:pPr>
      <w:r>
        <w:rPr>
          <w:rFonts w:ascii="Arial" w:hAnsi="Arial" w:cs="Arial"/>
          <w:bCs/>
          <w:sz w:val="24"/>
          <w:szCs w:val="24"/>
        </w:rPr>
        <w:t xml:space="preserve">                                                                                              predseda Komisie</w:t>
      </w:r>
    </w:p>
    <w:p w:rsidR="00A669D2" w:rsidRPr="00A669D2" w:rsidRDefault="00A669D2">
      <w:pPr>
        <w:rPr>
          <w:rFonts w:ascii="Times New Roman" w:hAnsi="Times New Roman" w:cs="Times New Roman"/>
        </w:rPr>
      </w:pPr>
    </w:p>
    <w:sectPr w:rsidR="00A669D2" w:rsidRPr="00A669D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793" w:rsidRDefault="00B57793" w:rsidP="00C615AF">
      <w:pPr>
        <w:spacing w:after="0" w:line="240" w:lineRule="auto"/>
      </w:pPr>
      <w:r>
        <w:separator/>
      </w:r>
    </w:p>
  </w:endnote>
  <w:endnote w:type="continuationSeparator" w:id="0">
    <w:p w:rsidR="00B57793" w:rsidRDefault="00B57793" w:rsidP="00C61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793" w:rsidRDefault="00B57793" w:rsidP="00C615AF">
      <w:pPr>
        <w:spacing w:after="0" w:line="240" w:lineRule="auto"/>
      </w:pPr>
      <w:r>
        <w:separator/>
      </w:r>
    </w:p>
  </w:footnote>
  <w:footnote w:type="continuationSeparator" w:id="0">
    <w:p w:rsidR="00B57793" w:rsidRDefault="00B57793" w:rsidP="00C615AF">
      <w:pPr>
        <w:spacing w:after="0" w:line="240" w:lineRule="auto"/>
      </w:pPr>
      <w:r>
        <w:continuationSeparator/>
      </w:r>
    </w:p>
  </w:footnote>
  <w:footnote w:id="1">
    <w:p w:rsidR="00C615AF" w:rsidRPr="003C0FA2" w:rsidRDefault="00C615AF" w:rsidP="00C615AF">
      <w:pPr>
        <w:pStyle w:val="Textpoznmkypodiarou"/>
      </w:pPr>
      <w:r w:rsidRPr="003C0FA2">
        <w:rPr>
          <w:rStyle w:val="Odkaznapoznmkupodiarou"/>
        </w:rPr>
        <w:footnoteRef/>
      </w:r>
      <w:r w:rsidRPr="003C0FA2">
        <w:tab/>
      </w:r>
      <w:proofErr w:type="spellStart"/>
      <w:r w:rsidRPr="003C0FA2">
        <w:t>Smernica</w:t>
      </w:r>
      <w:proofErr w:type="spellEnd"/>
      <w:r w:rsidRPr="003C0FA2">
        <w:t xml:space="preserve"> </w:t>
      </w:r>
      <w:proofErr w:type="spellStart"/>
      <w:r w:rsidRPr="003C0FA2">
        <w:t>Európskeho</w:t>
      </w:r>
      <w:proofErr w:type="spellEnd"/>
      <w:r w:rsidRPr="003C0FA2">
        <w:t xml:space="preserve"> </w:t>
      </w:r>
      <w:proofErr w:type="spellStart"/>
      <w:r w:rsidRPr="003C0FA2">
        <w:t>parlamentu</w:t>
      </w:r>
      <w:proofErr w:type="spellEnd"/>
      <w:r w:rsidRPr="003C0FA2">
        <w:t xml:space="preserve"> a </w:t>
      </w:r>
      <w:proofErr w:type="spellStart"/>
      <w:r w:rsidRPr="003C0FA2">
        <w:t>Rady</w:t>
      </w:r>
      <w:proofErr w:type="spellEnd"/>
      <w:r w:rsidRPr="003C0FA2">
        <w:t xml:space="preserve"> 2008/98/ES z 19. </w:t>
      </w:r>
      <w:proofErr w:type="spellStart"/>
      <w:proofErr w:type="gramStart"/>
      <w:r w:rsidRPr="003C0FA2">
        <w:t>novembra</w:t>
      </w:r>
      <w:proofErr w:type="spellEnd"/>
      <w:proofErr w:type="gramEnd"/>
      <w:r w:rsidRPr="003C0FA2">
        <w:t xml:space="preserve"> 2008 o </w:t>
      </w:r>
      <w:proofErr w:type="spellStart"/>
      <w:r w:rsidRPr="003C0FA2">
        <w:t>odpade</w:t>
      </w:r>
      <w:proofErr w:type="spellEnd"/>
      <w:r w:rsidRPr="003C0FA2">
        <w:t xml:space="preserve"> a o </w:t>
      </w:r>
      <w:proofErr w:type="spellStart"/>
      <w:r w:rsidRPr="003C0FA2">
        <w:t>zrušení</w:t>
      </w:r>
      <w:proofErr w:type="spellEnd"/>
      <w:r w:rsidRPr="003C0FA2">
        <w:t xml:space="preserve"> </w:t>
      </w:r>
      <w:proofErr w:type="spellStart"/>
      <w:r w:rsidRPr="003C0FA2">
        <w:t>určitých</w:t>
      </w:r>
      <w:proofErr w:type="spellEnd"/>
      <w:r w:rsidRPr="003C0FA2">
        <w:t xml:space="preserve"> </w:t>
      </w:r>
      <w:proofErr w:type="spellStart"/>
      <w:r w:rsidRPr="003C0FA2">
        <w:t>smerníc</w:t>
      </w:r>
      <w:proofErr w:type="spellEnd"/>
      <w:r w:rsidRPr="003C0FA2">
        <w:t xml:space="preserve"> (Ú. v. EÚ L 312, 22.11.2008, s. 3).</w:t>
      </w:r>
    </w:p>
  </w:footnote>
  <w:footnote w:id="2">
    <w:p w:rsidR="00C615AF" w:rsidRPr="003C0FA2" w:rsidRDefault="00C615AF" w:rsidP="00C615AF">
      <w:pPr>
        <w:pStyle w:val="Textpoznmkypodiarou"/>
      </w:pPr>
      <w:r w:rsidRPr="003C0FA2">
        <w:rPr>
          <w:rStyle w:val="Odkaznapoznmkupodiarou"/>
        </w:rPr>
        <w:footnoteRef/>
      </w:r>
      <w:r w:rsidRPr="003C0FA2">
        <w:tab/>
      </w:r>
      <w:proofErr w:type="spellStart"/>
      <w:r w:rsidRPr="003C0FA2">
        <w:t>Smernica</w:t>
      </w:r>
      <w:proofErr w:type="spellEnd"/>
      <w:r w:rsidRPr="003C0FA2">
        <w:t xml:space="preserve"> </w:t>
      </w:r>
      <w:proofErr w:type="spellStart"/>
      <w:r w:rsidRPr="003C0FA2">
        <w:t>Európskeho</w:t>
      </w:r>
      <w:proofErr w:type="spellEnd"/>
      <w:r w:rsidRPr="003C0FA2">
        <w:t xml:space="preserve"> </w:t>
      </w:r>
      <w:proofErr w:type="spellStart"/>
      <w:r w:rsidRPr="003C0FA2">
        <w:t>parlamentu</w:t>
      </w:r>
      <w:proofErr w:type="spellEnd"/>
      <w:r w:rsidRPr="003C0FA2">
        <w:t xml:space="preserve"> a </w:t>
      </w:r>
      <w:proofErr w:type="spellStart"/>
      <w:r w:rsidRPr="003C0FA2">
        <w:t>Rady</w:t>
      </w:r>
      <w:proofErr w:type="spellEnd"/>
      <w:r w:rsidRPr="003C0FA2">
        <w:t xml:space="preserve"> 2010/75/EÚ z 24. </w:t>
      </w:r>
      <w:proofErr w:type="spellStart"/>
      <w:proofErr w:type="gramStart"/>
      <w:r w:rsidRPr="003C0FA2">
        <w:t>novembra</w:t>
      </w:r>
      <w:proofErr w:type="spellEnd"/>
      <w:proofErr w:type="gramEnd"/>
      <w:r w:rsidRPr="003C0FA2">
        <w:t xml:space="preserve"> 2010 o </w:t>
      </w:r>
      <w:proofErr w:type="spellStart"/>
      <w:r w:rsidRPr="003C0FA2">
        <w:t>emisiách</w:t>
      </w:r>
      <w:proofErr w:type="spellEnd"/>
      <w:r w:rsidRPr="003C0FA2">
        <w:t xml:space="preserve"> z </w:t>
      </w:r>
      <w:proofErr w:type="spellStart"/>
      <w:r w:rsidRPr="003C0FA2">
        <w:t>priemyslu</w:t>
      </w:r>
      <w:proofErr w:type="spellEnd"/>
      <w:r w:rsidRPr="003C0FA2">
        <w:t xml:space="preserve"> a </w:t>
      </w:r>
      <w:proofErr w:type="spellStart"/>
      <w:r w:rsidRPr="003C0FA2">
        <w:t>chovu</w:t>
      </w:r>
      <w:proofErr w:type="spellEnd"/>
      <w:r w:rsidRPr="003C0FA2">
        <w:t xml:space="preserve"> </w:t>
      </w:r>
      <w:proofErr w:type="spellStart"/>
      <w:r w:rsidRPr="003C0FA2">
        <w:t>hospodárskych</w:t>
      </w:r>
      <w:proofErr w:type="spellEnd"/>
      <w:r w:rsidRPr="003C0FA2">
        <w:t xml:space="preserve"> </w:t>
      </w:r>
      <w:proofErr w:type="spellStart"/>
      <w:r w:rsidRPr="003C0FA2">
        <w:t>zvierat</w:t>
      </w:r>
      <w:proofErr w:type="spellEnd"/>
      <w:r w:rsidRPr="003C0FA2">
        <w:t xml:space="preserve"> (</w:t>
      </w:r>
      <w:proofErr w:type="spellStart"/>
      <w:r w:rsidRPr="003C0FA2">
        <w:t>integrovaná</w:t>
      </w:r>
      <w:proofErr w:type="spellEnd"/>
      <w:r w:rsidRPr="003C0FA2">
        <w:t xml:space="preserve"> </w:t>
      </w:r>
      <w:proofErr w:type="spellStart"/>
      <w:r w:rsidRPr="003C0FA2">
        <w:t>prevencia</w:t>
      </w:r>
      <w:proofErr w:type="spellEnd"/>
      <w:r w:rsidRPr="003C0FA2">
        <w:t xml:space="preserve"> a </w:t>
      </w:r>
      <w:proofErr w:type="spellStart"/>
      <w:r w:rsidRPr="003C0FA2">
        <w:t>kontrola</w:t>
      </w:r>
      <w:proofErr w:type="spellEnd"/>
      <w:r w:rsidRPr="003C0FA2">
        <w:t xml:space="preserve"> </w:t>
      </w:r>
      <w:proofErr w:type="spellStart"/>
      <w:r w:rsidRPr="003C0FA2">
        <w:t>znečisťovania</w:t>
      </w:r>
      <w:proofErr w:type="spellEnd"/>
      <w:r w:rsidRPr="003C0FA2">
        <w:t xml:space="preserve"> </w:t>
      </w:r>
      <w:proofErr w:type="spellStart"/>
      <w:r w:rsidRPr="003C0FA2">
        <w:t>životného</w:t>
      </w:r>
      <w:proofErr w:type="spellEnd"/>
      <w:r w:rsidRPr="003C0FA2">
        <w:t xml:space="preserve"> </w:t>
      </w:r>
      <w:proofErr w:type="spellStart"/>
      <w:r w:rsidRPr="003C0FA2">
        <w:t>prostredia</w:t>
      </w:r>
      <w:proofErr w:type="spellEnd"/>
      <w:r w:rsidRPr="003C0FA2">
        <w:t>) (</w:t>
      </w:r>
      <w:proofErr w:type="spellStart"/>
      <w:r w:rsidRPr="003C0FA2">
        <w:t>prepracované</w:t>
      </w:r>
      <w:proofErr w:type="spellEnd"/>
      <w:r w:rsidRPr="003C0FA2">
        <w:t xml:space="preserve"> </w:t>
      </w:r>
      <w:proofErr w:type="spellStart"/>
      <w:r w:rsidRPr="003C0FA2">
        <w:t>znenie</w:t>
      </w:r>
      <w:proofErr w:type="spellEnd"/>
      <w:r w:rsidRPr="003C0FA2">
        <w:t xml:space="preserve">), </w:t>
      </w:r>
      <w:proofErr w:type="spellStart"/>
      <w:r w:rsidRPr="003C0FA2">
        <w:t>naposledy</w:t>
      </w:r>
      <w:proofErr w:type="spellEnd"/>
      <w:r w:rsidRPr="003C0FA2">
        <w:t xml:space="preserve"> </w:t>
      </w:r>
      <w:proofErr w:type="spellStart"/>
      <w:r w:rsidRPr="003C0FA2">
        <w:t>zmenená</w:t>
      </w:r>
      <w:proofErr w:type="spellEnd"/>
      <w:r w:rsidRPr="003C0FA2">
        <w:t xml:space="preserve"> </w:t>
      </w:r>
      <w:proofErr w:type="spellStart"/>
      <w:r w:rsidRPr="003C0FA2">
        <w:t>smernicou</w:t>
      </w:r>
      <w:proofErr w:type="spellEnd"/>
      <w:r w:rsidRPr="003C0FA2">
        <w:t xml:space="preserve"> </w:t>
      </w:r>
      <w:proofErr w:type="spellStart"/>
      <w:r w:rsidRPr="003C0FA2">
        <w:t>Európskeho</w:t>
      </w:r>
      <w:proofErr w:type="spellEnd"/>
      <w:r w:rsidRPr="003C0FA2">
        <w:t xml:space="preserve"> </w:t>
      </w:r>
      <w:proofErr w:type="spellStart"/>
      <w:r w:rsidRPr="003C0FA2">
        <w:t>parlamentu</w:t>
      </w:r>
      <w:proofErr w:type="spellEnd"/>
      <w:r w:rsidRPr="003C0FA2">
        <w:t xml:space="preserve"> a </w:t>
      </w:r>
      <w:proofErr w:type="spellStart"/>
      <w:r w:rsidRPr="003C0FA2">
        <w:t>Rady</w:t>
      </w:r>
      <w:proofErr w:type="spellEnd"/>
      <w:r w:rsidRPr="003C0FA2">
        <w:t xml:space="preserve"> (EÚ) 2024/1785 24. </w:t>
      </w:r>
      <w:proofErr w:type="spellStart"/>
      <w:proofErr w:type="gramStart"/>
      <w:r w:rsidRPr="003C0FA2">
        <w:t>apríla</w:t>
      </w:r>
      <w:proofErr w:type="spellEnd"/>
      <w:proofErr w:type="gramEnd"/>
      <w:r w:rsidRPr="003C0FA2">
        <w:t xml:space="preserve"> 2024 (Ú. v. EÚ L, 2024/1785, 15.7.2024).</w:t>
      </w:r>
    </w:p>
  </w:footnote>
  <w:footnote w:id="3">
    <w:p w:rsidR="00C615AF" w:rsidRPr="0057781C" w:rsidRDefault="00C615AF" w:rsidP="00C615AF">
      <w:pPr>
        <w:pStyle w:val="Textpoznmkypodiarou"/>
      </w:pPr>
      <w:r w:rsidRPr="003C0FA2">
        <w:rPr>
          <w:rStyle w:val="Odkaznapoznmkupodiarou"/>
        </w:rPr>
        <w:footnoteRef/>
      </w:r>
      <w:r w:rsidRPr="003C0FA2">
        <w:tab/>
      </w:r>
      <w:proofErr w:type="spellStart"/>
      <w:r w:rsidRPr="003C0FA2">
        <w:t>Smernica</w:t>
      </w:r>
      <w:proofErr w:type="spellEnd"/>
      <w:r w:rsidRPr="003C0FA2">
        <w:t xml:space="preserve"> </w:t>
      </w:r>
      <w:proofErr w:type="spellStart"/>
      <w:r w:rsidRPr="003C0FA2">
        <w:t>Európskeho</w:t>
      </w:r>
      <w:proofErr w:type="spellEnd"/>
      <w:r w:rsidRPr="003C0FA2">
        <w:t xml:space="preserve"> </w:t>
      </w:r>
      <w:proofErr w:type="spellStart"/>
      <w:r w:rsidRPr="003C0FA2">
        <w:t>parlamentu</w:t>
      </w:r>
      <w:proofErr w:type="spellEnd"/>
      <w:r w:rsidRPr="003C0FA2">
        <w:t xml:space="preserve"> a </w:t>
      </w:r>
      <w:proofErr w:type="spellStart"/>
      <w:r w:rsidRPr="003C0FA2">
        <w:t>Rady</w:t>
      </w:r>
      <w:proofErr w:type="spellEnd"/>
      <w:r w:rsidRPr="003C0FA2">
        <w:t xml:space="preserve"> (EÚ) 2015/2193 z 25. </w:t>
      </w:r>
      <w:proofErr w:type="spellStart"/>
      <w:proofErr w:type="gramStart"/>
      <w:r w:rsidRPr="003C0FA2">
        <w:t>novembra</w:t>
      </w:r>
      <w:proofErr w:type="spellEnd"/>
      <w:proofErr w:type="gramEnd"/>
      <w:r w:rsidRPr="003C0FA2">
        <w:t xml:space="preserve"> 2015 o </w:t>
      </w:r>
      <w:proofErr w:type="spellStart"/>
      <w:r w:rsidRPr="003C0FA2">
        <w:t>obmedzení</w:t>
      </w:r>
      <w:proofErr w:type="spellEnd"/>
      <w:r w:rsidRPr="003C0FA2">
        <w:t xml:space="preserve"> </w:t>
      </w:r>
      <w:proofErr w:type="spellStart"/>
      <w:r w:rsidRPr="003C0FA2">
        <w:t>emisií</w:t>
      </w:r>
      <w:proofErr w:type="spellEnd"/>
      <w:r w:rsidRPr="003C0FA2">
        <w:t xml:space="preserve"> </w:t>
      </w:r>
      <w:proofErr w:type="spellStart"/>
      <w:r w:rsidRPr="003C0FA2">
        <w:t>určitých</w:t>
      </w:r>
      <w:proofErr w:type="spellEnd"/>
      <w:r w:rsidRPr="003C0FA2">
        <w:t xml:space="preserve"> </w:t>
      </w:r>
      <w:proofErr w:type="spellStart"/>
      <w:r w:rsidRPr="003C0FA2">
        <w:t>znečisťujúcich</w:t>
      </w:r>
      <w:proofErr w:type="spellEnd"/>
      <w:r w:rsidRPr="003C0FA2">
        <w:t xml:space="preserve"> </w:t>
      </w:r>
      <w:proofErr w:type="spellStart"/>
      <w:r w:rsidRPr="003C0FA2">
        <w:t>látok</w:t>
      </w:r>
      <w:proofErr w:type="spellEnd"/>
      <w:r w:rsidRPr="003C0FA2">
        <w:t xml:space="preserve"> do </w:t>
      </w:r>
      <w:proofErr w:type="spellStart"/>
      <w:r w:rsidRPr="003C0FA2">
        <w:t>ovzdušia</w:t>
      </w:r>
      <w:proofErr w:type="spellEnd"/>
      <w:r w:rsidRPr="003C0FA2">
        <w:t xml:space="preserve"> zo </w:t>
      </w:r>
      <w:proofErr w:type="spellStart"/>
      <w:r w:rsidRPr="003C0FA2">
        <w:t>stredne</w:t>
      </w:r>
      <w:proofErr w:type="spellEnd"/>
      <w:r w:rsidRPr="003C0FA2">
        <w:t xml:space="preserve"> </w:t>
      </w:r>
      <w:proofErr w:type="spellStart"/>
      <w:r w:rsidRPr="003C0FA2">
        <w:t>veľkých</w:t>
      </w:r>
      <w:proofErr w:type="spellEnd"/>
      <w:r w:rsidRPr="003C0FA2">
        <w:t xml:space="preserve"> </w:t>
      </w:r>
      <w:proofErr w:type="spellStart"/>
      <w:r w:rsidRPr="003C0FA2">
        <w:t>spaľovacích</w:t>
      </w:r>
      <w:proofErr w:type="spellEnd"/>
      <w:r w:rsidRPr="003C0FA2">
        <w:t xml:space="preserve"> </w:t>
      </w:r>
      <w:proofErr w:type="spellStart"/>
      <w:r w:rsidRPr="003C0FA2">
        <w:t>zariadení</w:t>
      </w:r>
      <w:proofErr w:type="spellEnd"/>
      <w:r w:rsidRPr="003C0FA2">
        <w:t xml:space="preserve"> (Ú. v. EÚ L 313, 28.11.2015).</w:t>
      </w:r>
    </w:p>
  </w:footnote>
  <w:footnote w:id="4">
    <w:p w:rsidR="00C615AF" w:rsidRPr="003C0FA2" w:rsidRDefault="00C615AF" w:rsidP="00C615AF">
      <w:pPr>
        <w:pStyle w:val="Textpoznmkypodiarou"/>
      </w:pPr>
      <w:r w:rsidRPr="003C0FA2">
        <w:rPr>
          <w:rStyle w:val="Odkaznapoznmkupodiarou"/>
        </w:rPr>
        <w:footnoteRef/>
      </w:r>
      <w:r w:rsidRPr="003C0FA2">
        <w:tab/>
      </w:r>
      <w:proofErr w:type="spellStart"/>
      <w:r w:rsidRPr="003C0FA2">
        <w:t>Smernica</w:t>
      </w:r>
      <w:proofErr w:type="spellEnd"/>
      <w:r w:rsidRPr="003C0FA2">
        <w:t xml:space="preserve"> </w:t>
      </w:r>
      <w:proofErr w:type="spellStart"/>
      <w:r w:rsidRPr="003C0FA2">
        <w:t>Európskeho</w:t>
      </w:r>
      <w:proofErr w:type="spellEnd"/>
      <w:r w:rsidRPr="003C0FA2">
        <w:t xml:space="preserve"> </w:t>
      </w:r>
      <w:proofErr w:type="spellStart"/>
      <w:r w:rsidRPr="003C0FA2">
        <w:t>parlamentu</w:t>
      </w:r>
      <w:proofErr w:type="spellEnd"/>
      <w:r w:rsidRPr="003C0FA2">
        <w:t xml:space="preserve"> a </w:t>
      </w:r>
      <w:proofErr w:type="spellStart"/>
      <w:r w:rsidRPr="003C0FA2">
        <w:t>Rady</w:t>
      </w:r>
      <w:proofErr w:type="spellEnd"/>
      <w:r w:rsidRPr="003C0FA2">
        <w:t xml:space="preserve"> (EÚ) 2024/1785 z 24. </w:t>
      </w:r>
      <w:proofErr w:type="spellStart"/>
      <w:proofErr w:type="gramStart"/>
      <w:r w:rsidRPr="003C0FA2">
        <w:t>apríla</w:t>
      </w:r>
      <w:proofErr w:type="spellEnd"/>
      <w:proofErr w:type="gramEnd"/>
      <w:r w:rsidRPr="003C0FA2">
        <w:t xml:space="preserve"> 2024, </w:t>
      </w:r>
      <w:proofErr w:type="spellStart"/>
      <w:r w:rsidRPr="003C0FA2">
        <w:t>ktorou</w:t>
      </w:r>
      <w:proofErr w:type="spellEnd"/>
      <w:r w:rsidRPr="003C0FA2">
        <w:t xml:space="preserve"> </w:t>
      </w:r>
      <w:proofErr w:type="spellStart"/>
      <w:r w:rsidRPr="003C0FA2">
        <w:t>sa</w:t>
      </w:r>
      <w:proofErr w:type="spellEnd"/>
      <w:r w:rsidRPr="003C0FA2">
        <w:t xml:space="preserve"> </w:t>
      </w:r>
      <w:proofErr w:type="spellStart"/>
      <w:r w:rsidRPr="003C0FA2">
        <w:t>mení</w:t>
      </w:r>
      <w:proofErr w:type="spellEnd"/>
      <w:r w:rsidRPr="003C0FA2">
        <w:t xml:space="preserve"> </w:t>
      </w:r>
      <w:proofErr w:type="spellStart"/>
      <w:r w:rsidRPr="003C0FA2">
        <w:t>smernica</w:t>
      </w:r>
      <w:proofErr w:type="spellEnd"/>
      <w:r w:rsidRPr="003C0FA2">
        <w:t xml:space="preserve"> </w:t>
      </w:r>
      <w:proofErr w:type="spellStart"/>
      <w:r w:rsidRPr="003C0FA2">
        <w:t>Európskeho</w:t>
      </w:r>
      <w:proofErr w:type="spellEnd"/>
      <w:r w:rsidRPr="003C0FA2">
        <w:t xml:space="preserve"> </w:t>
      </w:r>
      <w:proofErr w:type="spellStart"/>
      <w:r w:rsidRPr="003C0FA2">
        <w:t>parlamentu</w:t>
      </w:r>
      <w:proofErr w:type="spellEnd"/>
      <w:r w:rsidRPr="003C0FA2">
        <w:t xml:space="preserve"> a </w:t>
      </w:r>
      <w:proofErr w:type="spellStart"/>
      <w:r w:rsidRPr="003C0FA2">
        <w:t>Rady</w:t>
      </w:r>
      <w:proofErr w:type="spellEnd"/>
      <w:r w:rsidRPr="003C0FA2">
        <w:t xml:space="preserve"> 2010/75/EÚ o </w:t>
      </w:r>
      <w:proofErr w:type="spellStart"/>
      <w:r w:rsidRPr="003C0FA2">
        <w:t>priemyselných</w:t>
      </w:r>
      <w:proofErr w:type="spellEnd"/>
      <w:r w:rsidRPr="003C0FA2">
        <w:t xml:space="preserve"> </w:t>
      </w:r>
      <w:proofErr w:type="spellStart"/>
      <w:r w:rsidRPr="003C0FA2">
        <w:t>emisiách</w:t>
      </w:r>
      <w:proofErr w:type="spellEnd"/>
      <w:r w:rsidRPr="003C0FA2">
        <w:t xml:space="preserve"> (</w:t>
      </w:r>
      <w:proofErr w:type="spellStart"/>
      <w:r w:rsidRPr="003C0FA2">
        <w:t>integrovaná</w:t>
      </w:r>
      <w:proofErr w:type="spellEnd"/>
      <w:r w:rsidRPr="003C0FA2">
        <w:t xml:space="preserve"> </w:t>
      </w:r>
      <w:proofErr w:type="spellStart"/>
      <w:r w:rsidRPr="003C0FA2">
        <w:t>prevencia</w:t>
      </w:r>
      <w:proofErr w:type="spellEnd"/>
      <w:r w:rsidRPr="003C0FA2">
        <w:t xml:space="preserve"> a </w:t>
      </w:r>
      <w:proofErr w:type="spellStart"/>
      <w:r w:rsidRPr="003C0FA2">
        <w:t>kontrola</w:t>
      </w:r>
      <w:proofErr w:type="spellEnd"/>
      <w:r w:rsidRPr="003C0FA2">
        <w:t xml:space="preserve"> </w:t>
      </w:r>
      <w:proofErr w:type="spellStart"/>
      <w:r w:rsidRPr="003C0FA2">
        <w:t>znečisťovania</w:t>
      </w:r>
      <w:proofErr w:type="spellEnd"/>
      <w:r w:rsidRPr="003C0FA2">
        <w:t xml:space="preserve"> </w:t>
      </w:r>
      <w:proofErr w:type="spellStart"/>
      <w:r w:rsidRPr="003C0FA2">
        <w:t>životného</w:t>
      </w:r>
      <w:proofErr w:type="spellEnd"/>
      <w:r w:rsidRPr="003C0FA2">
        <w:t xml:space="preserve"> </w:t>
      </w:r>
      <w:proofErr w:type="spellStart"/>
      <w:r w:rsidRPr="003C0FA2">
        <w:t>prostredia</w:t>
      </w:r>
      <w:proofErr w:type="spellEnd"/>
      <w:r w:rsidRPr="003C0FA2">
        <w:t>) (Ú. v. EÚ L, 2024/1785, 15.7.2024).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ind w:left="720" w:hanging="360"/>
      </w:pPr>
      <w:rPr>
        <w:rFonts w:eastAsia="Times New Roman" w:hAnsi="Times New Roman" w:cs="Times New Roman"/>
        <w:b/>
        <w:bCs/>
        <w:sz w:val="24"/>
        <w:szCs w:val="24"/>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00000002"/>
    <w:multiLevelType w:val="multilevel"/>
    <w:tmpl w:val="00000002"/>
    <w:name w:val="WW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195166F9"/>
    <w:multiLevelType w:val="hybridMultilevel"/>
    <w:tmpl w:val="ACB64066"/>
    <w:lvl w:ilvl="0" w:tplc="BFFCD608">
      <w:start w:val="24"/>
      <w:numFmt w:val="bullet"/>
      <w:lvlText w:val="-"/>
      <w:lvlJc w:val="left"/>
      <w:pPr>
        <w:ind w:left="530" w:hanging="360"/>
      </w:pPr>
      <w:rPr>
        <w:rFonts w:ascii="Times New Roman" w:eastAsia="Times New Roman" w:hAnsi="Times New Roman" w:cs="Times New Roman" w:hint="default"/>
      </w:rPr>
    </w:lvl>
    <w:lvl w:ilvl="1" w:tplc="041B0003" w:tentative="1">
      <w:start w:val="1"/>
      <w:numFmt w:val="bullet"/>
      <w:lvlText w:val="o"/>
      <w:lvlJc w:val="left"/>
      <w:pPr>
        <w:ind w:left="1250" w:hanging="360"/>
      </w:pPr>
      <w:rPr>
        <w:rFonts w:ascii="Courier New" w:hAnsi="Courier New" w:cs="Courier New" w:hint="default"/>
      </w:rPr>
    </w:lvl>
    <w:lvl w:ilvl="2" w:tplc="041B0005" w:tentative="1">
      <w:start w:val="1"/>
      <w:numFmt w:val="bullet"/>
      <w:lvlText w:val=""/>
      <w:lvlJc w:val="left"/>
      <w:pPr>
        <w:ind w:left="1970" w:hanging="360"/>
      </w:pPr>
      <w:rPr>
        <w:rFonts w:ascii="Wingdings" w:hAnsi="Wingdings" w:hint="default"/>
      </w:rPr>
    </w:lvl>
    <w:lvl w:ilvl="3" w:tplc="041B0001" w:tentative="1">
      <w:start w:val="1"/>
      <w:numFmt w:val="bullet"/>
      <w:lvlText w:val=""/>
      <w:lvlJc w:val="left"/>
      <w:pPr>
        <w:ind w:left="2690" w:hanging="360"/>
      </w:pPr>
      <w:rPr>
        <w:rFonts w:ascii="Symbol" w:hAnsi="Symbol" w:hint="default"/>
      </w:rPr>
    </w:lvl>
    <w:lvl w:ilvl="4" w:tplc="041B0003" w:tentative="1">
      <w:start w:val="1"/>
      <w:numFmt w:val="bullet"/>
      <w:lvlText w:val="o"/>
      <w:lvlJc w:val="left"/>
      <w:pPr>
        <w:ind w:left="3410" w:hanging="360"/>
      </w:pPr>
      <w:rPr>
        <w:rFonts w:ascii="Courier New" w:hAnsi="Courier New" w:cs="Courier New" w:hint="default"/>
      </w:rPr>
    </w:lvl>
    <w:lvl w:ilvl="5" w:tplc="041B0005" w:tentative="1">
      <w:start w:val="1"/>
      <w:numFmt w:val="bullet"/>
      <w:lvlText w:val=""/>
      <w:lvlJc w:val="left"/>
      <w:pPr>
        <w:ind w:left="4130" w:hanging="360"/>
      </w:pPr>
      <w:rPr>
        <w:rFonts w:ascii="Wingdings" w:hAnsi="Wingdings" w:hint="default"/>
      </w:rPr>
    </w:lvl>
    <w:lvl w:ilvl="6" w:tplc="041B0001" w:tentative="1">
      <w:start w:val="1"/>
      <w:numFmt w:val="bullet"/>
      <w:lvlText w:val=""/>
      <w:lvlJc w:val="left"/>
      <w:pPr>
        <w:ind w:left="4850" w:hanging="360"/>
      </w:pPr>
      <w:rPr>
        <w:rFonts w:ascii="Symbol" w:hAnsi="Symbol" w:hint="default"/>
      </w:rPr>
    </w:lvl>
    <w:lvl w:ilvl="7" w:tplc="041B0003" w:tentative="1">
      <w:start w:val="1"/>
      <w:numFmt w:val="bullet"/>
      <w:lvlText w:val="o"/>
      <w:lvlJc w:val="left"/>
      <w:pPr>
        <w:ind w:left="5570" w:hanging="360"/>
      </w:pPr>
      <w:rPr>
        <w:rFonts w:ascii="Courier New" w:hAnsi="Courier New" w:cs="Courier New" w:hint="default"/>
      </w:rPr>
    </w:lvl>
    <w:lvl w:ilvl="8" w:tplc="041B0005" w:tentative="1">
      <w:start w:val="1"/>
      <w:numFmt w:val="bullet"/>
      <w:lvlText w:val=""/>
      <w:lvlJc w:val="left"/>
      <w:pPr>
        <w:ind w:left="6290" w:hanging="360"/>
      </w:pPr>
      <w:rPr>
        <w:rFonts w:ascii="Wingdings" w:hAnsi="Wingdings" w:hint="default"/>
      </w:rPr>
    </w:lvl>
  </w:abstractNum>
  <w:abstractNum w:abstractNumId="3" w15:restartNumberingAfterBreak="0">
    <w:nsid w:val="20336BC3"/>
    <w:multiLevelType w:val="hybridMultilevel"/>
    <w:tmpl w:val="F5347D5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3C9438CE"/>
    <w:multiLevelType w:val="hybridMultilevel"/>
    <w:tmpl w:val="13E83206"/>
    <w:lvl w:ilvl="0" w:tplc="86DADF1E">
      <w:start w:val="1"/>
      <w:numFmt w:val="upperRoman"/>
      <w:lvlText w:val="%1."/>
      <w:lvlJc w:val="left"/>
      <w:pPr>
        <w:ind w:left="1080" w:hanging="720"/>
      </w:pPr>
      <w:rPr>
        <w:rFonts w:hint="default"/>
        <w:u w:val="no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6" w15:restartNumberingAfterBreak="0">
    <w:nsid w:val="7BDE54EF"/>
    <w:multiLevelType w:val="hybridMultilevel"/>
    <w:tmpl w:val="419C7968"/>
    <w:lvl w:ilvl="0" w:tplc="041B000F">
      <w:start w:val="1"/>
      <w:numFmt w:val="decimal"/>
      <w:lvlText w:val="%1."/>
      <w:lvlJc w:val="left"/>
      <w:pPr>
        <w:ind w:left="862" w:hanging="360"/>
      </w:pPr>
    </w:lvl>
    <w:lvl w:ilvl="1" w:tplc="041B0019">
      <w:start w:val="1"/>
      <w:numFmt w:val="lowerLetter"/>
      <w:lvlText w:val="%2."/>
      <w:lvlJc w:val="left"/>
      <w:pPr>
        <w:ind w:left="1582" w:hanging="360"/>
      </w:pPr>
    </w:lvl>
    <w:lvl w:ilvl="2" w:tplc="041B001B">
      <w:start w:val="1"/>
      <w:numFmt w:val="lowerRoman"/>
      <w:lvlText w:val="%3."/>
      <w:lvlJc w:val="right"/>
      <w:pPr>
        <w:ind w:left="2302" w:hanging="180"/>
      </w:pPr>
    </w:lvl>
    <w:lvl w:ilvl="3" w:tplc="041B000F">
      <w:start w:val="1"/>
      <w:numFmt w:val="decimal"/>
      <w:lvlText w:val="%4."/>
      <w:lvlJc w:val="left"/>
      <w:pPr>
        <w:ind w:left="3022" w:hanging="360"/>
      </w:pPr>
    </w:lvl>
    <w:lvl w:ilvl="4" w:tplc="041B0019">
      <w:start w:val="1"/>
      <w:numFmt w:val="lowerLetter"/>
      <w:lvlText w:val="%5."/>
      <w:lvlJc w:val="left"/>
      <w:pPr>
        <w:ind w:left="3742" w:hanging="360"/>
      </w:pPr>
    </w:lvl>
    <w:lvl w:ilvl="5" w:tplc="041B001B">
      <w:start w:val="1"/>
      <w:numFmt w:val="lowerRoman"/>
      <w:lvlText w:val="%6."/>
      <w:lvlJc w:val="right"/>
      <w:pPr>
        <w:ind w:left="4462" w:hanging="180"/>
      </w:pPr>
    </w:lvl>
    <w:lvl w:ilvl="6" w:tplc="041B000F">
      <w:start w:val="1"/>
      <w:numFmt w:val="decimal"/>
      <w:lvlText w:val="%7."/>
      <w:lvlJc w:val="left"/>
      <w:pPr>
        <w:ind w:left="5182" w:hanging="360"/>
      </w:pPr>
    </w:lvl>
    <w:lvl w:ilvl="7" w:tplc="041B0019">
      <w:start w:val="1"/>
      <w:numFmt w:val="lowerLetter"/>
      <w:lvlText w:val="%8."/>
      <w:lvlJc w:val="left"/>
      <w:pPr>
        <w:ind w:left="5902" w:hanging="360"/>
      </w:pPr>
    </w:lvl>
    <w:lvl w:ilvl="8" w:tplc="041B001B">
      <w:start w:val="1"/>
      <w:numFmt w:val="lowerRoman"/>
      <w:lvlText w:val="%9."/>
      <w:lvlJc w:val="right"/>
      <w:pPr>
        <w:ind w:left="6622" w:hanging="180"/>
      </w:pPr>
    </w:lvl>
  </w:abstractNum>
  <w:num w:numId="1">
    <w:abstractNumId w:val="0"/>
  </w:num>
  <w:num w:numId="2">
    <w:abstractNumId w:val="4"/>
  </w:num>
  <w:num w:numId="3">
    <w:abstractNumId w:val="5"/>
  </w:num>
  <w:num w:numId="4">
    <w:abstractNumId w:val="3"/>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5AF"/>
    <w:rsid w:val="003A05A9"/>
    <w:rsid w:val="004155D9"/>
    <w:rsid w:val="00984A5F"/>
    <w:rsid w:val="00A669D2"/>
    <w:rsid w:val="00B57793"/>
    <w:rsid w:val="00C615AF"/>
    <w:rsid w:val="00CB64A8"/>
    <w:rsid w:val="00DA2B2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A9173A-C0BA-439C-B76A-593C7F143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paragraph" w:styleId="Nadpis4">
    <w:name w:val="heading 4"/>
    <w:basedOn w:val="Normlny"/>
    <w:next w:val="Zkladntext"/>
    <w:link w:val="Nadpis4Char"/>
    <w:qFormat/>
    <w:rsid w:val="004155D9"/>
    <w:pPr>
      <w:keepNext/>
      <w:tabs>
        <w:tab w:val="num" w:pos="0"/>
      </w:tabs>
      <w:suppressAutoHyphens/>
      <w:spacing w:after="0" w:line="100" w:lineRule="atLeast"/>
      <w:ind w:right="-2"/>
      <w:jc w:val="center"/>
      <w:outlineLvl w:val="3"/>
    </w:pPr>
    <w:rPr>
      <w:rFonts w:ascii="Times New Roman" w:eastAsia="Times New Roman" w:hAnsi="Times New Roman" w:cs="Times New Roman"/>
      <w:b/>
      <w:smallCaps/>
      <w:sz w:val="26"/>
      <w:szCs w:val="20"/>
      <w:lang w:eastAsia="ar-SA"/>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Vchodzie">
    <w:name w:val="Vchodzie"/>
    <w:rsid w:val="00C615AF"/>
    <w:pPr>
      <w:autoSpaceDE w:val="0"/>
      <w:autoSpaceDN w:val="0"/>
      <w:adjustRightInd w:val="0"/>
      <w:spacing w:after="200" w:line="276" w:lineRule="auto"/>
    </w:pPr>
    <w:rPr>
      <w:rFonts w:ascii="Calibri" w:eastAsia="Times New Roman" w:hAnsi="Calibri" w:cs="Calibri"/>
      <w:lang w:eastAsia="zh-CN"/>
    </w:rPr>
  </w:style>
  <w:style w:type="paragraph" w:styleId="Normlnywebov">
    <w:name w:val="Normal (Web)"/>
    <w:basedOn w:val="Normlny"/>
    <w:uiPriority w:val="99"/>
    <w:unhideWhenUsed/>
    <w:rsid w:val="00C615AF"/>
    <w:pPr>
      <w:spacing w:after="0" w:line="240" w:lineRule="auto"/>
    </w:pPr>
    <w:rPr>
      <w:rFonts w:ascii="Times New Roman" w:eastAsia="Times New Roman" w:hAnsi="Times New Roman" w:cs="Times New Roman"/>
      <w:sz w:val="24"/>
      <w:szCs w:val="24"/>
      <w:lang w:eastAsia="sk-SK"/>
    </w:rPr>
  </w:style>
  <w:style w:type="paragraph" w:styleId="Textpoznmkypodiarou">
    <w:name w:val="footnote text"/>
    <w:basedOn w:val="Normlny"/>
    <w:link w:val="TextpoznmkypodiarouChar"/>
    <w:uiPriority w:val="99"/>
    <w:unhideWhenUsed/>
    <w:qFormat/>
    <w:rsid w:val="00C615AF"/>
    <w:pPr>
      <w:spacing w:after="0" w:line="240" w:lineRule="auto"/>
      <w:jc w:val="both"/>
    </w:pPr>
    <w:rPr>
      <w:rFonts w:ascii="Times New Roman" w:eastAsia="Calibri" w:hAnsi="Times New Roman" w:cs="Times New Roman"/>
      <w:sz w:val="20"/>
      <w:szCs w:val="20"/>
      <w:lang w:val="en-IE" w:eastAsia="en-IE"/>
    </w:rPr>
  </w:style>
  <w:style w:type="character" w:customStyle="1" w:styleId="TextpoznmkypodiarouChar">
    <w:name w:val="Text poznámky pod čiarou Char"/>
    <w:basedOn w:val="Predvolenpsmoodseku"/>
    <w:link w:val="Textpoznmkypodiarou"/>
    <w:uiPriority w:val="99"/>
    <w:qFormat/>
    <w:rsid w:val="00C615AF"/>
    <w:rPr>
      <w:rFonts w:ascii="Times New Roman" w:eastAsia="Calibri" w:hAnsi="Times New Roman" w:cs="Times New Roman"/>
      <w:sz w:val="20"/>
      <w:szCs w:val="20"/>
      <w:lang w:val="en-IE" w:eastAsia="en-IE"/>
    </w:rPr>
  </w:style>
  <w:style w:type="character" w:styleId="Odkaznapoznmkupodiarou">
    <w:name w:val="footnote reference"/>
    <w:link w:val="FootnoteReferenceCharCarCharCharCarCharCarCharCarCharCarCharCharCarCarCharCharCharCharCharCarCharCarCharCharCarCharCar"/>
    <w:uiPriority w:val="99"/>
    <w:unhideWhenUsed/>
    <w:qFormat/>
    <w:rsid w:val="00C615AF"/>
    <w:rPr>
      <w:vertAlign w:val="superscript"/>
    </w:rPr>
  </w:style>
  <w:style w:type="paragraph" w:customStyle="1" w:styleId="FootnoteReferenceCharCarCharCharCarCharCarCharCarCharCarCharCharCarCarCharCharCharCharCharCarCharCarCharCharCarCharCar">
    <w:name w:val="Footnote Reference Char Car Char Char Car Char Car Char Car Char Car Char Char Car Car Char Char Char Char Char Car Char Car Char Char Car Char Car"/>
    <w:basedOn w:val="Normlny"/>
    <w:link w:val="Odkaznapoznmkupodiarou"/>
    <w:uiPriority w:val="99"/>
    <w:unhideWhenUsed/>
    <w:rsid w:val="00C615AF"/>
    <w:pPr>
      <w:spacing w:line="240" w:lineRule="exact"/>
      <w:jc w:val="both"/>
    </w:pPr>
    <w:rPr>
      <w:vertAlign w:val="superscript"/>
    </w:rPr>
  </w:style>
  <w:style w:type="paragraph" w:customStyle="1" w:styleId="ListDash1">
    <w:name w:val="List Dash 1"/>
    <w:basedOn w:val="Normlny"/>
    <w:rsid w:val="00C615AF"/>
    <w:pPr>
      <w:numPr>
        <w:numId w:val="3"/>
      </w:numPr>
      <w:spacing w:before="120" w:after="120" w:line="240" w:lineRule="auto"/>
      <w:jc w:val="both"/>
    </w:pPr>
    <w:rPr>
      <w:rFonts w:ascii="Times New Roman" w:eastAsia="Times New Roman" w:hAnsi="Times New Roman" w:cs="Times New Roman"/>
      <w:sz w:val="24"/>
      <w:lang w:eastAsia="de-DE"/>
    </w:rPr>
  </w:style>
  <w:style w:type="paragraph" w:styleId="Odsekzoznamu">
    <w:name w:val="List Paragraph"/>
    <w:aliases w:val="Dot pt,No Spacing1,List Paragraph Char Char Char,Indicator Text,Numbered Para 1,List Paragraph à moi,Odsek zoznamu4,LISTA,List Paragraph1,Listaszerű bekezdés2,Listaszerű bekezdés3,Listaszerű bekezdés1,Bullet 1,Bullet Points,MAIN CONTENT,3"/>
    <w:basedOn w:val="Normlny"/>
    <w:link w:val="OdsekzoznamuChar"/>
    <w:uiPriority w:val="34"/>
    <w:qFormat/>
    <w:rsid w:val="00C615AF"/>
    <w:pPr>
      <w:spacing w:after="0" w:line="240" w:lineRule="auto"/>
      <w:ind w:left="720"/>
      <w:contextualSpacing/>
    </w:pPr>
    <w:rPr>
      <w:rFonts w:ascii="Times New Roman" w:eastAsia="Times New Roman" w:hAnsi="Times New Roman" w:cs="Times New Roman"/>
      <w:sz w:val="24"/>
      <w:szCs w:val="24"/>
      <w:lang w:eastAsia="sk-SK"/>
    </w:rPr>
  </w:style>
  <w:style w:type="character" w:customStyle="1" w:styleId="OdsekzoznamuChar">
    <w:name w:val="Odsek zoznamu Char"/>
    <w:aliases w:val="Dot pt Char,No Spacing1 Char,List Paragraph Char Char Char Char,Indicator Text Char,Numbered Para 1 Char,List Paragraph à moi Char,Odsek zoznamu4 Char,LISTA Char,List Paragraph1 Char,Listaszerű bekezdés2 Char,Listaszerű bekezdés3 Char"/>
    <w:link w:val="Odsekzoznamu"/>
    <w:uiPriority w:val="34"/>
    <w:qFormat/>
    <w:locked/>
    <w:rsid w:val="00C615AF"/>
    <w:rPr>
      <w:rFonts w:ascii="Times New Roman" w:eastAsia="Times New Roman" w:hAnsi="Times New Roman" w:cs="Times New Roman"/>
      <w:sz w:val="24"/>
      <w:szCs w:val="24"/>
      <w:lang w:eastAsia="sk-SK"/>
    </w:rPr>
  </w:style>
  <w:style w:type="character" w:styleId="Vrazn">
    <w:name w:val="Strong"/>
    <w:basedOn w:val="Predvolenpsmoodseku"/>
    <w:uiPriority w:val="22"/>
    <w:qFormat/>
    <w:rsid w:val="00C615AF"/>
    <w:rPr>
      <w:b/>
      <w:bCs/>
    </w:rPr>
  </w:style>
  <w:style w:type="table" w:customStyle="1" w:styleId="Mriekatabuky11">
    <w:name w:val="Mriežka tabuľky11"/>
    <w:basedOn w:val="Normlnatabuka"/>
    <w:uiPriority w:val="59"/>
    <w:rsid w:val="00A669D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4Char">
    <w:name w:val="Nadpis 4 Char"/>
    <w:basedOn w:val="Predvolenpsmoodseku"/>
    <w:link w:val="Nadpis4"/>
    <w:rsid w:val="004155D9"/>
    <w:rPr>
      <w:rFonts w:ascii="Times New Roman" w:eastAsia="Times New Roman" w:hAnsi="Times New Roman" w:cs="Times New Roman"/>
      <w:b/>
      <w:smallCaps/>
      <w:sz w:val="26"/>
      <w:szCs w:val="20"/>
      <w:lang w:eastAsia="ar-SA"/>
    </w:rPr>
  </w:style>
  <w:style w:type="character" w:styleId="Jemnodkaz">
    <w:name w:val="Subtle Reference"/>
    <w:basedOn w:val="Predvolenpsmoodseku"/>
    <w:uiPriority w:val="31"/>
    <w:qFormat/>
    <w:rsid w:val="004155D9"/>
    <w:rPr>
      <w:smallCaps/>
      <w:color w:val="5A5A5A" w:themeColor="text1" w:themeTint="A5"/>
    </w:rPr>
  </w:style>
  <w:style w:type="character" w:customStyle="1" w:styleId="norm00e1lnychar1">
    <w:name w:val="norm_00e1lny__char1"/>
    <w:rsid w:val="004155D9"/>
    <w:rPr>
      <w:rFonts w:ascii="Times New Roman" w:hAnsi="Times New Roman" w:cs="Times New Roman"/>
      <w:strike w:val="0"/>
      <w:dstrike w:val="0"/>
      <w:sz w:val="20"/>
      <w:szCs w:val="20"/>
      <w:u w:val="none"/>
      <w:effect w:val="none"/>
    </w:rPr>
  </w:style>
  <w:style w:type="character" w:customStyle="1" w:styleId="z00e1kladn00fd0020textchar1">
    <w:name w:val="z_00e1kladn_00fd_0020text__char1"/>
    <w:rsid w:val="004155D9"/>
    <w:rPr>
      <w:rFonts w:ascii="Times New Roman" w:hAnsi="Times New Roman" w:cs="Times New Roman"/>
      <w:strike w:val="0"/>
      <w:dstrike w:val="0"/>
      <w:sz w:val="20"/>
      <w:szCs w:val="20"/>
      <w:u w:val="none"/>
      <w:effect w:val="none"/>
    </w:rPr>
  </w:style>
  <w:style w:type="paragraph" w:customStyle="1" w:styleId="norm00e1lny">
    <w:name w:val="norm_00e1lny"/>
    <w:basedOn w:val="Normlny"/>
    <w:rsid w:val="004155D9"/>
    <w:pPr>
      <w:spacing w:after="0" w:line="200" w:lineRule="atLeast"/>
    </w:pPr>
    <w:rPr>
      <w:rFonts w:ascii="Times New Roman" w:eastAsia="Times New Roman" w:hAnsi="Times New Roman" w:cs="Times New Roman"/>
      <w:sz w:val="20"/>
      <w:szCs w:val="20"/>
      <w:lang w:eastAsia="sk-SK"/>
    </w:rPr>
  </w:style>
  <w:style w:type="paragraph" w:styleId="Zkladntext">
    <w:name w:val="Body Text"/>
    <w:basedOn w:val="Normlny"/>
    <w:link w:val="ZkladntextChar"/>
    <w:uiPriority w:val="99"/>
    <w:semiHidden/>
    <w:unhideWhenUsed/>
    <w:rsid w:val="004155D9"/>
    <w:pPr>
      <w:spacing w:after="120"/>
    </w:pPr>
  </w:style>
  <w:style w:type="character" w:customStyle="1" w:styleId="ZkladntextChar">
    <w:name w:val="Základný text Char"/>
    <w:basedOn w:val="Predvolenpsmoodseku"/>
    <w:link w:val="Zkladntext"/>
    <w:uiPriority w:val="99"/>
    <w:semiHidden/>
    <w:rsid w:val="004155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9</Pages>
  <Words>2887</Words>
  <Characters>16461</Characters>
  <Application>Microsoft Office Word</Application>
  <DocSecurity>0</DocSecurity>
  <Lines>137</Lines>
  <Paragraphs>38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Jakábová Jana</dc:creator>
  <cp:keywords/>
  <dc:description/>
  <cp:lastModifiedBy>Jakábová Jana</cp:lastModifiedBy>
  <cp:revision>3</cp:revision>
  <dcterms:created xsi:type="dcterms:W3CDTF">2026-07-28T08:21:00Z</dcterms:created>
  <dcterms:modified xsi:type="dcterms:W3CDTF">2026-07-28T10:21:00Z</dcterms:modified>
</cp:coreProperties>
</file>