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181BA" w14:textId="77777777" w:rsidR="006652A4" w:rsidRPr="0094432C" w:rsidRDefault="00F03747">
      <w:pPr>
        <w:spacing w:after="20"/>
        <w:jc w:val="center"/>
        <w:rPr>
          <w:sz w:val="24"/>
          <w:szCs w:val="24"/>
        </w:rPr>
      </w:pPr>
      <w:r w:rsidRPr="0094432C">
        <w:rPr>
          <w:rFonts w:eastAsia="Times New Roman"/>
          <w:b/>
          <w:sz w:val="24"/>
          <w:szCs w:val="24"/>
        </w:rPr>
        <w:t>DOLOŽKA ZLUČITEĽNOSTI</w:t>
      </w:r>
    </w:p>
    <w:p w14:paraId="3F4181BB" w14:textId="73D7052E" w:rsidR="006652A4" w:rsidRDefault="00F03747">
      <w:pPr>
        <w:spacing w:after="80"/>
        <w:jc w:val="center"/>
        <w:rPr>
          <w:rFonts w:eastAsia="Times New Roman"/>
          <w:b/>
          <w:sz w:val="24"/>
          <w:szCs w:val="24"/>
        </w:rPr>
      </w:pPr>
      <w:r w:rsidRPr="0094432C">
        <w:rPr>
          <w:rFonts w:eastAsia="Times New Roman"/>
          <w:b/>
          <w:sz w:val="24"/>
          <w:szCs w:val="24"/>
        </w:rPr>
        <w:t>návrhu zákona s právom Európskej únie</w:t>
      </w:r>
    </w:p>
    <w:p w14:paraId="1AEEAB20" w14:textId="77777777" w:rsidR="0094432C" w:rsidRPr="0094432C" w:rsidRDefault="0094432C" w:rsidP="0094432C">
      <w:pPr>
        <w:spacing w:after="120"/>
        <w:jc w:val="center"/>
        <w:rPr>
          <w:sz w:val="24"/>
          <w:szCs w:val="24"/>
        </w:rPr>
      </w:pPr>
    </w:p>
    <w:p w14:paraId="0BF2EE65" w14:textId="5D78FF0C" w:rsidR="0003262E" w:rsidRDefault="0003262E" w:rsidP="0003262E">
      <w:pPr>
        <w:keepNext/>
        <w:spacing w:after="120"/>
        <w:rPr>
          <w:rFonts w:eastAsia="Times New Roman"/>
          <w:sz w:val="24"/>
          <w:szCs w:val="24"/>
        </w:rPr>
      </w:pPr>
      <w:r w:rsidRPr="0003262E">
        <w:rPr>
          <w:rFonts w:eastAsia="Times New Roman"/>
          <w:b/>
          <w:sz w:val="24"/>
          <w:szCs w:val="24"/>
        </w:rPr>
        <w:t>1.</w:t>
      </w:r>
      <w:r>
        <w:rPr>
          <w:rFonts w:eastAsia="Times New Roman"/>
          <w:b/>
          <w:sz w:val="24"/>
          <w:szCs w:val="24"/>
        </w:rPr>
        <w:t xml:space="preserve"> </w:t>
      </w:r>
      <w:r w:rsidR="00F03747" w:rsidRPr="0003262E">
        <w:rPr>
          <w:rFonts w:eastAsia="Times New Roman"/>
          <w:b/>
          <w:sz w:val="24"/>
          <w:szCs w:val="24"/>
        </w:rPr>
        <w:t>Navrhovateľ zákona:</w:t>
      </w:r>
      <w:r w:rsidR="0094432C" w:rsidRPr="0003262E">
        <w:rPr>
          <w:rFonts w:eastAsia="Times New Roman"/>
          <w:b/>
          <w:sz w:val="24"/>
          <w:szCs w:val="24"/>
        </w:rPr>
        <w:t xml:space="preserve"> </w:t>
      </w:r>
      <w:r w:rsidR="00F03747" w:rsidRPr="0003262E">
        <w:rPr>
          <w:rFonts w:eastAsia="Times New Roman"/>
          <w:sz w:val="24"/>
          <w:szCs w:val="24"/>
        </w:rPr>
        <w:t>Ministerstvo vnútra Slovenskej republiky.</w:t>
      </w:r>
    </w:p>
    <w:p w14:paraId="152B7CC1" w14:textId="77777777" w:rsidR="0003262E" w:rsidRPr="0003262E" w:rsidRDefault="0003262E" w:rsidP="0003262E">
      <w:pPr>
        <w:keepNext/>
        <w:rPr>
          <w:rFonts w:eastAsia="Times New Roman"/>
          <w:sz w:val="24"/>
          <w:szCs w:val="24"/>
        </w:rPr>
      </w:pPr>
    </w:p>
    <w:p w14:paraId="3F4181BF" w14:textId="01AFF66F" w:rsidR="006652A4" w:rsidRDefault="00F03747" w:rsidP="0094432C">
      <w:pPr>
        <w:keepNext/>
        <w:spacing w:after="120"/>
        <w:rPr>
          <w:rFonts w:eastAsia="Times New Roman"/>
          <w:sz w:val="24"/>
          <w:szCs w:val="24"/>
        </w:rPr>
      </w:pPr>
      <w:r w:rsidRPr="0094432C">
        <w:rPr>
          <w:rFonts w:eastAsia="Times New Roman"/>
          <w:b/>
          <w:sz w:val="24"/>
          <w:szCs w:val="24"/>
        </w:rPr>
        <w:t>2. Názov návrhu zákona:</w:t>
      </w:r>
      <w:r w:rsidR="0094432C">
        <w:rPr>
          <w:rFonts w:eastAsia="Times New Roman"/>
          <w:b/>
          <w:sz w:val="24"/>
          <w:szCs w:val="24"/>
        </w:rPr>
        <w:t xml:space="preserve"> </w:t>
      </w:r>
      <w:r w:rsidRPr="0094432C">
        <w:rPr>
          <w:rFonts w:eastAsia="Times New Roman"/>
          <w:sz w:val="24"/>
          <w:szCs w:val="24"/>
        </w:rPr>
        <w:t>Návrh zákona, ktorým sa mení a dopĺňa zákon Národnej rady Slovenskej republiky č. 42/1994 Z. z. o civilnej ochrane obyvateľstva v znení neskorších predpisov a ktorým sa menia a dopĺňajú niektoré zákony.</w:t>
      </w:r>
    </w:p>
    <w:p w14:paraId="5CF0CDC8" w14:textId="77777777" w:rsidR="0003262E" w:rsidRPr="0094432C" w:rsidRDefault="0003262E" w:rsidP="0003262E">
      <w:pPr>
        <w:keepNext/>
        <w:rPr>
          <w:sz w:val="24"/>
          <w:szCs w:val="24"/>
        </w:rPr>
      </w:pPr>
    </w:p>
    <w:p w14:paraId="3F4181C0" w14:textId="77777777" w:rsidR="006652A4" w:rsidRPr="0094432C" w:rsidRDefault="00F03747" w:rsidP="0094432C">
      <w:pPr>
        <w:keepNext/>
        <w:spacing w:after="120"/>
        <w:rPr>
          <w:sz w:val="24"/>
          <w:szCs w:val="24"/>
        </w:rPr>
      </w:pPr>
      <w:r w:rsidRPr="0094432C">
        <w:rPr>
          <w:rFonts w:eastAsia="Times New Roman"/>
          <w:b/>
          <w:sz w:val="24"/>
          <w:szCs w:val="24"/>
        </w:rPr>
        <w:t>3. Predmet návrhu zákona je upravený v práve Európskej únie:</w:t>
      </w:r>
    </w:p>
    <w:p w14:paraId="05133EE6" w14:textId="77777777" w:rsidR="004767D1" w:rsidRDefault="00F03747" w:rsidP="004767D1">
      <w:pPr>
        <w:ind w:left="170"/>
        <w:jc w:val="both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a) v primárnom práve Európskej únie</w:t>
      </w:r>
    </w:p>
    <w:p w14:paraId="260EE5F8" w14:textId="09325E87" w:rsidR="004767D1" w:rsidRDefault="00F03747" w:rsidP="004767D1">
      <w:pPr>
        <w:ind w:left="170"/>
        <w:jc w:val="both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–</w:t>
      </w:r>
      <w:r w:rsidR="004767D1">
        <w:rPr>
          <w:rFonts w:eastAsia="Times New Roman"/>
          <w:sz w:val="24"/>
          <w:szCs w:val="24"/>
        </w:rPr>
        <w:t xml:space="preserve"> </w:t>
      </w:r>
      <w:r w:rsidRPr="0094432C">
        <w:rPr>
          <w:rFonts w:eastAsia="Times New Roman"/>
          <w:sz w:val="24"/>
          <w:szCs w:val="24"/>
        </w:rPr>
        <w:t>Zmluv</w:t>
      </w:r>
      <w:r w:rsidR="004767D1">
        <w:rPr>
          <w:rFonts w:eastAsia="Times New Roman"/>
          <w:sz w:val="24"/>
          <w:szCs w:val="24"/>
        </w:rPr>
        <w:t>a</w:t>
      </w:r>
      <w:r w:rsidRPr="0094432C">
        <w:rPr>
          <w:rFonts w:eastAsia="Times New Roman"/>
          <w:sz w:val="24"/>
          <w:szCs w:val="24"/>
        </w:rPr>
        <w:t xml:space="preserve"> o fungovaní Európskej únie </w:t>
      </w:r>
      <w:r w:rsidR="004767D1">
        <w:rPr>
          <w:rFonts w:eastAsia="Times New Roman"/>
          <w:sz w:val="24"/>
          <w:szCs w:val="24"/>
        </w:rPr>
        <w:t>(</w:t>
      </w:r>
      <w:r w:rsidR="004767D1">
        <w:rPr>
          <w:rFonts w:eastAsia="Times New Roman" w:cs="Times New Roman"/>
          <w:sz w:val="24"/>
          <w:szCs w:val="24"/>
          <w:lang w:eastAsia="sk-SK"/>
        </w:rPr>
        <w:t xml:space="preserve">Ú. v. </w:t>
      </w:r>
      <w:r w:rsidR="004767D1" w:rsidRPr="00932B06">
        <w:rPr>
          <w:rFonts w:eastAsia="Times New Roman" w:cs="Times New Roman"/>
          <w:sz w:val="24"/>
          <w:szCs w:val="24"/>
          <w:lang w:eastAsia="sk-SK"/>
        </w:rPr>
        <w:t xml:space="preserve"> </w:t>
      </w:r>
      <w:r w:rsidR="004767D1">
        <w:rPr>
          <w:rFonts w:eastAsia="Times New Roman" w:cs="Times New Roman"/>
          <w:sz w:val="24"/>
          <w:szCs w:val="24"/>
          <w:lang w:eastAsia="sk-SK"/>
        </w:rPr>
        <w:t>EÚ C 202, 7.6.2016) v platnom znení - čl. 196 (</w:t>
      </w:r>
      <w:r w:rsidR="004767D1" w:rsidRPr="0094432C">
        <w:rPr>
          <w:rFonts w:eastAsia="Times New Roman"/>
          <w:sz w:val="24"/>
          <w:szCs w:val="24"/>
        </w:rPr>
        <w:t>oblas</w:t>
      </w:r>
      <w:r w:rsidR="004767D1">
        <w:rPr>
          <w:rFonts w:eastAsia="Times New Roman"/>
          <w:sz w:val="24"/>
          <w:szCs w:val="24"/>
        </w:rPr>
        <w:t>ť</w:t>
      </w:r>
      <w:r w:rsidR="004767D1" w:rsidRPr="0094432C">
        <w:rPr>
          <w:rFonts w:eastAsia="Times New Roman"/>
          <w:sz w:val="24"/>
          <w:szCs w:val="24"/>
        </w:rPr>
        <w:t xml:space="preserve"> civilnej ochrany</w:t>
      </w:r>
      <w:r w:rsidR="004767D1">
        <w:rPr>
          <w:rFonts w:eastAsia="Times New Roman"/>
          <w:sz w:val="24"/>
          <w:szCs w:val="24"/>
        </w:rPr>
        <w:t xml:space="preserve">), </w:t>
      </w:r>
      <w:r w:rsidR="004767D1" w:rsidRPr="0094432C">
        <w:rPr>
          <w:rFonts w:eastAsia="Times New Roman"/>
          <w:sz w:val="24"/>
          <w:szCs w:val="24"/>
        </w:rPr>
        <w:t xml:space="preserve">čl. 191 a čl. 192 </w:t>
      </w:r>
      <w:r w:rsidR="004767D1">
        <w:rPr>
          <w:rFonts w:eastAsia="Times New Roman"/>
          <w:sz w:val="24"/>
          <w:szCs w:val="24"/>
        </w:rPr>
        <w:t>(</w:t>
      </w:r>
      <w:r w:rsidRPr="0094432C">
        <w:rPr>
          <w:rFonts w:eastAsia="Times New Roman"/>
          <w:sz w:val="24"/>
          <w:szCs w:val="24"/>
        </w:rPr>
        <w:t>oblas</w:t>
      </w:r>
      <w:r w:rsidR="004767D1">
        <w:rPr>
          <w:rFonts w:eastAsia="Times New Roman"/>
          <w:sz w:val="24"/>
          <w:szCs w:val="24"/>
        </w:rPr>
        <w:t>ť</w:t>
      </w:r>
      <w:r w:rsidRPr="0094432C">
        <w:rPr>
          <w:rFonts w:eastAsia="Times New Roman"/>
          <w:sz w:val="24"/>
          <w:szCs w:val="24"/>
        </w:rPr>
        <w:t xml:space="preserve"> ochrany životného prostredia</w:t>
      </w:r>
      <w:r w:rsidR="004767D1">
        <w:rPr>
          <w:rFonts w:eastAsia="Times New Roman"/>
          <w:sz w:val="24"/>
          <w:szCs w:val="24"/>
        </w:rPr>
        <w:t>)</w:t>
      </w:r>
      <w:r w:rsidRPr="0094432C">
        <w:rPr>
          <w:rFonts w:eastAsia="Times New Roman"/>
          <w:sz w:val="24"/>
          <w:szCs w:val="24"/>
        </w:rPr>
        <w:t>.</w:t>
      </w:r>
    </w:p>
    <w:p w14:paraId="3F4181C1" w14:textId="4BD175E9" w:rsidR="006652A4" w:rsidRDefault="00F03747" w:rsidP="004767D1">
      <w:pPr>
        <w:ind w:left="170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b) v sekundárnom práve Európskej únie</w:t>
      </w:r>
      <w:r w:rsidRPr="0094432C">
        <w:rPr>
          <w:rFonts w:eastAsia="Times New Roman"/>
          <w:sz w:val="24"/>
          <w:szCs w:val="24"/>
        </w:rPr>
        <w:br/>
        <w:t>–</w:t>
      </w:r>
      <w:r w:rsidR="001753C7" w:rsidRPr="0094432C">
        <w:rPr>
          <w:rFonts w:eastAsia="Times New Roman"/>
          <w:sz w:val="24"/>
          <w:szCs w:val="24"/>
        </w:rPr>
        <w:t xml:space="preserve"> </w:t>
      </w:r>
      <w:r w:rsidR="00AA46DC" w:rsidRPr="0094432C">
        <w:rPr>
          <w:rFonts w:eastAsia="Times New Roman"/>
          <w:sz w:val="24"/>
          <w:szCs w:val="24"/>
        </w:rPr>
        <w:t xml:space="preserve">rozhodnutie </w:t>
      </w:r>
      <w:r w:rsidR="004A33B9" w:rsidRPr="0094432C">
        <w:rPr>
          <w:rFonts w:eastAsia="Times New Roman"/>
          <w:sz w:val="24"/>
          <w:szCs w:val="24"/>
        </w:rPr>
        <w:t>Európskeho parlamentu a Rady č. 1313/2013</w:t>
      </w:r>
      <w:r w:rsidR="00FB3629" w:rsidRPr="0094432C">
        <w:rPr>
          <w:rFonts w:eastAsia="Times New Roman"/>
          <w:sz w:val="24"/>
          <w:szCs w:val="24"/>
        </w:rPr>
        <w:t xml:space="preserve">/EÚ zo </w:t>
      </w:r>
      <w:r w:rsidRPr="0094432C">
        <w:rPr>
          <w:rFonts w:eastAsia="Times New Roman"/>
          <w:sz w:val="24"/>
          <w:szCs w:val="24"/>
        </w:rPr>
        <w:t xml:space="preserve"> </w:t>
      </w:r>
      <w:r w:rsidR="00122B2E" w:rsidRPr="0094432C">
        <w:rPr>
          <w:rFonts w:eastAsia="Times New Roman"/>
          <w:sz w:val="24"/>
          <w:szCs w:val="24"/>
        </w:rPr>
        <w:t xml:space="preserve">17. decembra </w:t>
      </w:r>
      <w:r w:rsidR="001320B6" w:rsidRPr="0094432C">
        <w:rPr>
          <w:rFonts w:eastAsia="Times New Roman"/>
          <w:sz w:val="24"/>
          <w:szCs w:val="24"/>
        </w:rPr>
        <w:t xml:space="preserve">2013 o mechanizme Únie v oblasti civilnej ochrany </w:t>
      </w:r>
      <w:r w:rsidRPr="0094432C">
        <w:rPr>
          <w:rFonts w:eastAsia="Times New Roman"/>
          <w:sz w:val="24"/>
          <w:szCs w:val="24"/>
        </w:rPr>
        <w:t>(Ú. v. EÚ L 347, 20. 12. 2013)</w:t>
      </w:r>
      <w:r w:rsidR="001320B6" w:rsidRPr="0094432C">
        <w:rPr>
          <w:rFonts w:eastAsia="Times New Roman"/>
          <w:sz w:val="24"/>
          <w:szCs w:val="24"/>
        </w:rPr>
        <w:t xml:space="preserve"> v platnom znení</w:t>
      </w:r>
      <w:r w:rsidR="00D80DC4" w:rsidRPr="0094432C">
        <w:rPr>
          <w:rFonts w:eastAsia="Times New Roman"/>
          <w:sz w:val="24"/>
          <w:szCs w:val="24"/>
        </w:rPr>
        <w:t xml:space="preserve"> – gestor</w:t>
      </w:r>
      <w:r w:rsidR="00443E11" w:rsidRPr="0094432C">
        <w:rPr>
          <w:rFonts w:eastAsia="Times New Roman"/>
          <w:sz w:val="24"/>
          <w:szCs w:val="24"/>
        </w:rPr>
        <w:t>:</w:t>
      </w:r>
      <w:r w:rsidR="00D80DC4" w:rsidRPr="0094432C">
        <w:rPr>
          <w:rFonts w:eastAsia="Times New Roman"/>
          <w:sz w:val="24"/>
          <w:szCs w:val="24"/>
        </w:rPr>
        <w:t xml:space="preserve"> Ministerstvo vnútra SR</w:t>
      </w:r>
      <w:r w:rsidRPr="0094432C">
        <w:rPr>
          <w:rFonts w:eastAsia="Times New Roman"/>
          <w:sz w:val="24"/>
          <w:szCs w:val="24"/>
        </w:rPr>
        <w:t>,</w:t>
      </w:r>
      <w:r w:rsidRPr="0094432C">
        <w:rPr>
          <w:rFonts w:eastAsia="Times New Roman"/>
          <w:sz w:val="24"/>
          <w:szCs w:val="24"/>
        </w:rPr>
        <w:br/>
        <w:t>– smernica Európskeho parlamentu a Rady 2012/18/EÚ zo 4. júla 2012 o kontrole nebezpečenstiev závažných havárií s prítomnosťou nebezpečných látok</w:t>
      </w:r>
      <w:r w:rsidR="00D80DC4" w:rsidRPr="0094432C">
        <w:rPr>
          <w:rFonts w:eastAsia="Times New Roman"/>
          <w:sz w:val="24"/>
          <w:szCs w:val="24"/>
        </w:rPr>
        <w:t xml:space="preserve"> a o</w:t>
      </w:r>
      <w:r w:rsidR="00E96902" w:rsidRPr="0094432C">
        <w:rPr>
          <w:rFonts w:eastAsia="Times New Roman"/>
          <w:sz w:val="24"/>
          <w:szCs w:val="24"/>
        </w:rPr>
        <w:t> zmene a následnom zrušení</w:t>
      </w:r>
      <w:r w:rsidRPr="0094432C">
        <w:rPr>
          <w:rFonts w:eastAsia="Times New Roman"/>
          <w:sz w:val="24"/>
          <w:szCs w:val="24"/>
        </w:rPr>
        <w:t xml:space="preserve"> smernic</w:t>
      </w:r>
      <w:r w:rsidR="00E96902" w:rsidRPr="0094432C">
        <w:rPr>
          <w:rFonts w:eastAsia="Times New Roman"/>
          <w:sz w:val="24"/>
          <w:szCs w:val="24"/>
        </w:rPr>
        <w:t>e</w:t>
      </w:r>
      <w:r w:rsidRPr="0094432C">
        <w:rPr>
          <w:rFonts w:eastAsia="Times New Roman"/>
          <w:sz w:val="24"/>
          <w:szCs w:val="24"/>
        </w:rPr>
        <w:t xml:space="preserve"> Rady 96/82/ES (Ú. v. EÚ L 197, 24. 7. 2012)</w:t>
      </w:r>
      <w:r w:rsidR="00E96902" w:rsidRPr="0094432C">
        <w:rPr>
          <w:rFonts w:eastAsia="Times New Roman"/>
          <w:sz w:val="24"/>
          <w:szCs w:val="24"/>
        </w:rPr>
        <w:t xml:space="preserve"> </w:t>
      </w:r>
      <w:r w:rsidR="00443E11" w:rsidRPr="0094432C">
        <w:rPr>
          <w:rFonts w:eastAsia="Times New Roman"/>
          <w:sz w:val="24"/>
          <w:szCs w:val="24"/>
        </w:rPr>
        <w:t>–</w:t>
      </w:r>
      <w:r w:rsidR="00E96902" w:rsidRPr="0094432C">
        <w:rPr>
          <w:rFonts w:eastAsia="Times New Roman"/>
          <w:sz w:val="24"/>
          <w:szCs w:val="24"/>
        </w:rPr>
        <w:t xml:space="preserve"> </w:t>
      </w:r>
      <w:r w:rsidR="00443E11" w:rsidRPr="0094432C">
        <w:rPr>
          <w:rFonts w:eastAsia="Times New Roman"/>
          <w:sz w:val="24"/>
          <w:szCs w:val="24"/>
        </w:rPr>
        <w:t xml:space="preserve">gestor: Ministerstvo životného prostredia SR, </w:t>
      </w:r>
      <w:proofErr w:type="spellStart"/>
      <w:r w:rsidR="00443E11" w:rsidRPr="0094432C">
        <w:rPr>
          <w:rFonts w:eastAsia="Times New Roman"/>
          <w:sz w:val="24"/>
          <w:szCs w:val="24"/>
        </w:rPr>
        <w:t>spolugestori</w:t>
      </w:r>
      <w:proofErr w:type="spellEnd"/>
      <w:r w:rsidR="00443E11" w:rsidRPr="0094432C">
        <w:rPr>
          <w:rFonts w:eastAsia="Times New Roman"/>
          <w:sz w:val="24"/>
          <w:szCs w:val="24"/>
        </w:rPr>
        <w:t>: Ministerstvo vnútra SR, Ministerstvo práce, sociálnych vecí a rodiny SR, Ministerstvo hospodárstva SR</w:t>
      </w:r>
      <w:r w:rsidR="009D69ED" w:rsidRPr="0094432C">
        <w:rPr>
          <w:rFonts w:eastAsia="Times New Roman"/>
          <w:sz w:val="24"/>
          <w:szCs w:val="24"/>
        </w:rPr>
        <w:t xml:space="preserve"> a Ministerstvo zdravotníctva SR</w:t>
      </w:r>
      <w:r w:rsidRPr="0094432C">
        <w:rPr>
          <w:rFonts w:eastAsia="Times New Roman"/>
          <w:sz w:val="24"/>
          <w:szCs w:val="24"/>
        </w:rPr>
        <w:t>,</w:t>
      </w:r>
      <w:r w:rsidRPr="0094432C">
        <w:rPr>
          <w:rFonts w:eastAsia="Times New Roman"/>
          <w:sz w:val="24"/>
          <w:szCs w:val="24"/>
        </w:rPr>
        <w:br/>
        <w:t>– smernica Európskeho parlamentu a Rady 2007/60/ES z 23. októbra 2007 o hodnotení a manažmente povodňových rizík (Ú. v. EÚ L 288, 6. 11. 2007)</w:t>
      </w:r>
      <w:r w:rsidR="009D69ED" w:rsidRPr="0094432C">
        <w:rPr>
          <w:rFonts w:eastAsia="Times New Roman"/>
          <w:sz w:val="24"/>
          <w:szCs w:val="24"/>
        </w:rPr>
        <w:t xml:space="preserve"> – gestor: Ministerstvo životného prostredia SR</w:t>
      </w:r>
      <w:r w:rsidRPr="0094432C">
        <w:rPr>
          <w:rFonts w:eastAsia="Times New Roman"/>
          <w:sz w:val="24"/>
          <w:szCs w:val="24"/>
        </w:rPr>
        <w:t>.</w:t>
      </w:r>
      <w:r w:rsidRPr="0094432C">
        <w:rPr>
          <w:rFonts w:eastAsia="Times New Roman"/>
          <w:sz w:val="24"/>
          <w:szCs w:val="24"/>
        </w:rPr>
        <w:br/>
        <w:t>c) v judikatúre Súdneho dvora Európskej únie</w:t>
      </w:r>
      <w:r w:rsidRPr="0094432C">
        <w:rPr>
          <w:rFonts w:eastAsia="Times New Roman"/>
          <w:sz w:val="24"/>
          <w:szCs w:val="24"/>
        </w:rPr>
        <w:br/>
        <w:t>– predmet navrhovaných organizačných a kompetenčných zmien nie je upravený judikatúrou Súdneho dvora Európskej únie.</w:t>
      </w:r>
    </w:p>
    <w:p w14:paraId="5B9473BC" w14:textId="77777777" w:rsidR="0003262E" w:rsidRPr="0094432C" w:rsidRDefault="0003262E" w:rsidP="004767D1">
      <w:pPr>
        <w:ind w:left="170"/>
        <w:rPr>
          <w:sz w:val="24"/>
          <w:szCs w:val="24"/>
        </w:rPr>
      </w:pPr>
    </w:p>
    <w:p w14:paraId="3F4181C2" w14:textId="77777777" w:rsidR="006652A4" w:rsidRPr="0094432C" w:rsidRDefault="00F03747" w:rsidP="0094432C">
      <w:pPr>
        <w:keepNext/>
        <w:spacing w:after="120"/>
        <w:rPr>
          <w:sz w:val="24"/>
          <w:szCs w:val="24"/>
        </w:rPr>
      </w:pPr>
      <w:r w:rsidRPr="0094432C">
        <w:rPr>
          <w:rFonts w:eastAsia="Times New Roman"/>
          <w:b/>
          <w:sz w:val="24"/>
          <w:szCs w:val="24"/>
        </w:rPr>
        <w:t>4. Záväzky Slovenskej republiky vo vzťahu k Európskej únii:</w:t>
      </w:r>
    </w:p>
    <w:p w14:paraId="00A70B5C" w14:textId="77777777" w:rsidR="00913886" w:rsidRDefault="00F03747" w:rsidP="0094432C">
      <w:pPr>
        <w:spacing w:after="120"/>
        <w:ind w:left="170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a) lehota na prebratie príslušných právne záväzných aktov Európskej únie</w:t>
      </w:r>
      <w:r w:rsidRPr="0094432C">
        <w:rPr>
          <w:rFonts w:eastAsia="Times New Roman"/>
          <w:sz w:val="24"/>
          <w:szCs w:val="24"/>
        </w:rPr>
        <w:br/>
        <w:t>– lehota na prebratie smernice 2012/18/EÚ uplynula 31. mája 2015,</w:t>
      </w:r>
      <w:r w:rsidRPr="0094432C">
        <w:rPr>
          <w:rFonts w:eastAsia="Times New Roman"/>
          <w:sz w:val="24"/>
          <w:szCs w:val="24"/>
        </w:rPr>
        <w:br/>
        <w:t>– lehota na prebratie smernice 2007/60/ES uplynula 26. novembra 2009.</w:t>
      </w:r>
      <w:r w:rsidRPr="0094432C">
        <w:rPr>
          <w:rFonts w:eastAsia="Times New Roman"/>
          <w:sz w:val="24"/>
          <w:szCs w:val="24"/>
        </w:rPr>
        <w:br/>
      </w:r>
      <w:r w:rsidR="0094432C">
        <w:rPr>
          <w:rFonts w:eastAsia="Times New Roman"/>
          <w:sz w:val="24"/>
          <w:szCs w:val="24"/>
        </w:rPr>
        <w:t>(</w:t>
      </w:r>
      <w:r w:rsidRPr="0094432C">
        <w:rPr>
          <w:rFonts w:eastAsia="Times New Roman"/>
          <w:sz w:val="24"/>
          <w:szCs w:val="24"/>
        </w:rPr>
        <w:t>Návrhom zákona sa nevykonáva nová transpozícia ani sa nerozširuje materiálny rozsah transpozície</w:t>
      </w:r>
      <w:r w:rsidR="0094432C">
        <w:rPr>
          <w:rFonts w:eastAsia="Times New Roman"/>
          <w:sz w:val="24"/>
          <w:szCs w:val="24"/>
        </w:rPr>
        <w:t>; m</w:t>
      </w:r>
      <w:r w:rsidRPr="0094432C">
        <w:rPr>
          <w:rFonts w:eastAsia="Times New Roman"/>
          <w:sz w:val="24"/>
          <w:szCs w:val="24"/>
        </w:rPr>
        <w:t>enia sa však vnútroštátne ustanovenia súvisiace s prebratím uvedených smerníc, preto sú súčasťou materiálu čiast</w:t>
      </w:r>
      <w:r w:rsidR="00471135">
        <w:rPr>
          <w:rFonts w:eastAsia="Times New Roman"/>
          <w:sz w:val="24"/>
          <w:szCs w:val="24"/>
        </w:rPr>
        <w:t>kové</w:t>
      </w:r>
      <w:r w:rsidRPr="0094432C">
        <w:rPr>
          <w:rFonts w:eastAsia="Times New Roman"/>
          <w:sz w:val="24"/>
          <w:szCs w:val="24"/>
        </w:rPr>
        <w:t xml:space="preserve"> tabuľky zhody.</w:t>
      </w:r>
      <w:r w:rsidR="0094432C">
        <w:rPr>
          <w:rFonts w:eastAsia="Times New Roman"/>
          <w:sz w:val="24"/>
          <w:szCs w:val="24"/>
        </w:rPr>
        <w:t>)</w:t>
      </w:r>
    </w:p>
    <w:p w14:paraId="3A86AB4C" w14:textId="6858C78E" w:rsidR="0094432C" w:rsidRDefault="00F03747" w:rsidP="0094432C">
      <w:pPr>
        <w:spacing w:after="120"/>
        <w:ind w:left="170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b) konanie podľa čl. 258 a čl. 260 Zmluvy o fungovaní Európskej únie</w:t>
      </w:r>
      <w:r w:rsidR="0094432C">
        <w:rPr>
          <w:rFonts w:eastAsia="Times New Roman"/>
          <w:sz w:val="24"/>
          <w:szCs w:val="24"/>
        </w:rPr>
        <w:t xml:space="preserve"> – bezpredmetné</w:t>
      </w:r>
      <w:r w:rsidR="00471135">
        <w:rPr>
          <w:rFonts w:eastAsia="Times New Roman"/>
          <w:sz w:val="24"/>
          <w:szCs w:val="24"/>
        </w:rPr>
        <w:t>.</w:t>
      </w:r>
    </w:p>
    <w:p w14:paraId="0701A004" w14:textId="77777777" w:rsidR="0065164C" w:rsidRDefault="00F03747" w:rsidP="0094432C">
      <w:pPr>
        <w:spacing w:after="120"/>
        <w:ind w:left="170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c) právne predpisy Slovenskej republiky, v ktorých sú uvedené právne záväzné akty Európskej únie prebrané alebo vykonané</w:t>
      </w:r>
    </w:p>
    <w:p w14:paraId="495B716F" w14:textId="50FDF8F7" w:rsidR="0065164C" w:rsidRDefault="00F03747" w:rsidP="0065164C">
      <w:pPr>
        <w:spacing w:after="120"/>
        <w:ind w:left="170"/>
        <w:jc w:val="both"/>
        <w:rPr>
          <w:rFonts w:eastAsia="Times New Roman"/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– smernica 2012/18/EÚ je prebraná najmä zákonom č. 128/2015 Z. z. o prevencii závažných priemyselných havárií a o zmene a doplnení niektorých zákonov v znení neskorších predpisov a zákonom Národnej rady Slovenskej republiky č. 42/1994 Z. z. o civilnej ochrane obyvateľstva v znení neskorších predpisov,</w:t>
      </w:r>
    </w:p>
    <w:p w14:paraId="3F4181C3" w14:textId="28642E98" w:rsidR="006652A4" w:rsidRPr="0094432C" w:rsidRDefault="00F03747" w:rsidP="0065164C">
      <w:pPr>
        <w:spacing w:after="120"/>
        <w:ind w:left="170"/>
        <w:rPr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lastRenderedPageBreak/>
        <w:t>– smernica 2007/60/ES je prebraná najmä zákonom č. 7/2010 Z. z. o ochrane pred povodňami v znení neskorších predpisov.</w:t>
      </w:r>
      <w:r w:rsidRPr="0094432C">
        <w:rPr>
          <w:rFonts w:eastAsia="Times New Roman"/>
          <w:sz w:val="24"/>
          <w:szCs w:val="24"/>
        </w:rPr>
        <w:br/>
      </w:r>
    </w:p>
    <w:p w14:paraId="3F4181C4" w14:textId="77777777" w:rsidR="006652A4" w:rsidRPr="0094432C" w:rsidRDefault="00F03747" w:rsidP="0094432C">
      <w:pPr>
        <w:keepNext/>
        <w:spacing w:after="120"/>
        <w:rPr>
          <w:sz w:val="24"/>
          <w:szCs w:val="24"/>
        </w:rPr>
      </w:pPr>
      <w:r w:rsidRPr="0094432C">
        <w:rPr>
          <w:rFonts w:eastAsia="Times New Roman"/>
          <w:b/>
          <w:sz w:val="24"/>
          <w:szCs w:val="24"/>
        </w:rPr>
        <w:t>5. Návrh zákona je zlučiteľný s právom Európskej únie:</w:t>
      </w:r>
    </w:p>
    <w:p w14:paraId="3F4181C5" w14:textId="77777777" w:rsidR="006652A4" w:rsidRPr="0094432C" w:rsidRDefault="00F03747" w:rsidP="0094432C">
      <w:pPr>
        <w:spacing w:after="120"/>
        <w:ind w:left="170"/>
        <w:rPr>
          <w:sz w:val="24"/>
          <w:szCs w:val="24"/>
        </w:rPr>
      </w:pPr>
      <w:r w:rsidRPr="0094432C">
        <w:rPr>
          <w:rFonts w:eastAsia="Times New Roman"/>
          <w:sz w:val="24"/>
          <w:szCs w:val="24"/>
        </w:rPr>
        <w:t>Úplne.</w:t>
      </w:r>
    </w:p>
    <w:sectPr w:rsidR="006652A4" w:rsidRPr="0094432C" w:rsidSect="0003262E">
      <w:footerReference w:type="default" r:id="rId8"/>
      <w:pgSz w:w="12240" w:h="15840"/>
      <w:pgMar w:top="1418" w:right="1418" w:bottom="1418" w:left="1418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C8511" w14:textId="77777777" w:rsidR="004670AE" w:rsidRDefault="004670AE">
      <w:r>
        <w:separator/>
      </w:r>
    </w:p>
  </w:endnote>
  <w:endnote w:type="continuationSeparator" w:id="0">
    <w:p w14:paraId="246EABF7" w14:textId="77777777" w:rsidR="004670AE" w:rsidRDefault="0046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181CA" w14:textId="10ABABB6" w:rsidR="006652A4" w:rsidRDefault="00F03747">
    <w:pPr>
      <w:pStyle w:val="Pta"/>
      <w:jc w:val="center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315FC9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5933" w14:textId="77777777" w:rsidR="004670AE" w:rsidRDefault="004670AE">
      <w:r>
        <w:separator/>
      </w:r>
    </w:p>
  </w:footnote>
  <w:footnote w:type="continuationSeparator" w:id="0">
    <w:p w14:paraId="0B33BC59" w14:textId="77777777" w:rsidR="004670AE" w:rsidRDefault="00467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05610B2"/>
    <w:multiLevelType w:val="hybridMultilevel"/>
    <w:tmpl w:val="07EA14CA"/>
    <w:lvl w:ilvl="0" w:tplc="3A9E18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499304">
    <w:abstractNumId w:val="8"/>
  </w:num>
  <w:num w:numId="2" w16cid:durableId="804665509">
    <w:abstractNumId w:val="6"/>
  </w:num>
  <w:num w:numId="3" w16cid:durableId="664281266">
    <w:abstractNumId w:val="5"/>
  </w:num>
  <w:num w:numId="4" w16cid:durableId="199786073">
    <w:abstractNumId w:val="4"/>
  </w:num>
  <w:num w:numId="5" w16cid:durableId="1626883819">
    <w:abstractNumId w:val="7"/>
  </w:num>
  <w:num w:numId="6" w16cid:durableId="1413427492">
    <w:abstractNumId w:val="3"/>
  </w:num>
  <w:num w:numId="7" w16cid:durableId="715931145">
    <w:abstractNumId w:val="2"/>
  </w:num>
  <w:num w:numId="8" w16cid:durableId="1326278545">
    <w:abstractNumId w:val="1"/>
  </w:num>
  <w:num w:numId="9" w16cid:durableId="505441714">
    <w:abstractNumId w:val="0"/>
  </w:num>
  <w:num w:numId="10" w16cid:durableId="4689354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62E"/>
    <w:rsid w:val="00034616"/>
    <w:rsid w:val="0006063C"/>
    <w:rsid w:val="001033B9"/>
    <w:rsid w:val="00122B2E"/>
    <w:rsid w:val="001320B6"/>
    <w:rsid w:val="0015074B"/>
    <w:rsid w:val="001753C7"/>
    <w:rsid w:val="001C5BE8"/>
    <w:rsid w:val="0029639D"/>
    <w:rsid w:val="00315FC9"/>
    <w:rsid w:val="00326F90"/>
    <w:rsid w:val="003A2CAC"/>
    <w:rsid w:val="003E4186"/>
    <w:rsid w:val="00443E11"/>
    <w:rsid w:val="004670AE"/>
    <w:rsid w:val="00471135"/>
    <w:rsid w:val="004767D1"/>
    <w:rsid w:val="004A33B9"/>
    <w:rsid w:val="004C1AED"/>
    <w:rsid w:val="004C4E45"/>
    <w:rsid w:val="005F78C1"/>
    <w:rsid w:val="0065164C"/>
    <w:rsid w:val="006652A4"/>
    <w:rsid w:val="007A67F6"/>
    <w:rsid w:val="00806F7D"/>
    <w:rsid w:val="008C4EBE"/>
    <w:rsid w:val="0090260F"/>
    <w:rsid w:val="00913886"/>
    <w:rsid w:val="0094432C"/>
    <w:rsid w:val="009D69ED"/>
    <w:rsid w:val="00A51CAD"/>
    <w:rsid w:val="00A976F4"/>
    <w:rsid w:val="00AA1D8D"/>
    <w:rsid w:val="00AA46DC"/>
    <w:rsid w:val="00AB4F4D"/>
    <w:rsid w:val="00B47730"/>
    <w:rsid w:val="00B74D3F"/>
    <w:rsid w:val="00BA1657"/>
    <w:rsid w:val="00CB0664"/>
    <w:rsid w:val="00D80DC4"/>
    <w:rsid w:val="00DE20C2"/>
    <w:rsid w:val="00E96902"/>
    <w:rsid w:val="00EF0F33"/>
    <w:rsid w:val="00F03747"/>
    <w:rsid w:val="00FB3629"/>
    <w:rsid w:val="00FB73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181BA"/>
  <w14:defaultImageDpi w14:val="300"/>
  <w15:docId w15:val="{A4A8042A-F9B0-9D48-9E32-59E1D6A3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pPr>
      <w:spacing w:after="0" w:line="240" w:lineRule="auto"/>
    </w:pPr>
    <w:rPr>
      <w:rFonts w:ascii="Times New Roman" w:hAnsi="Times New Roman"/>
      <w:sz w:val="20"/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A332385-E3EC-47F6-B951-D9C2E541272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5a61c73-d7b8-40f5-af68-029b27d4ee74}" enabled="0" method="" siteId="{25a61c73-d7b8-40f5-af68-029b27d4ee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Bajajová</dc:creator>
  <cp:keywords/>
  <dc:description/>
  <cp:lastModifiedBy>Silvia Bajajová</cp:lastModifiedBy>
  <cp:revision>2</cp:revision>
  <dcterms:created xsi:type="dcterms:W3CDTF">2026-08-26T13:20:00Z</dcterms:created>
  <dcterms:modified xsi:type="dcterms:W3CDTF">2026-08-26T13:20:00Z</dcterms:modified>
  <cp:category/>
</cp:coreProperties>
</file>