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A95DE" w14:textId="638849A2" w:rsidR="0019383B" w:rsidRDefault="54002BE1" w:rsidP="00CB9602">
      <w:pPr>
        <w:spacing w:after="0"/>
        <w:jc w:val="center"/>
        <w:rPr>
          <w:rFonts w:ascii="Verdana" w:eastAsia="Verdana" w:hAnsi="Verdana" w:cs="Verdana"/>
          <w:b/>
          <w:bCs/>
          <w:noProof/>
          <w:sz w:val="20"/>
          <w:szCs w:val="20"/>
        </w:rPr>
      </w:pPr>
      <w:r w:rsidRPr="00CB9602">
        <w:rPr>
          <w:rFonts w:ascii="Verdana" w:eastAsia="Verdana" w:hAnsi="Verdana" w:cs="Verdana"/>
          <w:b/>
          <w:bCs/>
          <w:noProof/>
          <w:sz w:val="20"/>
          <w:szCs w:val="20"/>
        </w:rPr>
        <w:t>PREDBEŽNÁ INFORMÁCIA</w:t>
      </w:r>
    </w:p>
    <w:p w14:paraId="5D8C79A5" w14:textId="1C715E22" w:rsidR="0019383B" w:rsidRDefault="54002BE1" w:rsidP="1909FFE0">
      <w:pPr>
        <w:spacing w:after="0"/>
        <w:jc w:val="center"/>
      </w:pPr>
      <w:r w:rsidRPr="00CB9602">
        <w:rPr>
          <w:rFonts w:ascii="Verdana" w:eastAsia="Verdana" w:hAnsi="Verdana" w:cs="Verdana"/>
          <w:b/>
          <w:bCs/>
          <w:noProof/>
          <w:sz w:val="20"/>
          <w:szCs w:val="20"/>
        </w:rPr>
        <w:t>(podľa § 9 zákona č. 400/2015 Z. z. o tvorbe právnych predpisov a o Zbierke zákonov Slovenskej republiky a o zmene a doplnení niektorých zákonov)</w:t>
      </w:r>
    </w:p>
    <w:p w14:paraId="1239CA9E" w14:textId="32912C0D" w:rsidR="00CB9602" w:rsidRDefault="00CB9602" w:rsidP="00CB9602">
      <w:pPr>
        <w:spacing w:after="0"/>
        <w:jc w:val="center"/>
        <w:rPr>
          <w:rFonts w:ascii="Verdana" w:eastAsia="Verdana" w:hAnsi="Verdana" w:cs="Verdana"/>
          <w:b/>
          <w:bCs/>
          <w:noProof/>
          <w:sz w:val="20"/>
          <w:szCs w:val="20"/>
        </w:rPr>
      </w:pPr>
    </w:p>
    <w:p w14:paraId="51510F4A" w14:textId="0870209E" w:rsidR="0019383B" w:rsidRDefault="54002BE1" w:rsidP="00CB9602">
      <w:pPr>
        <w:pStyle w:val="Odsekzoznamu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Verdana" w:eastAsia="Verdana" w:hAnsi="Verdana" w:cs="Verdana"/>
          <w:b/>
          <w:bCs/>
          <w:noProof/>
          <w:sz w:val="20"/>
          <w:szCs w:val="20"/>
        </w:rPr>
      </w:pPr>
      <w:r w:rsidRPr="00CB9602">
        <w:rPr>
          <w:rFonts w:ascii="Verdana" w:eastAsia="Verdana" w:hAnsi="Verdana" w:cs="Verdana"/>
          <w:b/>
          <w:bCs/>
          <w:noProof/>
          <w:sz w:val="20"/>
          <w:szCs w:val="20"/>
        </w:rPr>
        <w:t>Pripravovaný právny predpis</w:t>
      </w:r>
    </w:p>
    <w:p w14:paraId="5D55BBC7" w14:textId="6AEE04A6" w:rsidR="0019383B" w:rsidRDefault="54002BE1" w:rsidP="00CB9602">
      <w:pPr>
        <w:spacing w:after="0"/>
        <w:jc w:val="both"/>
        <w:rPr>
          <w:rFonts w:ascii="Cambria" w:eastAsia="Cambria" w:hAnsi="Cambria" w:cs="Cambria"/>
          <w:noProof/>
          <w:sz w:val="22"/>
          <w:szCs w:val="22"/>
        </w:rPr>
      </w:pPr>
      <w:r w:rsidRPr="00CB9602">
        <w:rPr>
          <w:rFonts w:ascii="Cambria" w:eastAsia="Cambria" w:hAnsi="Cambria" w:cs="Cambria"/>
          <w:noProof/>
          <w:sz w:val="22"/>
          <w:szCs w:val="22"/>
        </w:rPr>
        <w:t>Návrh opatrenia Národnej banky Slovenska o náležitostiach žiadosti a spôsobe preukazovania splnenia podmienok na udelenie bankového povolenia pre banku a pobočku zahraničnej banky so sídlom mimo územia členského štátu</w:t>
      </w:r>
      <w:r w:rsidR="00467BF7" w:rsidRPr="00CB9602">
        <w:rPr>
          <w:rFonts w:ascii="Cambria" w:eastAsia="Cambria" w:hAnsi="Cambria" w:cs="Cambria"/>
          <w:noProof/>
          <w:sz w:val="22"/>
          <w:szCs w:val="22"/>
        </w:rPr>
        <w:t>.</w:t>
      </w:r>
    </w:p>
    <w:p w14:paraId="7658D480" w14:textId="3C727F04" w:rsidR="0019383B" w:rsidRDefault="54002BE1" w:rsidP="1909FFE0">
      <w:pPr>
        <w:spacing w:after="0"/>
        <w:jc w:val="both"/>
        <w:rPr>
          <w:rFonts w:ascii="Times New Roman" w:eastAsia="Times New Roman" w:hAnsi="Times New Roman" w:cs="Times New Roman"/>
          <w:noProof/>
        </w:rPr>
      </w:pPr>
      <w:r w:rsidRPr="1909FFE0">
        <w:rPr>
          <w:rFonts w:ascii="Times New Roman" w:eastAsia="Times New Roman" w:hAnsi="Times New Roman" w:cs="Times New Roman"/>
          <w:noProof/>
        </w:rPr>
        <w:t xml:space="preserve"> </w:t>
      </w:r>
    </w:p>
    <w:p w14:paraId="6FB460AE" w14:textId="50A00418" w:rsidR="0019383B" w:rsidRDefault="54002BE1" w:rsidP="00CB9602">
      <w:pPr>
        <w:pStyle w:val="Odsekzoznamu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Verdana" w:eastAsia="Verdana" w:hAnsi="Verdana" w:cs="Verdana"/>
          <w:b/>
          <w:bCs/>
          <w:noProof/>
          <w:sz w:val="20"/>
          <w:szCs w:val="20"/>
        </w:rPr>
      </w:pPr>
      <w:r w:rsidRPr="00CB9602">
        <w:rPr>
          <w:rFonts w:ascii="Verdana" w:eastAsia="Verdana" w:hAnsi="Verdana" w:cs="Verdana"/>
          <w:b/>
          <w:bCs/>
          <w:noProof/>
          <w:sz w:val="20"/>
          <w:szCs w:val="20"/>
        </w:rPr>
        <w:t>Základné ciele právnej úpravy</w:t>
      </w:r>
    </w:p>
    <w:p w14:paraId="1C9D52C4" w14:textId="2274A0A2" w:rsidR="0019383B" w:rsidRDefault="54002BE1" w:rsidP="00CB9602">
      <w:pPr>
        <w:spacing w:after="0" w:line="276" w:lineRule="auto"/>
        <w:jc w:val="both"/>
        <w:rPr>
          <w:rFonts w:ascii="Cambria" w:eastAsia="Cambria" w:hAnsi="Cambria" w:cs="Cambria"/>
          <w:noProof/>
          <w:sz w:val="22"/>
          <w:szCs w:val="22"/>
        </w:rPr>
      </w:pPr>
      <w:r w:rsidRPr="00CB9602">
        <w:rPr>
          <w:rFonts w:ascii="Cambria" w:eastAsia="Cambria" w:hAnsi="Cambria" w:cs="Cambria"/>
          <w:noProof/>
          <w:sz w:val="22"/>
          <w:szCs w:val="22"/>
        </w:rPr>
        <w:t>Navrhovaným opatrením sa ustanovuje obsah žiadosti o</w:t>
      </w:r>
      <w:r w:rsidR="009623E2">
        <w:rPr>
          <w:rFonts w:ascii="Cambria" w:eastAsia="Cambria" w:hAnsi="Cambria" w:cs="Cambria"/>
          <w:noProof/>
          <w:sz w:val="22"/>
          <w:szCs w:val="22"/>
        </w:rPr>
        <w:t xml:space="preserve"> udelenie</w:t>
      </w:r>
      <w:r w:rsidRPr="00CB9602">
        <w:rPr>
          <w:rFonts w:ascii="Cambria" w:eastAsia="Cambria" w:hAnsi="Cambria" w:cs="Cambria"/>
          <w:noProof/>
          <w:sz w:val="22"/>
          <w:szCs w:val="22"/>
        </w:rPr>
        <w:t> bankové</w:t>
      </w:r>
      <w:r w:rsidR="009623E2">
        <w:rPr>
          <w:rFonts w:ascii="Cambria" w:eastAsia="Cambria" w:hAnsi="Cambria" w:cs="Cambria"/>
          <w:noProof/>
          <w:sz w:val="22"/>
          <w:szCs w:val="22"/>
        </w:rPr>
        <w:t>ho</w:t>
      </w:r>
      <w:r w:rsidRPr="00CB9602">
        <w:rPr>
          <w:rFonts w:ascii="Cambria" w:eastAsia="Cambria" w:hAnsi="Cambria" w:cs="Cambria"/>
          <w:noProof/>
          <w:sz w:val="22"/>
          <w:szCs w:val="22"/>
        </w:rPr>
        <w:t xml:space="preserve"> povoleni</w:t>
      </w:r>
      <w:r w:rsidR="009623E2">
        <w:rPr>
          <w:rFonts w:ascii="Cambria" w:eastAsia="Cambria" w:hAnsi="Cambria" w:cs="Cambria"/>
          <w:noProof/>
          <w:sz w:val="22"/>
          <w:szCs w:val="22"/>
        </w:rPr>
        <w:t>a</w:t>
      </w:r>
      <w:r w:rsidRPr="00CB9602">
        <w:rPr>
          <w:rFonts w:ascii="Cambria" w:eastAsia="Cambria" w:hAnsi="Cambria" w:cs="Cambria"/>
          <w:noProof/>
          <w:sz w:val="22"/>
          <w:szCs w:val="22"/>
        </w:rPr>
        <w:t xml:space="preserve"> pre banku a  pobočku zahraničnej banky so sídlom mimo územia členského štátu</w:t>
      </w:r>
      <w:r w:rsidR="30BB7466" w:rsidRPr="00CB9602">
        <w:rPr>
          <w:rFonts w:ascii="Cambria" w:eastAsia="Cambria" w:hAnsi="Cambria" w:cs="Cambria"/>
          <w:noProof/>
          <w:sz w:val="22"/>
          <w:szCs w:val="22"/>
        </w:rPr>
        <w:t xml:space="preserve"> Európskej </w:t>
      </w:r>
      <w:r w:rsidR="00EA2FED">
        <w:rPr>
          <w:rFonts w:ascii="Cambria" w:eastAsia="Cambria" w:hAnsi="Cambria" w:cs="Cambria"/>
          <w:noProof/>
          <w:sz w:val="22"/>
          <w:szCs w:val="22"/>
        </w:rPr>
        <w:t>ú</w:t>
      </w:r>
      <w:r w:rsidR="30BB7466" w:rsidRPr="00CB9602">
        <w:rPr>
          <w:rFonts w:ascii="Cambria" w:eastAsia="Cambria" w:hAnsi="Cambria" w:cs="Cambria"/>
          <w:noProof/>
          <w:sz w:val="22"/>
          <w:szCs w:val="22"/>
        </w:rPr>
        <w:t>nie a Európskeho hospodárskeho priestoru</w:t>
      </w:r>
      <w:r w:rsidR="00846208">
        <w:rPr>
          <w:rFonts w:ascii="Cambria" w:eastAsia="Cambria" w:hAnsi="Cambria" w:cs="Cambria"/>
          <w:noProof/>
          <w:sz w:val="22"/>
          <w:szCs w:val="22"/>
        </w:rPr>
        <w:t xml:space="preserve"> (ďalej len „pobočka zahraničnej banky so sídlom mimo územia členského štátu“)</w:t>
      </w:r>
      <w:r w:rsidRPr="00CB9602">
        <w:rPr>
          <w:rFonts w:ascii="Cambria" w:eastAsia="Cambria" w:hAnsi="Cambria" w:cs="Cambria"/>
          <w:noProof/>
          <w:sz w:val="22"/>
          <w:szCs w:val="22"/>
        </w:rPr>
        <w:t xml:space="preserve"> a rozsah dokladov prikladaných k tejto žiadosti. Cieľom </w:t>
      </w:r>
      <w:r w:rsidR="009623E2">
        <w:rPr>
          <w:rFonts w:ascii="Cambria" w:eastAsia="Cambria" w:hAnsi="Cambria" w:cs="Cambria"/>
          <w:noProof/>
          <w:sz w:val="22"/>
          <w:szCs w:val="22"/>
        </w:rPr>
        <w:t xml:space="preserve">návrhu </w:t>
      </w:r>
      <w:r w:rsidRPr="00CB9602">
        <w:rPr>
          <w:rFonts w:ascii="Cambria" w:eastAsia="Cambria" w:hAnsi="Cambria" w:cs="Cambria"/>
          <w:noProof/>
          <w:sz w:val="22"/>
          <w:szCs w:val="22"/>
        </w:rPr>
        <w:t xml:space="preserve">opatrenia </w:t>
      </w:r>
      <w:r w:rsidR="66CCBC2E" w:rsidRPr="00CB9602">
        <w:rPr>
          <w:rFonts w:ascii="Cambria" w:eastAsia="Cambria" w:hAnsi="Cambria" w:cs="Cambria"/>
          <w:noProof/>
          <w:sz w:val="22"/>
          <w:szCs w:val="22"/>
        </w:rPr>
        <w:t>je reagovať</w:t>
      </w:r>
      <w:r w:rsidR="00D0186A">
        <w:rPr>
          <w:rFonts w:ascii="Cambria" w:eastAsia="Cambria" w:hAnsi="Cambria" w:cs="Cambria"/>
          <w:noProof/>
          <w:sz w:val="22"/>
          <w:szCs w:val="22"/>
        </w:rPr>
        <w:t xml:space="preserve"> </w:t>
      </w:r>
      <w:r w:rsidR="66CCBC2E" w:rsidRPr="00CB9602">
        <w:rPr>
          <w:rFonts w:ascii="Cambria" w:eastAsia="Cambria" w:hAnsi="Cambria" w:cs="Cambria"/>
          <w:noProof/>
          <w:sz w:val="22"/>
          <w:szCs w:val="22"/>
        </w:rPr>
        <w:t>na zmeny vyp</w:t>
      </w:r>
      <w:r w:rsidR="6560C170" w:rsidRPr="00CB9602">
        <w:rPr>
          <w:rFonts w:ascii="Cambria" w:eastAsia="Cambria" w:hAnsi="Cambria" w:cs="Cambria"/>
          <w:noProof/>
          <w:sz w:val="22"/>
          <w:szCs w:val="22"/>
        </w:rPr>
        <w:t>lývajúce</w:t>
      </w:r>
      <w:r w:rsidR="66CCBC2E" w:rsidRPr="00CB9602">
        <w:rPr>
          <w:rFonts w:ascii="Cambria" w:eastAsia="Cambria" w:hAnsi="Cambria" w:cs="Cambria"/>
          <w:noProof/>
          <w:sz w:val="22"/>
          <w:szCs w:val="22"/>
        </w:rPr>
        <w:t xml:space="preserve"> </w:t>
      </w:r>
      <w:r w:rsidR="0173CD70" w:rsidRPr="00CB9602">
        <w:rPr>
          <w:rFonts w:ascii="Cambria" w:eastAsia="Cambria" w:hAnsi="Cambria" w:cs="Cambria"/>
          <w:noProof/>
          <w:sz w:val="22"/>
          <w:szCs w:val="22"/>
        </w:rPr>
        <w:t xml:space="preserve">zo </w:t>
      </w:r>
      <w:r w:rsidR="0173CD70" w:rsidRPr="00CB9602">
        <w:rPr>
          <w:rFonts w:ascii="Cambria" w:eastAsia="Cambria" w:hAnsi="Cambria" w:cs="Cambria"/>
          <w:noProof/>
          <w:color w:val="000000" w:themeColor="text1"/>
          <w:sz w:val="22"/>
          <w:szCs w:val="22"/>
        </w:rPr>
        <w:t xml:space="preserve">zákona č. 30/2026 Z. z. ktorým sa mení a dopĺňa zákon č. 483/2001 Z. z. o bankách a o zmene a doplnení niektorých zákonov v znení neskorších predpisov a ktorým sa menia a dopĺňajú niektoré zákony (ďalej len </w:t>
      </w:r>
      <w:r w:rsidR="00EA2FED">
        <w:rPr>
          <w:rFonts w:ascii="Cambria" w:eastAsia="Cambria" w:hAnsi="Cambria" w:cs="Cambria"/>
          <w:noProof/>
          <w:color w:val="000000" w:themeColor="text1"/>
          <w:sz w:val="22"/>
          <w:szCs w:val="22"/>
        </w:rPr>
        <w:t>„</w:t>
      </w:r>
      <w:r w:rsidR="0173CD70" w:rsidRPr="00CB9602">
        <w:rPr>
          <w:rFonts w:ascii="Cambria" w:eastAsia="Cambria" w:hAnsi="Cambria" w:cs="Cambria"/>
          <w:noProof/>
          <w:color w:val="000000" w:themeColor="text1"/>
          <w:sz w:val="22"/>
          <w:szCs w:val="22"/>
        </w:rPr>
        <w:t>novela zákona o bankách”)</w:t>
      </w:r>
      <w:r w:rsidR="4F288888" w:rsidRPr="00CB9602">
        <w:rPr>
          <w:rFonts w:ascii="Cambria" w:eastAsia="Cambria" w:hAnsi="Cambria" w:cs="Cambria"/>
          <w:noProof/>
          <w:color w:val="000000" w:themeColor="text1"/>
          <w:sz w:val="22"/>
          <w:szCs w:val="22"/>
        </w:rPr>
        <w:t>,</w:t>
      </w:r>
      <w:r w:rsidR="0173CD70" w:rsidRPr="00CB9602">
        <w:rPr>
          <w:rFonts w:ascii="Cambria" w:eastAsia="Cambria" w:hAnsi="Cambria" w:cs="Cambria"/>
          <w:noProof/>
          <w:sz w:val="22"/>
          <w:szCs w:val="22"/>
        </w:rPr>
        <w:t xml:space="preserve"> </w:t>
      </w:r>
      <w:r w:rsidR="588E6EDE" w:rsidRPr="00CB9602">
        <w:rPr>
          <w:rFonts w:ascii="Cambria" w:eastAsia="Cambria" w:hAnsi="Cambria" w:cs="Cambria"/>
          <w:noProof/>
          <w:sz w:val="22"/>
          <w:szCs w:val="22"/>
        </w:rPr>
        <w:t>ktor</w:t>
      </w:r>
      <w:r w:rsidR="1C14A8F5" w:rsidRPr="00CB9602">
        <w:rPr>
          <w:rFonts w:ascii="Cambria" w:eastAsia="Cambria" w:hAnsi="Cambria" w:cs="Cambria"/>
          <w:noProof/>
          <w:sz w:val="22"/>
          <w:szCs w:val="22"/>
        </w:rPr>
        <w:t xml:space="preserve">ý </w:t>
      </w:r>
      <w:r w:rsidR="1F3350AF" w:rsidRPr="00CB9602">
        <w:rPr>
          <w:rFonts w:ascii="Cambria" w:eastAsia="Cambria" w:hAnsi="Cambria" w:cs="Cambria"/>
          <w:noProof/>
          <w:color w:val="000000" w:themeColor="text1"/>
          <w:sz w:val="22"/>
          <w:szCs w:val="22"/>
        </w:rPr>
        <w:t>predstavuje transpozíciu smernice Európskeho parlamentu a Rady (EÚ) 2024/1619</w:t>
      </w:r>
      <w:r w:rsidR="00846208">
        <w:rPr>
          <w:rStyle w:val="Odkaznapoznmkupodiarou"/>
          <w:rFonts w:ascii="Cambria" w:eastAsia="Cambria" w:hAnsi="Cambria" w:cs="Cambria"/>
          <w:noProof/>
          <w:color w:val="000000" w:themeColor="text1"/>
          <w:sz w:val="22"/>
          <w:szCs w:val="22"/>
        </w:rPr>
        <w:footnoteReference w:id="1"/>
      </w:r>
      <w:r w:rsidR="00846208">
        <w:rPr>
          <w:rFonts w:ascii="Cambria" w:eastAsia="Cambria" w:hAnsi="Cambria" w:cs="Cambria"/>
          <w:noProof/>
          <w:color w:val="000000" w:themeColor="text1"/>
          <w:sz w:val="22"/>
          <w:szCs w:val="22"/>
        </w:rPr>
        <w:t>)</w:t>
      </w:r>
      <w:r w:rsidR="1F3350AF" w:rsidRPr="00CB9602">
        <w:rPr>
          <w:rFonts w:ascii="Cambria" w:eastAsia="Cambria" w:hAnsi="Cambria" w:cs="Cambria"/>
          <w:noProof/>
          <w:color w:val="000000" w:themeColor="text1"/>
          <w:sz w:val="22"/>
          <w:szCs w:val="22"/>
        </w:rPr>
        <w:t xml:space="preserve"> (CRD6)</w:t>
      </w:r>
      <w:r w:rsidR="27CD2F5A" w:rsidRPr="00CB9602">
        <w:rPr>
          <w:rFonts w:ascii="Cambria" w:eastAsia="Cambria" w:hAnsi="Cambria" w:cs="Cambria"/>
          <w:noProof/>
          <w:color w:val="000000" w:themeColor="text1"/>
          <w:sz w:val="22"/>
          <w:szCs w:val="22"/>
        </w:rPr>
        <w:t>.</w:t>
      </w:r>
      <w:r w:rsidR="6F112877" w:rsidRPr="00CB9602">
        <w:rPr>
          <w:rFonts w:ascii="Cambria" w:eastAsia="Cambria" w:hAnsi="Cambria" w:cs="Cambria"/>
          <w:noProof/>
          <w:sz w:val="22"/>
          <w:szCs w:val="22"/>
        </w:rPr>
        <w:t xml:space="preserve"> </w:t>
      </w:r>
    </w:p>
    <w:p w14:paraId="55CCCEBC" w14:textId="77ACCF83" w:rsidR="0019383B" w:rsidRDefault="0019383B" w:rsidP="00CB9602">
      <w:pPr>
        <w:spacing w:after="0" w:line="276" w:lineRule="auto"/>
        <w:jc w:val="both"/>
        <w:rPr>
          <w:rFonts w:ascii="Cambria" w:eastAsia="Cambria" w:hAnsi="Cambria" w:cs="Cambria"/>
          <w:noProof/>
          <w:sz w:val="22"/>
          <w:szCs w:val="22"/>
        </w:rPr>
      </w:pPr>
    </w:p>
    <w:p w14:paraId="436A45EF" w14:textId="3C76E60C" w:rsidR="0019383B" w:rsidRDefault="6F112877" w:rsidP="00CB9602">
      <w:pPr>
        <w:spacing w:after="0" w:line="276" w:lineRule="auto"/>
        <w:jc w:val="both"/>
        <w:rPr>
          <w:rFonts w:ascii="Cambria" w:eastAsia="Cambria" w:hAnsi="Cambria" w:cs="Cambria"/>
          <w:noProof/>
          <w:sz w:val="22"/>
          <w:szCs w:val="22"/>
        </w:rPr>
      </w:pPr>
      <w:r w:rsidRPr="00CB9602">
        <w:rPr>
          <w:rFonts w:ascii="Cambria" w:eastAsia="Cambria" w:hAnsi="Cambria" w:cs="Cambria"/>
          <w:noProof/>
          <w:sz w:val="22"/>
          <w:szCs w:val="22"/>
        </w:rPr>
        <w:t xml:space="preserve">V súlade s účelom prijatých zmien vo vnútroštátnej a európskej legislatíve návrh opatrenia </w:t>
      </w:r>
      <w:r w:rsidR="00D0186A">
        <w:rPr>
          <w:rFonts w:ascii="Cambria" w:eastAsia="Cambria" w:hAnsi="Cambria" w:cs="Cambria"/>
          <w:noProof/>
          <w:sz w:val="22"/>
          <w:szCs w:val="22"/>
        </w:rPr>
        <w:t>reflektuje novelizovaný rámec pre udelenie bankového povolenia</w:t>
      </w:r>
      <w:r w:rsidRPr="00CB9602">
        <w:rPr>
          <w:rFonts w:ascii="Cambria" w:eastAsia="Cambria" w:hAnsi="Cambria" w:cs="Cambria"/>
          <w:noProof/>
          <w:sz w:val="22"/>
          <w:szCs w:val="22"/>
        </w:rPr>
        <w:t xml:space="preserve"> pobočke zahraničnej banky so sídlom mimo územia členského štátu </w:t>
      </w:r>
      <w:r w:rsidR="009623E2">
        <w:rPr>
          <w:rFonts w:ascii="Cambria" w:eastAsia="Cambria" w:hAnsi="Cambria" w:cs="Cambria"/>
          <w:noProof/>
          <w:sz w:val="22"/>
          <w:szCs w:val="22"/>
        </w:rPr>
        <w:t xml:space="preserve">aj </w:t>
      </w:r>
      <w:r w:rsidRPr="00CB9602">
        <w:rPr>
          <w:rFonts w:ascii="Cambria" w:eastAsia="Cambria" w:hAnsi="Cambria" w:cs="Cambria"/>
          <w:noProof/>
          <w:sz w:val="22"/>
          <w:szCs w:val="22"/>
        </w:rPr>
        <w:t xml:space="preserve">s ohľadom na to, že jej zriaďovateľ má sídlo v tretej krajine a je regulovaný právom tretej krajiny. </w:t>
      </w:r>
      <w:r w:rsidR="54002BE1" w:rsidRPr="00CB9602">
        <w:rPr>
          <w:rFonts w:ascii="Cambria" w:eastAsia="Cambria" w:hAnsi="Cambria" w:cs="Cambria"/>
          <w:noProof/>
          <w:sz w:val="22"/>
          <w:szCs w:val="22"/>
        </w:rPr>
        <w:t>Novel</w:t>
      </w:r>
      <w:r w:rsidR="2C66084D" w:rsidRPr="00CB9602">
        <w:rPr>
          <w:rFonts w:ascii="Cambria" w:eastAsia="Cambria" w:hAnsi="Cambria" w:cs="Cambria"/>
          <w:noProof/>
          <w:sz w:val="22"/>
          <w:szCs w:val="22"/>
        </w:rPr>
        <w:t>a zákona o bankách</w:t>
      </w:r>
      <w:r w:rsidR="54002BE1" w:rsidRPr="00CB9602">
        <w:rPr>
          <w:rFonts w:ascii="Cambria" w:eastAsia="Cambria" w:hAnsi="Cambria" w:cs="Cambria"/>
          <w:noProof/>
          <w:sz w:val="22"/>
          <w:szCs w:val="22"/>
        </w:rPr>
        <w:t xml:space="preserve"> zároveň priniesla aj novú terminológiu a požiadavky v oblasti vnútorného riadenia bánk, ktoré sa taktiež prejavujú v obsahu navrhovaného opatrenia.</w:t>
      </w:r>
    </w:p>
    <w:p w14:paraId="069D727C" w14:textId="08C468CB" w:rsidR="0019383B" w:rsidRDefault="54002BE1" w:rsidP="1909FFE0">
      <w:pPr>
        <w:spacing w:after="0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1909FFE0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</w:t>
      </w:r>
    </w:p>
    <w:p w14:paraId="4B3635C7" w14:textId="7F063DC9" w:rsidR="0019383B" w:rsidRDefault="54002BE1" w:rsidP="00CB9602">
      <w:pPr>
        <w:pStyle w:val="Odsekzoznamu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Verdana" w:eastAsia="Verdana" w:hAnsi="Verdana" w:cs="Verdana"/>
          <w:b/>
          <w:bCs/>
          <w:noProof/>
          <w:sz w:val="20"/>
          <w:szCs w:val="20"/>
        </w:rPr>
      </w:pPr>
      <w:r w:rsidRPr="00CB9602">
        <w:rPr>
          <w:rFonts w:ascii="Verdana" w:eastAsia="Verdana" w:hAnsi="Verdana" w:cs="Verdana"/>
          <w:b/>
          <w:bCs/>
          <w:noProof/>
          <w:sz w:val="20"/>
          <w:szCs w:val="20"/>
        </w:rPr>
        <w:t>Zhodnotenie súčasného stavu</w:t>
      </w:r>
    </w:p>
    <w:p w14:paraId="72DDE3C8" w14:textId="38641F4B" w:rsidR="0019383B" w:rsidRDefault="54002BE1" w:rsidP="00CB9602">
      <w:pPr>
        <w:spacing w:after="0"/>
        <w:jc w:val="both"/>
        <w:rPr>
          <w:rFonts w:ascii="Cambria" w:eastAsia="Cambria" w:hAnsi="Cambria" w:cs="Cambria"/>
          <w:noProof/>
          <w:sz w:val="22"/>
          <w:szCs w:val="22"/>
        </w:rPr>
      </w:pPr>
      <w:r w:rsidRPr="00CB9602">
        <w:rPr>
          <w:rFonts w:ascii="Cambria" w:eastAsia="Cambria" w:hAnsi="Cambria" w:cs="Cambria"/>
          <w:noProof/>
          <w:sz w:val="22"/>
          <w:szCs w:val="22"/>
        </w:rPr>
        <w:t>Súčasná úprava náležitostí žiadosti a spôsobe preukazovania splnenia podmienok na udelenie bankového povolenia pre banku a pobočku zahraničnej banky so sídlom mimo územia členského štátu je obsiahnutá v opatrení Národnej banky Slovenska z 1. marca 2025 č. 3/2025</w:t>
      </w:r>
      <w:r w:rsidR="628A196A" w:rsidRPr="00CB9602">
        <w:rPr>
          <w:rFonts w:ascii="Cambria" w:eastAsia="Cambria" w:hAnsi="Cambria" w:cs="Cambria"/>
          <w:noProof/>
          <w:sz w:val="22"/>
          <w:szCs w:val="22"/>
        </w:rPr>
        <w:t xml:space="preserve"> o náležitostiach žiadosti a spôsobe preukazovania splnenia podmienok na udelenie bankového povolenia pre banku a pobočku zahraničnej banky</w:t>
      </w:r>
      <w:r w:rsidRPr="00CB9602">
        <w:rPr>
          <w:rFonts w:ascii="Cambria" w:eastAsia="Cambria" w:hAnsi="Cambria" w:cs="Cambria"/>
          <w:noProof/>
          <w:sz w:val="22"/>
          <w:szCs w:val="22"/>
        </w:rPr>
        <w:t xml:space="preserve">. V súčasnosti platné a účinné znenie tohto opatrenia je vzhľadom na </w:t>
      </w:r>
      <w:r w:rsidR="3C47B536" w:rsidRPr="00CB9602">
        <w:rPr>
          <w:rFonts w:ascii="Cambria" w:eastAsia="Cambria" w:hAnsi="Cambria" w:cs="Cambria"/>
          <w:noProof/>
          <w:sz w:val="22"/>
          <w:szCs w:val="22"/>
        </w:rPr>
        <w:t>prijatie novely zákona o bankách</w:t>
      </w:r>
      <w:r w:rsidRPr="00CB9602">
        <w:rPr>
          <w:rFonts w:ascii="Cambria" w:eastAsia="Cambria" w:hAnsi="Cambria" w:cs="Cambria"/>
          <w:noProof/>
          <w:sz w:val="22"/>
          <w:szCs w:val="22"/>
        </w:rPr>
        <w:t xml:space="preserve"> neaktuálne.</w:t>
      </w:r>
    </w:p>
    <w:p w14:paraId="2F7CFEC7" w14:textId="3A13F2C1" w:rsidR="0019383B" w:rsidRDefault="54002BE1" w:rsidP="1909FFE0">
      <w:pPr>
        <w:spacing w:after="0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1909FFE0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</w:t>
      </w:r>
    </w:p>
    <w:p w14:paraId="6B2E94E0" w14:textId="25C9FD7D" w:rsidR="0019383B" w:rsidRPr="00846208" w:rsidRDefault="54002BE1" w:rsidP="00CB9602">
      <w:pPr>
        <w:pStyle w:val="Odsekzoznamu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Verdana" w:eastAsia="Verdana" w:hAnsi="Verdana" w:cs="Verdana"/>
          <w:b/>
          <w:bCs/>
          <w:noProof/>
          <w:sz w:val="20"/>
          <w:szCs w:val="20"/>
          <w:lang w:val="pl-PL"/>
        </w:rPr>
      </w:pPr>
      <w:r w:rsidRPr="00846208">
        <w:rPr>
          <w:rFonts w:ascii="Verdana" w:eastAsia="Verdana" w:hAnsi="Verdana" w:cs="Verdana"/>
          <w:b/>
          <w:bCs/>
          <w:noProof/>
          <w:sz w:val="20"/>
          <w:szCs w:val="20"/>
          <w:lang w:val="pl-PL"/>
        </w:rPr>
        <w:t>Spôsob zapojenia verejnosti do prípravy právneho predpisu</w:t>
      </w:r>
    </w:p>
    <w:p w14:paraId="2DCBBC12" w14:textId="02C2C237" w:rsidR="0019383B" w:rsidRDefault="54002BE1" w:rsidP="00CB9602">
      <w:pPr>
        <w:spacing w:after="0"/>
        <w:jc w:val="both"/>
        <w:rPr>
          <w:rFonts w:ascii="Cambria" w:eastAsia="Cambria" w:hAnsi="Cambria" w:cs="Cambria"/>
          <w:noProof/>
          <w:sz w:val="22"/>
          <w:szCs w:val="22"/>
        </w:rPr>
      </w:pPr>
      <w:r w:rsidRPr="00CB9602">
        <w:rPr>
          <w:rFonts w:ascii="Cambria" w:eastAsia="Cambria" w:hAnsi="Cambria" w:cs="Cambria"/>
          <w:noProof/>
          <w:sz w:val="22"/>
          <w:szCs w:val="22"/>
        </w:rPr>
        <w:t>Verejnosť sa môže zapojiť do prípravy právneho predpisu formou zasielania podnetov, či návrhov v intenciách vecného zamerania podľa bodu 2.</w:t>
      </w:r>
    </w:p>
    <w:p w14:paraId="13A311C3" w14:textId="401854EB" w:rsidR="0019383B" w:rsidRDefault="54002BE1" w:rsidP="1909FFE0">
      <w:pPr>
        <w:spacing w:after="0"/>
        <w:jc w:val="both"/>
        <w:rPr>
          <w:rFonts w:ascii="Times New Roman" w:eastAsia="Times New Roman" w:hAnsi="Times New Roman" w:cs="Times New Roman"/>
          <w:b/>
          <w:bCs/>
          <w:noProof/>
        </w:rPr>
      </w:pPr>
      <w:r w:rsidRPr="1909FFE0">
        <w:rPr>
          <w:rFonts w:ascii="Times New Roman" w:eastAsia="Times New Roman" w:hAnsi="Times New Roman" w:cs="Times New Roman"/>
          <w:b/>
          <w:bCs/>
          <w:noProof/>
        </w:rPr>
        <w:t xml:space="preserve"> </w:t>
      </w:r>
    </w:p>
    <w:p w14:paraId="793A7EE0" w14:textId="0FF65142" w:rsidR="0019383B" w:rsidRDefault="54002BE1" w:rsidP="00CB9602">
      <w:pPr>
        <w:spacing w:after="0"/>
        <w:jc w:val="both"/>
        <w:rPr>
          <w:rFonts w:ascii="Cambria" w:eastAsia="Cambria" w:hAnsi="Cambria" w:cs="Cambria"/>
          <w:b/>
          <w:bCs/>
          <w:noProof/>
          <w:sz w:val="22"/>
          <w:szCs w:val="22"/>
        </w:rPr>
      </w:pPr>
      <w:r w:rsidRPr="00CB9602">
        <w:rPr>
          <w:rFonts w:ascii="Cambria" w:eastAsia="Cambria" w:hAnsi="Cambria" w:cs="Cambria"/>
          <w:b/>
          <w:bCs/>
          <w:noProof/>
          <w:sz w:val="22"/>
          <w:szCs w:val="22"/>
        </w:rPr>
        <w:t>Kontaktné údaje</w:t>
      </w:r>
    </w:p>
    <w:p w14:paraId="0041A3CA" w14:textId="77777777" w:rsidR="00EA50D8" w:rsidRPr="006866B8" w:rsidRDefault="00EA50D8" w:rsidP="00CB9602">
      <w:pPr>
        <w:pStyle w:val="Default"/>
        <w:jc w:val="both"/>
        <w:rPr>
          <w:rFonts w:ascii="Cambria" w:eastAsia="Cambria" w:hAnsi="Cambria" w:cs="Cambria"/>
          <w:sz w:val="22"/>
          <w:szCs w:val="22"/>
        </w:rPr>
      </w:pPr>
      <w:r w:rsidRPr="00CB9602">
        <w:rPr>
          <w:rFonts w:ascii="Cambria" w:eastAsia="Cambria" w:hAnsi="Cambria" w:cs="Cambria"/>
          <w:sz w:val="22"/>
          <w:szCs w:val="22"/>
        </w:rPr>
        <w:t>Národná banka Slovenska</w:t>
      </w:r>
    </w:p>
    <w:p w14:paraId="713520CC" w14:textId="7E459FE8" w:rsidR="00EA50D8" w:rsidRDefault="00EA50D8" w:rsidP="00CB9602">
      <w:pPr>
        <w:autoSpaceDE w:val="0"/>
        <w:autoSpaceDN w:val="0"/>
        <w:adjustRightInd w:val="0"/>
        <w:spacing w:after="0" w:line="240" w:lineRule="auto"/>
        <w:rPr>
          <w:rFonts w:ascii="Cambria" w:eastAsia="Cambria" w:hAnsi="Cambria" w:cs="Cambria"/>
          <w:sz w:val="22"/>
          <w:szCs w:val="22"/>
        </w:rPr>
      </w:pPr>
      <w:r w:rsidRPr="00CB9602">
        <w:rPr>
          <w:rFonts w:ascii="Cambria" w:eastAsia="Cambria" w:hAnsi="Cambria" w:cs="Cambria"/>
          <w:sz w:val="22"/>
          <w:szCs w:val="22"/>
        </w:rPr>
        <w:t>Úsek dohľadu a finančnej stability</w:t>
      </w:r>
    </w:p>
    <w:p w14:paraId="1E381698" w14:textId="4E5091E5" w:rsidR="00EA50D8" w:rsidRPr="004428E6" w:rsidRDefault="00EA50D8" w:rsidP="00CB9602">
      <w:pPr>
        <w:autoSpaceDE w:val="0"/>
        <w:autoSpaceDN w:val="0"/>
        <w:adjustRightInd w:val="0"/>
        <w:spacing w:after="0" w:line="240" w:lineRule="auto"/>
        <w:rPr>
          <w:rFonts w:ascii="Cambria" w:eastAsia="Cambria" w:hAnsi="Cambria" w:cs="Cambria"/>
          <w:sz w:val="22"/>
          <w:szCs w:val="22"/>
        </w:rPr>
      </w:pPr>
      <w:r w:rsidRPr="00CB9602">
        <w:rPr>
          <w:rFonts w:ascii="Cambria" w:eastAsia="Cambria" w:hAnsi="Cambria" w:cs="Cambria"/>
          <w:sz w:val="22"/>
          <w:szCs w:val="22"/>
        </w:rPr>
        <w:t>Odbor dohľadu nad bankovníctvom</w:t>
      </w:r>
    </w:p>
    <w:p w14:paraId="68C7770B" w14:textId="4FBCD644" w:rsidR="00EA50D8" w:rsidRPr="006866B8" w:rsidRDefault="00EA50D8" w:rsidP="00CB9602">
      <w:pPr>
        <w:pStyle w:val="Default"/>
        <w:jc w:val="both"/>
        <w:rPr>
          <w:rFonts w:ascii="Cambria" w:eastAsia="Cambria" w:hAnsi="Cambria" w:cs="Cambria"/>
          <w:sz w:val="22"/>
          <w:szCs w:val="22"/>
        </w:rPr>
      </w:pPr>
      <w:r w:rsidRPr="00CB9602">
        <w:rPr>
          <w:rFonts w:ascii="Cambria" w:eastAsia="Cambria" w:hAnsi="Cambria" w:cs="Cambria"/>
          <w:sz w:val="22"/>
          <w:szCs w:val="22"/>
        </w:rPr>
        <w:lastRenderedPageBreak/>
        <w:t>Imricha Karvaša 1</w:t>
      </w:r>
    </w:p>
    <w:p w14:paraId="472ED92E" w14:textId="7797F97C" w:rsidR="00EA50D8" w:rsidRPr="006866B8" w:rsidRDefault="00EA50D8" w:rsidP="00CB9602">
      <w:pPr>
        <w:pStyle w:val="Default"/>
        <w:jc w:val="both"/>
        <w:rPr>
          <w:rFonts w:ascii="Cambria" w:eastAsia="Cambria" w:hAnsi="Cambria" w:cs="Cambria"/>
          <w:sz w:val="22"/>
          <w:szCs w:val="22"/>
        </w:rPr>
      </w:pPr>
      <w:r w:rsidRPr="00CB9602">
        <w:rPr>
          <w:rFonts w:ascii="Cambria" w:eastAsia="Cambria" w:hAnsi="Cambria" w:cs="Cambria"/>
          <w:sz w:val="22"/>
          <w:szCs w:val="22"/>
        </w:rPr>
        <w:t>813 25 Bratislava</w:t>
      </w:r>
    </w:p>
    <w:p w14:paraId="6B4EA109" w14:textId="30E84F0E" w:rsidR="00EA50D8" w:rsidRPr="006866B8" w:rsidRDefault="00EA50D8" w:rsidP="00CB9602">
      <w:pPr>
        <w:pStyle w:val="Default"/>
        <w:jc w:val="both"/>
        <w:rPr>
          <w:rFonts w:ascii="Cambria" w:eastAsia="Cambria" w:hAnsi="Cambria" w:cs="Cambria"/>
          <w:sz w:val="22"/>
          <w:szCs w:val="22"/>
        </w:rPr>
      </w:pPr>
      <w:r w:rsidRPr="00CB9602">
        <w:rPr>
          <w:rFonts w:ascii="Cambria" w:eastAsia="Cambria" w:hAnsi="Cambria" w:cs="Cambria"/>
          <w:sz w:val="22"/>
          <w:szCs w:val="22"/>
        </w:rPr>
        <w:t xml:space="preserve">email: </w:t>
      </w:r>
      <w:hyperlink r:id="rId11">
        <w:r w:rsidRPr="00CB9602">
          <w:rPr>
            <w:rFonts w:ascii="Cambria" w:eastAsia="Cambria" w:hAnsi="Cambria" w:cs="Cambria"/>
            <w:sz w:val="22"/>
            <w:szCs w:val="22"/>
          </w:rPr>
          <w:t>oznamopk@nbs.sk</w:t>
        </w:r>
      </w:hyperlink>
    </w:p>
    <w:p w14:paraId="238EC408" w14:textId="2D2DDE15" w:rsidR="0019383B" w:rsidRDefault="54002BE1" w:rsidP="00CB9602">
      <w:pPr>
        <w:spacing w:after="0"/>
        <w:jc w:val="both"/>
        <w:rPr>
          <w:rFonts w:ascii="Verdana" w:eastAsia="Verdana" w:hAnsi="Verdana" w:cs="Verdana"/>
          <w:noProof/>
          <w:sz w:val="20"/>
          <w:szCs w:val="20"/>
        </w:rPr>
      </w:pPr>
      <w:r w:rsidRPr="00CB9602">
        <w:rPr>
          <w:rFonts w:ascii="Verdana" w:eastAsia="Verdana" w:hAnsi="Verdana" w:cs="Verdana"/>
          <w:noProof/>
          <w:sz w:val="20"/>
          <w:szCs w:val="20"/>
        </w:rPr>
        <w:t xml:space="preserve"> </w:t>
      </w:r>
    </w:p>
    <w:p w14:paraId="7919643F" w14:textId="510E660C" w:rsidR="0019383B" w:rsidRPr="00846208" w:rsidRDefault="54002BE1" w:rsidP="00CB9602">
      <w:pPr>
        <w:pStyle w:val="Odsekzoznamu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Verdana" w:eastAsia="Verdana" w:hAnsi="Verdana" w:cs="Verdana"/>
          <w:noProof/>
          <w:sz w:val="20"/>
          <w:szCs w:val="20"/>
          <w:lang w:val="pl-PL"/>
        </w:rPr>
      </w:pPr>
      <w:r w:rsidRPr="00846208">
        <w:rPr>
          <w:rFonts w:ascii="Verdana" w:eastAsia="Verdana" w:hAnsi="Verdana" w:cs="Verdana"/>
          <w:b/>
          <w:bCs/>
          <w:noProof/>
          <w:sz w:val="20"/>
          <w:szCs w:val="20"/>
          <w:lang w:val="pl-PL"/>
        </w:rPr>
        <w:t>Predpokladaný termín začatia pripomienkového konania</w:t>
      </w:r>
    </w:p>
    <w:p w14:paraId="2C078E63" w14:textId="2714D6D5" w:rsidR="0019383B" w:rsidRDefault="00DB1857" w:rsidP="00CB9602">
      <w:pPr>
        <w:pStyle w:val="Odsekzoznamu"/>
        <w:spacing w:after="0" w:line="276" w:lineRule="auto"/>
        <w:ind w:left="284" w:hanging="284"/>
        <w:jc w:val="both"/>
        <w:rPr>
          <w:rFonts w:ascii="Cambria" w:eastAsia="Cambria" w:hAnsi="Cambria" w:cs="Cambria"/>
          <w:noProof/>
          <w:sz w:val="22"/>
          <w:szCs w:val="22"/>
        </w:rPr>
      </w:pPr>
      <w:r w:rsidRPr="00CB9602">
        <w:rPr>
          <w:rFonts w:ascii="Cambria" w:eastAsia="Cambria" w:hAnsi="Cambria" w:cs="Cambria"/>
          <w:noProof/>
          <w:sz w:val="22"/>
          <w:szCs w:val="22"/>
        </w:rPr>
        <w:t xml:space="preserve">Október </w:t>
      </w:r>
      <w:r w:rsidR="54002BE1" w:rsidRPr="00CB9602">
        <w:rPr>
          <w:rFonts w:ascii="Cambria" w:eastAsia="Cambria" w:hAnsi="Cambria" w:cs="Cambria"/>
          <w:noProof/>
          <w:sz w:val="22"/>
          <w:szCs w:val="22"/>
        </w:rPr>
        <w:t>2026</w:t>
      </w:r>
    </w:p>
    <w:sectPr w:rsidR="001938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6BFEB" w14:textId="77777777" w:rsidR="0069295D" w:rsidRDefault="0069295D" w:rsidP="00846208">
      <w:pPr>
        <w:spacing w:after="0" w:line="240" w:lineRule="auto"/>
      </w:pPr>
      <w:r>
        <w:separator/>
      </w:r>
    </w:p>
  </w:endnote>
  <w:endnote w:type="continuationSeparator" w:id="0">
    <w:p w14:paraId="144E9201" w14:textId="77777777" w:rsidR="0069295D" w:rsidRDefault="0069295D" w:rsidP="00846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84FBA" w14:textId="77777777" w:rsidR="0069295D" w:rsidRDefault="0069295D" w:rsidP="00846208">
      <w:pPr>
        <w:spacing w:after="0" w:line="240" w:lineRule="auto"/>
      </w:pPr>
      <w:r>
        <w:separator/>
      </w:r>
    </w:p>
  </w:footnote>
  <w:footnote w:type="continuationSeparator" w:id="0">
    <w:p w14:paraId="50CA833D" w14:textId="77777777" w:rsidR="0069295D" w:rsidRDefault="0069295D" w:rsidP="00846208">
      <w:pPr>
        <w:spacing w:after="0" w:line="240" w:lineRule="auto"/>
      </w:pPr>
      <w:r>
        <w:continuationSeparator/>
      </w:r>
    </w:p>
  </w:footnote>
  <w:footnote w:id="1">
    <w:p w14:paraId="4E33DF70" w14:textId="1634EB6A" w:rsidR="00846208" w:rsidRPr="00846208" w:rsidRDefault="00846208" w:rsidP="00846208">
      <w:pPr>
        <w:pStyle w:val="Textpoznmkypodiarou"/>
        <w:jc w:val="both"/>
        <w:rPr>
          <w:rFonts w:ascii="Cambria" w:hAnsi="Cambria"/>
          <w:sz w:val="18"/>
          <w:szCs w:val="18"/>
        </w:rPr>
      </w:pPr>
      <w:r w:rsidRPr="00846208">
        <w:rPr>
          <w:rStyle w:val="Odkaznapoznmkupodiarou"/>
          <w:rFonts w:ascii="Cambria" w:hAnsi="Cambria"/>
          <w:sz w:val="18"/>
          <w:szCs w:val="18"/>
        </w:rPr>
        <w:footnoteRef/>
      </w:r>
      <w:r>
        <w:rPr>
          <w:rFonts w:ascii="Cambria" w:hAnsi="Cambria"/>
          <w:sz w:val="18"/>
          <w:szCs w:val="18"/>
        </w:rPr>
        <w:t>)</w:t>
      </w:r>
      <w:r w:rsidRPr="00846208">
        <w:rPr>
          <w:rFonts w:ascii="Cambria" w:hAnsi="Cambria"/>
          <w:sz w:val="18"/>
          <w:szCs w:val="18"/>
        </w:rPr>
        <w:t xml:space="preserve"> Smernica </w:t>
      </w:r>
      <w:r w:rsidRPr="00846208">
        <w:rPr>
          <w:rFonts w:ascii="Cambria" w:eastAsia="Cambria" w:hAnsi="Cambria" w:cs="Cambria"/>
          <w:noProof/>
          <w:color w:val="000000" w:themeColor="text1"/>
          <w:sz w:val="18"/>
          <w:szCs w:val="18"/>
        </w:rPr>
        <w:t>Európskeho parlamentu a Rady (EÚ) 2024/1619 z 31. mája 2024, ktorou sa mení smernica 2013/36/EÚ, pokiaľ ide o právomoci v oblasti dohľadu, sankcie, pobočky z tretích krajín a environmentálne a sociálne riziká a riziká v oblasti správy a riadenia (Ú. v. EÚ L, 2024/1619, 19.6.2024)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B0CA94"/>
    <w:multiLevelType w:val="hybridMultilevel"/>
    <w:tmpl w:val="7B782836"/>
    <w:lvl w:ilvl="0" w:tplc="FFDC4FE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4992C474">
      <w:start w:val="1"/>
      <w:numFmt w:val="lowerLetter"/>
      <w:lvlText w:val="%2."/>
      <w:lvlJc w:val="left"/>
      <w:pPr>
        <w:ind w:left="1440" w:hanging="360"/>
      </w:pPr>
    </w:lvl>
    <w:lvl w:ilvl="2" w:tplc="09B85848">
      <w:start w:val="1"/>
      <w:numFmt w:val="lowerRoman"/>
      <w:lvlText w:val="%3."/>
      <w:lvlJc w:val="right"/>
      <w:pPr>
        <w:ind w:left="2160" w:hanging="180"/>
      </w:pPr>
    </w:lvl>
    <w:lvl w:ilvl="3" w:tplc="4B600012">
      <w:start w:val="1"/>
      <w:numFmt w:val="decimal"/>
      <w:lvlText w:val="%4."/>
      <w:lvlJc w:val="left"/>
      <w:pPr>
        <w:ind w:left="2880" w:hanging="360"/>
      </w:pPr>
    </w:lvl>
    <w:lvl w:ilvl="4" w:tplc="166C6ED8">
      <w:start w:val="1"/>
      <w:numFmt w:val="lowerLetter"/>
      <w:lvlText w:val="%5."/>
      <w:lvlJc w:val="left"/>
      <w:pPr>
        <w:ind w:left="3600" w:hanging="360"/>
      </w:pPr>
    </w:lvl>
    <w:lvl w:ilvl="5" w:tplc="B290E782">
      <w:start w:val="1"/>
      <w:numFmt w:val="lowerRoman"/>
      <w:lvlText w:val="%6."/>
      <w:lvlJc w:val="right"/>
      <w:pPr>
        <w:ind w:left="4320" w:hanging="180"/>
      </w:pPr>
    </w:lvl>
    <w:lvl w:ilvl="6" w:tplc="2BF813CC">
      <w:start w:val="1"/>
      <w:numFmt w:val="decimal"/>
      <w:lvlText w:val="%7."/>
      <w:lvlJc w:val="left"/>
      <w:pPr>
        <w:ind w:left="5040" w:hanging="360"/>
      </w:pPr>
    </w:lvl>
    <w:lvl w:ilvl="7" w:tplc="F24AB5E2">
      <w:start w:val="1"/>
      <w:numFmt w:val="lowerLetter"/>
      <w:lvlText w:val="%8."/>
      <w:lvlJc w:val="left"/>
      <w:pPr>
        <w:ind w:left="5760" w:hanging="360"/>
      </w:pPr>
    </w:lvl>
    <w:lvl w:ilvl="8" w:tplc="20F47F12">
      <w:start w:val="1"/>
      <w:numFmt w:val="lowerRoman"/>
      <w:lvlText w:val="%9."/>
      <w:lvlJc w:val="right"/>
      <w:pPr>
        <w:ind w:left="6480" w:hanging="180"/>
      </w:pPr>
    </w:lvl>
  </w:abstractNum>
  <w:num w:numId="1" w16cid:durableId="560023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EBAC52B"/>
    <w:rsid w:val="000D5AA4"/>
    <w:rsid w:val="000D69EC"/>
    <w:rsid w:val="000E09F8"/>
    <w:rsid w:val="0019383B"/>
    <w:rsid w:val="0019416B"/>
    <w:rsid w:val="00350D0D"/>
    <w:rsid w:val="00467BF7"/>
    <w:rsid w:val="00621CCE"/>
    <w:rsid w:val="0069295D"/>
    <w:rsid w:val="00846208"/>
    <w:rsid w:val="009623E2"/>
    <w:rsid w:val="00963790"/>
    <w:rsid w:val="00A75F03"/>
    <w:rsid w:val="00B5CE36"/>
    <w:rsid w:val="00B656F5"/>
    <w:rsid w:val="00C70CAA"/>
    <w:rsid w:val="00C922C0"/>
    <w:rsid w:val="00CB9602"/>
    <w:rsid w:val="00D0186A"/>
    <w:rsid w:val="00DB1857"/>
    <w:rsid w:val="00EA2FED"/>
    <w:rsid w:val="00EA50D8"/>
    <w:rsid w:val="00EC7E03"/>
    <w:rsid w:val="00FA177E"/>
    <w:rsid w:val="0173CD70"/>
    <w:rsid w:val="06E3B9A7"/>
    <w:rsid w:val="09FA0B9E"/>
    <w:rsid w:val="13B942BD"/>
    <w:rsid w:val="1909FFE0"/>
    <w:rsid w:val="1C14A8F5"/>
    <w:rsid w:val="1F3350AF"/>
    <w:rsid w:val="27CD2F5A"/>
    <w:rsid w:val="2C66084D"/>
    <w:rsid w:val="30BB7466"/>
    <w:rsid w:val="33F2165F"/>
    <w:rsid w:val="37B654D2"/>
    <w:rsid w:val="37CFE5EC"/>
    <w:rsid w:val="3BD1E9FB"/>
    <w:rsid w:val="3C47B536"/>
    <w:rsid w:val="3F353F14"/>
    <w:rsid w:val="42E3D211"/>
    <w:rsid w:val="47B3B26F"/>
    <w:rsid w:val="4A35A485"/>
    <w:rsid w:val="4A3C2E0A"/>
    <w:rsid w:val="4AAE439F"/>
    <w:rsid w:val="4EBAC52B"/>
    <w:rsid w:val="4F288888"/>
    <w:rsid w:val="54002BE1"/>
    <w:rsid w:val="588E6EDE"/>
    <w:rsid w:val="5989F307"/>
    <w:rsid w:val="62697E8D"/>
    <w:rsid w:val="628A196A"/>
    <w:rsid w:val="6560C170"/>
    <w:rsid w:val="66CCBC2E"/>
    <w:rsid w:val="68BA3533"/>
    <w:rsid w:val="68D5CE63"/>
    <w:rsid w:val="69C33630"/>
    <w:rsid w:val="6B4206FB"/>
    <w:rsid w:val="6F112877"/>
    <w:rsid w:val="70E19FB9"/>
    <w:rsid w:val="79332D2E"/>
    <w:rsid w:val="79D2C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97873"/>
  <w15:chartTrackingRefBased/>
  <w15:docId w15:val="{46D73593-E963-438D-945F-2E5EABD83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1909FFE0"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uiPriority w:val="34"/>
    <w:qFormat/>
    <w:rsid w:val="42E3D211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Pr>
      <w:color w:val="467886" w:themeColor="hyperlink"/>
      <w:u w:val="single"/>
    </w:rPr>
  </w:style>
  <w:style w:type="paragraph" w:styleId="Revzia">
    <w:name w:val="Revision"/>
    <w:hidden/>
    <w:uiPriority w:val="99"/>
    <w:semiHidden/>
    <w:rsid w:val="00467BF7"/>
    <w:pPr>
      <w:spacing w:after="0" w:line="240" w:lineRule="auto"/>
    </w:pPr>
    <w:rPr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A75F03"/>
    <w:rPr>
      <w:sz w:val="16"/>
      <w:szCs w:val="16"/>
    </w:rPr>
  </w:style>
  <w:style w:type="paragraph" w:styleId="Textkomentra">
    <w:name w:val="annotation text"/>
    <w:link w:val="TextkomentraChar"/>
    <w:uiPriority w:val="99"/>
    <w:unhideWhenUsed/>
    <w:rsid w:val="42E3D21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A75F03"/>
    <w:rPr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75F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75F03"/>
    <w:rPr>
      <w:b/>
      <w:bCs/>
      <w:sz w:val="20"/>
      <w:szCs w:val="20"/>
      <w:lang w:val="sk-SK"/>
    </w:rPr>
  </w:style>
  <w:style w:type="paragraph" w:customStyle="1" w:styleId="Default">
    <w:name w:val="Default"/>
    <w:rsid w:val="00EA50D8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lang w:val="sk-SK" w:eastAsia="en-US"/>
    </w:rPr>
  </w:style>
  <w:style w:type="paragraph" w:customStyle="1" w:styleId="paragraph">
    <w:name w:val="paragraph"/>
    <w:uiPriority w:val="1"/>
    <w:rsid w:val="42E3D211"/>
    <w:pPr>
      <w:spacing w:beforeAutospacing="1" w:afterAutospacing="1" w:line="240" w:lineRule="auto"/>
    </w:pPr>
    <w:rPr>
      <w:rFonts w:ascii="Times New Roman" w:hAnsi="Times New Roman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46208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46208"/>
    <w:rPr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8462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znamopk@nbs.sk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39FBD0DA1B41446854E1EF76EE3B170" ma:contentTypeVersion="4" ma:contentTypeDescription="Umožňuje vytvoriť nový dokument." ma:contentTypeScope="" ma:versionID="3ca24aa032753bd2967e9ff372896a01">
  <xsd:schema xmlns:xsd="http://www.w3.org/2001/XMLSchema" xmlns:xs="http://www.w3.org/2001/XMLSchema" xmlns:p="http://schemas.microsoft.com/office/2006/metadata/properties" xmlns:ns2="44fb3218-3b7e-451a-8cf7-18a949b5edee" targetNamespace="http://schemas.microsoft.com/office/2006/metadata/properties" ma:root="true" ma:fieldsID="2bf73ff4ca2a299078170defa67f29fa" ns2:_="">
    <xsd:import namespace="44fb3218-3b7e-451a-8cf7-18a949b5ed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3218-3b7e-451a-8cf7-18a949b5ed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985E6A-31EB-496C-A9EF-979D608D60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9D8E57-0B5D-4D56-9052-67FA8F6662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3218-3b7e-451a-8cf7-18a949b5ed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0CFDEF-A515-4A2A-96F4-18C70736469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28DB5B3-7A1B-46FE-90C9-388E6803392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Benčo Vladimír</dc:creator>
  <cp:keywords/>
  <dc:description/>
  <cp:lastModifiedBy>Vaško Róbert</cp:lastModifiedBy>
  <cp:revision>2</cp:revision>
  <dcterms:created xsi:type="dcterms:W3CDTF">2026-08-13T08:14:00Z</dcterms:created>
  <dcterms:modified xsi:type="dcterms:W3CDTF">2026-08-13T08:14:00Z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0x010100E39FBD0DA1B41446854E1EF76EE3B170</vt:lpwstr>
  </property>
</Properties>
</file>