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40C7E4E0" w:rsidR="00E66622" w:rsidRPr="00E66622" w:rsidRDefault="0078532E" w:rsidP="00DB2917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VZNESENÉ PRIPOMIENKY V RÁMCI PRIPOMIENKOVÉHO KONANIA</w:t>
      </w:r>
      <w:r w:rsidRPr="00E66622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C13765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Vyhláška Úradu pre reguláciu elektronických komunikácií a poštových služieb z  .... 2026, ktorou sa mení a dopĺňa vyhláška Úradu pre reguláciu elektronických komunikácií a poštových služieb č. 286/2022 Z. z.  o národnom číslovacom pláne v znení vyhlášky č. 98/2023 Z. z.</w:t>
      </w:r>
      <w:r w:rsidR="00917A99">
        <w:rPr>
          <w:rFonts w:ascii="Times New Roman" w:eastAsia="Times New Roman" w:hAnsi="Times New Roman" w:cs="Times New Roman"/>
          <w:b/>
          <w:sz w:val="28"/>
        </w:rPr>
        <w:br/>
      </w:r>
      <w:r w:rsidR="003F1216">
        <w:rPr>
          <w:rFonts w:ascii="Times New Roman" w:eastAsia="Times New Roman" w:hAnsi="Times New Roman" w:cs="Times New Roman"/>
          <w:bCs/>
          <w:sz w:val="24"/>
          <w:szCs w:val="24"/>
        </w:rPr>
        <w:t>LP/2026/394</w:t>
      </w:r>
    </w:p>
    <w:p w14:paraId="4153872D" w14:textId="77777777" w:rsidR="00DB2917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Vysvetlivky k použitým skratkám v tabuľke: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br/>
        <w:t>O – obyčajná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</w:p>
    <w:p w14:paraId="23F5C21C" w14:textId="17DC67E2" w:rsidR="00F0653F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  <w:lang w:val="en-US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pripomienok, z toho zásadných: </w:t>
      </w:r>
      <w:r w:rsidRPr="0053699B">
        <w:rPr>
          <w:rFonts w:ascii="Times New Roman" w:eastAsia="Times New Roman" w:hAnsi="Times New Roman" w:cs="Times New Roman"/>
          <w:sz w:val="18"/>
          <w:szCs w:val="18"/>
        </w:rPr>
        <w:tab/>
      </w:r>
      <w:r w:rsidR="00A36692">
        <w:rPr>
          <w:rFonts w:ascii="Times New Roman" w:eastAsia="Times New Roman" w:hAnsi="Times New Roman" w:cs="Times New Roman"/>
          <w:sz w:val="24"/>
          <w:szCs w:val="24"/>
          <w:lang w:val="en-US"/>
        </w:rPr>
        <w:t>13</w:t>
      </w:r>
      <w:r w:rsidR="002E3CEC">
        <w:rPr>
          <w:rFonts w:ascii="Times New Roman" w:eastAsia="Times New Roman" w:hAnsi="Times New Roman" w:cs="Times New Roman"/>
          <w:sz w:val="24"/>
          <w:szCs w:val="24"/>
          <w:lang w:val="en-US"/>
        </w:rPr>
        <w:t>/1</w:t>
      </w:r>
    </w:p>
    <w:p w14:paraId="258F0E4D" w14:textId="7818F349" w:rsidR="00E66622" w:rsidRPr="00DB2917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hromadných pripomienok: 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ab/>
      </w:r>
      <w:r w:rsidR="00335FFB">
        <w:rPr>
          <w:rFonts w:ascii="Times New Roman" w:eastAsia="Times New Roman" w:hAnsi="Times New Roman" w:cs="Times New Roman"/>
          <w:sz w:val="24"/>
          <w:szCs w:val="24"/>
        </w:rPr>
        <w:t>0</w:t>
      </w:r>
    </w:p>
    <w:p w14:paraId="1F0934E1" w14:textId="7C2466DA" w:rsidR="007C1A93" w:rsidRPr="00E66622" w:rsidRDefault="00E66622">
      <w:pPr>
        <w:rPr>
          <w:rFonts w:ascii="Times New Roman" w:eastAsia="Times New Roman" w:hAnsi="Times New Roman" w:cs="Times New Roman"/>
          <w:sz w:val="20"/>
        </w:rPr>
      </w:pPr>
      <w:r w:rsidRPr="00E66622">
        <w:rPr>
          <w:rFonts w:ascii="Times New Roman" w:eastAsia="Times New Roman" w:hAnsi="Times New Roman" w:cs="Times New Roman"/>
          <w:sz w:val="20"/>
        </w:rPr>
        <w:br/>
      </w:r>
      <w:r w:rsidRPr="00E66622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87"/>
        <w:gridCol w:w="1394"/>
        <w:gridCol w:w="8779"/>
      </w:tblGrid>
      <w:tr w:rsidR="00E11D16" w14:paraId="575AAFA8" w14:textId="77777777" w:rsidTr="00CD5259">
        <w:trPr>
          <w:trHeight w:val="648"/>
        </w:trPr>
        <w:tc>
          <w:tcPr>
            <w:tcW w:w="1000" w:type="pct"/>
            <w:vAlign w:val="center"/>
          </w:tcPr>
          <w:p w14:paraId="4B4FA583" w14:textId="62ECD7CF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500" w:type="pct"/>
            <w:vAlign w:val="center"/>
          </w:tcPr>
          <w:p w14:paraId="498D7DF6" w14:textId="5D009C3B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3150" w:type="pct"/>
            <w:vAlign w:val="center"/>
          </w:tcPr>
          <w:p w14:paraId="54262B5F" w14:textId="62E0E806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návrhu ako celku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K návrhu odporúčame pripojiť aj informatívne konsolidované znenie.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obalu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2.	K obalu: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navrhujeme pod rezortné číslo uviesť: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	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	Materiál na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	pripomienkové konanie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názov navrhujeme upraviť takto: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Návrh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VYHLÁŠKA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Úradu pre reguláciu elektronických komunikácií a poštových služieb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 z ... 2026,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ktorou sa mení a dopĺňa vyhláška Úradu pre reguláciu elektronických komunikácií a poštových služieb č. 286/2022 Z. z.  o národnom číslovacom pláne v znení vyhlášky č. 98/2023 Z. z.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v obsahu materiálu odporúčame body 3. a 4. spojiť do jedného bodu s označením „Dôvodová správa“, slová „Doložka vplyvov“ odporúčame nahradiť slovami „Doložka vybraných vplyvov“.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predkladacej správe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K predkladacej správe: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v prvom odseku odporúčame vypustiť v názve materiálu slová „z ... 2026“, pričom uvedené sa vzťahuje aj na všetky sprievodné materiály, okrem obalu, kde tieto slová majú byť;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v prvom odseku odporúčame vypustiť legislatívne skratky „(ďalej len „návrh vyhlášky“)“ a „(ďalej len „zákon o elektronických komunikáciách“)“ z dôvodu nadbytočnosti;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v druhom odseku na konci odporúčame vypustiť nadbytočnú bodku na konci vety;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v treťom odseku odporúčame text gramaticky upraviť tak, že za slová „boli odobraté,“ sa vloží slovo „alebo“ a vypustí sa slovo „ak“;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odporúčame vypustiť informáciu o vnútrokomunitárnom pripomienkovom konaní, ktorá v súlade s čl. 20 Legislatívnych pravidiel vlády SR patrí do všeobecnej časti dôvodovej správy;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v súlade s čl. 19 Legislatívnych pravidiel vlády SR odporúčame doplniť tieto slová: „Návrh vyhlášky sa netýka pôsobnosti miestnej územnej samosprávy.“.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vlastnému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4.	K vlastnému materiálu: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v úvodnej vete odporúčame vypustiť slová „(ďalej len „zákon“)“, keďže skratka je už zavedená v platnom znení vyhlášky č. 286/2022 Z. z.;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body 1 a 2 odporúčame spojiť do jedného bodu (bude znieť „1. V § 17 ods. 6 a  7...“.) a bod 3 označiť ako bod 2 (takto je označená aj osobitná časť dôvodovej správy, aj keď s chybou);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bod 3 (ktorý odporúčame označiť ako bod 2) odporúčame upraviť takto: „3. V § 17 ods. 9 sa na konci bodka nahrádza bodkočiarkou a pripájajú sa tieto slová: „to neplatí pri prideľovaní...“.;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v bode 3 navrhujeme slová „§ 55 ods. 14 písm. b) až f)“ nahradiť slovami „§ 55 ods. 14 písm. b), c), d), e) alebo písm. f)“, keďže § 55 ods. 14 obsahuje rôzne samostatné dôvody straty platnosti.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všeobecnej časti dôvodovej správy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5.	K všeobecnej časti dôvodovej správy: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v druhom odseku odporúčame vypustiť skratku „(ďalej len „zákon o elektronických komunikáciách“)“ z dôvodu nadbytočnosti, keďže sa ďalej v texte nevyskytuje;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slová „všeobecne záväznými právnymi predpismi“ odporúčame nahradiť slovami „so zákonmi a ostatnými všeobecne záväznými právnymi predpismi“;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za slová „služby verejnej správy“ odporúčame vložiť slová „pre občana“;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slová „a rozvoj informačnej spoločnosti“ odporúčame nahradiť slovami „ani vplyv na informatizáciu spoločnosti“.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osobitnej časti dôvodovej správy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6.	K osobitnej časti dôvodovej správy: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navrhujeme zdôvodniť navrhovanú účinnosť v súlade s Legislatívnymi pravidlami vlády SR.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doložke zlučiteľnosti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7.	Doložku zlučiteľnosti odporúčame zosúladiť s prílohou č. 2 k Legislatívnym pravidlám vlády SR (bod 1 uviesť ako „Navrhovateľ vyhlášky“, bod 2 „Názov návrhu vyhlášky“, bod 3 ako „Predmet návrhu vyhlášky“).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financií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Návrh je potrebné zosúladiť s prílohou č. 1 Legislatívnych pravidiel vlády SR (v úvodnej vete návrhu vyhlášky vypustiť slová „(ďalej len „zákon“)“, pretože táto legislatívna skratka je už zavedená v platnom znení vyhlášky, v čl. I bodoch 1 a 2 vypustiť slovo „v“ ako nadbytočné).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vlastnému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Odporúčame návrh vyhlášky upraviť legislatívno-technicky, a to napríklad v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úvodnej vete vyhlášky vypustiť slová „(ďalej len „zákon“)“, vzhľadom na to, že legislatívna skratka už v rámci vyhlášky bola zavedená,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-	bodoch 1 a 2 vypustiť slovo „v“ z dôvodu nadbytočnosti; tieto dva novelizačné body však odporúčame spojiť do jedného, nakoľko ide o rovnakú legislatívnu úpravu a následne prečíslovať novelizačný bod 3.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zdravotníctva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čl. I body 1 a 2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bodoch 1 a 2 odporúčame pred slovom „prvej“ vypustiť predložku „v“. Vzhľadom na skutočnosť, že v oboch novelizačných bodoch sa navrhuje identická úprava, odporúčame novelizačné body 1 a 2 spojiť do jedného novelizačného bodu takto: „V § 17 ods. 6 a 7 prvej vete ...“.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zdravotníctva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čl. I bod 3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čl. I bode 3 odporúčame uviesť celé znenie odseku 9 z dôvodu, že na konci prvej vety platného znenia vyhlášky je potrebné pripojiť slovo „čísel“. Ďalej odporúčame preformulovať znenie navrhovanej druhej vety, keďže nie je jasné, o aké „nepoužitie“ prvej vety ide. (Nepoužije sa vo vzťahu k možnosti či nemožnosti požiadať o pridelenie ďalších blokov čísel, alebo vo vzťahu k prevýšeniu či neprevýšeniu 70 % kapacity pridelených blokov čísel.)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Verejnosť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Verejnosť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1 § 17 ods. 9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Navrhujeme zásadnú pripomienku k § 17 ods. 9: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Navrhujeme primerané doplnenie nasledovne: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§ 17 ods. 9 sa na konci pripája táto veta: „Prvá veta sa nepoužije pri prideľovaní blokov čísel podľa odsekov 6 až 8, na ktoré úrad zrušil individuálne povolenie na používanie čísel alebo rozhodol o ich odobratí podľa § 55 ods. 13 písm. a) zákona, alebo ak individuálne povolenie na ich používanie stratilo platnosť podľa § 55 ods. 14 písm. b) až f) zákona za účelom zabezpečenia kontinuity služieb pre koncových užívateľov, pričom podnik ako žiadateľ o pridelenie týchto blokov čísel je povinný preukázať, že poskytuje služby pre bloky čísel podľa odseku 6 až 8.“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Nakoľko dôvodom zavedenia osobitného režimu pre prideľovanie čísel je zabezpečenie kontinuity služieb pre koncových užívateľov, navrhujeme primerané doplnenie ustanovenia o stanovený účel, ako aj  povinnosť podniku ako žiadateľa preukázať schopnosť zabezpečiť kontinuitu služieb.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normalizáciu,  metrológiu a skúšobníctvo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n"/>
                <w:color w:val="FF0000"/>
                <w:rFonts w:ascii="Times New Roman" w:hAnsi="Times New Roman" w:cs="Times New Roman" w:eastAsia="Times New Roman"/>
                <w:sz w:val="24"/>
              </w:rPr>
              <w:t>Z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Nad rámec vlastného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Vo vyhláške Úradu pre reguláciu elektronických komunikácií a poštových služieb č. 286/2022 Z. z. o národnom číslovacom pláne (ďalej len "vyhláška") v znení vyhlášky č. 98/2023 Z. z. žiadame v § 14 ods. 1 preformulovať text odkazujúci sa na medzinárodnú normu tak, aby použitie medzinárodnej normy na splnenie základných požiadaviek vyhlášky nebolo jediným možným riešením, teda aby nedochádzalo k zozáväzneniu medzinárodnej normy. Informujeme predkladateľa, že príkladom doplnenia alternatívy k použitiu technickej normy je napríklad text uvedený v § 8 ods. 10 vyhlášky. Odôvodnenie: Dosiahnutie súladu s priamoúčinným nariadením Európskeho parlamentu a Rady (EÚ) č. 1025/2012 o európskej normalizácii v platnom znení, v ktorom sa norma definuje ako technická špecifikácia prijatá uznaným normalizačným orgánom na opakované alebo nepretržité používanie, s ktorou súlad nie je povinný.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hospodárstva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investícií, regionálneho rozvoja a informatizácie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kultúry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obrany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pôdohospodárstva a rozvoja vidieka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práce, sociálnych vecí a rodiny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vnútra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zahraničných vecí a európskych záležitostí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školstva,výskumu,vývoja a mládeže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životného prostredia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Národná banka Slovenska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NBÚ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Národný bezpečnostný úrad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Protimonopolný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ÚGKKSR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geodézie, kartografie a katastra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jadrového dozoru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priemyselného vlastníctva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verejné obstarávanie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Štatistický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</w:tbl>
    <w:p w14:paraId="12D7AF0B" w14:textId="77777777" w:rsidR="00DB2917" w:rsidRDefault="00DB291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8602EC8" w14:textId="28745B1A" w:rsidR="00E66622" w:rsidRPr="000B2D78" w:rsidRDefault="00E66622" w:rsidP="00B325C1">
      <w:pPr>
        <w:keepLines/>
        <w:rPr>
          <w:rFonts w:ascii="Times New Roman" w:hAnsi="Times New Roman" w:cs="Times New Roman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Vznesené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hromadn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é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 pripomienky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87"/>
        <w:gridCol w:w="1394"/>
        <w:gridCol w:w="8779"/>
      </w:tblGrid>
      <w:tr w:rsidR="00E11D16" w14:paraId="57C7F9BD" w14:textId="77777777" w:rsidTr="00CD5259">
        <w:trPr>
          <w:trHeight w:val="648"/>
          <w:jc w:val="center"/>
        </w:trPr>
        <w:tc>
          <w:tcPr>
            <w:tcW w:w="1000" w:type="pct"/>
            <w:vAlign w:val="center"/>
          </w:tcPr>
          <w:p w14:paraId="12485476" w14:textId="77777777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500" w:type="pct"/>
            <w:vAlign w:val="center"/>
          </w:tcPr>
          <w:p w14:paraId="7BDCDFBF" w14:textId="3EA361CD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 w:rsidR="000A158B" w:rsidRPr="000A158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A15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3150" w:type="pct"/>
            <w:vAlign w:val="center"/>
          </w:tcPr>
          <w:p w14:paraId="63809B05" w14:textId="77777777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Pr="00E66622" w:rsidRDefault="00E66622">
      <w:pPr>
        <w:rPr>
          <w:rFonts w:ascii="Times New Roman" w:hAnsi="Times New Roman" w:cs="Times New Roman"/>
        </w:rPr>
      </w:pPr>
    </w:p>
    <w:sectPr w:rsidR="00E66622" w:rsidRPr="00E66622" w:rsidSect="00E327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1D0B5" w14:textId="77777777" w:rsidR="00735F5E" w:rsidRPr="00E66622" w:rsidRDefault="00735F5E" w:rsidP="00E66622">
      <w:pPr>
        <w:spacing w:after="0" w:line="240" w:lineRule="auto"/>
      </w:pPr>
      <w:r w:rsidRPr="00E66622">
        <w:separator/>
      </w:r>
    </w:p>
  </w:endnote>
  <w:endnote w:type="continuationSeparator" w:id="0">
    <w:p w14:paraId="5ED96C60" w14:textId="77777777" w:rsidR="00735F5E" w:rsidRPr="00E66622" w:rsidRDefault="00735F5E" w:rsidP="00E66622">
      <w:pPr>
        <w:spacing w:after="0" w:line="240" w:lineRule="auto"/>
      </w:pPr>
      <w:r w:rsidRPr="00E6662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C66DA" w14:textId="77777777" w:rsidR="00E327C3" w:rsidRDefault="00E327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0051462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28835FB3" w14:textId="07C75C14" w:rsidR="00E66622" w:rsidRPr="00A02DB7" w:rsidRDefault="00E66622">
        <w:pPr>
          <w:pStyle w:val="Footer"/>
          <w:jc w:val="center"/>
          <w:rPr>
            <w:rFonts w:ascii="Times New Roman" w:hAnsi="Times New Roman"/>
          </w:rPr>
        </w:pPr>
        <w:r w:rsidRPr="00A02DB7">
          <w:rPr>
            <w:rFonts w:ascii="Times New Roman" w:hAnsi="Times New Roman"/>
          </w:rPr>
          <w:fldChar w:fldCharType="begin"/>
        </w:r>
        <w:r w:rsidRPr="00A02DB7">
          <w:rPr>
            <w:rFonts w:ascii="Times New Roman" w:hAnsi="Times New Roman"/>
          </w:rPr>
          <w:instrText xml:space="preserve"> PAGE   \* MERGEFORMAT </w:instrText>
        </w:r>
        <w:r w:rsidRPr="00A02DB7">
          <w:rPr>
            <w:rFonts w:ascii="Times New Roman" w:hAnsi="Times New Roman"/>
          </w:rPr>
          <w:fldChar w:fldCharType="separate"/>
        </w:r>
        <w:r w:rsidRPr="00A02DB7">
          <w:rPr>
            <w:rFonts w:ascii="Times New Roman" w:hAnsi="Times New Roman"/>
            <w:noProof/>
          </w:rPr>
          <w:t>2</w:t>
        </w:r>
        <w:r w:rsidRPr="00A02DB7">
          <w:rPr>
            <w:rFonts w:ascii="Times New Roman" w:hAnsi="Times New Roman"/>
            <w:noProof/>
          </w:rPr>
          <w:fldChar w:fldCharType="end"/>
        </w:r>
      </w:p>
    </w:sdtContent>
  </w:sdt>
  <w:p w14:paraId="0B4FCCA7" w14:textId="77777777" w:rsidR="00E66622" w:rsidRDefault="00E666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AAD61" w14:textId="77777777" w:rsidR="00E327C3" w:rsidRDefault="00E327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27A24" w14:textId="77777777" w:rsidR="00735F5E" w:rsidRPr="00E66622" w:rsidRDefault="00735F5E" w:rsidP="00E66622">
      <w:pPr>
        <w:spacing w:after="0" w:line="240" w:lineRule="auto"/>
      </w:pPr>
      <w:r w:rsidRPr="00E66622">
        <w:separator/>
      </w:r>
    </w:p>
  </w:footnote>
  <w:footnote w:type="continuationSeparator" w:id="0">
    <w:p w14:paraId="1101139D" w14:textId="77777777" w:rsidR="00735F5E" w:rsidRPr="00E66622" w:rsidRDefault="00735F5E" w:rsidP="00E66622">
      <w:pPr>
        <w:spacing w:after="0" w:line="240" w:lineRule="auto"/>
      </w:pPr>
      <w:r w:rsidRPr="00E6662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608A1" w14:textId="77777777" w:rsidR="00E327C3" w:rsidRDefault="00E327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5D83C" w14:textId="77777777" w:rsidR="00E327C3" w:rsidRDefault="00E327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E4C91" w14:textId="77777777" w:rsidR="00E327C3" w:rsidRDefault="00E327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47E84"/>
    <w:rsid w:val="00050137"/>
    <w:rsid w:val="00050C83"/>
    <w:rsid w:val="00076DCD"/>
    <w:rsid w:val="000A158B"/>
    <w:rsid w:val="000B2D78"/>
    <w:rsid w:val="000C172E"/>
    <w:rsid w:val="000D3CA3"/>
    <w:rsid w:val="001228AD"/>
    <w:rsid w:val="00131490"/>
    <w:rsid w:val="00131742"/>
    <w:rsid w:val="001433FA"/>
    <w:rsid w:val="00146A7D"/>
    <w:rsid w:val="001D4771"/>
    <w:rsid w:val="001E50FA"/>
    <w:rsid w:val="001E5996"/>
    <w:rsid w:val="001F777F"/>
    <w:rsid w:val="00231554"/>
    <w:rsid w:val="00237490"/>
    <w:rsid w:val="00245F36"/>
    <w:rsid w:val="0026614F"/>
    <w:rsid w:val="002715E0"/>
    <w:rsid w:val="0029170C"/>
    <w:rsid w:val="00295E6A"/>
    <w:rsid w:val="002A4482"/>
    <w:rsid w:val="002C0EB1"/>
    <w:rsid w:val="002C684B"/>
    <w:rsid w:val="002D3B5E"/>
    <w:rsid w:val="002D4B4A"/>
    <w:rsid w:val="002E3CEC"/>
    <w:rsid w:val="002F5089"/>
    <w:rsid w:val="00310F92"/>
    <w:rsid w:val="00312884"/>
    <w:rsid w:val="00335FFB"/>
    <w:rsid w:val="00350421"/>
    <w:rsid w:val="003A5C5F"/>
    <w:rsid w:val="003C31D4"/>
    <w:rsid w:val="003E641E"/>
    <w:rsid w:val="003F1216"/>
    <w:rsid w:val="003F37C1"/>
    <w:rsid w:val="003F501E"/>
    <w:rsid w:val="004029A2"/>
    <w:rsid w:val="004050CF"/>
    <w:rsid w:val="00405348"/>
    <w:rsid w:val="00431C3A"/>
    <w:rsid w:val="00434080"/>
    <w:rsid w:val="00461AE1"/>
    <w:rsid w:val="00491D61"/>
    <w:rsid w:val="004A62B8"/>
    <w:rsid w:val="004B4188"/>
    <w:rsid w:val="004C4683"/>
    <w:rsid w:val="004E0BF7"/>
    <w:rsid w:val="004F4092"/>
    <w:rsid w:val="00513767"/>
    <w:rsid w:val="005146CA"/>
    <w:rsid w:val="0053699B"/>
    <w:rsid w:val="00543901"/>
    <w:rsid w:val="00583F11"/>
    <w:rsid w:val="005B618C"/>
    <w:rsid w:val="005E5B0E"/>
    <w:rsid w:val="005F3E6F"/>
    <w:rsid w:val="00602231"/>
    <w:rsid w:val="006371D1"/>
    <w:rsid w:val="00641DD8"/>
    <w:rsid w:val="00664F3B"/>
    <w:rsid w:val="00695857"/>
    <w:rsid w:val="006C2D6E"/>
    <w:rsid w:val="0070694E"/>
    <w:rsid w:val="00707B3A"/>
    <w:rsid w:val="00735F5E"/>
    <w:rsid w:val="00774ED8"/>
    <w:rsid w:val="00784062"/>
    <w:rsid w:val="0078532E"/>
    <w:rsid w:val="007C1A93"/>
    <w:rsid w:val="007F482B"/>
    <w:rsid w:val="00805BCF"/>
    <w:rsid w:val="00847145"/>
    <w:rsid w:val="008741FE"/>
    <w:rsid w:val="00887B34"/>
    <w:rsid w:val="008C2612"/>
    <w:rsid w:val="008D299D"/>
    <w:rsid w:val="00913D14"/>
    <w:rsid w:val="00917A99"/>
    <w:rsid w:val="00932936"/>
    <w:rsid w:val="00947810"/>
    <w:rsid w:val="009647D6"/>
    <w:rsid w:val="00980D7A"/>
    <w:rsid w:val="009912BF"/>
    <w:rsid w:val="009B1491"/>
    <w:rsid w:val="009D152C"/>
    <w:rsid w:val="009D32B4"/>
    <w:rsid w:val="009E0711"/>
    <w:rsid w:val="009F35D2"/>
    <w:rsid w:val="00A02DB7"/>
    <w:rsid w:val="00A070EB"/>
    <w:rsid w:val="00A36692"/>
    <w:rsid w:val="00A81039"/>
    <w:rsid w:val="00A950A9"/>
    <w:rsid w:val="00AD0FB4"/>
    <w:rsid w:val="00B02EF2"/>
    <w:rsid w:val="00B0310C"/>
    <w:rsid w:val="00B11932"/>
    <w:rsid w:val="00B13231"/>
    <w:rsid w:val="00B13C0C"/>
    <w:rsid w:val="00B325C1"/>
    <w:rsid w:val="00B8742A"/>
    <w:rsid w:val="00B946A0"/>
    <w:rsid w:val="00BB3CF4"/>
    <w:rsid w:val="00BC339E"/>
    <w:rsid w:val="00BC7790"/>
    <w:rsid w:val="00BD7F55"/>
    <w:rsid w:val="00BE323C"/>
    <w:rsid w:val="00BF207A"/>
    <w:rsid w:val="00C06F1F"/>
    <w:rsid w:val="00C13765"/>
    <w:rsid w:val="00C34659"/>
    <w:rsid w:val="00C43D79"/>
    <w:rsid w:val="00C529CC"/>
    <w:rsid w:val="00C84A5B"/>
    <w:rsid w:val="00C904D1"/>
    <w:rsid w:val="00CB600D"/>
    <w:rsid w:val="00CC742E"/>
    <w:rsid w:val="00CD5259"/>
    <w:rsid w:val="00CD7313"/>
    <w:rsid w:val="00CF1D5F"/>
    <w:rsid w:val="00D01FAC"/>
    <w:rsid w:val="00D0302E"/>
    <w:rsid w:val="00D2596D"/>
    <w:rsid w:val="00D44E47"/>
    <w:rsid w:val="00D466F6"/>
    <w:rsid w:val="00D610D0"/>
    <w:rsid w:val="00D91683"/>
    <w:rsid w:val="00DA267A"/>
    <w:rsid w:val="00DB2917"/>
    <w:rsid w:val="00DB4797"/>
    <w:rsid w:val="00DD2850"/>
    <w:rsid w:val="00DD302E"/>
    <w:rsid w:val="00DD7CB5"/>
    <w:rsid w:val="00DF139C"/>
    <w:rsid w:val="00E07639"/>
    <w:rsid w:val="00E078E8"/>
    <w:rsid w:val="00E113C2"/>
    <w:rsid w:val="00E11D16"/>
    <w:rsid w:val="00E327C3"/>
    <w:rsid w:val="00E37A37"/>
    <w:rsid w:val="00E41A2D"/>
    <w:rsid w:val="00E66622"/>
    <w:rsid w:val="00E92A50"/>
    <w:rsid w:val="00EA3B3C"/>
    <w:rsid w:val="00EE00C6"/>
    <w:rsid w:val="00EE3DCD"/>
    <w:rsid w:val="00F0653F"/>
    <w:rsid w:val="00F17D8C"/>
    <w:rsid w:val="00F456DC"/>
    <w:rsid w:val="00F66A1B"/>
    <w:rsid w:val="00F8431B"/>
    <w:rsid w:val="00F85AB8"/>
    <w:rsid w:val="00F907A2"/>
    <w:rsid w:val="00FA016F"/>
    <w:rsid w:val="00FA40AE"/>
    <w:rsid w:val="00FD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D16"/>
    <w:rPr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  <w:style w:type="character" w:styleId="CommentReference">
    <w:name w:val="annotation reference"/>
    <w:basedOn w:val="DefaultParagraphFont"/>
    <w:uiPriority w:val="99"/>
    <w:semiHidden/>
    <w:unhideWhenUsed/>
    <w:rsid w:val="00CD52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525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5259"/>
    <w:rPr>
      <w:sz w:val="20"/>
      <w:szCs w:val="20"/>
      <w:lang w:val="sk-SK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52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5259"/>
    <w:rPr>
      <w:b/>
      <w:bCs/>
      <w:sz w:val="20"/>
      <w:szCs w:val="20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10" Target="header3.xml" Type="http://schemas.openxmlformats.org/officeDocument/2006/relationships/header"/><Relationship Id="rId11" Target="footer3.xml" Type="http://schemas.openxmlformats.org/officeDocument/2006/relationships/footer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header2.xml" Type="http://schemas.openxmlformats.org/officeDocument/2006/relationships/header"/><Relationship Id="rId8" Target="footer1.xml" Type="http://schemas.openxmlformats.org/officeDocument/2006/relationships/foot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2025-01-21T11:18:00Z</dcterms:modified>
  <cp:revision>61</cp:revision>
</cp:coreProperties>
</file>