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registri jednotiek pre poskytovanie služieb krátkodobého prenájmu ubytovania a o doplnení zákona  č. 264/2022 Z. z. o mediálnych službách a o zmene a doplnení niektorých zákonov (zákon o mediálnych službách)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LP/2026/66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121/34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121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57</w:t>
      </w:r>
      <w:r w:rsidR="00754CB0">
        <w:rPr>
          <w:rFonts w:ascii="Times New Roman" w:eastAsia="Times New Roman" w:hAnsi="Times New Roman" w:cs="Times New Roman"/>
          <w:sz w:val="24"/>
          <w:szCs w:val="24"/>
        </w:rPr>
        <w:t>/9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48</w:t>
      </w:r>
      <w:r w:rsidR="004A48F0">
        <w:rPr>
          <w:rFonts w:ascii="Times New Roman" w:eastAsia="Times New Roman" w:hAnsi="Times New Roman" w:cs="Times New Roman"/>
          <w:sz w:val="24"/>
          <w:szCs w:val="24"/>
        </w:rPr>
        <w:t>/22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3 – O:</w:t>
              <w:br/>
            </w:r>
            <w:r>
              <w:rPr>
                <w:b w:val="off"/>
                <w:color w:val="000000"/>
                <w:rFonts w:ascii="Times New Roman" w:hAnsi="Times New Roman" w:cs="Times New Roman" w:eastAsia="Times New Roman"/>
                <w:sz w:val="24"/>
              </w:rPr>
              <w:t>V § 6 ods. 3 druhej vete navrhujeme slová „nesmie byť dlhšia“ nahradiť slovami „nesmie byť kratšia“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 7 sa za písmeno h) vkladá nové písmeno i), ktoré znie:</w:t>
              <w:br/>
            </w:r>
            <w:r>
              <w:rPr>
                <w:b w:val="off"/>
                <w:color w:val="000000"/>
                <w:rFonts w:ascii="Times New Roman" w:hAnsi="Times New Roman" w:cs="Times New Roman" w:eastAsia="Times New Roman"/>
                <w:sz w:val="24"/>
              </w:rPr>
              <w:t>„i) samosprávnym krajom na účely obstarávania, spracúvania a aktualizácie územnoplánovacích podkladov a územnoplánovacej dokumentácie podľa osobitného predpisu.“</w:t>
              <w:br/>
            </w:r>
            <w:r>
              <w:rPr>
                <w:b w:val="off"/>
                <w:color w:val="000000"/>
                <w:rFonts w:ascii="Times New Roman" w:hAnsi="Times New Roman" w:cs="Times New Roman" w:eastAsia="Times New Roman"/>
                <w:sz w:val="24"/>
              </w:rPr>
              <w:t>Zároveň sa § 7 dopĺňa o nový odsek 2, ktorý znie:</w:t>
              <w:br/>
            </w:r>
            <w:r>
              <w:rPr>
                <w:b w:val="off"/>
                <w:color w:val="000000"/>
                <w:rFonts w:ascii="Times New Roman" w:hAnsi="Times New Roman" w:cs="Times New Roman" w:eastAsia="Times New Roman"/>
                <w:sz w:val="24"/>
              </w:rPr>
              <w:t>„(2) Ministerstvo cestovného ruchu poskytuje samosprávnym krajom na účely podľa odseku 1 písm. i) údaje z registra v rozsahu a územnom členení potrebnom na vyhodnocovanie funkčného využitia a priestorového usporiadania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navrhovanej zmeny</w:t>
              <w:br/>
            </w:r>
            <w:r>
              <w:rPr>
                <w:b w:val="off"/>
                <w:color w:val="000000"/>
                <w:rFonts w:ascii="Times New Roman" w:hAnsi="Times New Roman" w:cs="Times New Roman" w:eastAsia="Times New Roman"/>
                <w:sz w:val="24"/>
              </w:rPr>
              <w:t>Údaje o rozsahu a koncentrácii jednotiek krátkodobého prenájmu predstavujú významný podklad pre územnoplánovaciu činnosť samosprávnych krajov. Intenzívne využívanie bytového fondu na účely krátkodobého ubytovania môže mať v konkrétnych územiach dopad na stabilitu obytných funkcií, charakter zástavby a funkčné využitie územia. Pre kvalifikované obstarávanie, spracúvanie a aktualizáciu územnoplánovacích podkladov a územnoplánovacej dokumentácie je preto nevyhnutné, aby samosprávne kraje disponovali relevantnými údajmi z registra jednotiek krátkodobého prenájmu v primeranom územnom členení. Navrhovaná úprava sleduje výlučne zabezpečenie zákonného prístupu k údajom na výkon pôsobnosti v oblasti územného plánovania, nezasahuje do kompetencií ministerstva ako správcu registra a neukladá nové povinnosti poskytovateľom služieb krátkodobého prenájmu.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zákona je toho názoru, že samosprávne kraje môžu získavať informácie od miest a obcí, ktoré sa nachádzajú na území príslušného kraja a ktorým je umožnený prístup podľa § 7, a vedia si ich tak spracovať komplexne od týchto subjektov. V súvislosti s tým neakceptuje požiadavku na predkladanie údajov v členení uvedenom v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do návrhu zákona výslovné negatívne vymedzenie jeho pôsobnosti tak, aby bolo jasne ustanovené, že hotely, rekreačné hotely, apartmánové a bytové hotely, hostely, motely a kempingy podľa klasifikácie NACE Rev. 2 nespadajú pod pojem ‚jednotka‘ podľa nariadenia (EÚ) 2024/1028 a nepodliehajú povinnosti registrácie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preberá definície odkazom na nariadenie, ale neobsahuje žiadne vnútroštátne upresnenie rozsahu pojmu ‚jednotka‘. Nariadenie v recitáli 7 a v článku 3 ods. 1 výslovne vylučuje profesionálne ubytovacie zariadenia z definície jednotky a z registračných povinností. Keďže ide o zásadnú hranicu vecnej pôsobnosti právnej úpravy, považujeme za potrebné, aby bolo toto vylúčenie explicitne premietnuté priamo do znenia zákona. Zabezpečí sa tým jednoznačný výklad, právna istota dotknutých subjektov a správna implementácia nariadenia.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zásadnej pripomienky sa uskutočnilo 6. marca 2026. Po prerokovaní pripomienky predkladateľ pripomienky netrvá na zásadnej pripomienke a túto preklasifikoval na obyčajnú. Na základe uvedeného možno konštatovať, že rozpor bol odstránený. Po vzájomnej dohode bude vymedzenie subjektov, na ktoré sa nevzťahuje tento zákon upravené len v dôvodovej správe, a to podľa nariadenia (EÚ) 2024/1028.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 b)</w:t>
              <w:br/>
            </w:r>
            <w:r>
              <w:rPr>
                <w:b w:val="off"/>
                <w:color w:val="000000"/>
                <w:rFonts w:ascii="Times New Roman" w:hAnsi="Times New Roman" w:cs="Times New Roman" w:eastAsia="Times New Roman"/>
                <w:sz w:val="24"/>
              </w:rPr>
              <w:t>Žiadame, aby návrh zákona výslovne vymedzil, že do registra sa zapisujú základné identifikačné údaje o jednotke a že údaje z katastra nehnuteľností (napr. číslo listu vlastníctva, parcelné číslo či katastrálne územie) sa pri zápise vyžadujú len v odôvodnených prípadoch, keď samotné adresné údaje objektívne nepostačujú na jednoznačnú identifikáciu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5 a recitál 11 nariadenia umožňujú členským štátom požadovať doplňujúce katastrálne údaje o nehnuteľnosti len vtedy, ak sú skutočne nevyhnutné na jej jednoznačné určenie. Nariadenie neukladá povinnosť zapisovať údaje ako parcelné číslo, číslo listu vlastníctva či katastrálne územie plošne pri každej jednotke. Navrhujeme preto, aby zákon jasne ustanovil, že tieto údaje sa budú vyžadovať len v odôvodnených prípadoch, keď bežné adresné údaje objektívne nepostačujú na identifikáciu jednotky. Takéto precizovanie odstráni neodôvodnené administratívne zaťaženie, zabráni gold-platingu a zachová súlad so zásadou minimalizácie údajov, pričom zároveň umožní presné priradenie registračného čísla k jednotke.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zásadnej pripomienky sa uskutočnilo 6. marca 2026. Predkladateľ pripomienky netrvá na zásadnej pripomienke a túto preklasifikoval na obyčajnú, čím možno konštatovať, že rozpor bol odstránený. Predkladateľ zároveň vysvetlil, že celý systém má byť nastavený ako automatizovaný, pričom povinné osoby nebudú musieť predkladať rozsiahlu dokumentáciu a potrebné údaje budú prepojené a čerpané z existujúcich registrov.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a 11</w:t>
              <w:br/>
            </w:r>
            <w:r>
              <w:rPr>
                <w:b w:val="off"/>
                <w:color w:val="000000"/>
                <w:rFonts w:ascii="Times New Roman" w:hAnsi="Times New Roman" w:cs="Times New Roman" w:eastAsia="Times New Roman"/>
                <w:sz w:val="24"/>
              </w:rPr>
              <w:t>Žiadame znížiť výšku pokút za priestupky a iné správne delikty a to tak ako je uvedené v odôvodnení tejto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Porušenie povinností podľa § 10 a 11 majú prevažne administratívno – evidenčný charakter (zápis, aktualizácia, výmaz). Máme za ta, že navrhované pokuty sú v porovnaní s povahou konania privysoké. Navrhujeme zníženie sankčných hraníc – pre fyzické osoby do 500 eur, fyzické osoby podnikateľov a právnické osoby do 3 000 eur podľa § 11 odsek 3 písmena a) návrhu a do 10 000 eur podľa písmena 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prerokovaná 6. marca 2026. Pripomienka čiastočne akceptovaná, s tým že posúdenie určenia výšky hornej hranice pokuty bolo ponechané na predkladateľovi zákona, tak aby bola docielená podstata tejto pripomienky. Po vzájomnej dohode bude horná hranica výšky pokuty upravená len vo vzťahu k hostiteľom a výška pokút pre online platformy zostáva po dohode zachovaná. Na základe uvedeného predkladateľ upravil v § 10 hornú hranicu pokuty z 1500 eur na 1000 eur a v § 11 ods. 3 písm. a) z 5 000 eur na 3000 eur, čím má predkladateľ zákona zato, že novou právnou úpravou bolo docielené splnenie podstaty pripomienky vo vzťahu k subjektom podľa § 10 a § 11 ods. 3 písm. a). Predkladateľ súčasne pristúpil k zníženiu dolnej hranice pokuty u subjektov podľa § 11 ods. 3 písm. a) z 2000 eur na 1000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Žiadame doplniť do § 13 povinnosť Ministerstva cestovného ruchu a športu SR vydať vykonávací všeobecne záväzný právny predpis v dostatočnom časovom predstihu, tak aby bol zabezpečený plne funkčný register aj jednotné digitálne kontaktné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zákon nadobúda účinnosť 1. januára 2027 a už od februára 2027 ukladá povinným osobám konkrétne registračné povinnosti. Máme za to, že je nevyhnutné, aby mali všetky dotknuté subjekty – hostitelia, online platformy aj orgány verejnej správy – k dispozícii vykonávací predpis s presnými technickými a procesnými požiadavkami v dostatočnom časovom predstihu, aby sa mohli pripraviť na riadne plnenie zákonných povinností. Včasné vydanie vykonávacieho predpisu je preto kľúčové pre zabezpečenie právnej istoty, plynulého nábehu systému a predídenie problémom pri začatí jeho uplatňovania.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6. marca 2026. Na základe prerokovania pripomienky predkladateľ pripomienky netrvá na zásadnej pripomienke a túto preklasifikoval na obyčajnú. Rozpor bol na základe vzájomnej dohody odstránený. V rámci diskusie bolo zo strany predkladateľa návrhu zákona vysvetlené, že pripravovaný legislatívny proces je nastavený tak, aby poskytol dostatočnú legisvakačnú dobu na oboznámenie sa s novou právnou úpravou a jej implementáciu v praxi. Predkladateľ návrhu zákona uviedol, že zber údajov o krátkodobých prenájmoch  bude vysvetlený aj v metodickej príručke a súčasne, že vykonávací  právny predpis nadobudne účinnosť súčasne s predkladaným  zákonom v súlade so splnomocňovacím ustanovením § 13.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pre „poskytovateľa online platformy pre krátkodobé prenájmy a poskytovateľa malej online platformy pre krátkodobé prenájmy“ zaviesť legislatívnu skratku „ďalej len „poskytovateľ“ “ a to vzhľadom k rozsahu skracovaného poľovného spojenia ako aj jeho výskytu v návrhu – osem krát, čím sa skráti a sprehľadní normatívny text a to aj vzhľadom na skutočnosť že na niektorých miestach je nasledujúci text v pluráli a na niektorých v singulári. Pripomienka platí primerane aj pre slovné spojenie „online platforma pre krátkodobé prenájmy alebo malá online platforma pre krátkodobé prenájmy“, kde navrhujeme zaviesť legislatívnu skratku „online platforma“, rovnako pre dĺžku slovného spojenia a početnosť výskytu cca osem krát, pričom v § 9 a 14 sa hovorí len o „online platforme“. V nadväznosti na uvedené pripomienku je potrebné vykonať súvisiace gramatické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nesúhlasí so zavedením navrhovanej legislatívnej skratky, keďže  slovo „poskytovateľ“  bude z ustanovenia vypustené. Predkladateľ návrhu zákona taktiež nesúhlasí so zavedením legislatívnej skratky pre slovné spojenie „online platforma pre krátkodobé prenájmy alebo malá online platforma pre krátkodobé prenájmy“, kde sa navrhuje zaviesť legislatívna skratka „online platforma“, keďže pre online platformy a pre malé online platformy </w:t>
              <w:br/>
            </w:r>
            <w:r>
              <w:rPr>
                <w:b w:val="off"/>
                <w:color w:val="000000"/>
                <w:rFonts w:ascii="Times New Roman" w:hAnsi="Times New Roman" w:cs="Times New Roman" w:eastAsia="Times New Roman"/>
                <w:sz w:val="24"/>
              </w:rPr>
              <w:t xml:space="preserve">sa vzťahujú  iné povinnosti a uvedené pojmy sa nepoužívajú len v tomto spojení.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vzhľadom na rozsah právnej úpravy navrhujeme prehodnotiť opodstatnenosť nadpisov.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Nadpisy vo vzťahu k rozsahu právnej úpravy a k systematike a členeniu zákona považuje predkladateľ návrhu zákona za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sa používa označenie  „online platforma...“ a „malá online platforma...“ navrhujeme v návrhu zákona vymedziť čo sa má na mysli pod týmito dvomi online platformami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návrhu zákona je upravený odkaz na nariadenie Európskeho parlamentu a Rady (EÚ) 2024/1028 na definíciu online platformy pre krátkodobé prenájmy ako aj pre malú online platformu pre krátkodobé prenájmy. Slovo „poskytovateľ“ pred týmito spojeniami bude z dôvodu precizovania textu a jednoznačnosti v nadväznosti na tieto  pojmy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vypustiť § 1 pre jeho nenormatívnosť a nadbytočnosť, predmet zákona je dostatočne vymedzený jeho názovom, navyše poradie pododsekov v § 1 nezodpovedá poradiu paragrafov z hľadiska ich obsahu, resp. naopak poradie paragrafov nezodpovedá poradiu pododsekov v § 1 napr. § 1 písm. a) – zriadenie registra, ten s avšak zriaďuje až v § 3, § 1 písm. d) – pôsobnosť MCRaŠ SR avšak tú čiastkovo upravuje  už §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Systematiku a členenie zákona považuje predkladateľ návrhu zákona za postačujúcu a opodstatnenú, s tým že pristúpi k úprave poradia pododsekov v § 1, tak aby bolo zosúladené s poradím jednotlivých paragrafov.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písm. e) poznámke pod čiarou k odkazu 2</w:t>
              <w:br/>
            </w:r>
            <w:r>
              <w:rPr>
                <w:b w:val="off"/>
                <w:color w:val="000000"/>
                <w:rFonts w:ascii="Times New Roman" w:hAnsi="Times New Roman" w:cs="Times New Roman" w:eastAsia="Times New Roman"/>
                <w:sz w:val="24"/>
              </w:rPr>
              <w:t>V čl. I § 1 písm. e) poznámke pod čiarou k odkazu 2 odporúčame bližšie špecifikovať pojem „poskytovanie služieb krátkodobého prenájmu ubytovania“ tak, ako sú bližšie špecifikované pojmy napr. „hostiteľ“ alebo „online platforma pre krátkodobý prenájom“ atď. odkazom napr. na príslušné ustanovenia nariadenia Európskeho parlamentu a Rady (EÚ) 2024/1028 z 11. apríla 2024 o zbere a poskytovaní údajov týkajúcich sa služieb krátkodobého prenájmu ubytovania a o zmene nariadenia (EÚ) 2018/1724 (Ú. v. EÚ L, 29.4.2024) alebo dotknuté ustanovenia právneho rámca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Vo vlastnom materiáli ani v dôvodovej správe k ustanoveniam týkajúcim sa poskytovania služieb krátkodobého prenájmu ubytovania nie je uvedené jednoznačné vymedzenie tohto pojmu. Podľa článku 3 ods. 4 nariadenia Európskeho parlamentu a Rady (EÚ) 2024/1028 z 11. apríla 2024 o zbere a poskytovaní údajov týkajúcich sa služieb krátkodobého prenájmu ubytovania a o zmene nariadenia (EÚ) 2018/1724 (Ú. v. EÚ L, 29.4.2024) sa pojem „služba krátkodobého ubytovania“ vymedzuje vo vnútroštátnom práve. Z dôvodu zavedenia jednoznačnosti pojmov a zachovania právnej istoty je vhodné uviesť definíciu pojmu tak, aby bolo jednoznačné, na ktoré služby krátkodobého prenájmu sa návrh zákona vzťahuje.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návrhu zákona bude doplnená definícia pojmu „služba krátkodobého prenájmu ubytovania”, ktorá bude obsahovať aj údaj, že ide o služby poskytované na obdobie kratšie ako jeden rok. Uvedené vyplýva z recitálu nariadenia Európskeho parlamentu a Rady (EÚ) 2024/1028 z 11. apríla 2024 o zbere a poskytovaní údajov týkajúcich sa služieb krátkodobého prenájmu ubytovania a o zmene nariadenia (EÚ) 2018/1724 . Uvedená pripomienka zapracovaná v zmysle pripomienky OAPSVLÚVSR.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písm. d)</w:t>
              <w:br/>
            </w:r>
            <w:r>
              <w:rPr>
                <w:b w:val="off"/>
                <w:color w:val="000000"/>
                <w:rFonts w:ascii="Times New Roman" w:hAnsi="Times New Roman" w:cs="Times New Roman" w:eastAsia="Times New Roman"/>
                <w:sz w:val="24"/>
              </w:rPr>
              <w:t>V čl. I § 1 písm. d) odporúčame skratku „ministerstvo cestovného ruchu“ nahradiť skratkou „ministerstvo“ a primerane zohľadniť v celom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ponecháva zavedenú legislatívnu skratku z dôvodu zaužívanej legislatívnej skratky aj v zákone č. 91/2010 Z. z. o podpore cestovného ruchu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K § 2, keďže predmetom návrhu zákona je register  jednotiek pre poskytovanie služieb krátkodobého prenájmu ubytovania navrhujeme upraviť poradie § 2 a § 3 a nasl. tak aby  úprava zriadenia registra bola ako prvá.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akceptovanie pripomienky k § 1 a vykonaným úpravám, stratila táto pripomienka opodstatnenie.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w:t>
              <w:br/>
            </w:r>
            <w:r>
              <w:rPr>
                <w:b w:val="off"/>
                <w:color w:val="000000"/>
                <w:rFonts w:ascii="Times New Roman" w:hAnsi="Times New Roman" w:cs="Times New Roman" w:eastAsia="Times New Roman"/>
                <w:sz w:val="24"/>
              </w:rPr>
              <w:t>V § 2 písm. a) navrhujem  za slovo „zriaďuje“ vložiť slová „a prevádzkuje“ a následne vypustiť slová za čiarkou, taktiež poukazujem na duplicitu s § 3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Akceptovaná prvá časť pripomienky. Zároveň predkladateľ návrhu zákona uvádza, že nejde o duplicitu s § 3 ods. 1, keďže § 3 ods. 1 upravuje zriadenie registra a § 2 písm. a) upravuje zriadenie jednotného digitálneho kontaktného miesta.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d)</w:t>
              <w:br/>
            </w:r>
            <w:r>
              <w:rPr>
                <w:b w:val="off"/>
                <w:color w:val="000000"/>
                <w:rFonts w:ascii="Times New Roman" w:hAnsi="Times New Roman" w:cs="Times New Roman" w:eastAsia="Times New Roman"/>
                <w:sz w:val="24"/>
              </w:rPr>
              <w:t>V § 2 písm. d) nie je zrejmé čo sa má na mysli pod pojmom „monitoruje“ navrhujeme zvážiť použitie slovo „kontroluje“.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nepovažuje túto úpravu za potrebnú, vzhľadom na to, že terminológia je v súlade s nariadením (EÚ) 2024/1028.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f)</w:t>
              <w:br/>
            </w:r>
            <w:r>
              <w:rPr>
                <w:b w:val="off"/>
                <w:color w:val="000000"/>
                <w:rFonts w:ascii="Times New Roman" w:hAnsi="Times New Roman" w:cs="Times New Roman" w:eastAsia="Times New Roman"/>
                <w:sz w:val="24"/>
              </w:rPr>
              <w:t>V § 2 písm. f) nie je zrejmé čo sa má na mysli pod pojmom „je zodpovedné za zaslanie údajov “ navrhujeme  tieto slová nahradiť slovami „zasiela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V § 3 ods. 1 navrhujeme slová „Správcom registra, prevádzkovateľom registra“ nahradiť slovami „Správcom  a prevádzkovateľom registra“.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Túto pripomienku nie je možné akceptovať, keďže, ministerstvo cestovného ruchu je aj registrujúcim orgánom.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V § 3 ods. 2 navrhujeme vypustiť slová „podľa osobitného predpisu“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keďže na účely implementácie  nariadenia (EÚ) 2024/1028 je potrebné ponechanie odkazu na príslušné články nariadenia, ktoré upravujú funkcie jednotného digitálneho kontaktného miesta.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V § 3 navrhujeme pre obsahovú duplicitu zlúčiť odseky 3 a 4 do jedného odseku napr. „Register je verejne prístupný na webovom sídle ministerstva cestovného ruchu v rozsahu....“.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V § 4 ods. 1 na konci úvodnej vety navrhujeme za slovo „jednotke“ vložiť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c)</w:t>
              <w:br/>
            </w:r>
            <w:r>
              <w:rPr>
                <w:b w:val="off"/>
                <w:color w:val="000000"/>
                <w:rFonts w:ascii="Times New Roman" w:hAnsi="Times New Roman" w:cs="Times New Roman" w:eastAsia="Times New Roman"/>
                <w:sz w:val="24"/>
              </w:rPr>
              <w:t>V čl. I § 4 ods. 1 písmeno c) odporúčame upraviť takto:</w:t>
              <w:br/>
            </w:r>
            <w:r>
              <w:rPr>
                <w:b w:val="off"/>
                <w:color w:val="000000"/>
                <w:rFonts w:ascii="Times New Roman" w:hAnsi="Times New Roman" w:cs="Times New Roman" w:eastAsia="Times New Roman"/>
                <w:sz w:val="24"/>
              </w:rPr>
              <w:t xml:space="preserve">„c) číslo jednotky a podlažia, na ktorom sa jednotka v budove nachádza“.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tohto ustanovenia sa do registra zapisujú aj údaje o „čísle bytu a podlažia, na ktorom sa byt nachádza, ak ide o bytovú budovu podľa § 3 ods. 2 zákona č. 25/2025 Z. z. Stavebného zákona a o zmene a doplnení niektorých zákonov v znení neskorších predpisov“. Všeobecná formulácia umožní zapísať údaje aj o iných ubytovacích jednotkách, ktorými okrem bytu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Znenie § 4 ods. 1 písm. c) bude upravené v znení navrhovanom predkladateľom pripomienky, avšak slovo „podlažia“ bude nahradené slovom „poschodie“ na základe odporúčania Úradu geodézie, kartografie a katastra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V § 4 ods. 2 navrhujeme presunúť slová „ak ide o“ zo začiatku pododsekov na koniec úvodnej časti vety.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 zmysle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V § 4 ods. 2 navrhujeme slová „e-mailová adresa“ nahradiť slovami „adresa elektronickej pošty a v písm. c) vypustiť slová „obchodné meno alebo“ keďže pojem „názov“ je nadradený a zahŕňa aj „obchodné 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 písm. b) a c)</w:t>
              <w:br/>
            </w:r>
            <w:r>
              <w:rPr>
                <w:b w:val="off"/>
                <w:color w:val="000000"/>
                <w:rFonts w:ascii="Times New Roman" w:hAnsi="Times New Roman" w:cs="Times New Roman" w:eastAsia="Times New Roman"/>
                <w:sz w:val="24"/>
              </w:rPr>
              <w:t>V § 4 ods. 2 písm. b) a c) navrhujeme nahradiť body týkajúce sa  daňového identifikačného čísla, e-mailovej adresy a adresy na doručovanie jedným bodom, ktorý bude odkazovať na  § 4 ods. 2 písm. a) tretí, štvrtý a šiesty bod.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že z hľadiska lepšej prehľadnosti zákona je takéto členenie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5</w:t>
              <w:br/>
            </w:r>
            <w:r>
              <w:rPr>
                <w:b w:val="off"/>
                <w:color w:val="000000"/>
                <w:rFonts w:ascii="Times New Roman" w:hAnsi="Times New Roman" w:cs="Times New Roman" w:eastAsia="Times New Roman"/>
                <w:sz w:val="24"/>
              </w:rPr>
              <w:t>V § 4 ods. 5 sa navrhuje aby sa mohli údaje v registri uchovávať  najviac 18 mesiacov, z navrhovaného znenia implicitne vyplýva, že sa môžu uchovávať aj kratšie, navrhujeme ustanoviť  presné obdobie  po počas ktorého sa budú údaje uchovávať a to len v čase nevyhnutne potrebnom.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V § 5 ods. 2 sa navrhuje  ustanoviť pre poskytovateľa online platformy povinnosť  odstrániť  položku, splnenie tejto povinnosti nie je časovo ohraničené.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5</w:t>
              <w:br/>
            </w:r>
            <w:r>
              <w:rPr>
                <w:b w:val="off"/>
                <w:color w:val="000000"/>
                <w:rFonts w:ascii="Times New Roman" w:hAnsi="Times New Roman" w:cs="Times New Roman" w:eastAsia="Times New Roman"/>
                <w:sz w:val="24"/>
              </w:rPr>
              <w:t>V § 5 ods. 5 navrhujeme slová „musí byť...prevedený“ nahradiť slovami „sa musí ...previesť“ a nasledujúci text primerane gramaticky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V § 6 ods. 3 sa navrhuje ustanoviť maximálnu hranicu  lehoty na odstránenie nedostatkov, navrhujeme z hľadiska právnej istoty adresátov ustanoviť dolnú hranicu lehoty, teda že lehota na splnenie povinnosti nesmie byť kratšia ako...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V § 6 navrhujeme zjednotiť formulácie posledných viet v odseku 4 a 7, keďže upravujú to isté.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5</w:t>
              <w:br/>
            </w:r>
            <w:r>
              <w:rPr>
                <w:b w:val="off"/>
                <w:color w:val="000000"/>
                <w:rFonts w:ascii="Times New Roman" w:hAnsi="Times New Roman" w:cs="Times New Roman" w:eastAsia="Times New Roman"/>
                <w:sz w:val="24"/>
              </w:rPr>
              <w:t>V § 6 ods. 5 sa navrhujem zakázať  hostiteľovi  poskytovať krátkodobé ubytovanie počas dočasného pozastavenia, avšak porušenie tejto povinnosti nie je predmetom správneho deliktu podľa § 10 a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12 druhá veta</w:t>
              <w:br/>
            </w:r>
            <w:r>
              <w:rPr>
                <w:b w:val="off"/>
                <w:color w:val="000000"/>
                <w:rFonts w:ascii="Times New Roman" w:hAnsi="Times New Roman" w:cs="Times New Roman" w:eastAsia="Times New Roman"/>
                <w:sz w:val="24"/>
              </w:rPr>
              <w:t>V § 6 ods. 12 druhej vete navrhujeme  výslovne ustanoviť len kedy sa Správny poriadok nevzťahuje, teda napríklad takto: „Na konanie o zrušení rozhodnutia o dočasnom pozastavení platnosti registračného čísla a konanie o odňatí registračného čísla sa nevzťahujú § 14, § 19 ods. 5, § 22, § 26, § 31, § 35 a 36, § 38 a 39, § 41 až 43, § 45, § 48 a 49 a § 53 až 80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nepovažuje za potrebné negatívne vymedzenie pôsobnosti správneho poriadku, keďže z uvedeného ustanovenia súčasne  vyplýva, že na uvedené konania sa vzťahuje správny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Citácii k poznámke pod čiarou k odkazu 18</w:t>
              <w:br/>
            </w:r>
            <w:r>
              <w:rPr>
                <w:b w:val="off"/>
                <w:color w:val="000000"/>
                <w:rFonts w:ascii="Times New Roman" w:hAnsi="Times New Roman" w:cs="Times New Roman" w:eastAsia="Times New Roman"/>
                <w:sz w:val="24"/>
              </w:rPr>
              <w:t>V citácii poznámky pod čiarkou odkazu 18 navrhujeme vypustiť  „§“ za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a) a b)</w:t>
              <w:br/>
            </w:r>
            <w:r>
              <w:rPr>
                <w:b w:val="off"/>
                <w:color w:val="000000"/>
                <w:rFonts w:ascii="Times New Roman" w:hAnsi="Times New Roman" w:cs="Times New Roman" w:eastAsia="Times New Roman"/>
                <w:sz w:val="24"/>
              </w:rPr>
              <w:t>V § 7 písm. a) a b)navrhujeme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v zmysle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f)</w:t>
              <w:br/>
            </w:r>
            <w:r>
              <w:rPr>
                <w:b w:val="off"/>
                <w:color w:val="000000"/>
                <w:rFonts w:ascii="Times New Roman" w:hAnsi="Times New Roman" w:cs="Times New Roman" w:eastAsia="Times New Roman"/>
                <w:sz w:val="24"/>
              </w:rPr>
              <w:t>V § 7 je písmeno f) duplicitné s § 2 písm. c), navrhujeme duplicitu odstrániť.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uvedených ustanoveniach nejde o duplicitu, keďže upravujú rozdielne situácie.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h)</w:t>
              <w:br/>
            </w:r>
            <w:r>
              <w:rPr>
                <w:b w:val="off"/>
                <w:color w:val="000000"/>
                <w:rFonts w:ascii="Times New Roman" w:hAnsi="Times New Roman" w:cs="Times New Roman" w:eastAsia="Times New Roman"/>
                <w:sz w:val="24"/>
              </w:rPr>
              <w:t>V § 7 písm. h) navrhujeme vypustiť slová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upravené  podľa pripomienky MK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V § 8 navrhujeme vypustiť odsek 1 pre jeho deklaratívnosť.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na základe prerokovania s Úradom na ochranu osobných údajov SR ponecháva  ustanovenie § 8 ods. 1 v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 až 4</w:t>
              <w:br/>
            </w:r>
            <w:r>
              <w:rPr>
                <w:b w:val="off"/>
                <w:color w:val="000000"/>
                <w:rFonts w:ascii="Times New Roman" w:hAnsi="Times New Roman" w:cs="Times New Roman" w:eastAsia="Times New Roman"/>
                <w:sz w:val="24"/>
              </w:rPr>
              <w:t>V § 8 navrhujeme spojiť odseky 2 až 4 do jedného napríklad takto:</w:t>
              <w:br/>
            </w:r>
            <w:r>
              <w:rPr>
                <w:b w:val="off"/>
                <w:color w:val="000000"/>
                <w:rFonts w:ascii="Times New Roman" w:hAnsi="Times New Roman" w:cs="Times New Roman" w:eastAsia="Times New Roman"/>
                <w:sz w:val="24"/>
              </w:rPr>
              <w:t>„Ministerstvo cestovného ruchu</w:t>
              <w:br/>
            </w:r>
            <w:r>
              <w:rPr>
                <w:b w:val="off"/>
                <w:color w:val="000000"/>
                <w:rFonts w:ascii="Times New Roman" w:hAnsi="Times New Roman" w:cs="Times New Roman" w:eastAsia="Times New Roman"/>
                <w:sz w:val="24"/>
              </w:rPr>
              <w:t>a)	spracúva...,</w:t>
              <w:br/>
            </w:r>
            <w:r>
              <w:rPr>
                <w:b w:val="off"/>
                <w:color w:val="000000"/>
                <w:rFonts w:ascii="Times New Roman" w:hAnsi="Times New Roman" w:cs="Times New Roman" w:eastAsia="Times New Roman"/>
                <w:sz w:val="24"/>
              </w:rPr>
              <w:t>b)	zverejňuje...,</w:t>
              <w:br/>
            </w:r>
            <w:r>
              <w:rPr>
                <w:b w:val="off"/>
                <w:color w:val="000000"/>
                <w:rFonts w:ascii="Times New Roman" w:hAnsi="Times New Roman" w:cs="Times New Roman" w:eastAsia="Times New Roman"/>
                <w:sz w:val="24"/>
              </w:rPr>
              <w:t>c)	sprístupňuje...“.</w:t>
              <w:br/>
            </w:r>
            <w:r>
              <w:rPr>
                <w:b w:val="off"/>
                <w:color w:val="000000"/>
                <w:rFonts w:ascii="Times New Roman" w:hAnsi="Times New Roman" w:cs="Times New Roman" w:eastAsia="Times New Roman"/>
                <w:sz w:val="24"/>
              </w:rPr>
              <w:t>V tejto súvislosti navrhujeme zvážiť presunutie matérie  § 2 do § 8 s tým, že navrhované spojenie odsekov 2 až 4 by bolo pododsekom a písm. a) až c)  by boli prvým až tretím bodom.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z dôvodu, že na základe pripomienky Úradu na ochranu osobných údajov SR bude v § 8  vypustený odsek 3, a odsek 2 obsahuje ešte  ďalšiu vetu.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V § 8 ods. 4 navrhujeme slovo „subjektom“ nahradiť slovom „orgánom“.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 písm. a) a ods. 2 písm. a)</w:t>
              <w:br/>
            </w:r>
            <w:r>
              <w:rPr>
                <w:b w:val="off"/>
                <w:color w:val="000000"/>
                <w:rFonts w:ascii="Times New Roman" w:hAnsi="Times New Roman" w:cs="Times New Roman" w:eastAsia="Times New Roman"/>
                <w:sz w:val="24"/>
              </w:rPr>
              <w:t>V § 10 ods. 1 písm. a) a ods. 2 písm. a) navrhujeme  čiarku na konci nahradiť slovom „alebo“ keďže ide o právne predpoklady musí byť zrejmé či majú nastať kumulatívne alebo alternatívne.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V § 11 ods. 4 navrhujeme slová „Pri určení výšky pokuty“ nahradiť slovami „Pri ukladaní pokuty“, zároveň navrhujeme spresniť časť vety , podľa ktorej sa pri ukladaní pokuty má zohľadniť súčinnosť  páchateľa, keďže nie je explicitne zrejmé o akú súčinnosť  (pri čom) sa má zohľadniť.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„určení“ bude nahradené slovom „určovaní“. Ide o úpravu podľa zaužívanej legislatívnej praxe.</w:t>
              <w:br/>
            </w:r>
            <w:r>
              <w:rPr>
                <w:b w:val="off"/>
                <w:color w:val="000000"/>
                <w:rFonts w:ascii="Times New Roman" w:hAnsi="Times New Roman" w:cs="Times New Roman" w:eastAsia="Times New Roman"/>
                <w:sz w:val="24"/>
              </w:rPr>
              <w:t>Slová „a na súčinnosť osoby, ktorej sa má pokuta uložiť, s ministerstvom cestovného ruchu“ budú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5</w:t>
              <w:br/>
            </w:r>
            <w:r>
              <w:rPr>
                <w:b w:val="off"/>
                <w:color w:val="000000"/>
                <w:rFonts w:ascii="Times New Roman" w:hAnsi="Times New Roman" w:cs="Times New Roman" w:eastAsia="Times New Roman"/>
                <w:sz w:val="24"/>
              </w:rPr>
              <w:t>V § 11 ods. 5 navrhujeme zvážiť skrátenie objektívnej a subjektívnej lehoty vzhľadom na nízku závažnosť protiprávneho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9</w:t>
              <w:br/>
            </w:r>
            <w:r>
              <w:rPr>
                <w:b w:val="off"/>
                <w:color w:val="000000"/>
                <w:rFonts w:ascii="Times New Roman" w:hAnsi="Times New Roman" w:cs="Times New Roman" w:eastAsia="Times New Roman"/>
                <w:sz w:val="24"/>
              </w:rPr>
              <w:t>V § 11 navrhujeme vypustiť odsek 9, vzhľadom na  § 1 ods. 1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nesúhlasí s vypustením ustanovenia § 11 ods. 9 z dôvodu jednoznačnosti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V § 12 navrhujeme vypustiť druhú vetu vzhľadom na zákon č. 374/2014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nesúhlasí s vypustením ustanovenia § 12, keďže ide o zaužívanú legislatívnu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V § 13 sa navrhuje splnomocnenie na  typ jednotiek, keďže ide o zákonný pojem  navrhujeme aby čo je typ jednotky upravoval priamo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nepovažuje za účelné typy jednotiek upravovať v zákone, keďže typologizácia jednotiek je potrebná len v súvislosti s nastavením funkcionalít registra, na základe čoho je postačujúce tieto jednotky len vymenovať vo vykonávacom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písm. d)</w:t>
              <w:br/>
            </w:r>
            <w:r>
              <w:rPr>
                <w:b w:val="off"/>
                <w:color w:val="000000"/>
                <w:rFonts w:ascii="Times New Roman" w:hAnsi="Times New Roman" w:cs="Times New Roman" w:eastAsia="Times New Roman"/>
                <w:sz w:val="24"/>
              </w:rPr>
              <w:t>V § 13 písm. d) navrhujeme prehodnotiť vhodnosť úpravy podrobností o poskytovaní údajov z registra vzhľadom na  tézy návrhu vyhlášky obsahujúce „vymedzenie  kritérií“. V tejto v súvislosti navrhujeme názov pracovnej verzie vyhlášky zosúladiť  s obsahom splnomocnenia resp. upraviť tak aby súčasťou názvu vykonávacieho predpisu nebola len časť splnomocnenia.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prehodnotí pri vypracovaní návrhu vyhlášky úpravu jej názvu s ohľadom na splnomocňovacie ustanovenie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 14 navrhujeme vyjadriť v singulári a vypustiť slová „tohto zákona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Slová „tohto zákona“ budú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14</w:t>
              <w:br/>
            </w:r>
            <w:r>
              <w:rPr>
                <w:b w:val="off"/>
                <w:color w:val="000000"/>
                <w:rFonts w:ascii="Times New Roman" w:hAnsi="Times New Roman" w:cs="Times New Roman" w:eastAsia="Times New Roman"/>
                <w:sz w:val="24"/>
              </w:rPr>
              <w:t>V čl. I § 14 odporúčame vypustiť slová „ ; ustanovenia § 5, § 10 a 11 sa uplatnia prvýkrát 1. marca 2027.“ a posunutú účinnosť predmetných paragrafov uviesť v čl. III, ktorý upravuje účinnosť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neakceptuje túto pripomienku, keďže  uvedené prechodné ustanovenie sa týka iba tých hostiteľov, ktorí už ponúkajú služby krátkodobého prenájmu ubytovania prostredníctvom online platforiem do nadobudnutia účinnosti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úvodnej vete navrhujeme vypustiť slová „mení a“ a to aj vzhľadom na znenie názvu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predloženým návrhom zákona bude možné súhlasiť len za podmienky, že všetky negatívne vplyvy budú sumárne zabezpečené v rámci schválených limitov dotknutých subjektov verejnej správy na príslušné rozpočtové roky, bez dodatočných požiadaviek na rozpočet verejnej správy a celkový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9. marca 2026. </w:t>
              <w:br/>
            </w:r>
            <w:r>
              <w:rPr>
                <w:b w:val="off"/>
                <w:color w:val="000000"/>
                <w:rFonts w:ascii="Times New Roman" w:hAnsi="Times New Roman" w:cs="Times New Roman" w:eastAsia="Times New Roman"/>
                <w:sz w:val="24"/>
              </w:rPr>
              <w:t>Predkladateľ návrhu zákona uviedol, že výdavky sú rozpočtovo kryté v rozpočte kapitoly bez dodatočných požiadaviek na rozpočet verejnej správy a celkový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možno konštatovať, že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znížiť vplyv predloženého materiálu na rozpočet verejnej správy tak, aby rozsah zmien zahŕňal výlučne funkcionality nevyhnutné na splnenie požiadaviek implementovaného nariadenia Európskeho parlamentu a Rady (EÚ) 2024/1028 z 11. apríla 2024 o zbere a poskytovaní údajov týkajúcich sa služieb krátkodobého prenájmu ubytovania. Navrhované riešenie eVisitor podľa Analýzy vplyvov na informatizáciu spoločnosti zahŕňa širší rozsah funkcionalít, než vyplýva zo samotného regulačného rámca, pričom nie je preukázaná ich nevyhnutnosť.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9. marca 2026.</w:t>
              <w:br/>
            </w:r>
            <w:r>
              <w:rPr>
                <w:b w:val="off"/>
                <w:color w:val="000000"/>
                <w:rFonts w:ascii="Times New Roman" w:hAnsi="Times New Roman" w:cs="Times New Roman" w:eastAsia="Times New Roman"/>
                <w:sz w:val="24"/>
              </w:rPr>
              <w:t>Predkadateľ návrhu zákona upravil analýzu vplyvov na rozpočet verejnej správy tak, že rozsah zmien v predloženej Analýze vplyvov zahŕňa výlučne funkcionality nevyhnutné na splnenie požiadaviek implementovaného nariadenia Európskeho parlamentu a Rady (EÚ) 2024/1028 z 11. apríla 2024 o zbere a poskytovaní údajov týkajúcich sa služieb krátkodobého prenájmu ubytovania.</w:t>
              <w:br/>
            </w:r>
            <w:r>
              <w:rPr>
                <w:b w:val="off"/>
                <w:color w:val="000000"/>
                <w:rFonts w:ascii="Times New Roman" w:hAnsi="Times New Roman" w:cs="Times New Roman" w:eastAsia="Times New Roman"/>
                <w:sz w:val="24"/>
              </w:rPr>
              <w:t>Výdavky sú rozpočtovo kryté v rozpočte kapitoly bez dodatočných požiadaviek na rozpočet verejnej správy a celkový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možno konštatovať, že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znížiť vplyv predloženého materiálu na rozpočet verejnej správy tak, aby výdavky, vrátane prevádzkových nákladov (SLA), zodpovedali úrovni porovnateľných štátnych alebo zahraničných informačných systémov, a zároveň sprístupniť položkový rozpočet vrátane metodiky kalkulácie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sú náklady uvedené bez položkového členenia, čo znemožňuje overiť ich primeranosť, vrátane prevádzkových nákladov (SLA). Existuje preto riziko nadhodnotenia deklarovaného vplyvu na štátny rozpočet. Na porovnanie, český informačný systém eTurista, implementujúci rovnaký regulačný rámec Európskej únie, bol realizovaný s kapitálovými výdavkami približne 0,7 mil. eur a s ročnými nákladmi na prevádzku a rozvoj približne 0,2 mil.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9. marca 2026.</w:t>
              <w:br/>
            </w:r>
            <w:r>
              <w:rPr>
                <w:b w:val="off"/>
                <w:color w:val="000000"/>
                <w:rFonts w:ascii="Times New Roman" w:hAnsi="Times New Roman" w:cs="Times New Roman" w:eastAsia="Times New Roman"/>
                <w:sz w:val="24"/>
              </w:rPr>
              <w:t>Predkadateľ návrhu zákona upravil  Analýzu vplyvov na rozpočet verejnej správy, na zamestnanosť vo verejnej správe a financovanie návrhu tak, že sú uvedené náklady na najnižšiu ekonomickú klasifikáciu. Výdavky sú rozpočtovo kryté v rozpočte kapitoly bez dodatočných požiadaviek na rozpočet verejnej správy a celkový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možno konštatovať, že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kvantifikovať pozitívne vplyvy uvedené v doložke vybraných vplyvov a premietnuť ich do analýzy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doložke vybraných vplyvov je vyznačený pozitívny vplyv na rozpočet verejnej správy, avšak tento vplyv nie je v analýze vplyvov kvantifikovaný. Ak predložený materiál predpokladá pozitívne rozpočtové vplyvy,  najmä vo forme vyššieho výberu daní v dôsledku registrácie subjektov a obmedzenia daňových únikov, prípadne úspor vo verejnej správe, je potrebné tieto vplyvy vyčísliť a uviesť v analýze vplyvov. Bez ich kvantifikácie nie je možné posúdiť čistý vplyv predloženého materiálu na rozpočet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9. marca 2026. </w:t>
              <w:br/>
            </w:r>
            <w:r>
              <w:rPr>
                <w:b w:val="off"/>
                <w:color w:val="000000"/>
                <w:rFonts w:ascii="Times New Roman" w:hAnsi="Times New Roman" w:cs="Times New Roman" w:eastAsia="Times New Roman"/>
                <w:sz w:val="24"/>
              </w:rPr>
              <w:t xml:space="preserve">Po prerokovaní uvedenej pripomienky </w:t>
              <w:br/>
            </w:r>
            <w:r>
              <w:rPr>
                <w:b w:val="off"/>
                <w:color w:val="000000"/>
                <w:rFonts w:ascii="Times New Roman" w:hAnsi="Times New Roman" w:cs="Times New Roman" w:eastAsia="Times New Roman"/>
                <w:sz w:val="24"/>
              </w:rPr>
              <w:t xml:space="preserve">MF SR netrvá na tejto zásadnej pripomienke. </w:t>
              <w:br/>
            </w:r>
            <w:r>
              <w:rPr>
                <w:b w:val="off"/>
                <w:color w:val="000000"/>
                <w:rFonts w:ascii="Times New Roman" w:hAnsi="Times New Roman" w:cs="Times New Roman" w:eastAsia="Times New Roman"/>
                <w:sz w:val="24"/>
              </w:rPr>
              <w:t>Na základe uvedeného možno konštatovať, že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tabuľke č. 1/B sa uvádza vplyv na limit verejných výdavkov kapitoly Ministerstva cestovného ruchu a športu SR, pričom sa znižuje limit verejných výdavkov ostatných subjektov verejnej správy tak, aby bol celkový vplyv na limit verejných výdavkov nulový. Tabuľky č. 1/A a č. 1/B je potrebné zosúladiť a prepracovať tak, aby z nich nevyplýval nekrytý vplyv a uviesť dotknutý osobitný subjekt verejnej správy. Zároveň je potrebné vypracovať tabuľky č. 4/A a č. 4/B ku každému subjektu zvlášť a vyplniť všetky dotknuté riadky tabuľky.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9. marca 2026.</w:t>
              <w:br/>
            </w:r>
            <w:r>
              <w:rPr>
                <w:b w:val="off"/>
                <w:color w:val="000000"/>
                <w:rFonts w:ascii="Times New Roman" w:hAnsi="Times New Roman" w:cs="Times New Roman" w:eastAsia="Times New Roman"/>
                <w:sz w:val="24"/>
              </w:rPr>
              <w:t>Predkadateľ návrhu zákona v Analýze vplyvov na rozpočet verejnej správy, na zamestnanosť vo verejnej správe a financovanie návrhu  upravil tabuľky č. 1A/ a 1/B, č. A/A a č. 4/B  v súlade s financovaním návrhu. Výdavky sú rozpočtovo kryté v rozpočte kapitoly bez dodatočných požiadaviek na rozpočet verejnej správy a celkový limit verejných výdavkov.</w:t>
              <w:br/>
            </w:r>
            <w:r>
              <w:rPr>
                <w:b w:val="off"/>
                <w:color w:val="000000"/>
                <w:rFonts w:ascii="Times New Roman" w:hAnsi="Times New Roman" w:cs="Times New Roman" w:eastAsia="Times New Roman"/>
                <w:sz w:val="24"/>
              </w:rPr>
              <w:t>Na základe uvedeného možno konštatovať, že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 xml:space="preserve">V § 4 ods. 2 písm. a) treťom bode a písm. b) štvrtom bode žiadame na konci pripojiť slová „alebo identifikačné číslo používané v zahraničí na daňové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doplnenie daňového identifikátora v prípade zahraničnej fyzickej osoby alebo zahraničnej fyzickej osoby – podnikateľa, ktoré nemajú pridelené slovenské daňové identifikačné číslo.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9. marca 2026. Po prerokovaní pripomienky  predkladateľ pripomienky netrvá na zásadnej pripomienke a túto preklasifikoval na obyčajnú. Na základe uvedeného možno konštatovať, že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návrhu zákona nesúhlasí s pripomienkou nakoľko uvádzanie ďalšieho údaju pri identifikácii hostiteľa by bolo nad rámec nariadenia 2024/1028. Okrem iného predkladateľ má za to, že na identifikáciu hostiteľa pre plnenie daňových povinností vyplývajúcich z poskytovania služieb krátkodobého prenájmu ubytovania na území Slovenskej republiky je rozhodujúcim identifikačným údajom daňové identifikačné číslo, ktoré vydáva Finančná správa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časti 9. je potrebné označiť vplyvy v súlade s analýzou vplyvov a označiť rozpočtovú zabezpečenosť.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že v analýze vplyvov časti 2.1.1. Financovanie návrhu nie je uvedená informácia ohľadom finančného krytia kvantifikovaných výdavkov. Túto časť je potrebné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Kvantifikácia výdavkov je uvedená v časti 2.2.4.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že v analýze vplyvov sú tabuľky č. 4/A a č. 4/B nesprávne naformátované.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ďalšom legislatívnom procese bude zohľadnené formátovanie tabuliek.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na informatizáciu spoločnosti časti 6.6.2. treťom stĺpci prvej odrážke je potrebné vypustiť slová „z ubytovania“.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poskytovanie údajov z registra na účely správy daní všeobecne, nie dane z ubytovania, pretože správcom tejto dane nie je finančná správa, ale obec.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názve návrhu zákona slovo „Zákon“ nahradiť slovom „ZÁKON“ v súlade s bodom 18 prílohy LPV a vypustiť slová „zmene a“ (prvý výskyt), pretože zákon č. 264/2022 Z. z. sa iba dopĺňa, v § 2 písm. d) slovo „Komisii“ nahradiť slovom „komisii“, v § 4 ods. 1 úvodnej vete na konci pripojiť dvojbodku, v § 4 ods. 2 úvodnej vete na konci čiarku nahradiť dvojbodkou, v § 4 ods. 2 písm. a) piatom bode a písm. b) šiestom bode vypustiť slovo „kontaktné“ ako nadbytočné, aktualizovať poznámku pod čiarou k odkazu 14 vzhľadom na prijatie nového zákona o obchodnom registri, v § 6 ods. 1 prvej vete slovo „vydaní“ nahradiť slovom „vygenerovaní“ v súlade s § 4 ods. 3, v § 6 ods. 3 druhej vete slovo „dlhšia“ nahradiť slovom „kratšia“ a slová „určenej na nápravu uvedených v odseku 4 alebo v odseku 7“ nahradiť slovami „na nápravu podľa odsekov 4 a 7“, v § 6 ods. 4 prvej vete slovo „určenej“ presunúť za slová „na nápravu“, v § 6 ods. 4 druhej vete za slovo „Odvolanie“ vložiť slová „proti rozhodnutiu podľa prvej vety“, v § 6 ods. 6 prvej vete za slovo „čísla“ vložiť slová „podľa odseku 4“, v § 6 ods. 6 štvrtej vete slovo „stratí“ nahradiť slovom „stráca“, v § 6 ods. 8 slová „§ 9“ nahradiť slovami „§ 10“ a slová „§ 10“ nahradiť slovami „§ 11“, v poznámke pod čiarou k odkazu 19 vypustiť slová „v znení neskorších predpisov“, citácie v poznámke pod čiarou k odkazu 22 zosúladiť s bodmi 23.6, 48 a 53 prílohy LPV, v § 7 písm. g) slová „živnostenského zákona,23)“ nahradiť slovami „osobitného predpisu,23)“, v poznámke pod čiarou k odkazu 23 slová „č. 455/1911 Zb.“ nahradiť slovami „č. 455/1991 Zb.“, poznámku pod čiarou k odkazu 25 zosúladiť s bodom 23.6 prílohy LPV, v § 10 ods. 2 druhej vete za slovo „Pokutu“ vložiť slová „podľa prvej vety“, v poznámke pod čiarou k odkazu 27 vypustiť slová „o priestupkoch“ z dôvodu, že úplná citácia zákona o priestupkoch je už uvedená v poznámke pod čiarou k odkazu 22, v § 11 ods. 6 vypustiť slová „tomu, kto iný správny delikt spáchal,“ ako nadbytočné, v § 12 ods. 1 za slovo „priestupku“ vložiť slová „podľa § 10“, za slovo „deliktu“ vložiť slová „podľa § 11“ a slová „nedostatok uvedený“ nahradiť slovami „nedostatky uvedené“, v § 12 ods. 3 za slovo „delikty“ vložiť slová „podľa tohto zákona“, v § 14 vypustiť slová „tohto zákona“ ako nadbytočné, v čl. II úvodnej vete vypustiť slová „mení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 7 písm. b) je potrebné slová „výkonu správy dane z ubytovania“ nahradiť slovami „správy dane za ubytovanie“.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Daňovom poriadku, ako aj v iných právnych predpisoch je zaužívaný pojem „správa daní“. Zároveň, zákon č. 582/2004 Z. z. o miestnych daniach a miestnom poplatku za komunálne odpady a drobné stavebné odpady v znení neskorších predpisov zaviedol pojem „daň za ubytovanie“, preto je potrebné používať tento pojem.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V § 7 písm. c) je potrebné slová „výkonu správy dane,20)“ nahradiť slovami „správy daní,“ a vypustiť poznámku pod čiarou k odkazu 20 ako nadbytočnú.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Daňovom poriadku, ako aj v iných právnych predpisoch je zaužívaný pojem „správa daní“, na ktorý nie je potrebné osobitne odkazovať formou poznámky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K čl. I § 7 a § 8 ods. 4 </w:t>
              <w:br/>
            </w:r>
            <w:r>
              <w:rPr>
                <w:b w:val="off"/>
                <w:color w:val="000000"/>
                <w:rFonts w:ascii="Times New Roman" w:hAnsi="Times New Roman" w:cs="Times New Roman" w:eastAsia="Times New Roman"/>
                <w:sz w:val="24"/>
              </w:rPr>
              <w:t xml:space="preserve">Navrhujeme nasledujúcu úpravu čl. I § 7 a § 8 ods. 4: </w:t>
              <w:br/>
            </w:r>
            <w:r>
              <w:rPr>
                <w:b w:val="off"/>
                <w:color w:val="000000"/>
                <w:rFonts w:ascii="Times New Roman" w:hAnsi="Times New Roman" w:cs="Times New Roman" w:eastAsia="Times New Roman"/>
                <w:sz w:val="24"/>
              </w:rPr>
              <w:t>§ 7 sa dopĺňa písmenom i), ktoré znie: „i) orgánu dohľadu podľa osobitného predpisu25) na účely výkonu dohľadu v oblasti ochrany spotrebiteľa.26)“.</w:t>
              <w:br/>
            </w:r>
            <w:r>
              <w:rPr>
                <w:b w:val="off"/>
                <w:color w:val="000000"/>
                <w:rFonts w:ascii="Times New Roman" w:hAnsi="Times New Roman" w:cs="Times New Roman" w:eastAsia="Times New Roman"/>
                <w:sz w:val="24"/>
              </w:rPr>
              <w:t>Poznámky pod čiarou k odkazom 25 a 26 znejú:</w:t>
              <w:br/>
            </w:r>
            <w:r>
              <w:rPr>
                <w:b w:val="off"/>
                <w:color w:val="000000"/>
                <w:rFonts w:ascii="Times New Roman" w:hAnsi="Times New Roman" w:cs="Times New Roman" w:eastAsia="Times New Roman"/>
                <w:sz w:val="24"/>
              </w:rPr>
              <w:t xml:space="preserve">„25) § 26 ods. 8 zákona č. 108/2024 Z. z. o ochrane spotrebiteľa a o zmene a doplnení niektorých zákonov v znení zákona č. 310/2025 Z. z. </w:t>
              <w:br/>
            </w:r>
            <w:r>
              <w:rPr>
                <w:b w:val="off"/>
                <w:color w:val="000000"/>
                <w:rFonts w:ascii="Times New Roman" w:hAnsi="Times New Roman" w:cs="Times New Roman" w:eastAsia="Times New Roman"/>
                <w:sz w:val="24"/>
              </w:rPr>
              <w:t xml:space="preserve">26) Štvrtá a piata časť zákona č. 108/2024 Z. z. v znení neskorších predpisov“. </w:t>
              <w:br/>
            </w:r>
            <w:r>
              <w:rPr>
                <w:b w:val="off"/>
                <w:color w:val="000000"/>
                <w:rFonts w:ascii="Times New Roman" w:hAnsi="Times New Roman" w:cs="Times New Roman" w:eastAsia="Times New Roman"/>
                <w:sz w:val="24"/>
              </w:rPr>
              <w:t xml:space="preserve">Nasledujúce odkazy sa primerane prečíslujú. </w:t>
              <w:br/>
            </w:r>
            <w:r>
              <w:rPr>
                <w:b w:val="off"/>
                <w:color w:val="000000"/>
                <w:rFonts w:ascii="Times New Roman" w:hAnsi="Times New Roman" w:cs="Times New Roman" w:eastAsia="Times New Roman"/>
                <w:sz w:val="24"/>
              </w:rPr>
              <w:t xml:space="preserve">V § 8 ods. 4 sa slová „b) až h)“ nahrádzajú slovami b) až 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bola medzi orgány s prístupom k údajom o hostiteľoch a údajom o jednotkám zapísaných v registri jednotiek pre poskytovanie služieb krátkodobého prenájmu ubytovania doplnená Slovenská obchodná inšpekcia v súvislosti s jej pôsobnosťou orgánu dohľadu v oblasti ochrany spotrebiteľa. Hostitelia môžu byť obchodníkmi v zmysle spotrebiteľského práva a prístup k údajom môže pomôcť Slovenskej obchodnej inšpekcii pri výkone dohľadu nad ich povinnosťami v zmysle spotrebiteľskej legislatívy. Ochrana spotrebiteľa patrí medzi ciele implementovaného nariadenia Európskeho parlamentu a Rady (EÚ) 2024/1028 z 11. apríla 2024 o zbere a poskytovaní údajov týkajúcich sa služieb krátkodobého prenájmu ubytovania a o zmene nariadenia (EÚ) 2018/1724, ako uvádza jeho recitál 16: „Online platformy pre krátkodobé prenájmy predstavujú v súčasnosti hlavný kanál na ponúkanie služieb krátkodobého prenájmu ubytovania a je potrebné zabezpečiť bezpečné, predvídateľné a dôveryhodné online prostredie, ako aj prispieť k predchádzaniu nezákonným ponukám takýchto služieb s cieľom chrániť spotrebiteľov, zabezpečiť spravodlivú hospodársku súťaž a vo vhodných prípadoch prispieť k boju proti súvisiacim podvodom.“ Navrhovaná zmena v čl. I § 8 ods. 4 je legislatívno-technická pripomienka nadväzujúca na navrhovanú zmenu v čl. I §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7.</w:t>
              <w:br/>
            </w:r>
            <w:r>
              <w:rPr>
                <w:b w:val="off"/>
                <w:color w:val="000000"/>
                <w:rFonts w:ascii="Times New Roman" w:hAnsi="Times New Roman" w:cs="Times New Roman" w:eastAsia="Times New Roman"/>
                <w:sz w:val="24"/>
              </w:rPr>
              <w:t xml:space="preserve">Žiadame doplniť do ustanovenia § 7 nové písmeno, ktorým sa medzi subjekty s prístupom k údajom o hostiteľoch a údajom o jednotkách zapísaných v registri a ku zmenám týchto údajov doplní aj Ministerstvo investícií, regionálneho rozvoja a informatizácie Slovenskej republiky (ďalej len „MIRRI SR“), nasledovne: </w:t>
              <w:br/>
            </w:r>
            <w:r>
              <w:rPr>
                <w:b w:val="off"/>
                <w:color w:val="000000"/>
                <w:rFonts w:ascii="Times New Roman" w:hAnsi="Times New Roman" w:cs="Times New Roman" w:eastAsia="Times New Roman"/>
                <w:sz w:val="24"/>
              </w:rPr>
              <w:t>i)„Ministerstvu investícií, regionálneho rozvoja a informatizácie Slovenskej republiky na účel výkonu pôsobnosti orgánu vedenia podľa osobitného predpisu, xx)“.</w:t>
              <w:br/>
            </w:r>
            <w:r>
              <w:rPr>
                <w:b w:val="off"/>
                <w:color w:val="000000"/>
                <w:rFonts w:ascii="Times New Roman" w:hAnsi="Times New Roman" w:cs="Times New Roman" w:eastAsia="Times New Roman"/>
                <w:sz w:val="24"/>
              </w:rPr>
              <w:t>Poznámka pod čiarou k odkazu xx) znie: „xx) § 5 ods. 1 písm. a) zákona č. 95/2019 Z. z. o informačných technológiách vo verejnej správe a o zmene a doplnení niektorých zákonov v znení zákona č. 134/2020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Dňa 14.08.2024 sa uskutočnilo stretnutie pracovnej skupiny, na ktorom MIRRI SR uplatnilo požiadavku na zabezpečenie prístupu k údajom z registra jednotiek pre poskytovanie služieb krátkodobého prenájmu ubytovania v anonymizovanej podobe. Táto požiadavka však nebola premietnutá do predloženého znenia návrhu zákona, a preto sa navrhuje jej zapracovanie do ustanovenia § 7. MIRRI SR je orgánom vedenia podľa zákona č. 95/2019 Z. z. o informačných technológiách vo verejnej správe a o zmene a doplnení niektorých zákonov v znení neskorších predpisov (ďalej len „zákon o ITVS“) a zabezpečuje koncepčné riadenie informatizácie a dátovej integrácie verejnej správy. V rámci tejto pôsobnosti spravuje centrálne informačné systémy verejnej správy a po účinnosti novely zákona o ITVS aj analytické nástroje (napr. KAV), ktoré slúžia na spracovanie agregovaných a analytických údajov naprieč verejnou správou. Pre riadny výkon uvedených kompetencií je potrebné, aby MIRRI SR malo zabezpečený prístup k anonymizovaným údajom z registra. MIRRI SR je zároveň spolugestorom predmetnej úlohy č. 1 v mesiaci december, vyplývajúcej z Plánu legislatívnych úloh vlády SR na rok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5. marca 2026. Súčasne bolo na rozporovom konaní dohodnuté, že zo strany MIRRI SR bude ešte detailnejšie rozšírený a vyšpecifikovaný účel, na ktorý sa bude prístup k údajom vzťahovať spolu s uvedením zákonných ustanovení v poznámke pod čiarou. Znenie nového písmena v § 7  upravené na základe vzájomnej dohody.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4 ods. 1.</w:t>
              <w:br/>
            </w:r>
            <w:r>
              <w:rPr>
                <w:b w:val="off"/>
                <w:color w:val="000000"/>
                <w:rFonts w:ascii="Times New Roman" w:hAnsi="Times New Roman" w:cs="Times New Roman" w:eastAsia="Times New Roman"/>
                <w:sz w:val="24"/>
              </w:rPr>
              <w:t>Odporúčame doplniť do rozsahu zapisovaných údajov pojem „identifikátor adresy“.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identifikátora adresy zabezpečí jednoznačnú a nezameniteľnú identifikáciu adresného bodu v referenčných registroch verejnej správy a umožní spoľahlivé prepojenie údajov registra s inými informačnými systémami verejnej správy. Jeho doplnenie prispeje k naplneniu princípov jednotnej správy údajov verejnej správy, k zlepšeniu interoperability informačných systémov a k presnejšej analytickej práci s údajmi registra bez dodatočných administratívnych nárokov na zapisujúce subjekty.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nesúhlasí s doplnením rozsahu zapisovaných údajov o identifikátor adresy, keďže ide o údaj nad rámec  nariadenia Európskeho parlamentu a Rady (EÚ) 2024/1028 z 11. apríla 2024 o zbere a poskytovaní údajov týkajúcich sa služieb krátkodobého prenájmu ubytovania.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4 ods. 2 písm. b) bod 4.</w:t>
              <w:br/>
            </w:r>
            <w:r>
              <w:rPr>
                <w:b w:val="off"/>
                <w:color w:val="000000"/>
                <w:rFonts w:ascii="Times New Roman" w:hAnsi="Times New Roman" w:cs="Times New Roman" w:eastAsia="Times New Roman"/>
                <w:sz w:val="24"/>
              </w:rPr>
              <w:t xml:space="preserve">Odporúčame slová „daňové identifikačné číslo“ nahradiť slovami  „identifikačné číslo pre daň z pridanej hodnoty“.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Identifikačné číslo pre daň z pridanej hodnoty je referenčný údaj z referenčného registra daňových subjektov a predstavuje jednoznačný identifikátor subjektu používaný pre právnické osoby. Používanie uvedeného referenčného údaja zabezpečuje vyššiu presnosť identifikácie subjektov a umožňuje spoľahlivé prepojenie údajov s informačnými systémami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nesúhlasí s nahradením daňového identifikačného čísla za identifikačné číslo pre daň z pridanej hodnoty.</w:t>
              <w:br/>
            </w:r>
            <w:r>
              <w:rPr>
                <w:b w:val="off"/>
                <w:color w:val="000000"/>
                <w:rFonts w:ascii="Times New Roman" w:hAnsi="Times New Roman" w:cs="Times New Roman" w:eastAsia="Times New Roman"/>
                <w:sz w:val="24"/>
              </w:rPr>
              <w:t xml:space="preserve">Pre účely registrácie v registri pre zber údajov o krátkodobých prenájmoch postačuje ako jedinečný identifikátor daňové identifikačné číslo, ktoré slúži na identifikáciu osoby voči daňovému úradu. Daňové identifikačné číslo dostávajú všetky osoby - právnické osoby, živnostníci ale aj iné osoby, ktoré majú povinnosť platiť daň z príjmov (napr. prenájom nehnuteľnosti bez živnosti).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 7 navrhujeme preformulovať znenie písmena h) nasledovne: „h) Rade pre mediálne služby na účel výkonu dohľadu podľa osobitného predpisu.24)“.</w:t>
              <w:br/>
            </w:r>
            <w:r>
              <w:rPr>
                <w:b w:val="off"/>
                <w:color w:val="000000"/>
                <w:rFonts w:ascii="Times New Roman" w:hAnsi="Times New Roman" w:cs="Times New Roman" w:eastAsia="Times New Roman"/>
                <w:sz w:val="24"/>
              </w:rPr>
              <w:t>Zároveň navrhujeme preformulovať aj znenie poznámky pod čiarou k odkazu č. 24, a to nasledovným spôsobom: „24) § 133 až 133g zákona č. 264/2022 Z. z. o mediálnych službách a o zmene a doplnení niektorých zákonov (zákon o mediálnych službách)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3</w:t>
              <w:br/>
            </w:r>
            <w:r>
              <w:rPr>
                <w:b w:val="off"/>
                <w:color w:val="000000"/>
                <w:rFonts w:ascii="Times New Roman" w:hAnsi="Times New Roman" w:cs="Times New Roman" w:eastAsia="Times New Roman"/>
                <w:sz w:val="24"/>
              </w:rPr>
              <w:t>Odporúčame v čl. I § 6 ods. 3 slová „ktorá nesmie byť dlhšia ako desať pracovných dní“ nahradiť slovami „ktorá nesmie byť kratšia ako desať pracovných dní“ resp. jasne určiť primeranú lehotu na nápravu zistených nedostatkov v zapísaných údajoch v registri.</w:t>
              <w:br/>
            </w:r>
            <w:r>
              <w:rPr>
                <w:b w:val="off"/>
                <w:color w:val="000000"/>
                <w:rFonts w:ascii="Times New Roman" w:hAnsi="Times New Roman" w:cs="Times New Roman" w:eastAsia="Times New Roman"/>
                <w:sz w:val="24"/>
              </w:rPr>
              <w:t>Odôvodnenie: Z dôvodu zabezpečenia právnej istoty pri aplikácii ustanovení zákona; formulácia ustanovenia, tak ako je navrhovaná predkladateľom, dáva ministerstvu cestovného ruchu a športu možnosť určiť lehotu na nápravu zistených nedostatkov aj napr. jeden pracovný deň, čo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poznámkam pod čiarou</w:t>
              <w:br/>
            </w:r>
            <w:r>
              <w:rPr>
                <w:b w:val="off"/>
                <w:color w:val="000000"/>
                <w:rFonts w:ascii="Times New Roman" w:hAnsi="Times New Roman" w:cs="Times New Roman" w:eastAsia="Times New Roman"/>
                <w:sz w:val="24"/>
              </w:rPr>
              <w:t xml:space="preserve">Odporúčame upraviť poznámky pod čiarou v súlade s Legislatívnymi pravidlami vlády Slovenskej republiky; napr. v poznámke pod čiarou k odkazu 19 odporúčame vypustiť slová </w:t>
              <w:br/>
            </w:r>
            <w:r>
              <w:rPr>
                <w:b w:val="off"/>
                <w:color w:val="000000"/>
                <w:rFonts w:ascii="Times New Roman" w:hAnsi="Times New Roman" w:cs="Times New Roman" w:eastAsia="Times New Roman"/>
                <w:sz w:val="24"/>
              </w:rPr>
              <w:t xml:space="preserve">„v znení neskorších predpisov“, citácie v poznámke pod čiarou k odkazu 22 je potrebné upraviť v súlade s bodom 23.6. Legislatívnych pravidiel vlády Slovenskej republiky </w:t>
              <w:br/>
            </w:r>
            <w:r>
              <w:rPr>
                <w:b w:val="off"/>
                <w:color w:val="000000"/>
                <w:rFonts w:ascii="Times New Roman" w:hAnsi="Times New Roman" w:cs="Times New Roman" w:eastAsia="Times New Roman"/>
                <w:sz w:val="24"/>
              </w:rPr>
              <w:t>a  v poznámke pod čiarou k odkazu 23 odporúčame opraviť číslo citovaného zákona.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Odporúčame v analýze vplyvov na rozpočet verejnej správy, na zamestnanosť vo verejnej správe a financovanie návrhu dopracovať tabuľky 4/B jednotlivo za každý dotknutý subjekt zvlášť, nakoľko sa vyčíslený vplyv týka aj ostatných subjektov verejnej správy (nie je identifikovaný konkrétny subjekt verejnej správy, ktorého limit verejných výdavkov </w:t>
              <w:br/>
            </w:r>
            <w:r>
              <w:rPr>
                <w:b w:val="off"/>
                <w:color w:val="000000"/>
                <w:rFonts w:ascii="Times New Roman" w:hAnsi="Times New Roman" w:cs="Times New Roman" w:eastAsia="Times New Roman"/>
                <w:sz w:val="24"/>
              </w:rPr>
              <w:t xml:space="preserve">sa znižuje).  </w:t>
              <w:br/>
            </w:r>
            <w:r>
              <w:rPr>
                <w:b w:val="off"/>
                <w:color w:val="000000"/>
                <w:rFonts w:ascii="Times New Roman" w:hAnsi="Times New Roman" w:cs="Times New Roman" w:eastAsia="Times New Roman"/>
                <w:sz w:val="24"/>
              </w:rPr>
              <w:t>Odôvodnenie: Zosúladenie s Jednotnou metodikou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Do výpočtu subjektov v § 7, ktoré majú prístup k údajom v registri navrhujeme doplniť aj súdy na účely konania pred súdom.</w:t>
              <w:br/>
            </w:r>
            <w:r>
              <w:rPr>
                <w:b w:val="off"/>
                <w:color w:val="000000"/>
                <w:rFonts w:ascii="Times New Roman" w:hAnsi="Times New Roman" w:cs="Times New Roman" w:eastAsia="Times New Roman"/>
                <w:sz w:val="24"/>
              </w:rPr>
              <w:t>Poznámka pod čiarou k príslušnému odkazu znie: „Napríklad Trestný poriadok, Civilný sporový poriadok, Správny súdny poriadok.“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d)</w:t>
              <w:br/>
            </w:r>
            <w:r>
              <w:rPr>
                <w:b w:val="off"/>
                <w:color w:val="000000"/>
                <w:rFonts w:ascii="Times New Roman" w:hAnsi="Times New Roman" w:cs="Times New Roman" w:eastAsia="Times New Roman"/>
                <w:sz w:val="24"/>
              </w:rPr>
              <w:t xml:space="preserve">Vo vlastnom materiáli čl. I § 2 písm. d) odporúčame slová „Európskej Komisii“ nahradiť slovami „Európskej komisii“.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c)</w:t>
              <w:br/>
            </w:r>
            <w:r>
              <w:rPr>
                <w:b w:val="off"/>
                <w:color w:val="000000"/>
                <w:rFonts w:ascii="Times New Roman" w:hAnsi="Times New Roman" w:cs="Times New Roman" w:eastAsia="Times New Roman"/>
                <w:sz w:val="24"/>
              </w:rPr>
              <w:t xml:space="preserve">Vo vlastnom materiáli čl. I § 4 ods. 1 písm. c) odporúčame slovo „podlažia“ nahradiť slovom „podlažie“.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4 ods. 1 písm. c) slovo „podlažia“ bude nahradené slovom „poschodie“ na základe odporúčania Úradu geodézie, kartografie a katastra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 xml:space="preserve">Odporúčame bod 3 písm. a) a b) upraviť podľa prílohy č. 2 k Legislatívnym </w:t>
              <w:br/>
            </w:r>
            <w:r>
              <w:rPr>
                <w:b w:val="off"/>
                <w:color w:val="000000"/>
                <w:rFonts w:ascii="Times New Roman" w:hAnsi="Times New Roman" w:cs="Times New Roman" w:eastAsia="Times New Roman"/>
                <w:sz w:val="24"/>
              </w:rPr>
              <w:t>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upraviť legislatívno-technicky, a to nasledovne:</w:t>
              <w:br/>
            </w:r>
            <w:r>
              <w:rPr>
                <w:b w:val="off"/>
                <w:color w:val="000000"/>
                <w:rFonts w:ascii="Times New Roman" w:hAnsi="Times New Roman" w:cs="Times New Roman" w:eastAsia="Times New Roman"/>
                <w:sz w:val="24"/>
              </w:rPr>
              <w:t>- v § 2 písm. d) slovo "Komisii" nahradiť slovom "komisii",</w:t>
              <w:br/>
            </w:r>
            <w:r>
              <w:rPr>
                <w:b w:val="off"/>
                <w:color w:val="000000"/>
                <w:rFonts w:ascii="Times New Roman" w:hAnsi="Times New Roman" w:cs="Times New Roman" w:eastAsia="Times New Roman"/>
                <w:sz w:val="24"/>
              </w:rPr>
              <w:t>- v § 2 písm. e) sa používajú dva pojmy, a to "online platforma pre krátkodobé prenájmy" a "malá online platforma pre krátkodobé prenájmy", pričom ide o pojem, ktorý nie je zadefinovaný v rámci základných ustanovení (vzhľadom na čo sa ani neupravuje časť "základné ustanovenia" z povahy veci), a zároveň sa na tento pojem ani neodkazuje na príslušné nariadenie, ktoré tento pojem používa; vzhľadom na uvedené odporúčame vymedziť pojem alebo uviesť zdroj, na ktorý možno odkázať,</w:t>
              <w:br/>
            </w:r>
            <w:r>
              <w:rPr>
                <w:b w:val="off"/>
                <w:color w:val="000000"/>
                <w:rFonts w:ascii="Times New Roman" w:hAnsi="Times New Roman" w:cs="Times New Roman" w:eastAsia="Times New Roman"/>
                <w:sz w:val="24"/>
              </w:rPr>
              <w:t>- v § 3 ods. 2 nahradiť slovo "funkcie" slovo "funkciu", vzhľadom na to, že z kontextu vyplýva, že ide o plnenie jednej funkcie (je vhodné použiť jednotné číslo),</w:t>
              <w:br/>
            </w:r>
            <w:r>
              <w:rPr>
                <w:b w:val="off"/>
                <w:color w:val="000000"/>
                <w:rFonts w:ascii="Times New Roman" w:hAnsi="Times New Roman" w:cs="Times New Roman" w:eastAsia="Times New Roman"/>
                <w:sz w:val="24"/>
              </w:rPr>
              <w:t>- v § 4 ods. 1 písm. e) vložiť za slová "časť alebo" slovo "ako",</w:t>
              <w:br/>
            </w:r>
            <w:r>
              <w:rPr>
                <w:b w:val="off"/>
                <w:color w:val="000000"/>
                <w:rFonts w:ascii="Times New Roman" w:hAnsi="Times New Roman" w:cs="Times New Roman" w:eastAsia="Times New Roman"/>
                <w:sz w:val="24"/>
              </w:rPr>
              <w:t>- v § 4 ods. 3 vložiť za slovo "ho" predložku "k", keďže k slovesu "priradiť" sa viaže predložka k (niečomu),</w:t>
              <w:br/>
            </w:r>
            <w:r>
              <w:rPr>
                <w:b w:val="off"/>
                <w:color w:val="000000"/>
                <w:rFonts w:ascii="Times New Roman" w:hAnsi="Times New Roman" w:cs="Times New Roman" w:eastAsia="Times New Roman"/>
                <w:sz w:val="24"/>
              </w:rPr>
              <w:t>- v § 4 ods. 4 slovo "vymazania" nahradiť slovom "výmazu",</w:t>
              <w:br/>
            </w:r>
            <w:r>
              <w:rPr>
                <w:b w:val="off"/>
                <w:color w:val="000000"/>
                <w:rFonts w:ascii="Times New Roman" w:hAnsi="Times New Roman" w:cs="Times New Roman" w:eastAsia="Times New Roman"/>
                <w:sz w:val="24"/>
              </w:rPr>
              <w:t>- v § 5 ods. 4 písm. b) na konci vypustiť slová "ak ide o fyzickú osobu," vzhľadom na to, že existuje možnosť, aby za právnickú osobu vykonala uvedené fyzická osoba (za právnickú osobu napr. vykoná zápis údajov do registra fyzická osoba, ktorá je štatutárnym orgánom právnickej osoby), pričom nie je dôvod, aby sa na právnickú osobu ako hostiteľa vzťahovalo obmedzenie vo vzťahu k spôsobu výkonu uvedenej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Pripomienky akceptované, s tým, že vo vzťahu k pripomienke k zavedeniu legislatívnej skratky pre online platformy predkladateľ návrhu zákona uvádza, že v zmysle vyhodnotenia pripomienok iných subjektov bola vykonaná úprava v § 1 písm. e) vo vzťahu k online platformám, resp. poskytovateľom online platforiem, a to tak  že je upravený odkaz na nariadenie Európskeho parlamentu a Rady (EÚ) 2024/1028 na definíciu online platformy pre krátkodobé prenájmy ako aj pre malú online platformu pre krátkodobé prenájmy. Slovo „poskytovateľ“ pred týmito spojeniami bude z dôvodu precizovania textu a jednoznačnosti v nadväznosti na tieto  pojmy vypustené. </w:t>
              <w:br/>
            </w:r>
            <w:r>
              <w:rPr>
                <w:b w:val="off"/>
                <w:color w:val="000000"/>
                <w:rFonts w:ascii="Times New Roman" w:hAnsi="Times New Roman" w:cs="Times New Roman" w:eastAsia="Times New Roman"/>
                <w:sz w:val="24"/>
              </w:rPr>
              <w:t xml:space="preserve">sa vzťahujú  iné povinnosti a uvedené pojmy sa nepoužívajú len v tomto spojení.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a § 8 ods. 4</w:t>
              <w:br/>
            </w:r>
            <w:r>
              <w:rPr>
                <w:b w:val="off"/>
                <w:color w:val="000000"/>
                <w:rFonts w:ascii="Times New Roman" w:hAnsi="Times New Roman" w:cs="Times New Roman" w:eastAsia="Times New Roman"/>
                <w:sz w:val="24"/>
              </w:rPr>
              <w:t>Žiadame Národnú banku Slovenska doplniť k subjektom, ktorým sa diaľkovo umožní prístup v plnom rozsahu k údajom o hostiteľoch, údajom o jednotkách a ku zmenám týchto údajov zapísaným v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Hlavným cieľom NBS je podľa § 2 ods. 1 zákona o NBS udržiavanie cenovej stability, pričom sa NBS podieľa na spoločnej menovej politike, ktorú určuje Európska centrálna banka pre eurozónu. NBS na účel zabezpečovania svojho hlavného cieľa vykonáva aj pôsobnosť, činnosti, úlohy, práva a povinnosti vyplývajúce z účasti a cieľov NBS v Európskom systéme centrálnych bánk. Ďalšou z úloh NBS je podľa § 2 ods. 3 zákona o NBS prispievať k stabilite finančného systému ako celku, ako aj k bezpečnému a zdravému fungovaniu finančného trhu v záujme udržiavania dôveryhodnosti finančného trhu, ochrany finančných spotrebiteľov a iných klientov na finančnom trhu. Zároveň je NBS povinná podľa § 1 ods. 3 písm. b) zákona č. 747/2004 Z. z. o dohľade nad finančným trhom a o zmene a doplnení niektorých zákonov v znení neskorších predpisov identifikovať, sledovať a posudzovať riziká, ktoré hrozia finančnej stabilite, a prostredníctvom predchádzania týmto rizikám a ich zmierňovania prispievať k posilňovaniu odolnosti finančného systému a obmedzovaniu nárastu systémových rizík v záujme ochrany stability finančného systému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Sledovanie realitného trhu je dôležité pre posúdenie celkových trendov a rizík pre finančnú stabilitu. Dôvodom je najmä skutočnosť, že významná časť transakcií prebiehajúcich na trhu s nehnuteľnosťami je financovaná prostredníctvom úveru, pričom hypotekárny trh tvorí približne 40 % bilančnej sumy slovenského bankového sektora. Národná banka Slovenska, v rámci svojho mandátu v oblasti finančnej stability, nastavuje pravidlá pri poskytovaní úverov komerčnými bankami (vrátane úverov na bývanie) ako aj kapitálových vankúšov pre komerčné banky. Tieto rozhodnutia vychádzajú z komplexných analýz trendov a rizík v slovenskom finančnom sektore, kde trh bývania zastáva prominentnú pozíciu. Údaje o službách krátkodobého prenájmu ubytovania sú nevyhnutné pre komplexnú analýzu trendov a rizík na trhu bývania ako aj včasnú identifikáciu systémových rizík, vrátane vzniku možných nerovnováh na trhu s bývaním. Takto spracované informácie následne vstupujú do pravidelných rozhodnutí NBS v oblasti finančnej stability. Z pohľadu výkonu mandátu NBS v oblasti finančnej stability sú tak údaje z oblasti služieb krátkodobého prenájmu ubytovania prostredníctvom online platforiem nenahraditeľným zdrojom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NBS mohla ako orgán verejnej moci zodpovedne napĺňať svoj mandát a súvisiace činnosti a úlohy vyplývajúce z osobitných predpisov, jej rozhodnutia musia byť založené na informovanom rozhodovaní vychádzajúcom zo spoľahlivých a podrobných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5. marca 2026. Pripomienka bola akceptovaná. Súčasne bolo na rozporovom konaní dohodnuté, že zo strany NBS bude doplnený účel na ktorý sa budú požadované údaje poskytovať. Znenie  upravené v zmysle dohody.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 7 sa dopĺňa písmenom i), ktoré znie:</w:t>
              <w:br/>
            </w:r>
            <w:r>
              <w:rPr>
                <w:b w:val="off"/>
                <w:color w:val="000000"/>
                <w:rFonts w:ascii="Times New Roman" w:hAnsi="Times New Roman" w:cs="Times New Roman" w:eastAsia="Times New Roman"/>
                <w:sz w:val="24"/>
              </w:rPr>
              <w:t>„i) Národnému bezpečnostnému úradu na účel vykonania bezpečnostnej previerky podľa osobitného predpisu.x)</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bezpečnostný úrad vykonáva bezpečnostné previerky fyzických osôb a podnikateľov v rámci ktorých zisťuje, či subjekty spĺňajú predpoklady na vznik oprávnenia na oboznamovanie sa s utajovanými skutočnosťami, ako aj podmienky priemyselnej bezpečnosti. Základom pri vykonávaní bezpečnostných previerok sú aj informácie o bezpečnostnej spoľahlivosti subjektov získané od štátnych orgánov, či právnických osôb, ktoré sú povinné žiadosti Národného bezpečnostného úradu vyhovieť. V rámci bezpečnostného rizika podľa § 14 ods. 2 zákona č. 215/2004 Z. z. o ochrane utajovaných skutočností a o zmene a doplnení niektorých zákonov v znení neskorších predpisov sa okrem iného preveruje aj finančná situácia fyzickej osoby, majetkové pomery, či činnosť proti záujmom Slovenskej republiky v oblasti ekonomických záujmov štátu. Doplnenie Národného bezpečnostného úradu medzi oprávnené subjekty na prístup k údajom o hostiteľoch a údajom o jednotkách z registra žiadame z dôvodu efektívneho výkonu štátnej správy v oblasti ochrany utajovaných skutočností.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V § 1 odporúčame doplniť, že sa tento zákon nevzťahuje na krátkodobý nájom bytu podľa osobitného predpisu.x)</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č. 98/2014 Z. z. o krátkodobom nájme bytu v znení zákona č. 125/2016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Vychádzajúc z predloženého znenia návrhu, ako aj z ustanovení nariadenia Európskeho parlamentu a Rady (EÚ) č. 2024/1038 o zbere a poskytovaní údajov týkajúcich sa služieb krátkodobého prenájmu ubytovania a o zmene nariadenia (EÚ) 2018/1724 je zrejmé, že predmetným návrhom nie sú dotknuté právne vzťahy súvisiace s krátkodobým nájmom bytu podľa zákona č. 98/2014 Z. z. o krátkodobom nájme bytu v znení zákona č. 125/2016 Z. z. Z dôvodu právnej istoty odporúčame § 1 upraviť, resp. doplniť spôsobom negatívneho vymedzenia rozsahu pôsobnosti.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neakceptuje navrhované doplnenie § 1, keďže čl. 3  nariadenia (EÚ) 2024/1028 prvom bode  vymedzuje, na ktoré ubytovacie zariadenia sa táto právna úprava nevzťahuje.  Uvedené bude doplnené do osobitnej časti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II</w:t>
              <w:br/>
            </w:r>
            <w:r>
              <w:rPr>
                <w:b w:val="off"/>
                <w:color w:val="000000"/>
                <w:rFonts w:ascii="Times New Roman" w:hAnsi="Times New Roman" w:cs="Times New Roman" w:eastAsia="Times New Roman"/>
                <w:sz w:val="24"/>
              </w:rPr>
              <w:t>V čl. I § 2 písm. d) sa slovo „Komisii“ nahrádza slovom „komisii“, v čl. I § 3 ods. 2 sa slová „Informačný systém registra“ nahrádzajú slovom „Register“, v čl. I § 4 ods. 1 citácia v poznámke pod čiarou k odkazu 12 znie: „12) § 3 ods. 2 zákona č. 25/2025 Z. z. Stavebný zákon a o zmene a doplnení niektorých zákonov (Stavebný zákon).“, v čl. I § 7 odporúčame citácie právnych predpisov v poznámke pod čiarou k odkazu 22 upraviť v súlade s bodom 23.6 prílohy č. 1 Legislatívnych pravidiel vlády Slovenskej republiky, v čl. I § 7 v poznámke pod čiarou k odkazu 23 sa slová „zákona č. 455/1911 Zb.“ nahrádzajú slovami „zákona č. 455/1991 Zb.“, v čl. I § 10 v poznámke pod čiarou k odkazu 27 odporúčame uviesť skrátenú citáciu, keďže citácia zákona o priestupkoch sa už nachádza v poznámke pod čiarou k odkazu 22.,v čl. II úvodnej vete sa slová „189/2025 Z. z. a zákona č. 256/2025 Z. z.“ nahrádzajú slovami „189/2025 Z. z., zákona č. 256/2025 Z. z.“ a v čl. II štvrtom bode sa slová „(Ú. v. EÚ L, 29. 4. 2024)“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pripomienky v súlade s prílohou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Žiadame v návrhu zákona zadefinovať pojem ,,krátkodobý prenájom“. V zmysle recitálu 6 nariadenia (EÚ) 2024/1028 by mal krátkodobý prenájom predstavovať horizont menej ako rok. Podľa zákona č. 98/2014 Z. z. o krátkodobom nájme bytu v znení neskorších predpisov je krátkodobým nájmom doba určitá, trvajúca najdlhšie dva roky, preto je pre účely navrhovaného zákona potrebné krátkodobý prenájom zadefinovať priamo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V poznámkach pod čiarou k odkazom 1, 2, 3, 11, 13 a 15 žiadame slovo ,,ods.“ nahradiť slovom ,,bod“, keďže čl. 3 nariadenia (EÚ) 2024/1028 sa člení na body a nie na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1 písm. e): V poznámke pod čiarou k odkazu 1 žiadame publikačný zdroj nariadenia (EÚ) 2024/1028 v zmysle bodu 62.10. Prílohy č. 1 k Legislatívnym pravidlám vlády SR citovať nasledovne: ,,(Ú. v. EÚ L, 2024/1028, 29.4.2024)“.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3 ods. 2: V poznámke pod čiarou k odkazu 10 žiadame odkazovať len na čl. 10 a čl. 13 ods. 1 nariadenia (EÚ) 2024/1028. Na čl. 7 ods. 1 písm. c) a čl. 9 nie je potrebné odkazovať, vzhľadom k tomu že na tieto články odkazujú čl. 10 a čl. 13 nariadenia (EÚ) 2024/1028.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4: Z § 4 ods. 1 návrhu zákona žiadame vypustiť písm. f) a písm. h). V čl. 5 nariadenia (EÚ) 2024/1028 sa vymedzuje, ktoré údaje je hostiteľ povinný poskytnúť pre účely zriadeného registra. Máme za to, že ide o taxatívny výpočet údajov, ktoré sú požadované od hostiteľa a pri implementácii daného ustanovenia by predkladateľ nemal požadovať ďalšie údaje.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návrhu zákona  súhlasí s  vypustením ustanovenia § 4 písm. f), keďže ide o duplicitu vo vzťahu k § 4 písm. e) návrhu zákona. Predkladateľ nesúhlasí s vypustením písmena h) z dôvodu, že uvedenú úpravu požadovalo v procese prípravy návrhu zákona Ministerstvo financií SR na daňové účely.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 4: Žiadame vysvetliť, či v podmienkach v SR je aplikovateľný čl. 5 nariadenia (EÚ) 2024/1028. V prípade, že existuje systém udeľovania povolení, žiadame dané ustanovenie implementovať.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k predmetnej pripomienke uvádza, že v podmienkach Slovenskej republiky sa čl. 5 nariadenia (EÚ) 2024/1028 neaplikuje, nakoľko neexistuje právny základ, ktorý by upravoval inštitút krátkodobého prenájmu ubytovania.  Vzhľadom na uvedené predkladateľ návrhu zákona nepristúpil k implementácii daného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 4 ods. 2:  Žiadame z § 4 ods. 2 vypustiť z písm. a), b) a c) údaj ,,daňové identifikačné číslo“. V čl. 5 nariadenia (EÚ) 2024/1028 sa vymedzuje, ktoré údaje je hostiteľ povinný poskytnúť pre účely zriadenia registra. Máme za to, že ide o taxatívny výpočet údajov, ktoré sú požadované od hostiteľa a pri implementácii daného ustanovenia by predkladateľ nemal požadovať ďalšie údaje.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nesúhlasí s vypustením daňového identifikačného čísla ako údaja povinného pri zápise jednotky. Cieľom navrhovanej právnej úpravy je stransparentniť  a zrovnoprávniť všetky podmienky a všetky subjekty pri poskytovaní služieb krátkodobého prenájmu ubytovania, medzi ktoré patrí aj plnenie daňových povinností. Daňové identifikačné číslo, ktoré slúži na identifikáciu osoby voči daňovému úradu. Používajú ho fyzické osoby aj právnické osoby, ktoré majú nejakú daňovú povinnosť (napr.  aj prenájom nehnuteľnosti).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 5 ods. 4: Žiadame prepracovať navrhovaný § 5 ods. 4 návrhu zákona. V zmysle čl. 4 ods. 6 nariadenia (EÚ) 2024/1028  má byť umožnené vykonať zápis do registra v digitálnom formáte pre všetkých hostiteľov, to jest aj pre fyzické osoby. Z navrhovaného znenia § 5 ods. 4 nie je jasné, či je pre fyzické osoby možné postupovať aj podľa písm. a) alebo len podľa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 6 ods. 11: Upozorňujeme predkladateľa, že v navrhovanom ustanovení § 6 ods. 11 je potrebné odkazovať na rozhodnutia podľa ods. 4 a 7, pretože ods. 10 neupravuje kompetenciu ministerstva cestovného ruchu vydávať rozhodnutia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bude precizované tak, aby z neho jednoznačne vyplývalo o aké rozhodnutia ide, a to o rozhodnutie o uložení povinnosti podľa odseku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 14 a čl. III: Upozorňujeme predkladateľa, že nariadenie (EÚ) 2024/1028 sa uplatňuje od 20. mája 2026. Účelom navrhovaného zákona je implementovať dané nariadenie a preto navrhovanou účinnosťou 1. január 2027 nebude splnená implementačná lehota.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Vzaté na vedomie. Ide však o pripomienku, ktorá nespĺňa požiadavky na pripomienky podľa čl. 14 ods. 1 Legislatívnych pravidiel vlády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II bod 1: V poznámke pod čiarou k odkazu 65e žiadame publikačný zdroj nariadenia (EÚ) 2024/1028 v zmysle bodu 62.10. Prílohy č. 1 k Legislatívnym pravidlám vlády SR citovať nasledovne: ,,(Ú. v. EÚ L, 2024/1028, 29.4.2024)“.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II bod 4: V § 145b žiadame publikačný zdroj nariadenia (EÚ) 2024/1028 v zmysle bodu 62.10. Prílohy č. 1 k Legislatívnym pravidlám vlády SR citovať nasledovne: ,,(Ú. v. EÚ L, 2024/1028, 29.4.2024)“.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Žiadame upraviť text v bode 3 písm. a) a v písm. b) doložky zlučiteľnosti tak, aby do seba nezasahovali.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publikačný zdroj nariadenia (EÚ) 2024/1028 v zmysle bodu 62.10. Prílohy č. 1 k Legislatívnym pravidlám vlády SR citovať nasledovne: ,,(Ú. v. EÚ L, 2024/1028, 29.4.2024)“.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a v bode 4 písm. c) doložky zlučiteľnosti žiadame smernicu (EÚ) 2015/2302 v platnom znení v zmysle bodu 62.11. Prílohy č. 1 k Legislatívnym pravidlám vlády SR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publikačný zdroj nariadenia (EÚ) 2024/1028 v zmysle bodu 62.10. Prílohy č. 1 k Legislatívnym pravidlám vlády SR citovať nasledovne: ,,(Ú. v. EÚ L, 2024/1028, 29.4.2024)“.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Žiadame v predkladacej správe k návrhu zákona v zmysle čl. 19 ods. 1 písm. c) Legislatívnych pravidiel vlády SR odôvodniť skrátenú formu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do návrhu zákona výslovné negatívne vymedzenie jeho pôsobnosti tak, aby bolo jasne ustanovené, že hotely, rekreačné hotely, apartmánové a bytové hotely, hostely, motely a kempingy podľa klasifikácie NACE Rev. 2 nespadajú pod pojem ‚jednotka‘ podľa nariadenia (EÚ) 2024/1028 a nepodliehajú povinnosti registrácie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preberá definície odkazom na nariadenie, ale neobsahuje žiadne vnútroštátne upresnenie rozsahu pojmu ‚jednotka‘. Nariadenie v recitáli 7 a v článku 3 ods. 1 výslovne vylučuje profesionálne ubytovacie zariadenia z definície jednotky a z registračných povinností. Keďže ide o zásadnú hranicu vecnej pôsobnosti právnej úpravy, považujeme za potrebné, aby bolo toto vylúčenie explicitne premietnuté priamo do znenia zákona. Zabezpečí sa tým jednoznačný výklad, právna istota dotknutých subjektov a správna implementácia nariadenia.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Po prerokovaní pripomienky  predkladateľ pripomienky netrvá na zásadnej pripomienke a túto preklasifikoval na obyčajnú. Na základe uvedeného možno konštatovať, že rozpor bol odstránený.</w:t>
              <w:br/>
            </w:r>
            <w:r>
              <w:rPr>
                <w:b w:val="off"/>
                <w:color w:val="000000"/>
                <w:rFonts w:ascii="Times New Roman" w:hAnsi="Times New Roman" w:cs="Times New Roman" w:eastAsia="Times New Roman"/>
                <w:sz w:val="24"/>
              </w:rPr>
              <w:t xml:space="preserve">Po vzájomnej dohode  bude vymedzenie subjektov, na ktoré sa nevzťahuje tento zákon upravené len v dôvodovej správe, a to podľa nariadenia (EÚ) 2024/1028.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 b)</w:t>
              <w:br/>
            </w:r>
            <w:r>
              <w:rPr>
                <w:b w:val="off"/>
                <w:color w:val="000000"/>
                <w:rFonts w:ascii="Times New Roman" w:hAnsi="Times New Roman" w:cs="Times New Roman" w:eastAsia="Times New Roman"/>
                <w:sz w:val="24"/>
              </w:rPr>
              <w:t>Žiadame, aby návrh zákona výslovne vymedzil, že do registra sa zapisujú základné identifikačné údaje o jednotke a že údaje z katastra nehnuteľností (napr. číslo listu vlastníctva, parcelné číslo či katastrálne územie) sa pri zápise vyžadujú len v odôvodnených prípadoch, keď samotné adresné údaje objektívne nepostačujú na jednoznačnú identifikáciu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5 a recitál 11 nariadenia umožňujú členským štátom požadovať doplňujúce katastrálne údaje o nehnuteľnosti len vtedy, ak sú skutočne nevyhnutné na jej jednoznačné určenie. Nariadenie neukladá povinnosť zapisovať údaje ako parcelné číslo, číslo listu vlastníctva či katastrálne územie plošne pri každej jednotke. Navrhujeme preto, aby zákon jasne ustanovil, že tieto údaje sa budú vyžadovať len v odôvodnených prípadoch, keď bežné adresné údaje objektívne nepostačujú na identifikáciu jednotky. Takéto precizovanie odstráni neodôvodnené administratívne zaťaženie, zabráni gold-platingu a zachová súlad so zásadou minimalizácie údajov, pričom zároveň umožní presné priradenie registračného čísla k jednotke.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Predkladateľ pripomienky netrvá na zásadnej pripomienke a túto preklasifikoval na obyčajnú, čím možno konštatovať, že rozpor bol odstránený.</w:t>
              <w:br/>
            </w:r>
            <w:r>
              <w:rPr>
                <w:b w:val="off"/>
                <w:color w:val="000000"/>
                <w:rFonts w:ascii="Times New Roman" w:hAnsi="Times New Roman" w:cs="Times New Roman" w:eastAsia="Times New Roman"/>
                <w:sz w:val="24"/>
              </w:rPr>
              <w:t>Predkladateľ zároveň vysvetlil, že celý systém má byť nastavený ako automatizovaný, pričom povinné osoby nebudú musieť predkladať rozsiahlu dokumentáciu a potrebné údaje budú prepojené a čerpané z existujúcich registrov.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a 11</w:t>
              <w:br/>
            </w:r>
            <w:r>
              <w:rPr>
                <w:b w:val="off"/>
                <w:color w:val="000000"/>
                <w:rFonts w:ascii="Times New Roman" w:hAnsi="Times New Roman" w:cs="Times New Roman" w:eastAsia="Times New Roman"/>
                <w:sz w:val="24"/>
              </w:rPr>
              <w:t>Žiadame znížiť výšku pokút za priestupky a iné správne delikty a to tak ako je uvedené v odôvodnení tejto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Porušenie povinností podľa § 10 a 11 majú prevažne administratívno – evidenčný charakter (zápis, aktualizácia, výmaz). Máme za ta, že navrhované pokuty sú v porovnaní s povahou konania privysoké. Navrhujeme zníženie sankčných hraníc – pre fyzické osoby do 500 eur, fyzické osoby podnikateľov a právnické osoby do 3 000 eur podľa § 11 odsek 3 písmena a) návrhu a do 10 000 eur podľa písmena 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prerokovaná 6. marca 2026. Pripomienka čiastočne akceptovaná, s tým že  posúdenie určenia výšky hornej hranice pokuty bolo ponechané na predkladateľovi zákona, tak aby bola docielená podstata tejto pripomienky. Po vzájomnej dohode bude horná hranica výšky pokuty upravená len vo vzťahu k hostiteľom a výška pokút pre online platformy zostáva po dohode zachovaná. Na základe uvedeného predkladateľ upravil v § 10 hornú hranicu pokuty z 1500 eur na 1000 eur a v § 11 ods. 3 písm. a) z 5 000 eur na 3000 eur, čím má predkladateľ zákona zato, že novou právnou úpravou bolo docielené splnenie podstaty pripomienky vo vzťahu k subjektom podľa § 10 a § 11 ods. 3 písm. a). Predkladateľ súčasne pristúpil k zníženiu dolnej hranice pokuty u subjektov podľa § 11 ods. 3 písm. a) z 2000 eur na 1000 eur.</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Žiadame doplniť do § 13 povinnosť Ministerstva cestovného ruchu a športu SR vydať vykonávací všeobecne záväzný právny predpis v dostatočnom časovom predstihu, tak aby bol zabezpečený plne funkčný register aj jednotné digitálne kontaktné miesto.	Navrhovaný zákon nadobúda účinnosť 1. januára 2027 a už od februára 2027 ukladá povinným osobám konkrétne registračné povinnosti. Máme za to, že je nevyhnutné, aby mali všetky dotknuté subjekty – hostitelia, online platformy aj orgány verejnej správy – k dispozícii vykonávací predpis s presnými technickými a procesnými požiadavkami v dostatočnom časovom predstihu, aby sa mohli pripraviť na riadne plnenie zákonných povinností. Včasné vydanie vykonávacieho predpisu je preto kľúčové pre zabezpečenie právnej istoty, plynulého nábehu systému a predídenie problémom pri začatí jeho uplatňovania.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Na základe prerokovania pripomienky  predkladateľ pripomienky netrvá na zásadnej pripomienke a túto preklasifikoval na obyčajnú. Rozpor bol na základe vzájomnej dohody odstránený.</w:t>
              <w:br/>
            </w:r>
            <w:r>
              <w:rPr>
                <w:b w:val="off"/>
                <w:color w:val="000000"/>
                <w:rFonts w:ascii="Times New Roman" w:hAnsi="Times New Roman" w:cs="Times New Roman" w:eastAsia="Times New Roman"/>
                <w:sz w:val="24"/>
              </w:rPr>
              <w:t xml:space="preserve">V rámci diskusie bolo zo strany predkladateľa návrhu zákona vysvetlené, že pripravovaný legislatívny proces je nastavený tak, aby poskytol dostatočnú legisvakačnú dobu na oboznámenie sa s novou právnou úpravou a jej implementáciu v praxi. Predkladateľ návrhu zákona uviedol, že zber údajov o krátkodobých prenájmoch  bude vysvetlený aj v metodickej príručke a súčasne, že vykonávací  právny predpis nadobudne účinnosť súčasne s predkladaným  zákonom v súlade so splnomocňovacím ustanovením § 13.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7 návrhu zákona</w:t>
              <w:br/>
            </w:r>
            <w:r>
              <w:rPr>
                <w:b w:val="off"/>
                <w:color w:val="000000"/>
                <w:rFonts w:ascii="Times New Roman" w:hAnsi="Times New Roman" w:cs="Times New Roman" w:eastAsia="Times New Roman"/>
                <w:sz w:val="24"/>
              </w:rPr>
              <w:t>V § 7 sa za písmeno e) vkladá nové písmeno 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spravodajským službám v plnom rozsahu údajov registra na účely podľa osobitných predpisov,23)“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23 znie: </w:t>
              <w:br/>
            </w:r>
            <w:r>
              <w:rPr>
                <w:b w:val="off"/>
                <w:color w:val="000000"/>
                <w:rFonts w:ascii="Times New Roman" w:hAnsi="Times New Roman" w:cs="Times New Roman" w:eastAsia="Times New Roman"/>
                <w:sz w:val="24"/>
              </w:rPr>
              <w:t xml:space="preserve">„23) Zákon Národnej rady Slovenskej republiky č. 46/1993 Z. z. o Slovenskej informačnej službe v znení neskorších predpisov. </w:t>
              <w:br/>
            </w:r>
            <w:r>
              <w:rPr>
                <w:b w:val="off"/>
                <w:color w:val="000000"/>
                <w:rFonts w:ascii="Times New Roman" w:hAnsi="Times New Roman" w:cs="Times New Roman" w:eastAsia="Times New Roman"/>
                <w:sz w:val="24"/>
              </w:rPr>
              <w:t>Zákon č. 500/2022 Z. z. o Vojenskom spravodajstve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f) až h) sa označujú ako písmená g) až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23 až 28 sa označujú ako poznámky pod čiarou 24 až 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7 taxatívne vymedzuje okruh subjektov, ktoré v rámci výkonu svojej vecnej pôsobnosti budú môcť pristupovať k údajom registra jednotiek pre poskytovanie služieb krátkodobého prenájmu ubytovania (ďalej len „register“), ktorý má byť zriadený predloženým návrhom zákona (§ 3). Vecná pôsobnosť Slovenskej informačnej služby ako všeobecnej spravodajskej a bezpečnostnej služby a z nej vyplývajúce úlohy sú ustanovené zákonom Národnej rady Slovenskej republiky č. 46/1993 Z. z. o Slovenskej informačnej službe v znení neskorších predpisov. Medzi tieto úlohy podľa § 2 ods. 1 cit. zákona okrem iného patrí aj získavanie, sústreďovanie a vyhodnocovanie informácií o činnosti ohrozujúcej ústavné zriadenie, územnú celistvosť a zvrchovanosť Slovenskej republiky, činnosti smerujúcej proti bezpečnosti Slovenskej republiky, aktivitách cudzích spravodajských služieb, organizovanej trestnej činnosti, terorizme, vrátane informácií o účasti na terorizme, jeho financovaní alebo podporovaní, nelegálnej medzinárodnej preprave osôb a migrácii osôb, ale aj o skutočnostiach spôsobilých vážne ohroziť alebo poškodiť hospodárske záujmy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praktického výkonu kontrarozviednej ochrany štátu Slovenská informačná služba upozorňuje, že krátkodobé ubytovania môžu byť využívané napríklad na konšpiračné stretnutia, logistické zabezpečenie pri realizácii malígnych aktivít cudzích aktérov, či ako prechodné úkryty. Bez možnosti prístupu Slovenskej informačnej služby do registra by mohlo dôjsť k vzniku bezpečnostno-právneho vákua, keďže tento segment ubytovania často nepodlieha rovnakému režimu kontroly ako hotelové ubytovacie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24 zákona č. 253/1998 Z. z. o hlásení pobytu občanov Slovenskej republiky a registri obyvateľov Slovenskej republiky v znení neskorších predpisov fyzické osoby a právnické osoby, ktoré poskytujú služby na základe zmluvy o ubytovaní, sú povinné viesť knihu ubytovaných. V zmysle uvedeného ustanovenia sú tieto osoby povinné poskytnúť štátnym orgánom, ktoré v rozsahu ustanovenom osobitnými predpismi plnia úlohy na úseku ochrany ústavného zriadenia, vnútorného poriadku a bezpečnosti štátu alebo obrany štátu, údaje z knihy ubytovaných. Medzi tieto oprávnené subjekty patrí aj Slovenská informačná služba.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argumentum a simili je potrebné konštatovať, že v prípade, ak spravodajské služby pri výkone ich zákonom ustanovených úloh majú prístup k údajom osôb v knihe ubytovaných, mali by disponovať oprávnením na prístup do obdobného registra poskytovateľov služieb krátkodobého ubytovania. Na základe prístupu k týmto informáciám bude Slovenská informačná služba disponovať identifikačnými údajmi hostiteľa, na základe čoho bude následne možné získať informácie týkajúce sa objektov spravodajského záujmu Slovenskej informačnej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komplexnosť ďalej uvádzame, že v prípade, ak bude Slovenská informačná služba absentovať medzi subjektmi, ktorým bude umožnený diaľkový prístup k dotknutým údajom z registra, môže dochádzať k právnym prekážkam z hľadiska právneho výkladu oprávnenosti poskytovania takýchto údajov na základe osobitnej žiadosti Slovenskej informačnej služby pre potreby jej činnosti, a to aj napriek tomu, že v zmysle ust. § 15 ods. 2 cit. zákona č. 46/1993 Z. z. má Slovenská informačná služba zákonné právo na sprístupnenie a poskytnutie informácií a osobných údajov z informačných systémov orgánov verejnej moci a súčasne podľa § 15 ods. 3 cit. zákona sú jej štátne orgány povinné poskytnúť požadovanú pomoc, podklady a informácie.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8 ods. 2</w:t>
              <w:br/>
            </w:r>
            <w:r>
              <w:rPr>
                <w:b w:val="off"/>
                <w:color w:val="000000"/>
                <w:rFonts w:ascii="Times New Roman" w:hAnsi="Times New Roman" w:cs="Times New Roman" w:eastAsia="Times New Roman"/>
                <w:sz w:val="24"/>
              </w:rPr>
              <w:t>Navrhujeme precizovať účel spracúvania osobných údajov, tak aby zodpovedal účelu, ktorý je stanovený v nariadení 2024/1028.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súlade so zásadou obmedzenia účelu navrhujeme spracúvanie osobných údajov v registri definovať predvídateľnejším spôsobom tak ako je uvedené v nariadení 2024/1028.  S poukazom na recitál 25 a čl. 5 ods. 5 nariadenia  2024/1028 sa osobné údaje poskytnuté hostiteľom majú spracúvať len na účel vydania registračného čísla a monitorovanie/overovanie dodržiavania podmienok registrácie.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6. marca 2026.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8 ods. 4</w:t>
              <w:br/>
            </w:r>
            <w:r>
              <w:rPr>
                <w:b w:val="off"/>
                <w:color w:val="000000"/>
                <w:rFonts w:ascii="Times New Roman" w:hAnsi="Times New Roman" w:cs="Times New Roman" w:eastAsia="Times New Roman"/>
                <w:sz w:val="24"/>
              </w:rPr>
              <w:t>Navrhujeme doplniť ako podmienku sprístupnenia osobných údajov subjektom uvedeným v § 7 písm. b) až h) zaslanie odôvodnenej žiadosti, ktorá obsahuje rozsah alebo zoznam žiadaných osobných údajov, účel a právny základ spracúvania.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poukazom na recitál 31 nariadenia 2016/679 by žiadosti o poskytnutie osobných údajov orgány verejnej moci, ktoré vykonávajú úlohy vo verejnom záujme ako sú daňové a colné orgány  pod., mali zasielať vždy písomne, spolu so zdôvodnením, príležitostne a nemali by sa týkať celého informačného systému ani viesť ku prepojeniu informačných systémov. Doplnenie rozsahu alebo zoznamu osobných údajov do žiadosti subjektu podľa § 7 písm. b) až h) môže napomôcť k posúdeniu nevyhnutnosti a proporcionality žiadaných údajov tak pre Ministerstvo cestovného ruchu v rámci plnenia úlohy podľa § 8 ods. 4 návrhu zákona ako i ÚOOÚ SR v rámci dozornej činnosti, ktorú vykonáva podľa nariadenia 2016/679 a zákona č. 18/2018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6. marca 2026. Po prerokovaní pripomienky  predkladateľ pripomienky netrvá na zásadnej pripomienke a túto preklasifikoval na obyčajnú. Na základe uvedeného možno konštatovať, že rozpor bol odstránený. </w:t>
              <w:br/>
            </w:r>
            <w:r>
              <w:rPr>
                <w:b w:val="off"/>
                <w:color w:val="000000"/>
                <w:rFonts w:ascii="Times New Roman" w:hAnsi="Times New Roman" w:cs="Times New Roman" w:eastAsia="Times New Roman"/>
                <w:sz w:val="24"/>
              </w:rPr>
              <w:t xml:space="preserve">Po vzájomnej dohode  bude do dôvodovej správy doplnené, že komunikácia bude prebiehať elektronicky, čo bude upravené po technickej stránke v rámci prepojení API,  s tým že rozsah a účel poskytovaných údajov cez API podľa § 7 a 8 bude nastavený v spolupráci s Ministerstvom cestovného ruchu SR, ktoré je z pohľadu nariadenia 2016/679 prevádzkovateľom zodpovedným za informačný systém, z ktorého sa osobné údaje sprístupňujú. Rozsah sprístupňovaných osobných údajov a účel spracúvania cez API sa bude pravidelne prehodnocovať.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8 ods. 3</w:t>
              <w:br/>
            </w:r>
            <w:r>
              <w:rPr>
                <w:b w:val="off"/>
                <w:color w:val="000000"/>
                <w:rFonts w:ascii="Times New Roman" w:hAnsi="Times New Roman" w:cs="Times New Roman" w:eastAsia="Times New Roman"/>
                <w:sz w:val="24"/>
              </w:rPr>
              <w:t>Uloženú povinnosť podľa § 8 ods. 3 návrhu zákona považujeme za nadbytočnú. Plnenie informačnej povinnosti z pohľadu ochrany osobných údajov vrátane povinnosti informovania o právach dotknutých osôb vyplýva prevádzkovateľovi priamo z čl. 12 a 13 nariadenia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povinnosť označovať jednotky poskytované na krátkodobý prenájom registračným číslom umiestneným na viditeľnom mieste pri vstupe do objektu alebo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opatrenie je nevyhnutné na zabezpečenie efektívneho výkonu kontroly priamo v území zo strany príslušných orgánov, najmä obcí a miest.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5. marca 2026. Po prerokovaní pripomienky  predkladateľ pripomienky netrvá na zásadnej pripomienke a túto preklasifikoval na obyčajnú. Na základe uvedeného možno konštatovať, že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návrhu zákona uvádza, že ide o ďalšiu povinnosť pre hostiteľov, ktorá  presahuje rámec implementovaného  nariadenia  (EÚ) 2024/1028. Predkladateľ zákona informoval na rozporovom konaní o zámere prípravy novej právnej úpravy vo vzťahu ku  kategorizácii ubytovacích zariadení, v rámci ktorej bude snaha túto požiadavku explicitne zakotviť.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Navrhujeme ustanoviť povinnosť ministerstva bezodkladne informovať príslušného správcu dane (mesto alebo obec) o uložených pokutách a zistených správnych deliktoch, a to v rozsahu nevyhnutnom na účely riadneho vyrubenia dane z ubytovania.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zakotviť povinnosť ministerstva informovať správcu dane o výsledku vybavenia podaní a podnetov pochádzajúcich z jeho územia.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Rozporové konanie k uvedenej zásadnej pripomienke sa uskutočnilo 5. marca 2026. Po prerokovaní pripomienky  predkladateľ pripomienky netrvá na zásadnej pripomienke a túto preklasifikoval na obyčajnú. Na základe uvedeného možno konštatovať, že rozpor bol odstránený.  </w:t>
              <w:br/>
            </w:r>
            <w:r>
              <w:rPr>
                <w:b w:val="off"/>
                <w:color w:val="000000"/>
                <w:rFonts w:ascii="Times New Roman" w:hAnsi="Times New Roman" w:cs="Times New Roman" w:eastAsia="Times New Roman"/>
                <w:sz w:val="24"/>
              </w:rPr>
              <w:t xml:space="preserve">Predkladateľ na rozporovom konaní uviedol, že účelom návrhu zákona nie je  viesť správne konania vo vzťahu k osobitným predpisom. Navrhovaná právna úprava predpokladá porušenie povinností len vo vzťahu k registru, napr. v prípade ak hostiteľ pri zápise uvedenie neúplné a nesprávne údaje. To znamená, že ide o porušenie “administratívne” a nemá súvis s povinnosťou hostiteľa  podľa zákona č. 582/2004 Z. z. o miestnych daniach a miestnom poplatku za komunálne odpady a drobné stavebné odpady. Predkladateľ preto nevidí dôvod, prečo by mal obce a mestá informovať o správnom konaní vedenom voči hostiteľovi, ktorý porušil povinnosti uložené týmto zákonom.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Navrhujeme, aby bol výnos z pokút a správnych deliktov v plnom rozsahu vrátený do územia prostredníctvom dotačného alebo iného transparentného finančného mechanizmu, určeného na podporu a rozvoj cestovného ruchu na miestnej a regionálnej úrovni, a to priamo obciam a mestám.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5. marca 2026.</w:t>
              <w:br/>
            </w: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návrhu zákona uvádza, že aj v súčasnosti môžu obce a mestá  čerpať dotácie prostredníctvom finančného mechanizmu upraveného v zákone č. 91/2010 Z. z. o podpore cestovného ruchu a v zákone č. 303/2024 Z. z. o Fonde na podporu cestovného ruchu, ktorých výška výrazne prevyšuje predpokladanú výšku výnosu z pokút za priestupky a správne delikty vyplývajúce z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a 11</w:t>
              <w:br/>
            </w:r>
            <w:r>
              <w:rPr>
                <w:b w:val="off"/>
                <w:color w:val="000000"/>
                <w:rFonts w:ascii="Times New Roman" w:hAnsi="Times New Roman" w:cs="Times New Roman" w:eastAsia="Times New Roman"/>
                <w:sz w:val="24"/>
              </w:rPr>
              <w:t xml:space="preserve">Do § 10 ako nový odsek (4) a do § 11 ako nový odsek (10) </w:t>
              <w:br/>
            </w:r>
            <w:r>
              <w:rPr>
                <w:b w:val="off"/>
                <w:color w:val="000000"/>
                <w:rFonts w:ascii="Times New Roman" w:hAnsi="Times New Roman" w:cs="Times New Roman" w:eastAsia="Times New Roman"/>
                <w:sz w:val="24"/>
              </w:rPr>
              <w:t>Ministerstvo cestovného ruchu SR je povinné bezodkladne informovať príslušnú obec, na ktorej území sa jednotka nachádza, o začatí konania o priestupku alebo iného správneho deliktu a o právoplatne uloženej pokute.</w:t>
              <w:br/>
            </w:r>
            <w:r>
              <w:rPr>
                <w:b w:val="off"/>
                <w:color w:val="000000"/>
                <w:rFonts w:ascii="Times New Roman" w:hAnsi="Times New Roman" w:cs="Times New Roman" w:eastAsia="Times New Roman"/>
                <w:sz w:val="24"/>
              </w:rPr>
              <w:t>Doplnenie k väzbe na miestnu daň: Ak porušenie povinnosti podľa § 5 ods. 1, 3 alebo 6 súvisí s poskytovaním ubytovania na území obce a zároveň nebola splnená povinnosť podľa osobitného predpisu (§ 37 až 43 zákona č. 582/2004 Z. z.), obec ako správca dane postupuje podľa tohto osobitného predpisu.</w:t>
              <w:br/>
            </w:r>
            <w:r>
              <w:rPr>
                <w:b w:val="off"/>
                <w:color w:val="000000"/>
                <w:rFonts w:ascii="Times New Roman" w:hAnsi="Times New Roman" w:cs="Times New Roman" w:eastAsia="Times New Roman"/>
                <w:sz w:val="24"/>
              </w:rPr>
              <w:t>Odôvodnenie: Porušenie registračnej povinnosti pri krátkodobom ubytovaní môže byť v praxi spravidla spojené aj s nesplnením povinnosti odviesť miestnu daň za ubytovanie. Ide o zosúladenie výkonu štátnej regulácie s fiškálnou zodpovednosťou obce ako správcu dane a o zabezpečenie efektívneho výkonu správy miestnej dane v súlade s princípom subsidiarity.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5. marca 2026. Po prerokovaní pripomienky  predkladateľ pripomienky netrvá na zásadnej pripomienke a túto preklasifikoval na obyčajnú. Na základe uvedeného možno konštatovať, že rozpor bol odstránený.  </w:t>
              <w:br/>
            </w:r>
            <w:r>
              <w:rPr>
                <w:b w:val="off"/>
                <w:color w:val="000000"/>
                <w:rFonts w:ascii="Times New Roman" w:hAnsi="Times New Roman" w:cs="Times New Roman" w:eastAsia="Times New Roman"/>
                <w:sz w:val="24"/>
              </w:rPr>
              <w:t xml:space="preserve">Predkladateľ návrhu zákona uvádza, že účelom návrhu zákona nie je  viesť správne konania vo vzťahu k osobitným predpisom. Navrhovaná právna úprava predpokladá porušenie povinností len vo vzťahu k registru, napr. v prípade ak hostiteľ pri zápise uvedenie neúplné a nesprávne údaje. To znamená, že ide o porušenie “administratívne” a nemá súvis s povinnosťou hostiteľa  podľa zákona č. 582/2004 Z. z. o miestnych daniach a miestnom poplatku za komunálne odpady a drobné stavebné odpady. Predkladateľ preto nevidí dôvod, prečo by mal obce a mestá informovať o správnom konaní vedenom voči hostiteľovi, ktorý porušil povinnosti uložené týmto zákonom.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Združenie miest a obcí Slovenska víta snahu štátu vytvoriť jednotný právny rámec pre reguláciu krátkodobých prenájmov ubytovania a zabezpečiť implementáciu nariadenia Európskeho parlamentu a Rady (EÚ) 2024/1028.</w:t>
              <w:br/>
            </w:r>
            <w:r>
              <w:rPr>
                <w:b w:val="off"/>
                <w:color w:val="000000"/>
                <w:rFonts w:ascii="Times New Roman" w:hAnsi="Times New Roman" w:cs="Times New Roman" w:eastAsia="Times New Roman"/>
                <w:sz w:val="24"/>
              </w:rPr>
              <w:t>Krátkodobé prenájmy však predstavujú jav, ktorý má výrazné lokálne dopady – najmä v mestách a turisticky exponovaných obciach. Z tohto dôvodu je nevyhnutné, aby legislatíva rešpektovala postavenie územnej samosprávy a umožnila jej primerané regulačné nástroje.</w:t>
              <w:br/>
            </w:r>
            <w:r>
              <w:rPr>
                <w:b w:val="off"/>
                <w:color w:val="000000"/>
                <w:rFonts w:ascii="Times New Roman" w:hAnsi="Times New Roman" w:cs="Times New Roman" w:eastAsia="Times New Roman"/>
                <w:sz w:val="24"/>
              </w:rPr>
              <w:t>Základná pozícia ZMOS</w:t>
              <w:br/>
            </w:r>
            <w:r>
              <w:rPr>
                <w:b w:val="off"/>
                <w:color w:val="000000"/>
                <w:rFonts w:ascii="Times New Roman" w:hAnsi="Times New Roman" w:cs="Times New Roman" w:eastAsia="Times New Roman"/>
                <w:sz w:val="24"/>
              </w:rPr>
              <w:t>ZMOS podporuje:</w:t>
              <w:br/>
            </w:r>
            <w:r>
              <w:rPr>
                <w:b w:val="off"/>
                <w:color w:val="000000"/>
                <w:rFonts w:ascii="Times New Roman" w:hAnsi="Times New Roman" w:cs="Times New Roman" w:eastAsia="Times New Roman"/>
                <w:sz w:val="24"/>
              </w:rPr>
              <w:t>•	zriadenie centrálneho registra jednotiek,</w:t>
              <w:br/>
            </w:r>
            <w:r>
              <w:rPr>
                <w:b w:val="off"/>
                <w:color w:val="000000"/>
                <w:rFonts w:ascii="Times New Roman" w:hAnsi="Times New Roman" w:cs="Times New Roman" w:eastAsia="Times New Roman"/>
                <w:sz w:val="24"/>
              </w:rPr>
              <w:t>•	transparentnosť poskytovania údajov,</w:t>
              <w:br/>
            </w:r>
            <w:r>
              <w:rPr>
                <w:b w:val="off"/>
                <w:color w:val="000000"/>
                <w:rFonts w:ascii="Times New Roman" w:hAnsi="Times New Roman" w:cs="Times New Roman" w:eastAsia="Times New Roman"/>
                <w:sz w:val="24"/>
              </w:rPr>
              <w:t>•	prepojenie registra na daňové a kontrolné orgány,</w:t>
              <w:br/>
            </w:r>
            <w:r>
              <w:rPr>
                <w:b w:val="off"/>
                <w:color w:val="000000"/>
                <w:rFonts w:ascii="Times New Roman" w:hAnsi="Times New Roman" w:cs="Times New Roman" w:eastAsia="Times New Roman"/>
                <w:sz w:val="24"/>
              </w:rPr>
              <w:t>•	digitalizáciu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zároveň zásadne upozorňuje, že návrh zákona v súčasnom znení:</w:t>
              <w:br/>
            </w:r>
            <w:r>
              <w:rPr>
                <w:b w:val="off"/>
                <w:color w:val="000000"/>
                <w:rFonts w:ascii="Times New Roman" w:hAnsi="Times New Roman" w:cs="Times New Roman" w:eastAsia="Times New Roman"/>
                <w:sz w:val="24"/>
              </w:rPr>
              <w:t>•	úplne vylučuje obce z výkonu kontroly,</w:t>
              <w:br/>
            </w:r>
            <w:r>
              <w:rPr>
                <w:b w:val="off"/>
                <w:color w:val="000000"/>
                <w:rFonts w:ascii="Times New Roman" w:hAnsi="Times New Roman" w:cs="Times New Roman" w:eastAsia="Times New Roman"/>
                <w:sz w:val="24"/>
              </w:rPr>
              <w:t>•	neposkytuje im dostatočné regulačné nástroje,</w:t>
              <w:br/>
            </w:r>
            <w:r>
              <w:rPr>
                <w:b w:val="off"/>
                <w:color w:val="000000"/>
                <w:rFonts w:ascii="Times New Roman" w:hAnsi="Times New Roman" w:cs="Times New Roman" w:eastAsia="Times New Roman"/>
                <w:sz w:val="24"/>
              </w:rPr>
              <w:t>•	nereflektuje ich kompetencie v oblasti miestnych daní,</w:t>
              <w:br/>
            </w:r>
            <w:r>
              <w:rPr>
                <w:b w:val="off"/>
                <w:color w:val="000000"/>
                <w:rFonts w:ascii="Times New Roman" w:hAnsi="Times New Roman" w:cs="Times New Roman" w:eastAsia="Times New Roman"/>
                <w:sz w:val="24"/>
              </w:rPr>
              <w:t>•	centralizuje rozhodovanie bez rešpektovania princípu subsidiarity.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Ide o pripomienku, ktorá nespĺňa požiadavky na pripomienky podľa čl. 14 ods. 1 Legislatívnych pravidiel vlády SR. Na podnety (názory, námety a odporúčania), ktoré nespĺňajú náležitosti podľa prvej až tretej vety čl. 14 Legislatívnych pravidiel vlády SR, predkladateľ nie je povinný prihliadať a ani ich vyhodnocovať. Na základe uvedeného predkladateľ návrhu zákona pripomienku neakceptuje. Vzaté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08 Správa o účasti verejnosti</w:t>
              <w:br/>
            </w:r>
            <w:r>
              <w:rPr>
                <w:b w:val="off"/>
                <w:color w:val="000000"/>
                <w:rFonts w:ascii="Times New Roman" w:hAnsi="Times New Roman" w:cs="Times New Roman" w:eastAsia="Times New Roman"/>
                <w:sz w:val="24"/>
              </w:rPr>
              <w:t>Združenie miest a obcí Slovenska (ZMOS) neeviduje, že by sa v uvedenom časovom horizonte zúčastnilo konzultácií k návrhu zákona ani že by mu bol návrh zákona oficiálne doručený na vyjadrenie v rámci deklarovaného procesu.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Ide o pripomienku, ktorá nespĺňa požiadavky na pripomienky podľa čl. 14 ods. 1 Legislatívnych pravidiel vlády SR. Na podnety (názory, námety a odporúčania), ktoré nespĺňajú náležitosti podľa prvej až tretej vety čl. 14 Legislatívnych pravidiel vlády SR, predkladateľ nie je povinný prihliadať a ani ich vyhodnocovať. Na základe uvedeného predkladateľ návrhu zákona pripomienku neakceptuje. Vzaté na vedomie.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návrhu zákona súčasne uvádza, že ZMOS bol dodatočne oslovený dňa 3. októbra 2026 s lehotou na vyjadrenie k návrhu zákona do 10. októbra 2026. Predkladateľ však žiadnu odpoveď nedostal.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písm. d)</w:t>
              <w:br/>
            </w:r>
            <w:r>
              <w:rPr>
                <w:b w:val="off"/>
                <w:color w:val="000000"/>
                <w:rFonts w:ascii="Times New Roman" w:hAnsi="Times New Roman" w:cs="Times New Roman" w:eastAsia="Times New Roman"/>
                <w:sz w:val="24"/>
              </w:rPr>
              <w:t xml:space="preserve">V ustanovení § 2 sa za písm. c) vkladá nové písmeno d), ktoré znie: „d) na základe výzvy sprístupňuje na účely správy daní8) správcovi dane za ubytovanie9) údaje, na ktoré sa vzťahuje oznamovacia povinnosť podľa § 9,“ a nasledujúce písmená sa primerane preznačia.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Vkladajú sa nové poznámky pod čiarou č. 8 a 9, ktoré znejú:</w:t>
              <w:br/>
            </w:r>
            <w:r>
              <w:rPr>
                <w:b w:val="off"/>
                <w:color w:val="000000"/>
                <w:rFonts w:ascii="Times New Roman" w:hAnsi="Times New Roman" w:cs="Times New Roman" w:eastAsia="Times New Roman"/>
                <w:sz w:val="24"/>
              </w:rPr>
              <w:t>„8) zákon č. 563/2009 Z. z. o správe daní (daňový poriadok) a o zmene a doplnení niektorých zákonov v znení neskorších predpisov.</w:t>
              <w:br/>
            </w:r>
            <w:r>
              <w:rPr>
                <w:b w:val="off"/>
                <w:color w:val="000000"/>
                <w:rFonts w:ascii="Times New Roman" w:hAnsi="Times New Roman" w:cs="Times New Roman" w:eastAsia="Times New Roman"/>
                <w:sz w:val="24"/>
              </w:rPr>
              <w:t>9) § 37 až  43 a § 99 zákona č. 582/2004 Z. z. o miestnych daniach a miestnom poplatku za komunálne odpady a drobné stavebné odpady v znení neskorších predpisov.“ a nasledujúce poznámky pod čiarou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Prístup orgánov správy daní k informáciám zasielaným podľa čl. 9 nariadenia (EÚ) 2024/1028 (resp. podľa § 9 zákona) je odôvodnený vecnou a funkčnou väzbou týchto údajov na plnenie daňových povinností súvisiacich s poskytovaním krátkodobého ubytovania. Údaje o rozsahu činnosti za jednotku spolu s registračným číslom predstavujú relevantný podklad na overenie splnenia registračných, oznamovacích a daňových povinností.</w:t>
              <w:br/>
            </w:r>
            <w:r>
              <w:rPr>
                <w:b w:val="off"/>
                <w:color w:val="000000"/>
                <w:rFonts w:ascii="Times New Roman" w:hAnsi="Times New Roman" w:cs="Times New Roman" w:eastAsia="Times New Roman"/>
                <w:sz w:val="24"/>
              </w:rPr>
              <w:t>Nariadenie v čl. 9 v spojení s ustanovením §  9 zákona zakotvuje povinnosť poskytovať registru údaje, pričom účelom ich poskytnutia je aj možnosť zabezpečiť kontrolu súladu a plnenia povinností vyplývajúcich z právnych predpisov týkajúcich sa poskytovania krátkodobého ubytovania. Daňové povinnosti sú neoddeliteľnou súčasťou tohto regulačného rámca. Z toho vyplýva, že orgány správy daní patria medzi orgány, ktorým môže v zmysle nariadenia (čl. 12 bod 2. b) vnútroštátne právo priznať postavenie „príslušného orgánu“.</w:t>
              <w:br/>
            </w:r>
            <w:r>
              <w:rPr>
                <w:b w:val="off"/>
                <w:color w:val="000000"/>
                <w:rFonts w:ascii="Times New Roman" w:hAnsi="Times New Roman" w:cs="Times New Roman" w:eastAsia="Times New Roman"/>
                <w:sz w:val="24"/>
              </w:rPr>
              <w:t>Takýto prístup je zároveň v súlade  cieľmi nariadenia, najmä zvýšením transparentnosti, zabezpečením riadneho presadzovania povinností a zlepšením administratívnej spolupráce. Poskytnutie údajov daňovým orgánom umožňuje efektívne krížové overovanie údajov, identifikáciu nesúladu a prevenciu daňových únikov.</w:t>
              <w:br/>
            </w:r>
            <w:r>
              <w:rPr>
                <w:b w:val="off"/>
                <w:color w:val="000000"/>
                <w:rFonts w:ascii="Times New Roman" w:hAnsi="Times New Roman" w:cs="Times New Roman" w:eastAsia="Times New Roman"/>
                <w:sz w:val="24"/>
              </w:rPr>
              <w:t>Navrhnuté ustanovenie, ktorým sa orgánom správy dane za ubytovanie výslovne prizná prístup k údajom zasielaným podľa čl. 9 nariadenia/§ 9 zákona, tak predstavuje legitímne a systematicky odôvodnené využitie priestoru, ktorý nariadenie členským štátom poskytuje pri určovaní príslušných orgánov a rozsahu ich kompetencií. Opatrenie je primerané, keďže prístup je viazaný na zákonom vymedzený účel správy daní.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6. marca 2026, s tým, že zo strany predkladateľa návrhu zákona bola táto požiadavka prekonzultovaná s Odborom aproximácie práva sekcie vládnej legislatívy Úradu vlády SR a spolu s tým boli preverené  aj možnosti technického riešenia.  </w:t>
              <w:br/>
            </w:r>
            <w:r>
              <w:rPr>
                <w:b w:val="off"/>
                <w:color w:val="000000"/>
                <w:rFonts w:ascii="Times New Roman" w:hAnsi="Times New Roman" w:cs="Times New Roman" w:eastAsia="Times New Roman"/>
                <w:sz w:val="24"/>
              </w:rPr>
              <w:t>Predkladateľ návrhu zákona sa nestotožnil s navrhovanými zmenami. Oznamovacia povinnosť, ktorú ukladá samotné nariadenie (EÚ) 2024/1028, ako aj navrhovaný zákon, sa týka povinnosti online platforiem oznamovať (zasielať) údaje o činnosti týkajúce sa jednotlivých jednotiek jednotnému digitálnemu kontaktnému miestu (ktorého správcom bude MINCRaŠ). Prístup k týmto informáciám je podľa čl. 12 druhého bodu nariadenia možné udeliť len príslušnému orgánu, ktorým je podľa zákona o registri jednotiek pre poskytovanie služieb krátkodobého prenájmu ubytovania Ministerstvo cestovného ruchu a športu SR,  prípadne Rade pre mediálne služby ako orgánu dohľadu podľa zákona č. 264/2022 Z. z. o mediálnych službách a o zmene a doplnení niektorých zákonov (zákon o mediálnych službách).  Udelením prístupu k týmto údajom iným subjektom by mohlo byť považované za úpravu nad rámec nariadenia, dokonca za možný rozpor so samotným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ďalej uvádza, že tieto údaje nemusia zodpovedať reálnemu stavu, nakoľko online platforma bude zasielať len údaje, ktoré vzniknú pri objednávke ubytovania v danej jednotke. Predkladateľ má za to, že v § 7 navrhovaného zákona dáva mestám a obciam dostatočný nástroj kontroly tým, že im umožňuje prístup k údajom o jednotke a hostiteľovi nachádzajúcim sa na ich území.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pripomienky aj naďalej trvá na pripomienke, t. j. 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platí súčasne aj pre pripomienku k § 2 písm. c), vzhľadom na to, že ide o vzájomne prepojené pripomienky, resp. duplicitné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 písm. a)</w:t>
              <w:br/>
            </w:r>
            <w:r>
              <w:rPr>
                <w:b w:val="off"/>
                <w:color w:val="000000"/>
                <w:rFonts w:ascii="Times New Roman" w:hAnsi="Times New Roman" w:cs="Times New Roman" w:eastAsia="Times New Roman"/>
                <w:sz w:val="24"/>
              </w:rPr>
              <w:t xml:space="preserve">V ustanovení § 4 ods. (2) písm. a) za bod 4. vkladá bod 5., ktorý znie: </w:t>
              <w:br/>
            </w:r>
            <w:r>
              <w:rPr>
                <w:b w:val="off"/>
                <w:color w:val="000000"/>
                <w:rFonts w:ascii="Times New Roman" w:hAnsi="Times New Roman" w:cs="Times New Roman" w:eastAsia="Times New Roman"/>
                <w:sz w:val="24"/>
              </w:rPr>
              <w:t>„5. identifikačné číslo pridelené správcom dane za ubytovanie9) pri registrácii podľa osobitého predpisu15),“ a nasledujúce body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Zahrnutie identifikačného čísla prideleného správcom dane za ubytovanie do registra navrhnutým spôsobom je v súlade s nariadením (EÚ) 2024/1028 (čl. 5 body 3. a 10.), keďže sleduje cieľ presnej a jednoznačnej identifikácie subjektov a posilnenia transparentnosti. Nariadenie vytvára rámec, v ktorom môžu členské štáty určiť rozsah identifikačných údajov potrebných na naplnenie jeho účelu; predmetné identifikačné číslo predstavuje relevantný a funkčný identifikátor. Evidovanie tohto údaja znižuje riziko zámeny subjektov a umožňuje efektívnu interoperabilitu s daňovými a inými verejnými systémami. Takéto riešenie je v súlade s verejným záujmom na riadnom výbere daní a prevencii daňových únikov. Ide o zákonom pridelený identifikačný údaj, ktorého zahrnutie do registra nepredstavuje neprimeraný zásah, ale primerané a racionálne posilnenie identifikačného rámca. Cieľ navrhovaného ustanovenia je legitímny, primeraný a funkčne spätý s účelom registra a predstavuje využitie normatívneho priestoru, ktorý nariadenie poskytuje.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Táto zásadná pripomienka bola prerokovaná súčasne s pripomienkami k § 4 ods. 2 písm. b) a c) a s pripomienkou  na doplnenie poznámky č. 15 k § 4 ods. 2 písm. a), b),c), ktoré navzájom spolu súvisia.</w:t>
              <w:br/>
            </w:r>
            <w:r>
              <w:rPr>
                <w:b w:val="off"/>
                <w:color w:val="000000"/>
                <w:rFonts w:ascii="Times New Roman" w:hAnsi="Times New Roman" w:cs="Times New Roman" w:eastAsia="Times New Roman"/>
                <w:sz w:val="24"/>
              </w:rPr>
              <w:t xml:space="preserve">Zo záverov rozporového konania vyplynulo, že predkladateľ pripomienky netrvá na zásadnej pripomienke a túto preklasifikoval na obyčajnú.  </w:t>
              <w:br/>
            </w:r>
            <w:r>
              <w:rPr>
                <w:b w:val="off"/>
                <w:color w:val="000000"/>
                <w:rFonts w:ascii="Times New Roman" w:hAnsi="Times New Roman" w:cs="Times New Roman" w:eastAsia="Times New Roman"/>
                <w:sz w:val="24"/>
              </w:rPr>
              <w:t xml:space="preserve">Bolo by to nad rámec nariadenia (EÚ) 2024/1028, t. j. išlo by o goldplating.  </w:t>
              <w:br/>
            </w:r>
            <w:r>
              <w:rPr>
                <w:b w:val="off"/>
                <w:color w:val="000000"/>
                <w:rFonts w:ascii="Times New Roman" w:hAnsi="Times New Roman" w:cs="Times New Roman" w:eastAsia="Times New Roman"/>
                <w:sz w:val="24"/>
              </w:rPr>
              <w:t>Postačujúcim údajom je daňové identifikačné číslo, čo bolo medzi identifikačné údaje hostiteľa zaradené po konzultáciách so spolugestormi, najmä finančnou správou .... a pod.</w:t>
              <w:br/>
            </w:r>
            <w:r>
              <w:rPr>
                <w:b w:val="off"/>
                <w:color w:val="000000"/>
                <w:rFonts w:ascii="Times New Roman" w:hAnsi="Times New Roman" w:cs="Times New Roman" w:eastAsia="Times New Roman"/>
                <w:sz w:val="24"/>
              </w:rPr>
              <w:t xml:space="preserve">Predkladateľ návrhu zákona má zato, že navrhovaná úprava je postačujúca v záujme naplnenia čl. 5 ods. 1 písm. b) nariadenia (EÚ) 2024/1028. </w:t>
              <w:br/>
            </w:r>
            <w:r>
              <w:rPr>
                <w:b w:val="off"/>
                <w:color w:val="000000"/>
                <w:rFonts w:ascii="Times New Roman" w:hAnsi="Times New Roman" w:cs="Times New Roman" w:eastAsia="Times New Roman"/>
                <w:sz w:val="24"/>
              </w:rPr>
              <w:t>Po vzájomnej dohode akceptované zo strany hlavného mesta, že v prípade technických možností bude toto riešené len v rámci registračného formuláru ako doplňujúca informácia pre hostiteľa, resp. v rámci  metodických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možno konštatovať, že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 písm. b)</w:t>
              <w:br/>
            </w:r>
            <w:r>
              <w:rPr>
                <w:b w:val="off"/>
                <w:color w:val="000000"/>
                <w:rFonts w:ascii="Times New Roman" w:hAnsi="Times New Roman" w:cs="Times New Roman" w:eastAsia="Times New Roman"/>
                <w:sz w:val="24"/>
              </w:rPr>
              <w:t xml:space="preserve">V ustanovení § 4 ods. (2) písm. b) za bod 4. vkladá bod 5., ktorý znie: </w:t>
              <w:br/>
            </w:r>
            <w:r>
              <w:rPr>
                <w:b w:val="off"/>
                <w:color w:val="000000"/>
                <w:rFonts w:ascii="Times New Roman" w:hAnsi="Times New Roman" w:cs="Times New Roman" w:eastAsia="Times New Roman"/>
                <w:sz w:val="24"/>
              </w:rPr>
              <w:t xml:space="preserve"> „5. identifikačné číslo pridelené správcom dane za ubytovanie9) pri registrácii podľa osobitého predpisu15),“ a nasledujúce body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identifikačného čísla prideleného správcom dane za ubytovanie do registra navrhnutým spôsobom je v súlade s nariadením (EÚ) 2024/1028 (čl. 5 body 3. a 10.), keďže sleduje cieľ presnej a jednoznačnej identifikácie subjektov a posilnenia transparentnosti. Nariadenie vytvára rámec, v ktorom môžu členské štáty určiť rozsah identifikačných údajov potrebných na naplnenie jeho účelu; predmetné identifikačné číslo predstavuje relevantný a funkčný identifikátor. Evidovanie tohto údaja znižuje riziko zámeny subjektov a umožňuje efektívnu interoperabilitu s daňovými a inými verejnými systémami. Takéto riešenie je v súlade s verejným záujmom na riadnom výbere daní a prevencii daňových únikov. Ide o zákonom pridelený identifikačný údaj, ktorého zahrnutie do registra nepredstavuje neprimeraný zásah, ale primerané a racionálne posilnenie identifikačného rámca. Cieľ navrhovaného ustanovenia je legitímny, primeraný a funkčne spätý s účelom registra a predstavuje využitie normatívneho priestoru, ktorý nariadenie poskytuje.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Táto zásadná pripomienka bola prerokovaná súčasne s pripomienkami k § 4 ods. 2 písm. a) a c) a s pripomienkou  na doplnenie poznámky č. 15 k § 4 ods. 2 písm. a), b),c), ktoré navzájom spolu súvisia.</w:t>
              <w:br/>
            </w:r>
            <w:r>
              <w:rPr>
                <w:b w:val="off"/>
                <w:color w:val="000000"/>
                <w:rFonts w:ascii="Times New Roman" w:hAnsi="Times New Roman" w:cs="Times New Roman" w:eastAsia="Times New Roman"/>
                <w:sz w:val="24"/>
              </w:rPr>
              <w:t xml:space="preserve">Zo záverov rozporového konania vyplynulo, že predkladateľ pripomienky netrvá na zásadnej pripomienke a túto preklasifikoval na obyčajnú. </w:t>
              <w:br/>
            </w:r>
            <w:r>
              <w:rPr>
                <w:b w:val="off"/>
                <w:color w:val="000000"/>
                <w:rFonts w:ascii="Times New Roman" w:hAnsi="Times New Roman" w:cs="Times New Roman" w:eastAsia="Times New Roman"/>
                <w:sz w:val="24"/>
              </w:rPr>
              <w:t>Na základe uvedeného možno konštatovať, že rozpor bol odstránený.</w:t>
              <w:br/>
            </w:r>
            <w:r>
              <w:rPr>
                <w:b w:val="off"/>
                <w:color w:val="000000"/>
                <w:rFonts w:ascii="Times New Roman" w:hAnsi="Times New Roman" w:cs="Times New Roman" w:eastAsia="Times New Roman"/>
                <w:sz w:val="24"/>
              </w:rPr>
              <w:t>Zdôvodnenie vyhodnotenia pripomienky je uvedené vo vyhodnotení k pripomienke k § 4 ods. 2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 písm. c)</w:t>
              <w:br/>
            </w:r>
            <w:r>
              <w:rPr>
                <w:b w:val="off"/>
                <w:color w:val="000000"/>
                <w:rFonts w:ascii="Times New Roman" w:hAnsi="Times New Roman" w:cs="Times New Roman" w:eastAsia="Times New Roman"/>
                <w:sz w:val="24"/>
              </w:rPr>
              <w:t xml:space="preserve">V ustanovení § 4 ods. (2) písm. c) za bod 4. vkladá bod 5., ktorý znie: </w:t>
              <w:br/>
            </w:r>
            <w:r>
              <w:rPr>
                <w:b w:val="off"/>
                <w:color w:val="000000"/>
                <w:rFonts w:ascii="Times New Roman" w:hAnsi="Times New Roman" w:cs="Times New Roman" w:eastAsia="Times New Roman"/>
                <w:sz w:val="24"/>
              </w:rPr>
              <w:t xml:space="preserve"> „5. identifikačné číslo pridelené správcom dane za ubytovanie9) pri registrácii podľa osobitého predpisu15),“ a nasledujúce body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identifikačného čísla prideleného správcom dane za ubytovanie do registra navrhnutým spôsobom je v súlade s nariadením (EÚ) 2024/1028 (čl. 5 body 3. a 10.), keďže sleduje cieľ presnej a jednoznačnej identifikácie subjektov a posilnenia transparentnosti. Nariadenie vytvára rámec, v ktorom môžu členské štáty určiť rozsah identifikačných údajov potrebných na naplnenie jeho účelu; predmetné identifikačné číslo predstavuje relevantný a funkčný identifikátor. Evidovanie tohto údaja znižuje riziko zámeny subjektov a umožňuje efektívnu interoperabilitu s daňovými a inými verejnými systémami. Takéto riešenie je v súlade s verejným záujmom na riadnom výbere daní a prevencii daňových únikov. Ide o zákonom pridelený identifikačný údaj, ktorého zahrnutie do registra nepredstavuje neprimeraný zásah, ale primerané a racionálne posilnenie identifikačného rámca. Cieľ navrhovaného ustanovenia je legitímny, primeraný a funkčne spätý s účelom registra a predstavuje využitie normatívneho priestoru, ktorý nariadenie poskytuje.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Táto zásadná pripomienka bola prerokovaná súčasne s pripomienkami k § 4 ods. 2 písm. a) a b) a s pripomienkou  na doplnenie poznámky č. 15 k § 4 ods. 2 písm. a), b),c), ktoré navzájom spolu súvisia.</w:t>
              <w:br/>
            </w:r>
            <w:r>
              <w:rPr>
                <w:b w:val="off"/>
                <w:color w:val="000000"/>
                <w:rFonts w:ascii="Times New Roman" w:hAnsi="Times New Roman" w:cs="Times New Roman" w:eastAsia="Times New Roman"/>
                <w:sz w:val="24"/>
              </w:rPr>
              <w:t xml:space="preserve">Zo záverov rozporového konania vyplynulo, že predkladateľ pripomienky netrvá na zásadnej pripomienke a túto preklasifikoval na obyčajnú. </w:t>
              <w:br/>
            </w:r>
            <w:r>
              <w:rPr>
                <w:b w:val="off"/>
                <w:color w:val="000000"/>
                <w:rFonts w:ascii="Times New Roman" w:hAnsi="Times New Roman" w:cs="Times New Roman" w:eastAsia="Times New Roman"/>
                <w:sz w:val="24"/>
              </w:rPr>
              <w:t>Na základe uvedeného možno konštatovať, že rozpor bol odstránený.</w:t>
              <w:br/>
            </w:r>
            <w:r>
              <w:rPr>
                <w:b w:val="off"/>
                <w:color w:val="000000"/>
                <w:rFonts w:ascii="Times New Roman" w:hAnsi="Times New Roman" w:cs="Times New Roman" w:eastAsia="Times New Roman"/>
                <w:sz w:val="24"/>
              </w:rPr>
              <w:t>Zdôvodnenie vyhodnotenia pripomienky je uvedené vo vyhodnotení k pripomienke k § 4 ods. 2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doplnenie poznámky č. 15 k § 4 ods. 2 písm. a), b),c)</w:t>
              <w:br/>
            </w:r>
            <w:r>
              <w:rPr>
                <w:b w:val="off"/>
                <w:color w:val="000000"/>
                <w:rFonts w:ascii="Times New Roman" w:hAnsi="Times New Roman" w:cs="Times New Roman" w:eastAsia="Times New Roman"/>
                <w:sz w:val="24"/>
              </w:rPr>
              <w:t>Vkladá sa nová poznámka pod čiarou č. 15, ktorá znie nasledovne: „15) § 67 zákona č. 563/2009 Z. z. o správe daní (daňový poriadok) a o zmene a doplnení niektorých zákonov v znení neskorších predpisov.“ a nasledujúce poznámky pod čiarou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identifikačného čísla prideleného správcom dane za ubytovanie do registra navrhnutým spôsobom je v súlade s nariadením (EÚ) 2024/1028 (čl. 5 body 3. a 10.), keďže sleduje cieľ presnej a jednoznačnej identifikácie subjektov a posilnenia transparentnosti. Nariadenie vytvára rámec, v ktorom môžu členské štáty určiť rozsah identifikačných údajov potrebných na naplnenie jeho účelu; predmetné identifikačné číslo predstavuje relevantný a funkčný identifikátor. Evidovanie tohto údaja znižuje riziko zámeny subjektov a umožňuje efektívnu interoperabilitu s daňovými a inými verejnými systémami. Takéto riešenie je v súlade s verejným záujmom na riadnom výbere daní a prevencii daňových únikov. Ide o zákonom pridelený identifikačný údaj, ktorého zahrnutie do registra nepredstavuje neprimeraný zásah, ale primerané a racionálne posilnenie identifikačného rámca. Cieľ navrhovaného ustanovenia je legitímny, primeraný a funkčne spätý s účelom registra a predstavuje využitie normatívneho priestoru, ktorý nariadenie poskytuje.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6. marca 2026. Táto zásadná pripomienka bola prerokovaná súčasne s pripomienkami k § 4 ods. 2 písm. a) až c). </w:t>
              <w:br/>
            </w:r>
            <w:r>
              <w:rPr>
                <w:b w:val="off"/>
                <w:color w:val="000000"/>
                <w:rFonts w:ascii="Times New Roman" w:hAnsi="Times New Roman" w:cs="Times New Roman" w:eastAsia="Times New Roman"/>
                <w:sz w:val="24"/>
              </w:rPr>
              <w:t xml:space="preserve">Zo záverov rozporového konania vyplynulo, že predkladateľ pripomienky netrvá na zásadnej pripomienke a túto preklasifikoval na obyčajnú. </w:t>
              <w:br/>
            </w:r>
            <w:r>
              <w:rPr>
                <w:b w:val="off"/>
                <w:color w:val="000000"/>
                <w:rFonts w:ascii="Times New Roman" w:hAnsi="Times New Roman" w:cs="Times New Roman" w:eastAsia="Times New Roman"/>
                <w:sz w:val="24"/>
              </w:rPr>
              <w:t>Na základe uvedeného možno konštatovať, že rozpor bol odstránený.</w:t>
              <w:br/>
            </w:r>
            <w:r>
              <w:rPr>
                <w:b w:val="off"/>
                <w:color w:val="000000"/>
                <w:rFonts w:ascii="Times New Roman" w:hAnsi="Times New Roman" w:cs="Times New Roman" w:eastAsia="Times New Roman"/>
                <w:sz w:val="24"/>
              </w:rPr>
              <w:t>Zdôvodnenie vyhodnotenia pripomienky je uvedené vo vyhodnotení k pripomienke k § 4 ods. 2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 xml:space="preserve">Ustanovenie § 5 ods. 1 sa mení a znie nasledovne: </w:t>
              <w:br/>
            </w:r>
            <w:r>
              <w:rPr>
                <w:b w:val="off"/>
                <w:color w:val="000000"/>
                <w:rFonts w:ascii="Times New Roman" w:hAnsi="Times New Roman" w:cs="Times New Roman" w:eastAsia="Times New Roman"/>
                <w:sz w:val="24"/>
              </w:rPr>
              <w:t xml:space="preserve">„Hostiteľ je povinný pred prvým poskytnutím ubytovania prostredníctvom online platformy pre krátkodobé prenájmy alebo malej online platformy pre krátkodobé prenájmy </w:t>
              <w:br/>
            </w:r>
            <w:r>
              <w:rPr>
                <w:b w:val="off"/>
                <w:color w:val="000000"/>
                <w:rFonts w:ascii="Times New Roman" w:hAnsi="Times New Roman" w:cs="Times New Roman" w:eastAsia="Times New Roman"/>
                <w:sz w:val="24"/>
              </w:rPr>
              <w:t xml:space="preserve">a)	zapísať údaje podľa § 4 ods. 1 a 2 do registra a </w:t>
              <w:br/>
            </w:r>
            <w:r>
              <w:rPr>
                <w:b w:val="off"/>
                <w:color w:val="000000"/>
                <w:rFonts w:ascii="Times New Roman" w:hAnsi="Times New Roman" w:cs="Times New Roman" w:eastAsia="Times New Roman"/>
                <w:sz w:val="24"/>
              </w:rPr>
              <w:t>b)	umiestniť registračné číslo podľa § 4 ods. 3 na vhodnom a trvale viditeľnom mieste pri hlavnom vstupe do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Označovanie jednotiek poskytovaných na krátkodobý prenájom registračným  číslom (tzv. labelling) zabezpečuje jednoznačnú identifikovateľnosť jednotiek vo verejnom priestore a umožňuje efektívnu kontrolu zo strany susedov, správcu a obce. Transparentný identifikátor bráni anonymnému výkonu krátkodobého prenájmu v bytovom dome a znižuje riziko obchádzania regulácie. Súčasne umožňuje prepojenie inzerátu na platforme s konkrétnou jednotkou pre účely daňovej kontroly a výberu miestnych daní alebo iných poplatkov. Ide o primeraný a minimálne invazívny nástroj, ktorý neobmedzuje vlastnícke právo, ale zvyšuje zodpovednosť pri jeho výkone. Označenie registračným číslom tak posilňuje právnu istotu, transparentnosť a vymožiteľnosť pravidiel.</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Ide o duplicitnú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písm. f)</w:t>
              <w:br/>
            </w:r>
            <w:r>
              <w:rPr>
                <w:b w:val="off"/>
                <w:color w:val="000000"/>
                <w:rFonts w:ascii="Times New Roman" w:hAnsi="Times New Roman" w:cs="Times New Roman" w:eastAsia="Times New Roman"/>
                <w:sz w:val="24"/>
              </w:rPr>
              <w:t xml:space="preserve">Na koniec ustanovenia § 12 sa za písm. e) vkladá písm. f), ktoré znie nasledovne: </w:t>
              <w:br/>
            </w:r>
            <w:r>
              <w:rPr>
                <w:b w:val="off"/>
                <w:color w:val="000000"/>
                <w:rFonts w:ascii="Times New Roman" w:hAnsi="Times New Roman" w:cs="Times New Roman" w:eastAsia="Times New Roman"/>
                <w:sz w:val="24"/>
              </w:rPr>
              <w:t>„f) podrobnosti o označovaní jednotiek registračným číslom.“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Označovanie jednotiek poskytovaných na krátkodobý prenájom registračným  číslom (tzv. labelling) zabezpečuje jednoznačnú identifikovateľnosť jednotiek vo verejnom priestore a umožňuje efektívnu kontrolu zo strany susedov, správcu a obce. Transparentný identifikátor bráni anonymnému výkonu krátkodobého prenájmu v bytovom dome a znižuje riziko obchádzania regulácie. Súčasne umožňuje prepojenie inzerátu na platforme s konkrétnou jednotkou pre účely daňovej kontroly a výberu miestnych daní alebo iných poplatkov. Ide o primeraný a minimálne invazívny nástroj, ktorý neobmedzuje vlastnícke právo, ale zvyšuje zodpovednosť pri jeho výkone. Označenie registračným číslom tak posilňuje právnu istotu, transparentnosť a vymožiteľnosť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k uvedenej zásadnej pripomienke sa uskutočnilo 6. marca 2026. Po prerokovaní pripomienky  predkladateľ pripomienky netrvá na zásadnej pripomienke a túto preklasifikoval na obyčajnú. Na základe uvedeného možno konštatovať, že rozpor bol odstránený.</w:t>
              <w:br/>
            </w:r>
            <w:r>
              <w:rPr>
                <w:b w:val="off"/>
                <w:color w:val="000000"/>
                <w:rFonts w:ascii="Times New Roman" w:hAnsi="Times New Roman" w:cs="Times New Roman" w:eastAsia="Times New Roman"/>
                <w:sz w:val="24"/>
              </w:rPr>
              <w:t>Predkladateľ návrhu zákona uviedol, že ide o ďalšiu povinnosť pre hostiteľov, ktorá  presahuje rámec implementovaného  nariadenia  (EÚ) 2024/1028. Predkladateľ zákona informoval na rozporovom konaní o zámere prípravy novej právnej úpravy vo vzťahu ku  kategorizácii ubytovacích zariadení, v rámci ktorej bude snaha túto požiadavku explicitne zakotviť. Z toho dôvodu nie je možné upraviť ani vo vykonávacom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písm. e)</w:t>
              <w:br/>
            </w:r>
            <w:r>
              <w:rPr>
                <w:b w:val="off"/>
                <w:color w:val="000000"/>
                <w:rFonts w:ascii="Times New Roman" w:hAnsi="Times New Roman" w:cs="Times New Roman" w:eastAsia="Times New Roman"/>
                <w:sz w:val="24"/>
              </w:rPr>
              <w:t xml:space="preserve">V článku I §1 navrhujeme zmenu znenia písmena e a vloženie nového písmena f) v znení: </w:t>
              <w:br/>
            </w:r>
            <w:r>
              <w:rPr>
                <w:b w:val="off"/>
                <w:color w:val="000000"/>
                <w:rFonts w:ascii="Times New Roman" w:hAnsi="Times New Roman" w:cs="Times New Roman" w:eastAsia="Times New Roman"/>
                <w:sz w:val="24"/>
              </w:rPr>
              <w:t xml:space="preserve">“e) povinnosti hostiteľov, ktorými sú subjekty podľa osobitného predpisu 1) a platitelia dane podľa osobitného predpisu 2), </w:t>
              <w:br/>
            </w:r>
            <w:r>
              <w:rPr>
                <w:b w:val="off"/>
                <w:color w:val="000000"/>
                <w:rFonts w:ascii="Times New Roman" w:hAnsi="Times New Roman" w:cs="Times New Roman" w:eastAsia="Times New Roman"/>
                <w:sz w:val="24"/>
              </w:rPr>
              <w:t>f) povinnosti poskytovateľov online platforiem pre krátkodobé prenájmy 2) a poskytovateľov malých online platforiem pre krátkodobé prenájmy.3)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Označenie nasledujúcich písmen sa upraví, </w:t>
              <w:br/>
            </w:r>
            <w:r>
              <w:rPr>
                <w:b w:val="off"/>
                <w:color w:val="000000"/>
                <w:rFonts w:ascii="Times New Roman" w:hAnsi="Times New Roman" w:cs="Times New Roman" w:eastAsia="Times New Roman"/>
                <w:sz w:val="24"/>
              </w:rPr>
              <w:t>Vkladá sa nová pod čiarou k odkazu 2) znie: “2) § 38 ods. 2 zákona o miestnych daniach a miestnom poplatku za komunálne odpady a drobné stavené odpady v znení neskorších právnych predpisov.</w:t>
              <w:br/>
            </w:r>
            <w:r>
              <w:rPr>
                <w:b w:val="off"/>
                <w:color w:val="000000"/>
                <w:rFonts w:ascii="Times New Roman" w:hAnsi="Times New Roman" w:cs="Times New Roman" w:eastAsia="Times New Roman"/>
                <w:sz w:val="24"/>
              </w:rPr>
              <w:t xml:space="preserve">Označenie nasledujúcich poznámok pod čiarou sa upraví.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Legálna definícia vyplývajúca z Nariadenia nepokrýva všetkých platiteľov dane, zároveň by platitelia dane mali dvojité oznamovacie povinnosti a to ako hostitelia a aj ako platitelia dane. Nariadenie v čl. 4 odsek 3. písmeno d) ustanovuje povinnosť členskému štátu aby jednotka nepodliehala viac ako jednému postupu registrácie. Je preto na mieste integrácia registračnej procedúry a predchádzanie zdvojených úkonov voči ministerstvu a správcom dane.  Nakoľko navrhovateľ nevytvára novú legálnu definíciu hostiteľa, ale odkazuje na legálnu definíciu je s ohľadom na krátkosť času praktické ju pre účely tohto zákona len rozšíriť aj o subjekty platiteľov dane. Zákon bol do plánu úloh vlády zaradený a publikovaný 15.1.2025 a bol podľa nás dostatočný čas na konzultácie aj o technických a legislatívnych riešenia pre integráciu povinností vyplývajúcu ubytovateľom z Nariadenia a z národnej legislatívy. Žiaľ, skrátené pripomienkové konanie neumožňuje podrobnejšie rozdiskutovanie riešení, ktoré by boli bližšie k ideálnu, než pripomienky, ktorými len reaggujeme na vzniknutý situáciu v časovom tlaku.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k uvedenej zásadnej pripomienke sa uskutočnilo 6. marca 2026. Po prerokovaní pripomienky  predkladateľ pripomienky netrvá na zásadnej pripomienke a túto preklasifikoval na obyčajnú. </w:t>
              <w:br/>
            </w:r>
            <w:r>
              <w:rPr>
                <w:b w:val="off"/>
                <w:color w:val="000000"/>
                <w:rFonts w:ascii="Times New Roman" w:hAnsi="Times New Roman" w:cs="Times New Roman" w:eastAsia="Times New Roman"/>
                <w:sz w:val="24"/>
              </w:rPr>
              <w:t xml:space="preserve">Na základe uvedeného možno konštatovať, že rozpor bol odstránený. </w:t>
              <w:br/>
            </w:r>
            <w:r>
              <w:rPr>
                <w:b w:val="off"/>
                <w:color w:val="000000"/>
                <w:rFonts w:ascii="Times New Roman" w:hAnsi="Times New Roman" w:cs="Times New Roman" w:eastAsia="Times New Roman"/>
                <w:sz w:val="24"/>
              </w:rPr>
              <w:t>Na základe vzájomnej dohody bude táto problematika riešená v rámci neskoršej právnej úpravy, a to najmä vzhľadom na to, že predložený návrh zákona neupravuje povinnosti platiteľov dane podľa osobitného predpisu, ale len povinnosti vo vzťahu k hostiteľom, ktorí ponúkajú služby krátkodobého prenájmu ubytovania prostredníctvom online platforiem.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písm. c)</w:t>
              <w:br/>
            </w:r>
            <w:r>
              <w:rPr>
                <w:b w:val="off"/>
                <w:color w:val="000000"/>
                <w:rFonts w:ascii="Times New Roman" w:hAnsi="Times New Roman" w:cs="Times New Roman" w:eastAsia="Times New Roman"/>
                <w:sz w:val="24"/>
              </w:rPr>
              <w:t xml:space="preserve">V ustanovení § 2 sa za písm. c) vkladá nové písmeno cd), ktoré znie: „d) je zodpovedné za zasielanie a sprístupnenie na základe výzvy sprístupňuje údaje na účely správy daní8) správcovi dane za ubytovanie9) údaje, na ktoré sa vzťahuje oznamovacia povinnosť podľa § 9,“ a nasledujúce písmená sa primerane preznačia.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dostatočne zdôrazniť, že zasielanie informácií je plnením povinností platiteľa dane, nepostačuje len pasívny prístup, ale aktívne zasielanie informácií správcom dane Prístup orgánov správy daní k informáciám zasielaným podľa čl. 9 nariadenia (EÚ) 2024/1028 (resp. podľa § 9 zákona) je odôvodnený vecnou a funkčnou väzbou týchto údajov na plnenie daňových povinností súvisiacich s poskytovaním krátkodobého ubytovania. Údaje o rozsahu činnosti za jednotku spolu s registračným číslom predstavujú relevantný podklad na overenie splnenia registračných, oznamovacích a daňových povinností.</w:t>
              <w:br/>
            </w:r>
            <w:r>
              <w:rPr>
                <w:b w:val="off"/>
                <w:color w:val="000000"/>
                <w:rFonts w:ascii="Times New Roman" w:hAnsi="Times New Roman" w:cs="Times New Roman" w:eastAsia="Times New Roman"/>
                <w:sz w:val="24"/>
              </w:rPr>
              <w:t>Nariadenie v čl. 9 v spojení s ustanovením §  9 zákona zakotvuje povinnosť poskytovať registru údaje, pričom účelom ich poskytnutia je aj možnosť zabezpečiť kontrolu súladu a plnenia povinností vyplývajúcich z právnych predpisov týkajúcich sa poskytovania krátkodobého ubytovania. Daňové povinnosti sú neoddeliteľnou súčasťou tohto regulačného rámca. Z toho vyplýva, že orgány správy daní patria medzi orgány, ktorým môže v zmysle nariadenia (čl. 12 bod 2. b) vnútroštátne právo priznať postavenie „príslušného orgánu“.</w:t>
              <w:br/>
            </w:r>
            <w:r>
              <w:rPr>
                <w:b w:val="off"/>
                <w:color w:val="000000"/>
                <w:rFonts w:ascii="Times New Roman" w:hAnsi="Times New Roman" w:cs="Times New Roman" w:eastAsia="Times New Roman"/>
                <w:sz w:val="24"/>
              </w:rPr>
              <w:t>Takýto prístup je zároveň v súlade  cieľmi nariadenia, najmä zvýšením transparentnosti, zabezpečením riadneho presadzovania povinností a zlepšením administratívnej spolupráce. Poskytnutie údajov daňovým orgánom umožňuje efektívne krížové overovanie údajov, identifikáciu nesúladu a prevenciu daňových únikov.</w:t>
              <w:br/>
            </w:r>
            <w:r>
              <w:rPr>
                <w:b w:val="off"/>
                <w:color w:val="000000"/>
                <w:rFonts w:ascii="Times New Roman" w:hAnsi="Times New Roman" w:cs="Times New Roman" w:eastAsia="Times New Roman"/>
                <w:sz w:val="24"/>
              </w:rPr>
              <w:t>Navrhnuté ustanovenie, ktorým sa orgánom správy dane za ubytovanie výslovne prizná prístup k údajom zasielaným podľa čl. 9 nariadenia/§ 9 zákona, tak predstavuje legitímne a systematicky odôvodnené využitie priestoru, ktorý nariadenie členským štátom poskytuje pri určovaní príslušných orgánov a rozsahu ich kompetencií. Opatrenie je primerané, keďže prístup je viazaný na zákonom vymedzený účel správy daní.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Táto zásadná pripomienka bola prerokovaná súčasne s pripomienkou  k § 2 ods. písm. d), vzhľadom na to, že navzájom spolu súvisia, resp. sú duplicitné. Zdôvodnenie vyhodnotenia pripomienky je uvedené vo vyhodnotení k pripomienke k § 2 ods. písm. d). Rozpor k týmto pripomienkam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 xml:space="preserve">Ustanovenie § 5 ods. 1 sa mení a znie nasledovne: </w:t>
              <w:br/>
            </w:r>
            <w:r>
              <w:rPr>
                <w:b w:val="off"/>
                <w:color w:val="000000"/>
                <w:rFonts w:ascii="Times New Roman" w:hAnsi="Times New Roman" w:cs="Times New Roman" w:eastAsia="Times New Roman"/>
                <w:sz w:val="24"/>
              </w:rPr>
              <w:t xml:space="preserve">„Hostiteľ je povinný pred prvým poskytnutím ubytovania prostredníctvom online platformy pre krátkodobé prenájmy alebo malej online platformy pre krátkodobé prenájmy alebo pred uzatvorením prvej zmluvy o ubytovaní 15) </w:t>
              <w:br/>
            </w:r>
            <w:r>
              <w:rPr>
                <w:b w:val="off"/>
                <w:color w:val="000000"/>
                <w:rFonts w:ascii="Times New Roman" w:hAnsi="Times New Roman" w:cs="Times New Roman" w:eastAsia="Times New Roman"/>
                <w:sz w:val="24"/>
              </w:rPr>
              <w:t xml:space="preserve">a)	zapísať údaje podľa § 4 ods. 1 a 2 do registra a </w:t>
              <w:br/>
            </w:r>
            <w:r>
              <w:rPr>
                <w:b w:val="off"/>
                <w:color w:val="000000"/>
                <w:rFonts w:ascii="Times New Roman" w:hAnsi="Times New Roman" w:cs="Times New Roman" w:eastAsia="Times New Roman"/>
                <w:sz w:val="24"/>
              </w:rPr>
              <w:t>b)	umiestniť registračné číslo podľa § 4 ods. 3 na vhodnom a trvale viditeľnom mieste pri hlavnom vstupe do jednotky.“</w:t>
              <w:br/>
            </w:r>
            <w:r>
              <w:rPr>
                <w:b w:val="off"/>
                <w:color w:val="000000"/>
                <w:rFonts w:ascii="Times New Roman" w:hAnsi="Times New Roman" w:cs="Times New Roman" w:eastAsia="Times New Roman"/>
                <w:sz w:val="24"/>
              </w:rPr>
              <w:t xml:space="preserve">b)c)	Poznámka pod čiarou znie: “ 15) §754 až 759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Označovanie jednotiek poskytovaných na krátkodobý prenájom registračným  číslom (tzv. labelling) zabezpečuje jednoznačnú identifikovateľnosť jednotiek vo verejnom priestore a umožňuje efektívnu kontrolu zo strany susedov, správcu a obce. Transparentný identifikátor bráni anonymnému výkonu krátkodobého prenájmu v bytovom dome a znižuje riziko obchádzania regulácie. Súčasne umožňuje prepojenie inzerátu na platforme s konkrétnou jednotkou pre účely daňovej kontroly a výberu miestnych daní alebo iných poplatkov. Ide o primeraný a minimálne invazívny nástroj, ktorý neobmedzuje vlastnícke právo, ale zvyšuje zodpovednosť pri jeho výkone. Označenie registračným číslom tak posilňuje právnu istotu, transparentnosť a vymožiteľnosť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k uvedenej zásadnej pripomienke sa uskutočnilo 6. marca 2026. Zo záverov rozporového konania vyplynulo, že predkladateľ pripomienky netrvá na zásadnej pripomienke a túto preklasifikoval na obyčajnú. Na základe uvedeného možno konštatovať, že rozpor bol odstránený.</w:t>
              <w:br/>
            </w:r>
            <w:r>
              <w:rPr>
                <w:b w:val="off"/>
                <w:color w:val="000000"/>
                <w:rFonts w:ascii="Times New Roman" w:hAnsi="Times New Roman" w:cs="Times New Roman" w:eastAsia="Times New Roman"/>
                <w:sz w:val="24"/>
              </w:rPr>
              <w:t>Predkladateľ návrhu zákona uviedol, že ide o ďalšiu povinnosť pre hostiteľov, ktorá  presahuje rámec implementovaného  nariadenia  (EÚ) 2024/1028. Predkladateľ zákona informoval na rozporovom konaní o zámere prípravy novej právnej úpravy vo vzťahu ku  kategorizácii ubytovacích zariadení, v rámci ktorej bude snaha túto požiadavku explicitne zakotviť.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Žiadame v časti 3.1.3 Doplňujúce informácie k spôsobu výpočtu vplyvov jednotlivých regulácií na zmenu nákladov preformulovať:</w:t>
              <w:br/>
            </w:r>
            <w:r>
              <w:rPr>
                <w:b w:val="off"/>
                <w:color w:val="000000"/>
                <w:rFonts w:ascii="Times New Roman" w:hAnsi="Times New Roman" w:cs="Times New Roman" w:eastAsia="Times New Roman"/>
                <w:sz w:val="24"/>
              </w:rPr>
              <w:t>1. odsek, ktorý sa začína slovami "Podľa údajov Štatistického úradu Slovenskej republiky" takto:</w:t>
              <w:br/>
            </w:r>
            <w:r>
              <w:rPr>
                <w:b w:val="off"/>
                <w:color w:val="000000"/>
                <w:rFonts w:ascii="Times New Roman" w:hAnsi="Times New Roman" w:cs="Times New Roman" w:eastAsia="Times New Roman"/>
                <w:sz w:val="24"/>
              </w:rPr>
              <w:t>"Podľa údajov Štatistického úradu Slovenskej republiky (ďalej len „ŠÚSR“) boli v roku 2024 ubytovacie zariadenia (prevádzkované podnikateľmi t. z. právnickými osobami a fyzickými osobami s identifikátorom IČO, ktorí poskytovali prechodné ubytovanie návštevníkom/aktívnym účastníkom cestovného ruchu1) evidované v 933 obciach Slovenskej republiky, vrátane obcí s diskrétnymi údajmi. Z dôvodu obmedzenej dostupnosti údajov nebolo možné analyzovať celé územie Slovenskej republiky, keďže pri niektorých obciach nie sú zverejnené údaje o počte ubytovacích zariadení, lôžok alebo izieb evidovaných ŠÚSR nakoľko ide o dôverné štatistické údaje (v súlade so  zákonom č. 540/2001 Z. z. o štátnej štatistike v znení neskorších predpisov.  Druhým zdrojom o počte zariadení ponúkaných prostredníctvom online platforiem zdieľaného ubytovania (zdroj AirDNA), ktorý neobsahoval dostupné údaje pri časti obcí." a zároveň doplniť poznámku pod čiarou k navrhovanému odkazu 1, ktorá znie:</w:t>
              <w:br/>
            </w:r>
            <w:r>
              <w:rPr>
                <w:b w:val="off"/>
                <w:color w:val="000000"/>
                <w:rFonts w:ascii="Times New Roman" w:hAnsi="Times New Roman" w:cs="Times New Roman" w:eastAsia="Times New Roman"/>
                <w:sz w:val="24"/>
              </w:rPr>
              <w:t>"1) V súlade s metodickou príručkou podľa čl. 10 nariadenia Európskeho parlamentu a Rady (EÚ) č. 692/2011 zo 6. júla 2011 o európskej štatistike cestovného ruchu, ktorým sa zrušuje smernica Rady 95/57/ES (Ú. v. EÚ L 192, 22.7.2011) v platnom znení.";</w:t>
              <w:br/>
            </w:r>
            <w:r>
              <w:rPr>
                <w:b w:val="off"/>
                <w:color w:val="000000"/>
                <w:rFonts w:ascii="Times New Roman" w:hAnsi="Times New Roman" w:cs="Times New Roman" w:eastAsia="Times New Roman"/>
                <w:sz w:val="24"/>
              </w:rPr>
              <w:t>2. odsek, ktorý sa začína slovami "Tento rozdiel nemožno interpretovať" takto:</w:t>
              <w:br/>
            </w:r>
            <w:r>
              <w:rPr>
                <w:b w:val="off"/>
                <w:color w:val="000000"/>
                <w:rFonts w:ascii="Times New Roman" w:hAnsi="Times New Roman" w:cs="Times New Roman" w:eastAsia="Times New Roman"/>
                <w:sz w:val="24"/>
              </w:rPr>
              <w:t>"Tento rozdiel nemožno interpretovať ako priamy počet neevidovaných zariadení, keďže časť zariadení ponúkaných prostredníctvom online platforiem nespĺňa podmienky evidovania v štatistickom registri ubytovacích zariadení. V štatistickom registri ubytovacích zariadení sú evidované ubytovacie zariadenia – prevádzkované právnickými a fyzickými osobami s  identifikátorom.  Na platformách zdieľaného ubytovania sa vo väčšine prípadov nenachádzajú hotelové zariadenia, ale prevažne menšie ubytovacie jednotky s nižším počtom lôžok a izieb. Uvedený rozdiel preto indikuje existenciu šedej ekonomiky v oblasti krátkodobého ubytovania a naznačuje, že skutočný počet neevidovaných zariadení môže byť vyšší než samotný rozdiel medzi oboma zdrojmi dát.";</w:t>
              <w:br/>
            </w:r>
            <w:r>
              <w:rPr>
                <w:b w:val="off"/>
                <w:color w:val="000000"/>
                <w:rFonts w:ascii="Times New Roman" w:hAnsi="Times New Roman" w:cs="Times New Roman" w:eastAsia="Times New Roman"/>
                <w:sz w:val="24"/>
              </w:rPr>
              <w:t>3. odsek, ktorý sa začína slovami "Uvedený odhad predstavuje" takto:</w:t>
              <w:br/>
            </w:r>
            <w:r>
              <w:rPr>
                <w:b w:val="off"/>
                <w:color w:val="000000"/>
                <w:rFonts w:ascii="Times New Roman" w:hAnsi="Times New Roman" w:cs="Times New Roman" w:eastAsia="Times New Roman"/>
                <w:sz w:val="24"/>
              </w:rPr>
              <w:t>"Uvedený odhad predstavuje minimálny rámcový odhad počtu subjektov, ktorých sa zavedenie registra dotkne, a je potrebné ho vnímať s ohľadom na metodické odlišnosti dvoch zdrojov použitých pri analýze a ich interpretácie."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Výsledky prezentovanej komparatívnej analýzy majú obmedzenú výpovednú hodnotu z dôvodu, že neexistuje relevantný zdroj informácií o populácii ubytovacích zariadení v podmienkach SR. Autor analýzy vychádzal z verejne dostupných informácií o počte ubytovacích zariadení v regionálnom členení prezentovaných v databáze ŠÚ SR zostavených za populáciu podnikateľov a zo súkromného zdroja ubytovacích zariadení na portáli AirDNA.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Štatistický úrad SR je pripravený poskytnúť predkladateľovi súčinnosť pri tvorbe predmetnej analýzy.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 na podnikateľské prostredie</w:t>
              <w:br/>
            </w:r>
            <w:r>
              <w:rPr>
                <w:b w:val="off"/>
                <w:color w:val="000000"/>
                <w:rFonts w:ascii="Times New Roman" w:hAnsi="Times New Roman" w:cs="Times New Roman" w:eastAsia="Times New Roman"/>
                <w:sz w:val="24"/>
              </w:rPr>
              <w:t>Navrhujeme z dôvodu spresnenia v bode 3.1.3 Doplňujúce informácie k spôsobu výpočtu vplyvov jednotlivých regulácií na zmenu nákladov"  v odseku, ktorý sa začína slovami "Návrhom zákona o registri jednotiek"  druhej vete slová "pre krátkodobé prenájmy" nahradiť slovami „jednotiek pre poskytovanie služieb krátkodobého prenájmu ubytovania“ v súlade s § 1 predloženého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42 (42o,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13 (7o,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10 (0o,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121 (87o, 34z)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