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0088E" w14:textId="77777777" w:rsidR="00B30A3B" w:rsidRPr="00300366" w:rsidRDefault="00B30A3B" w:rsidP="00FB3A1F">
      <w:pPr>
        <w:pStyle w:val="Default"/>
        <w:spacing w:before="120"/>
        <w:jc w:val="center"/>
        <w:rPr>
          <w:b/>
          <w:bCs/>
        </w:rPr>
      </w:pPr>
      <w:r w:rsidRPr="00300366">
        <w:rPr>
          <w:b/>
          <w:bCs/>
        </w:rPr>
        <w:t>Návrh</w:t>
      </w:r>
    </w:p>
    <w:p w14:paraId="3A0509F3" w14:textId="77777777" w:rsidR="00B30A3B" w:rsidRPr="00300366" w:rsidRDefault="00B30A3B" w:rsidP="00B30A3B">
      <w:pPr>
        <w:pStyle w:val="Default"/>
        <w:spacing w:before="120"/>
        <w:jc w:val="center"/>
        <w:rPr>
          <w:b/>
          <w:bCs/>
        </w:rPr>
      </w:pPr>
      <w:r w:rsidRPr="00300366">
        <w:rPr>
          <w:b/>
          <w:bCs/>
        </w:rPr>
        <w:t>OPATRENIE</w:t>
      </w:r>
    </w:p>
    <w:p w14:paraId="6E5B8B5D" w14:textId="77777777" w:rsidR="00B30A3B" w:rsidRPr="00300366" w:rsidRDefault="00B30A3B" w:rsidP="00B30A3B">
      <w:pPr>
        <w:tabs>
          <w:tab w:val="left" w:pos="1800"/>
        </w:tabs>
        <w:autoSpaceDE w:val="0"/>
        <w:autoSpaceDN w:val="0"/>
        <w:adjustRightInd w:val="0"/>
        <w:spacing w:before="120"/>
        <w:jc w:val="center"/>
        <w:rPr>
          <w:szCs w:val="28"/>
        </w:rPr>
      </w:pPr>
    </w:p>
    <w:p w14:paraId="48FE51B1" w14:textId="77777777" w:rsidR="00B30A3B" w:rsidRPr="00300366" w:rsidRDefault="00B30A3B" w:rsidP="00B30A3B">
      <w:pPr>
        <w:tabs>
          <w:tab w:val="left" w:pos="1800"/>
        </w:tabs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300366">
        <w:rPr>
          <w:b/>
          <w:bCs/>
          <w:szCs w:val="28"/>
        </w:rPr>
        <w:t xml:space="preserve">Národnej banky Slovenska </w:t>
      </w:r>
    </w:p>
    <w:p w14:paraId="5F90C426" w14:textId="77777777" w:rsidR="00B30A3B" w:rsidRPr="00300366" w:rsidRDefault="00B30A3B" w:rsidP="00B30A3B">
      <w:pPr>
        <w:tabs>
          <w:tab w:val="left" w:pos="1800"/>
        </w:tabs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300366">
        <w:rPr>
          <w:b/>
          <w:bCs/>
          <w:szCs w:val="28"/>
        </w:rPr>
        <w:t>z ............ 20</w:t>
      </w:r>
      <w:r>
        <w:rPr>
          <w:b/>
          <w:bCs/>
          <w:szCs w:val="28"/>
        </w:rPr>
        <w:t>26</w:t>
      </w:r>
      <w:r w:rsidRPr="00300366">
        <w:rPr>
          <w:b/>
          <w:bCs/>
          <w:szCs w:val="28"/>
        </w:rPr>
        <w:t xml:space="preserve"> </w:t>
      </w:r>
    </w:p>
    <w:p w14:paraId="4FC1BF45" w14:textId="12EE941F" w:rsidR="00B30A3B" w:rsidRPr="0053020B" w:rsidRDefault="00B30A3B" w:rsidP="00B30A3B">
      <w:pPr>
        <w:tabs>
          <w:tab w:val="left" w:pos="1800"/>
        </w:tabs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722426">
        <w:rPr>
          <w:b/>
          <w:bCs/>
          <w:szCs w:val="28"/>
        </w:rPr>
        <w:t>o</w:t>
      </w:r>
      <w:r>
        <w:rPr>
          <w:b/>
          <w:bCs/>
          <w:szCs w:val="28"/>
        </w:rPr>
        <w:t xml:space="preserve"> miere nákladov na držbu použiteľných vlastných zdrojov a o absolútnej spodnej hranici </w:t>
      </w:r>
      <w:r w:rsidRPr="00300366">
        <w:rPr>
          <w:b/>
          <w:bCs/>
          <w:color w:val="303030"/>
        </w:rPr>
        <w:t>minimálnej kapitálovej požiadavky na solventnosť</w:t>
      </w:r>
      <w:r w:rsidR="00544F8B">
        <w:rPr>
          <w:b/>
          <w:bCs/>
          <w:color w:val="303030"/>
        </w:rPr>
        <w:t xml:space="preserve"> pre</w:t>
      </w:r>
      <w:r w:rsidRPr="00722426">
        <w:rPr>
          <w:b/>
          <w:bCs/>
          <w:szCs w:val="28"/>
        </w:rPr>
        <w:t xml:space="preserve"> poisťovne, na ktor</w:t>
      </w:r>
      <w:r w:rsidR="00544F8B">
        <w:rPr>
          <w:b/>
          <w:bCs/>
          <w:szCs w:val="28"/>
        </w:rPr>
        <w:t>é</w:t>
      </w:r>
      <w:r w:rsidRPr="00722426">
        <w:rPr>
          <w:b/>
          <w:bCs/>
          <w:szCs w:val="28"/>
        </w:rPr>
        <w:t xml:space="preserve"> sa neuplatňuje osobitný režim, a pre zaisťovne, pobočky zahraničných poisťovní a pobočky zahraničných zaisťovní</w:t>
      </w:r>
    </w:p>
    <w:p w14:paraId="56D38F42" w14:textId="77777777" w:rsidR="00B30A3B" w:rsidRPr="00300366" w:rsidRDefault="00B30A3B" w:rsidP="00B30A3B">
      <w:pPr>
        <w:autoSpaceDE w:val="0"/>
        <w:autoSpaceDN w:val="0"/>
        <w:adjustRightInd w:val="0"/>
        <w:spacing w:before="120"/>
        <w:ind w:firstLine="540"/>
        <w:jc w:val="center"/>
      </w:pPr>
    </w:p>
    <w:p w14:paraId="0D2BC4FA" w14:textId="39339BA7" w:rsidR="00B30A3B" w:rsidRPr="00300366" w:rsidRDefault="00B30A3B" w:rsidP="00B30A3B">
      <w:pPr>
        <w:autoSpaceDE w:val="0"/>
        <w:autoSpaceDN w:val="0"/>
        <w:adjustRightInd w:val="0"/>
        <w:spacing w:before="120"/>
        <w:ind w:firstLine="540"/>
        <w:jc w:val="both"/>
      </w:pPr>
      <w:r w:rsidRPr="00300366">
        <w:t xml:space="preserve">Národná banka Slovenska podľa § </w:t>
      </w:r>
      <w:r>
        <w:t>38 ods. 5</w:t>
      </w:r>
      <w:r w:rsidRPr="00300366">
        <w:t xml:space="preserve"> a § 63 ods. 3</w:t>
      </w:r>
      <w:r>
        <w:t xml:space="preserve"> </w:t>
      </w:r>
      <w:r w:rsidRPr="00300366">
        <w:t xml:space="preserve">zákona č. 39/2015 Z. z. o poisťovníctve a o zmene a doplnení niektorých zákonov </w:t>
      </w:r>
      <w:r w:rsidR="005366CA">
        <w:t xml:space="preserve">v znení zákona č. .../2026 Z. z. </w:t>
      </w:r>
      <w:r w:rsidRPr="00544F8B">
        <w:t>(ďalej len „zákon“)</w:t>
      </w:r>
      <w:r w:rsidRPr="00544F8B" w:rsidDel="00A70531">
        <w:t xml:space="preserve"> </w:t>
      </w:r>
      <w:r w:rsidRPr="00544F8B">
        <w:t xml:space="preserve"> </w:t>
      </w:r>
      <w:r w:rsidRPr="00300366">
        <w:t xml:space="preserve">ustanovuje: </w:t>
      </w:r>
    </w:p>
    <w:p w14:paraId="633050CF" w14:textId="77777777" w:rsidR="00B30A3B" w:rsidRDefault="00B30A3B" w:rsidP="0072325A">
      <w:pPr>
        <w:spacing w:before="120"/>
        <w:jc w:val="center"/>
        <w:outlineLvl w:val="4"/>
        <w:rPr>
          <w:b/>
          <w:bCs/>
          <w:color w:val="303030"/>
        </w:rPr>
      </w:pPr>
      <w:r w:rsidRPr="00300366">
        <w:rPr>
          <w:b/>
          <w:bCs/>
          <w:color w:val="303030"/>
        </w:rPr>
        <w:t xml:space="preserve">§ </w:t>
      </w:r>
      <w:r>
        <w:rPr>
          <w:b/>
          <w:bCs/>
          <w:color w:val="303030"/>
        </w:rPr>
        <w:t>1</w:t>
      </w:r>
    </w:p>
    <w:p w14:paraId="4F98F28F" w14:textId="77777777" w:rsidR="00B30A3B" w:rsidRDefault="00B30A3B" w:rsidP="0072325A">
      <w:pPr>
        <w:spacing w:before="120"/>
        <w:jc w:val="center"/>
        <w:outlineLvl w:val="4"/>
        <w:rPr>
          <w:b/>
          <w:bCs/>
          <w:color w:val="303030"/>
        </w:rPr>
      </w:pPr>
      <w:r w:rsidRPr="00180D96">
        <w:rPr>
          <w:b/>
          <w:bCs/>
          <w:color w:val="303030"/>
        </w:rPr>
        <w:t>Miera nákladov na držbu použiteľných vlastných zdrojov</w:t>
      </w:r>
    </w:p>
    <w:p w14:paraId="399E3E3A" w14:textId="77777777" w:rsidR="00B30A3B" w:rsidRDefault="00B30A3B" w:rsidP="00B30A3B">
      <w:pPr>
        <w:spacing w:before="240"/>
        <w:jc w:val="both"/>
        <w:outlineLvl w:val="4"/>
        <w:rPr>
          <w:color w:val="000000"/>
        </w:rPr>
      </w:pPr>
      <w:r>
        <w:rPr>
          <w:color w:val="000000"/>
        </w:rPr>
        <w:t>M</w:t>
      </w:r>
      <w:r w:rsidRPr="00180D96">
        <w:rPr>
          <w:color w:val="000000"/>
        </w:rPr>
        <w:t xml:space="preserve">iera nákladov na držbu použiteľných vlastných zdrojov </w:t>
      </w:r>
      <w:r>
        <w:rPr>
          <w:color w:val="000000"/>
        </w:rPr>
        <w:t xml:space="preserve">sa od 30. januára 2027 rovná 4,75%. </w:t>
      </w:r>
    </w:p>
    <w:p w14:paraId="1DB520B9" w14:textId="77777777" w:rsidR="00544F8B" w:rsidRDefault="00544F8B" w:rsidP="00B30A3B">
      <w:pPr>
        <w:spacing w:before="240"/>
        <w:jc w:val="both"/>
        <w:outlineLvl w:val="4"/>
        <w:rPr>
          <w:color w:val="000000"/>
        </w:rPr>
      </w:pPr>
    </w:p>
    <w:p w14:paraId="06C60E97" w14:textId="77777777" w:rsidR="00B30A3B" w:rsidRPr="00300366" w:rsidRDefault="00B30A3B" w:rsidP="0072325A">
      <w:pPr>
        <w:spacing w:before="120"/>
        <w:jc w:val="center"/>
        <w:outlineLvl w:val="4"/>
        <w:rPr>
          <w:b/>
          <w:bCs/>
          <w:color w:val="303030"/>
        </w:rPr>
      </w:pPr>
      <w:r w:rsidRPr="00300366">
        <w:rPr>
          <w:b/>
          <w:bCs/>
          <w:color w:val="303030"/>
        </w:rPr>
        <w:t xml:space="preserve">§ </w:t>
      </w:r>
      <w:r>
        <w:rPr>
          <w:b/>
          <w:bCs/>
          <w:color w:val="303030"/>
        </w:rPr>
        <w:t>2</w:t>
      </w:r>
    </w:p>
    <w:p w14:paraId="772A7053" w14:textId="77777777" w:rsidR="00B30A3B" w:rsidRPr="00300366" w:rsidRDefault="00B30A3B" w:rsidP="0072325A">
      <w:pPr>
        <w:spacing w:before="120"/>
        <w:jc w:val="center"/>
        <w:outlineLvl w:val="4"/>
        <w:rPr>
          <w:b/>
          <w:bCs/>
          <w:color w:val="303030"/>
        </w:rPr>
      </w:pPr>
      <w:r w:rsidRPr="00300366">
        <w:rPr>
          <w:b/>
          <w:bCs/>
          <w:color w:val="303030"/>
        </w:rPr>
        <w:t>Absolútna spodná hranica minimálnej kapitálovej požiadavky na solventnosť</w:t>
      </w:r>
    </w:p>
    <w:p w14:paraId="32240635" w14:textId="77777777" w:rsidR="00B30A3B" w:rsidRPr="00300366" w:rsidRDefault="00B30A3B" w:rsidP="00B30A3B">
      <w:pPr>
        <w:spacing w:before="120"/>
        <w:jc w:val="both"/>
        <w:rPr>
          <w:color w:val="000000"/>
        </w:rPr>
      </w:pPr>
      <w:r w:rsidRPr="00300366">
        <w:rPr>
          <w:color w:val="000000"/>
        </w:rPr>
        <w:t>(1) Absolútna spodná hranica minimálnej kapitálovej požiadavky na solventnosť</w:t>
      </w:r>
    </w:p>
    <w:p w14:paraId="2B0EE204" w14:textId="110D20B1" w:rsidR="00B30A3B" w:rsidRPr="00300366" w:rsidRDefault="00B30A3B" w:rsidP="00B30A3B">
      <w:pPr>
        <w:numPr>
          <w:ilvl w:val="0"/>
          <w:numId w:val="1"/>
        </w:numPr>
        <w:tabs>
          <w:tab w:val="left" w:pos="284"/>
        </w:tabs>
        <w:spacing w:before="120"/>
        <w:ind w:left="0" w:firstLine="0"/>
        <w:jc w:val="both"/>
        <w:rPr>
          <w:color w:val="000000"/>
        </w:rPr>
      </w:pPr>
      <w:r w:rsidRPr="00300366">
        <w:rPr>
          <w:color w:val="000000"/>
        </w:rPr>
        <w:t xml:space="preserve">poisťovne pre neživotné poistenie je 2 </w:t>
      </w:r>
      <w:r>
        <w:rPr>
          <w:color w:val="000000"/>
        </w:rPr>
        <w:t>7</w:t>
      </w:r>
      <w:r w:rsidRPr="00300366">
        <w:rPr>
          <w:color w:val="000000"/>
        </w:rPr>
        <w:t>00 000 eur</w:t>
      </w:r>
      <w:r>
        <w:rPr>
          <w:color w:val="000000"/>
        </w:rPr>
        <w:t xml:space="preserve"> </w:t>
      </w:r>
      <w:r w:rsidRPr="00610124">
        <w:rPr>
          <w:color w:val="000000"/>
        </w:rPr>
        <w:t xml:space="preserve">vrátane </w:t>
      </w:r>
      <w:proofErr w:type="spellStart"/>
      <w:r w:rsidRPr="00610124">
        <w:rPr>
          <w:color w:val="000000"/>
        </w:rPr>
        <w:t>kaptívnych</w:t>
      </w:r>
      <w:proofErr w:type="spellEnd"/>
      <w:r w:rsidRPr="00610124">
        <w:rPr>
          <w:color w:val="000000"/>
        </w:rPr>
        <w:t xml:space="preserve"> poisťovní</w:t>
      </w:r>
      <w:r w:rsidRPr="00300366">
        <w:rPr>
          <w:color w:val="000000"/>
        </w:rPr>
        <w:t xml:space="preserve"> okrem prípadu</w:t>
      </w:r>
      <w:r>
        <w:rPr>
          <w:color w:val="000000"/>
        </w:rPr>
        <w:t>,</w:t>
      </w:r>
      <w:r w:rsidRPr="00300366">
        <w:rPr>
          <w:color w:val="000000"/>
        </w:rPr>
        <w:t xml:space="preserve"> ak kryje riziká neživotného poistenia v poistných odvetviach uvedených v bodoch 10 až 15</w:t>
      </w:r>
      <w:r>
        <w:rPr>
          <w:color w:val="000000"/>
        </w:rPr>
        <w:t xml:space="preserve"> </w:t>
      </w:r>
      <w:r w:rsidRPr="00300366">
        <w:rPr>
          <w:color w:val="000000"/>
        </w:rPr>
        <w:t>príloh</w:t>
      </w:r>
      <w:r>
        <w:rPr>
          <w:color w:val="000000"/>
        </w:rPr>
        <w:t>y</w:t>
      </w:r>
      <w:r w:rsidRPr="00300366">
        <w:rPr>
          <w:color w:val="000000"/>
        </w:rPr>
        <w:t xml:space="preserve"> č. 1 časti A</w:t>
      </w:r>
      <w:r>
        <w:rPr>
          <w:color w:val="000000"/>
        </w:rPr>
        <w:t> zákona, kedy je táto</w:t>
      </w:r>
      <w:r w:rsidRPr="00300366">
        <w:rPr>
          <w:color w:val="000000"/>
        </w:rPr>
        <w:t xml:space="preserve"> </w:t>
      </w:r>
      <w:r>
        <w:rPr>
          <w:color w:val="000000"/>
        </w:rPr>
        <w:t>spodná hranica</w:t>
      </w:r>
      <w:r w:rsidRPr="00300366">
        <w:rPr>
          <w:color w:val="000000"/>
        </w:rPr>
        <w:t xml:space="preserve"> </w:t>
      </w:r>
      <w:r>
        <w:t xml:space="preserve">4 000 000 </w:t>
      </w:r>
      <w:r w:rsidRPr="00300366">
        <w:rPr>
          <w:color w:val="000000"/>
        </w:rPr>
        <w:t xml:space="preserve"> eur, </w:t>
      </w:r>
    </w:p>
    <w:p w14:paraId="75018738" w14:textId="77777777" w:rsidR="00B30A3B" w:rsidRPr="00300366" w:rsidRDefault="00B30A3B" w:rsidP="00B30A3B">
      <w:pPr>
        <w:numPr>
          <w:ilvl w:val="0"/>
          <w:numId w:val="1"/>
        </w:numPr>
        <w:tabs>
          <w:tab w:val="left" w:pos="284"/>
        </w:tabs>
        <w:spacing w:before="120"/>
        <w:ind w:left="0" w:firstLine="0"/>
        <w:jc w:val="both"/>
        <w:rPr>
          <w:color w:val="000000"/>
        </w:rPr>
      </w:pPr>
      <w:r w:rsidRPr="00300366">
        <w:rPr>
          <w:color w:val="000000"/>
        </w:rPr>
        <w:t xml:space="preserve">poisťovne pre životné poistenie je </w:t>
      </w:r>
      <w:r>
        <w:rPr>
          <w:color w:val="000000"/>
        </w:rPr>
        <w:t>4</w:t>
      </w:r>
      <w:r w:rsidRPr="00300366">
        <w:rPr>
          <w:color w:val="000000"/>
        </w:rPr>
        <w:t xml:space="preserve"> </w:t>
      </w:r>
      <w:r>
        <w:rPr>
          <w:color w:val="000000"/>
        </w:rPr>
        <w:t>0</w:t>
      </w:r>
      <w:r w:rsidRPr="00300366">
        <w:rPr>
          <w:color w:val="000000"/>
        </w:rPr>
        <w:t>00 000 eur</w:t>
      </w:r>
      <w:r>
        <w:rPr>
          <w:color w:val="000000"/>
        </w:rPr>
        <w:t xml:space="preserve"> </w:t>
      </w:r>
      <w:r w:rsidRPr="00610124">
        <w:rPr>
          <w:color w:val="000000"/>
        </w:rPr>
        <w:t xml:space="preserve">vrátane </w:t>
      </w:r>
      <w:proofErr w:type="spellStart"/>
      <w:r w:rsidRPr="00610124">
        <w:rPr>
          <w:color w:val="000000"/>
        </w:rPr>
        <w:t>kaptívnych</w:t>
      </w:r>
      <w:proofErr w:type="spellEnd"/>
      <w:r w:rsidRPr="00610124">
        <w:rPr>
          <w:color w:val="000000"/>
        </w:rPr>
        <w:t xml:space="preserve"> poisťovní</w:t>
      </w:r>
      <w:r w:rsidRPr="00300366">
        <w:rPr>
          <w:color w:val="000000"/>
        </w:rPr>
        <w:t>,</w:t>
      </w:r>
    </w:p>
    <w:p w14:paraId="56AD7264" w14:textId="77777777" w:rsidR="00B30A3B" w:rsidRDefault="00B30A3B" w:rsidP="00B30A3B">
      <w:pPr>
        <w:numPr>
          <w:ilvl w:val="0"/>
          <w:numId w:val="1"/>
        </w:numPr>
        <w:tabs>
          <w:tab w:val="left" w:pos="284"/>
        </w:tabs>
        <w:spacing w:before="120"/>
        <w:ind w:left="0" w:firstLine="0"/>
        <w:jc w:val="both"/>
        <w:rPr>
          <w:color w:val="000000"/>
        </w:rPr>
      </w:pPr>
      <w:r w:rsidRPr="00300366">
        <w:rPr>
          <w:color w:val="000000"/>
        </w:rPr>
        <w:t xml:space="preserve">zaisťovne </w:t>
      </w:r>
      <w:r>
        <w:rPr>
          <w:color w:val="000000"/>
        </w:rPr>
        <w:t>je 3 900 000 eur,</w:t>
      </w:r>
    </w:p>
    <w:p w14:paraId="570A5AB1" w14:textId="77777777" w:rsidR="00B30A3B" w:rsidRPr="00300366" w:rsidRDefault="00B30A3B" w:rsidP="00B30A3B">
      <w:pPr>
        <w:numPr>
          <w:ilvl w:val="0"/>
          <w:numId w:val="1"/>
        </w:numPr>
        <w:tabs>
          <w:tab w:val="left" w:pos="284"/>
        </w:tabs>
        <w:spacing w:before="120"/>
        <w:ind w:left="0" w:firstLine="0"/>
        <w:jc w:val="both"/>
        <w:rPr>
          <w:color w:val="000000"/>
        </w:rPr>
      </w:pPr>
      <w:proofErr w:type="spellStart"/>
      <w:r>
        <w:rPr>
          <w:color w:val="000000"/>
        </w:rPr>
        <w:t>kaptívnej</w:t>
      </w:r>
      <w:proofErr w:type="spellEnd"/>
      <w:r w:rsidRPr="00610124">
        <w:rPr>
          <w:color w:val="000000"/>
        </w:rPr>
        <w:t xml:space="preserve"> zaisťovne je </w:t>
      </w:r>
      <w:r>
        <w:rPr>
          <w:color w:val="000000"/>
        </w:rPr>
        <w:t>1</w:t>
      </w:r>
      <w:r w:rsidRPr="00610124">
        <w:rPr>
          <w:color w:val="000000"/>
        </w:rPr>
        <w:t xml:space="preserve"> </w:t>
      </w:r>
      <w:r>
        <w:rPr>
          <w:color w:val="000000"/>
        </w:rPr>
        <w:t>3</w:t>
      </w:r>
      <w:r w:rsidRPr="00610124">
        <w:rPr>
          <w:color w:val="000000"/>
        </w:rPr>
        <w:t>00 000 eur</w:t>
      </w:r>
      <w:r>
        <w:rPr>
          <w:color w:val="000000"/>
        </w:rPr>
        <w:t>.</w:t>
      </w:r>
    </w:p>
    <w:p w14:paraId="5746C1FB" w14:textId="7422B076" w:rsidR="0001771E" w:rsidRDefault="00B30A3B" w:rsidP="00FB3A1F">
      <w:pPr>
        <w:spacing w:before="120"/>
        <w:jc w:val="both"/>
        <w:rPr>
          <w:color w:val="000000"/>
        </w:rPr>
      </w:pPr>
      <w:r w:rsidRPr="00300366">
        <w:rPr>
          <w:color w:val="000000"/>
        </w:rPr>
        <w:t xml:space="preserve">(2) Ak poisťovňa vykonáva súčasne životné poistenie a neživotné poistenie podľa § 6 ods. 7 písm. c) </w:t>
      </w:r>
      <w:r>
        <w:rPr>
          <w:color w:val="000000"/>
        </w:rPr>
        <w:t>zákona,</w:t>
      </w:r>
      <w:r w:rsidRPr="00300366">
        <w:rPr>
          <w:color w:val="000000"/>
        </w:rPr>
        <w:t xml:space="preserve"> </w:t>
      </w:r>
      <w:r>
        <w:rPr>
          <w:color w:val="000000"/>
        </w:rPr>
        <w:t>a</w:t>
      </w:r>
      <w:r w:rsidRPr="004872DE">
        <w:rPr>
          <w:color w:val="000000"/>
        </w:rPr>
        <w:t xml:space="preserve">bsolútna spodná hranica minimálnej kapitálovej požiadavky na solventnosť </w:t>
      </w:r>
      <w:r w:rsidRPr="00300366">
        <w:rPr>
          <w:color w:val="000000"/>
        </w:rPr>
        <w:t>sa určuje vo výške súčtu súm uvedených v ods</w:t>
      </w:r>
      <w:r>
        <w:rPr>
          <w:color w:val="000000"/>
        </w:rPr>
        <w:t>eku</w:t>
      </w:r>
      <w:r w:rsidRPr="00300366">
        <w:rPr>
          <w:color w:val="000000"/>
        </w:rPr>
        <w:t xml:space="preserve"> 1 písm. a) a b). </w:t>
      </w:r>
    </w:p>
    <w:p w14:paraId="39A0DC6A" w14:textId="77777777" w:rsidR="00FB3A1F" w:rsidRPr="00FB3A1F" w:rsidRDefault="00FB3A1F" w:rsidP="00FB3A1F">
      <w:pPr>
        <w:spacing w:before="120"/>
        <w:jc w:val="both"/>
        <w:rPr>
          <w:color w:val="000000"/>
        </w:rPr>
      </w:pPr>
    </w:p>
    <w:p w14:paraId="22C06167" w14:textId="77777777" w:rsidR="00005572" w:rsidRDefault="00544F8B" w:rsidP="0072325A">
      <w:pPr>
        <w:spacing w:before="120"/>
        <w:jc w:val="center"/>
        <w:outlineLvl w:val="4"/>
        <w:rPr>
          <w:b/>
          <w:bCs/>
          <w:color w:val="303030"/>
        </w:rPr>
      </w:pPr>
      <w:r w:rsidRPr="00544F8B">
        <w:rPr>
          <w:b/>
          <w:bCs/>
          <w:color w:val="303030"/>
        </w:rPr>
        <w:t xml:space="preserve">§ </w:t>
      </w:r>
      <w:r w:rsidR="00FB3A1F">
        <w:rPr>
          <w:b/>
          <w:bCs/>
          <w:color w:val="303030"/>
        </w:rPr>
        <w:t>3</w:t>
      </w:r>
    </w:p>
    <w:p w14:paraId="10B21129" w14:textId="77777777" w:rsidR="00005572" w:rsidRDefault="00005572" w:rsidP="0072325A">
      <w:pPr>
        <w:spacing w:before="120"/>
        <w:jc w:val="center"/>
        <w:outlineLvl w:val="4"/>
        <w:rPr>
          <w:b/>
          <w:bCs/>
          <w:color w:val="303030"/>
        </w:rPr>
      </w:pPr>
      <w:r w:rsidRPr="00005572">
        <w:t xml:space="preserve"> </w:t>
      </w:r>
      <w:r w:rsidRPr="00005572">
        <w:rPr>
          <w:b/>
          <w:bCs/>
          <w:color w:val="303030"/>
        </w:rPr>
        <w:t>Záverečné ustanovenie</w:t>
      </w:r>
    </w:p>
    <w:p w14:paraId="0734DB78" w14:textId="7B31AC67" w:rsidR="00544F8B" w:rsidRPr="00AD6574" w:rsidRDefault="00005572" w:rsidP="00AD6574">
      <w:pPr>
        <w:spacing w:before="120"/>
        <w:jc w:val="both"/>
        <w:outlineLvl w:val="4"/>
        <w:rPr>
          <w:color w:val="303030"/>
        </w:rPr>
      </w:pPr>
      <w:r w:rsidRPr="00AD6574">
        <w:rPr>
          <w:color w:val="303030"/>
        </w:rPr>
        <w:t xml:space="preserve">Týmto opatrením sa preberajú právne záväzné akty Európskej únie uvedené v prílohe.  </w:t>
      </w:r>
    </w:p>
    <w:p w14:paraId="2EC0B813" w14:textId="77777777" w:rsidR="00005572" w:rsidRDefault="00005572" w:rsidP="0072325A">
      <w:pPr>
        <w:spacing w:before="120"/>
        <w:jc w:val="center"/>
        <w:outlineLvl w:val="4"/>
        <w:rPr>
          <w:b/>
          <w:bCs/>
          <w:color w:val="303030"/>
        </w:rPr>
      </w:pPr>
    </w:p>
    <w:p w14:paraId="404A467C" w14:textId="77777777" w:rsidR="00005572" w:rsidRDefault="00005572" w:rsidP="0072325A">
      <w:pPr>
        <w:spacing w:before="120"/>
        <w:jc w:val="center"/>
        <w:outlineLvl w:val="4"/>
        <w:rPr>
          <w:b/>
          <w:bCs/>
          <w:color w:val="303030"/>
        </w:rPr>
      </w:pPr>
      <w:r w:rsidRPr="00544F8B">
        <w:rPr>
          <w:b/>
          <w:bCs/>
          <w:color w:val="303030"/>
        </w:rPr>
        <w:t xml:space="preserve">§ </w:t>
      </w:r>
      <w:r>
        <w:rPr>
          <w:b/>
          <w:bCs/>
          <w:color w:val="303030"/>
        </w:rPr>
        <w:t>4</w:t>
      </w:r>
    </w:p>
    <w:p w14:paraId="1EA13570" w14:textId="46F50193" w:rsidR="00B30A3B" w:rsidRPr="00300366" w:rsidRDefault="00B30A3B" w:rsidP="0072325A">
      <w:pPr>
        <w:spacing w:before="120"/>
        <w:jc w:val="center"/>
        <w:outlineLvl w:val="4"/>
        <w:rPr>
          <w:b/>
          <w:bCs/>
          <w:color w:val="303030"/>
        </w:rPr>
      </w:pPr>
      <w:r w:rsidRPr="00300366">
        <w:rPr>
          <w:b/>
          <w:bCs/>
          <w:color w:val="303030"/>
        </w:rPr>
        <w:t>Účinnosť</w:t>
      </w:r>
    </w:p>
    <w:p w14:paraId="298BDDE9" w14:textId="77777777" w:rsidR="00B30A3B" w:rsidRPr="00300366" w:rsidRDefault="00B30A3B" w:rsidP="0072325A">
      <w:pPr>
        <w:spacing w:before="120"/>
        <w:ind w:firstLine="709"/>
        <w:rPr>
          <w:color w:val="000000"/>
        </w:rPr>
      </w:pPr>
      <w:r w:rsidRPr="00300366">
        <w:rPr>
          <w:color w:val="000000"/>
        </w:rPr>
        <w:t xml:space="preserve">Toto opatrenie nadobúda účinnosť </w:t>
      </w:r>
      <w:r>
        <w:rPr>
          <w:color w:val="000000"/>
        </w:rPr>
        <w:t>30</w:t>
      </w:r>
      <w:r w:rsidRPr="00300366">
        <w:rPr>
          <w:color w:val="000000"/>
        </w:rPr>
        <w:t>. januára 20</w:t>
      </w:r>
      <w:r>
        <w:rPr>
          <w:color w:val="000000"/>
        </w:rPr>
        <w:t>27</w:t>
      </w:r>
      <w:r w:rsidRPr="00300366">
        <w:rPr>
          <w:color w:val="000000"/>
        </w:rPr>
        <w:t>.</w:t>
      </w:r>
    </w:p>
    <w:p w14:paraId="1090042B" w14:textId="77777777" w:rsidR="00994B7E" w:rsidRDefault="00994B7E" w:rsidP="00994B7E">
      <w:pPr>
        <w:tabs>
          <w:tab w:val="left" w:pos="284"/>
        </w:tabs>
        <w:spacing w:before="120"/>
        <w:rPr>
          <w:b/>
          <w:bCs/>
          <w:color w:val="404040"/>
        </w:rPr>
      </w:pPr>
    </w:p>
    <w:p w14:paraId="308F4DA3" w14:textId="62CDE9D2" w:rsidR="00005572" w:rsidRDefault="00005572" w:rsidP="00994B7E">
      <w:pPr>
        <w:tabs>
          <w:tab w:val="left" w:pos="284"/>
        </w:tabs>
        <w:spacing w:before="120"/>
        <w:jc w:val="right"/>
      </w:pPr>
      <w:r w:rsidRPr="00005572">
        <w:lastRenderedPageBreak/>
        <w:t xml:space="preserve">Príloha k opatreniu č. </w:t>
      </w:r>
      <w:r w:rsidR="00AD6574">
        <w:t>....</w:t>
      </w:r>
      <w:r w:rsidR="00544575">
        <w:t>/</w:t>
      </w:r>
      <w:r w:rsidR="00AD6574">
        <w:t>2026</w:t>
      </w:r>
    </w:p>
    <w:p w14:paraId="651C0715" w14:textId="77777777" w:rsidR="00AD6574" w:rsidRDefault="00AD6574" w:rsidP="00AD6574">
      <w:pPr>
        <w:tabs>
          <w:tab w:val="left" w:pos="284"/>
        </w:tabs>
        <w:spacing w:before="120"/>
        <w:jc w:val="right"/>
      </w:pPr>
    </w:p>
    <w:p w14:paraId="78C6DFB5" w14:textId="77777777" w:rsidR="00005572" w:rsidRDefault="00005572" w:rsidP="0072325A">
      <w:pPr>
        <w:tabs>
          <w:tab w:val="left" w:pos="284"/>
        </w:tabs>
        <w:spacing w:before="120"/>
        <w:jc w:val="center"/>
      </w:pPr>
      <w:r w:rsidRPr="00005572">
        <w:t>Zoznam preberaných právne záväzných aktov Európskej únie</w:t>
      </w:r>
    </w:p>
    <w:p w14:paraId="5D82D638" w14:textId="164E1CCB" w:rsidR="0089248D" w:rsidRPr="00300366" w:rsidRDefault="00005572" w:rsidP="00AD6574">
      <w:pPr>
        <w:tabs>
          <w:tab w:val="left" w:pos="284"/>
        </w:tabs>
        <w:spacing w:before="120"/>
        <w:jc w:val="both"/>
      </w:pPr>
      <w:r w:rsidRPr="00005572">
        <w:t>Smernica Európskeho parlamentu a Rady 2009/138/ES z 25. novembra 2009 o začatí a vykonávaní poistenia a zaistenia (Solventnosť II) (prepracované znenie) (Ú. v. E</w:t>
      </w:r>
      <w:r w:rsidR="0054057C">
        <w:t>Ú</w:t>
      </w:r>
      <w:r w:rsidRPr="00005572">
        <w:t xml:space="preserve"> L 335, 17.12.2009) v</w:t>
      </w:r>
      <w:r w:rsidR="00AD6574">
        <w:t> </w:t>
      </w:r>
      <w:r w:rsidRPr="00005572">
        <w:t>znen</w:t>
      </w:r>
      <w:r>
        <w:t>í</w:t>
      </w:r>
      <w:r w:rsidR="00AD6574">
        <w:t xml:space="preserve"> </w:t>
      </w:r>
      <w:r w:rsidR="0089248D">
        <w:t>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2011/89/EÚ zo 16. novembra 2011</w:t>
      </w:r>
      <w:r w:rsidR="00D94FCC">
        <w:t xml:space="preserve"> (</w:t>
      </w:r>
      <w:r w:rsidR="00D94FCC" w:rsidRPr="00D94FCC">
        <w:t>Ú. v. EÚ L 326, 8.12.2011</w:t>
      </w:r>
      <w:r w:rsidR="00D94FCC">
        <w:t>)</w:t>
      </w:r>
      <w:r w:rsidR="0089248D">
        <w:t>,</w:t>
      </w:r>
      <w:r w:rsidR="0089248D" w:rsidRPr="0089248D">
        <w:t xml:space="preserve"> </w:t>
      </w:r>
      <w:r w:rsidR="0089248D">
        <w:t>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2012/23/EÚ z 12. septembra 2012</w:t>
      </w:r>
      <w:r w:rsidR="00D94FCC">
        <w:t xml:space="preserve"> (</w:t>
      </w:r>
      <w:r w:rsidR="00D94FCC" w:rsidRPr="00D94FCC">
        <w:t>Ú. v. EÚ L 249, 14.9.2012</w:t>
      </w:r>
      <w:r w:rsidR="00D94FCC">
        <w:t>)</w:t>
      </w:r>
      <w:r w:rsidR="0089248D">
        <w:t>,</w:t>
      </w:r>
      <w:r w:rsidR="0089248D" w:rsidRPr="0089248D">
        <w:t xml:space="preserve"> </w:t>
      </w:r>
      <w:r w:rsidR="0089248D">
        <w:t>s</w:t>
      </w:r>
      <w:r w:rsidR="0089248D" w:rsidRPr="0089248D">
        <w:t>mernic</w:t>
      </w:r>
      <w:r w:rsidR="0089248D">
        <w:t>e</w:t>
      </w:r>
      <w:r w:rsidR="0089248D" w:rsidRPr="0089248D">
        <w:t xml:space="preserve"> Rady 2013/23/EÚ z 13. mája 2013</w:t>
      </w:r>
      <w:r w:rsidR="00D94FCC">
        <w:t xml:space="preserve"> (</w:t>
      </w:r>
      <w:r w:rsidR="00D94FCC" w:rsidRPr="00D94FCC">
        <w:t>Ú. v. EÚ L 158, 10.6.2013</w:t>
      </w:r>
      <w:r w:rsidR="00D94FCC">
        <w:t>)</w:t>
      </w:r>
      <w:r w:rsidR="0089248D">
        <w:t>, 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2013/58/EÚ z 11. decembra 2013</w:t>
      </w:r>
      <w:r w:rsidR="00D94FCC">
        <w:t xml:space="preserve"> (</w:t>
      </w:r>
      <w:r w:rsidR="00D94FCC" w:rsidRPr="00D94FCC">
        <w:t>Ú. v. EÚ L 341, 18.12.2013</w:t>
      </w:r>
      <w:r w:rsidR="00D94FCC">
        <w:t>)</w:t>
      </w:r>
      <w:r w:rsidR="0089248D">
        <w:t>,</w:t>
      </w:r>
      <w:r w:rsidR="0089248D" w:rsidRPr="0089248D">
        <w:t xml:space="preserve"> </w:t>
      </w:r>
      <w:r w:rsidR="0089248D">
        <w:t>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2014/51/EÚ zo 16. apríla 2014</w:t>
      </w:r>
      <w:r w:rsidR="00D94FCC">
        <w:t xml:space="preserve"> (</w:t>
      </w:r>
      <w:r w:rsidR="00D94FCC" w:rsidRPr="00D94FCC">
        <w:t>Ú. v. EÚ L 153, 22.5.2014</w:t>
      </w:r>
      <w:r w:rsidR="00D94FCC">
        <w:t>)</w:t>
      </w:r>
      <w:r w:rsidR="0089248D">
        <w:t>, 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(EÚ) 2016/2341 zo 14. decembra 2016</w:t>
      </w:r>
      <w:r w:rsidR="00D94FCC">
        <w:t xml:space="preserve"> (</w:t>
      </w:r>
      <w:r w:rsidR="00D94FCC" w:rsidRPr="00D94FCC">
        <w:t>Ú. v. EÚ L 354, 23.12.2016</w:t>
      </w:r>
      <w:r w:rsidR="00D94FCC">
        <w:t>)</w:t>
      </w:r>
      <w:r w:rsidR="0089248D">
        <w:t>, n</w:t>
      </w:r>
      <w:r w:rsidR="0089248D" w:rsidRPr="0089248D">
        <w:t>ariadeni</w:t>
      </w:r>
      <w:r w:rsidR="0089248D">
        <w:t>a</w:t>
      </w:r>
      <w:r w:rsidR="0089248D" w:rsidRPr="0089248D">
        <w:t xml:space="preserve"> Európskeho parlamentu a Rady (EÚ) 2017/2402 z 12. decembra 2017</w:t>
      </w:r>
      <w:r w:rsidR="00D94FCC">
        <w:t xml:space="preserve"> (</w:t>
      </w:r>
      <w:r w:rsidR="00D94FCC" w:rsidRPr="00D94FCC">
        <w:t>Ú. v. EÚ L 347, 28.12.2017</w:t>
      </w:r>
      <w:r w:rsidR="00D94FCC">
        <w:t>)</w:t>
      </w:r>
      <w:r w:rsidR="0089248D">
        <w:t>, 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(EÚ) 2018/843 z 30. mája 2018</w:t>
      </w:r>
      <w:r w:rsidR="00D94FCC">
        <w:t xml:space="preserve"> </w:t>
      </w:r>
      <w:r w:rsidR="00B81F4F">
        <w:t>(</w:t>
      </w:r>
      <w:r w:rsidR="00D94FCC" w:rsidRPr="00D94FCC">
        <w:t>Ú. v. EÚ L 156, 19.6.2018</w:t>
      </w:r>
      <w:r w:rsidR="00D94FCC">
        <w:t>)</w:t>
      </w:r>
      <w:r w:rsidR="0089248D">
        <w:t>, 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(EÚ) 2019/2177 z 18. decembra 2019</w:t>
      </w:r>
      <w:r w:rsidR="00B81F4F">
        <w:t xml:space="preserve"> (</w:t>
      </w:r>
      <w:r w:rsidR="00B81F4F" w:rsidRPr="00B81F4F">
        <w:t>Ú. v. EÚ L 334, 27.12.2019</w:t>
      </w:r>
      <w:r w:rsidR="00B81F4F">
        <w:t>)</w:t>
      </w:r>
      <w:r w:rsidR="0089248D">
        <w:t>, 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(EÚ) 2022/2556 zo 14. decembra 2022</w:t>
      </w:r>
      <w:r w:rsidR="00B81F4F">
        <w:t xml:space="preserve"> (</w:t>
      </w:r>
      <w:r w:rsidR="00B81F4F" w:rsidRPr="00B81F4F">
        <w:t>Ú. v. EÚ L 333, 27.12.2022</w:t>
      </w:r>
      <w:r w:rsidR="00B81F4F">
        <w:t>)</w:t>
      </w:r>
      <w:r w:rsidR="0089248D">
        <w:t>, 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(EÚ) 2023/2864 z 13. decembra 2023</w:t>
      </w:r>
      <w:r w:rsidR="00B81F4F">
        <w:t xml:space="preserve"> (</w:t>
      </w:r>
      <w:r w:rsidR="00B81F4F" w:rsidRPr="00B81F4F">
        <w:t>Ú. v. EÚ L, 2023/2864, 20.12.2023</w:t>
      </w:r>
      <w:r w:rsidR="00B81F4F">
        <w:t>)</w:t>
      </w:r>
      <w:r w:rsidR="0089248D">
        <w:t xml:space="preserve"> a s</w:t>
      </w:r>
      <w:r w:rsidR="0089248D" w:rsidRPr="0089248D">
        <w:t>mernic</w:t>
      </w:r>
      <w:r w:rsidR="0089248D">
        <w:t>e</w:t>
      </w:r>
      <w:r w:rsidR="0089248D" w:rsidRPr="0089248D">
        <w:t xml:space="preserve"> Európskeho parlamentu a Rady (EÚ) 2025/2 z 27. novembra 2024</w:t>
      </w:r>
      <w:r w:rsidR="00B81F4F">
        <w:t xml:space="preserve"> (</w:t>
      </w:r>
      <w:r w:rsidR="00B81F4F" w:rsidRPr="00B81F4F">
        <w:t>Ú. v. EÚ L, 2025/2, 8.1.2025</w:t>
      </w:r>
      <w:r w:rsidR="00B81F4F">
        <w:t>)</w:t>
      </w:r>
      <w:r w:rsidR="0089248D">
        <w:t>.</w:t>
      </w:r>
    </w:p>
    <w:sectPr w:rsidR="0089248D" w:rsidRPr="0030036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82CDF" w14:textId="77777777" w:rsidR="00A41055" w:rsidRDefault="00A41055" w:rsidP="0009480D">
      <w:r>
        <w:separator/>
      </w:r>
    </w:p>
  </w:endnote>
  <w:endnote w:type="continuationSeparator" w:id="0">
    <w:p w14:paraId="41BDB1B1" w14:textId="77777777" w:rsidR="00A41055" w:rsidRDefault="00A41055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D3CC2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6AFFF" w14:textId="77777777" w:rsidR="00A41055" w:rsidRDefault="00A41055" w:rsidP="0009480D">
      <w:r>
        <w:separator/>
      </w:r>
    </w:p>
  </w:footnote>
  <w:footnote w:type="continuationSeparator" w:id="0">
    <w:p w14:paraId="702E86E7" w14:textId="77777777" w:rsidR="00A41055" w:rsidRDefault="00A41055" w:rsidP="00094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3782"/>
    <w:multiLevelType w:val="hybridMultilevel"/>
    <w:tmpl w:val="6884FE5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C5870"/>
    <w:multiLevelType w:val="hybridMultilevel"/>
    <w:tmpl w:val="93944070"/>
    <w:lvl w:ilvl="0" w:tplc="81842B90">
      <w:start w:val="2"/>
      <w:numFmt w:val="bullet"/>
      <w:lvlText w:val="−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85C96"/>
    <w:multiLevelType w:val="hybridMultilevel"/>
    <w:tmpl w:val="23306A60"/>
    <w:lvl w:ilvl="0" w:tplc="041B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5394C"/>
    <w:multiLevelType w:val="hybridMultilevel"/>
    <w:tmpl w:val="C2CEF628"/>
    <w:lvl w:ilvl="0" w:tplc="A8D0BB6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170B1E"/>
    <w:multiLevelType w:val="hybridMultilevel"/>
    <w:tmpl w:val="15165288"/>
    <w:lvl w:ilvl="0" w:tplc="F590477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3068A"/>
    <w:multiLevelType w:val="hybridMultilevel"/>
    <w:tmpl w:val="793C862C"/>
    <w:lvl w:ilvl="0" w:tplc="AD98344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75C20"/>
    <w:multiLevelType w:val="hybridMultilevel"/>
    <w:tmpl w:val="26E2EE90"/>
    <w:lvl w:ilvl="0" w:tplc="AD98344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57C7C"/>
    <w:multiLevelType w:val="hybridMultilevel"/>
    <w:tmpl w:val="F8BCC76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60C68"/>
    <w:multiLevelType w:val="hybridMultilevel"/>
    <w:tmpl w:val="1026D2D0"/>
    <w:lvl w:ilvl="0" w:tplc="26700A9A">
      <w:start w:val="2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526614">
    <w:abstractNumId w:val="7"/>
  </w:num>
  <w:num w:numId="2" w16cid:durableId="790435266">
    <w:abstractNumId w:val="5"/>
  </w:num>
  <w:num w:numId="3" w16cid:durableId="1292320046">
    <w:abstractNumId w:val="3"/>
  </w:num>
  <w:num w:numId="4" w16cid:durableId="357971817">
    <w:abstractNumId w:val="4"/>
  </w:num>
  <w:num w:numId="5" w16cid:durableId="2057194794">
    <w:abstractNumId w:val="8"/>
  </w:num>
  <w:num w:numId="6" w16cid:durableId="1471362189">
    <w:abstractNumId w:val="1"/>
  </w:num>
  <w:num w:numId="7" w16cid:durableId="1948000303">
    <w:abstractNumId w:val="6"/>
  </w:num>
  <w:num w:numId="8" w16cid:durableId="546721951">
    <w:abstractNumId w:val="0"/>
  </w:num>
  <w:num w:numId="9" w16cid:durableId="1673953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A3B"/>
    <w:rsid w:val="00005572"/>
    <w:rsid w:val="0001771E"/>
    <w:rsid w:val="00075AB5"/>
    <w:rsid w:val="00084C36"/>
    <w:rsid w:val="0009480D"/>
    <w:rsid w:val="000967FF"/>
    <w:rsid w:val="00130860"/>
    <w:rsid w:val="001663B6"/>
    <w:rsid w:val="001A694C"/>
    <w:rsid w:val="001D01FE"/>
    <w:rsid w:val="001D5F9F"/>
    <w:rsid w:val="00225679"/>
    <w:rsid w:val="002B4CD0"/>
    <w:rsid w:val="002B5866"/>
    <w:rsid w:val="003636B5"/>
    <w:rsid w:val="00384CF5"/>
    <w:rsid w:val="00392F01"/>
    <w:rsid w:val="003A6E45"/>
    <w:rsid w:val="003D06AC"/>
    <w:rsid w:val="004100B0"/>
    <w:rsid w:val="00413042"/>
    <w:rsid w:val="00445B18"/>
    <w:rsid w:val="004B14FD"/>
    <w:rsid w:val="004C61E7"/>
    <w:rsid w:val="004D705B"/>
    <w:rsid w:val="004D7E2D"/>
    <w:rsid w:val="0051559D"/>
    <w:rsid w:val="005316F2"/>
    <w:rsid w:val="005366CA"/>
    <w:rsid w:val="0054057C"/>
    <w:rsid w:val="00544575"/>
    <w:rsid w:val="00544F8B"/>
    <w:rsid w:val="00564381"/>
    <w:rsid w:val="005939CC"/>
    <w:rsid w:val="005A1CD3"/>
    <w:rsid w:val="005A1FC4"/>
    <w:rsid w:val="006209A7"/>
    <w:rsid w:val="00625290"/>
    <w:rsid w:val="006470E3"/>
    <w:rsid w:val="00670F80"/>
    <w:rsid w:val="006B3C38"/>
    <w:rsid w:val="006C54A2"/>
    <w:rsid w:val="0072325A"/>
    <w:rsid w:val="00767B61"/>
    <w:rsid w:val="00774B9F"/>
    <w:rsid w:val="00782367"/>
    <w:rsid w:val="00787300"/>
    <w:rsid w:val="00821FB8"/>
    <w:rsid w:val="00856296"/>
    <w:rsid w:val="0085636F"/>
    <w:rsid w:val="0086269F"/>
    <w:rsid w:val="0089248D"/>
    <w:rsid w:val="008C0321"/>
    <w:rsid w:val="008E32F0"/>
    <w:rsid w:val="00923A52"/>
    <w:rsid w:val="009841D6"/>
    <w:rsid w:val="009943CC"/>
    <w:rsid w:val="00994B7E"/>
    <w:rsid w:val="009A6FA0"/>
    <w:rsid w:val="009B0874"/>
    <w:rsid w:val="009F1C7D"/>
    <w:rsid w:val="00A41055"/>
    <w:rsid w:val="00A719D6"/>
    <w:rsid w:val="00A83C65"/>
    <w:rsid w:val="00AD6574"/>
    <w:rsid w:val="00B30A3B"/>
    <w:rsid w:val="00B31C02"/>
    <w:rsid w:val="00B42F36"/>
    <w:rsid w:val="00B77BF3"/>
    <w:rsid w:val="00B81F4F"/>
    <w:rsid w:val="00BA4BE5"/>
    <w:rsid w:val="00C148B3"/>
    <w:rsid w:val="00C35E8A"/>
    <w:rsid w:val="00C76B76"/>
    <w:rsid w:val="00CB7C08"/>
    <w:rsid w:val="00D41723"/>
    <w:rsid w:val="00D94FCC"/>
    <w:rsid w:val="00DD7229"/>
    <w:rsid w:val="00DF38B5"/>
    <w:rsid w:val="00E158F0"/>
    <w:rsid w:val="00F525F0"/>
    <w:rsid w:val="00FB0CD8"/>
    <w:rsid w:val="00FB3A1F"/>
    <w:rsid w:val="00FC7A56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D30CB"/>
  <w15:chartTrackingRefBased/>
  <w15:docId w15:val="{9791AAA6-977C-45F6-B3D3-D1D593052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30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30A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30A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30A3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30A3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30A3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30A3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30A3B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30A3B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30A3B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30A3B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30A3B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30A3B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Nzov">
    <w:name w:val="Title"/>
    <w:basedOn w:val="Normlny"/>
    <w:next w:val="Normlny"/>
    <w:link w:val="NzovChar"/>
    <w:uiPriority w:val="10"/>
    <w:qFormat/>
    <w:rsid w:val="00B30A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B30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30A3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B30A3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30A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B30A3B"/>
    <w:rPr>
      <w:i/>
      <w:iCs/>
      <w:color w:val="404040" w:themeColor="text1" w:themeTint="BF"/>
      <w:sz w:val="22"/>
    </w:rPr>
  </w:style>
  <w:style w:type="paragraph" w:styleId="Odsekzoznamu">
    <w:name w:val="List Paragraph"/>
    <w:basedOn w:val="Normlny"/>
    <w:uiPriority w:val="34"/>
    <w:qFormat/>
    <w:rsid w:val="00B30A3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B30A3B"/>
    <w:rPr>
      <w:i/>
      <w:iCs/>
      <w:color w:val="004C80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30A3B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30A3B"/>
    <w:rPr>
      <w:i/>
      <w:iCs/>
      <w:color w:val="004C80" w:themeColor="accent1" w:themeShade="BF"/>
      <w:sz w:val="22"/>
    </w:rPr>
  </w:style>
  <w:style w:type="character" w:styleId="Zvraznenodkaz">
    <w:name w:val="Intense Reference"/>
    <w:basedOn w:val="Predvolenpsmoodseku"/>
    <w:uiPriority w:val="32"/>
    <w:qFormat/>
    <w:rsid w:val="00B30A3B"/>
    <w:rPr>
      <w:b/>
      <w:bCs/>
      <w:smallCaps/>
      <w:color w:val="004C80" w:themeColor="accent1" w:themeShade="BF"/>
      <w:spacing w:val="5"/>
    </w:rPr>
  </w:style>
  <w:style w:type="character" w:styleId="Odkaznakomentr">
    <w:name w:val="annotation reference"/>
    <w:rsid w:val="00B30A3B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B30A3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B30A3B"/>
    <w:rPr>
      <w:rFonts w:ascii="Times New Roman" w:eastAsia="Times New Roman" w:hAnsi="Times New Roman" w:cs="Times New Roman"/>
      <w:lang w:eastAsia="sk-SK"/>
    </w:rPr>
  </w:style>
  <w:style w:type="paragraph" w:customStyle="1" w:styleId="Default">
    <w:name w:val="Default"/>
    <w:uiPriority w:val="99"/>
    <w:rsid w:val="00B30A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967F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967FF"/>
    <w:rPr>
      <w:rFonts w:ascii="Times New Roman" w:eastAsia="Times New Roman" w:hAnsi="Times New Roman" w:cs="Times New Roman"/>
      <w:b/>
      <w:bCs/>
      <w:lang w:eastAsia="sk-SK"/>
    </w:rPr>
  </w:style>
  <w:style w:type="paragraph" w:styleId="Revzia">
    <w:name w:val="Revision"/>
    <w:hidden/>
    <w:uiPriority w:val="99"/>
    <w:semiHidden/>
    <w:rsid w:val="000055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E158F0"/>
    <w:rPr>
      <w:color w:val="1C355E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158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FF8E3-9792-4417-99C9-D1B7F304F76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2.xml><?xml version="1.0" encoding="utf-8"?>
<ds:datastoreItem xmlns:ds="http://schemas.openxmlformats.org/officeDocument/2006/customXml" ds:itemID="{3B343235-27B1-4410-9C3A-A02A8F9062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Pavlíková Katarína</dc:creator>
  <cp:keywords/>
  <dc:description/>
  <cp:lastModifiedBy>Pavlíková Katarína</cp:lastModifiedBy>
  <cp:revision>6</cp:revision>
  <cp:lastPrinted>2026-08-31T06:38:00Z</cp:lastPrinted>
  <dcterms:created xsi:type="dcterms:W3CDTF">2026-09-15T12:54:00Z</dcterms:created>
  <dcterms:modified xsi:type="dcterms:W3CDTF">2026-10-07T07:50:00Z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