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12E08" w:rsidRDefault="001B23B7" w:rsidP="000800FC">
            <w:pPr>
              <w:rPr>
                <w:rFonts w:ascii="Times New Roman" w:eastAsia="Times New Roman" w:hAnsi="Times New Roman" w:cs="Times New Roman"/>
                <w:sz w:val="20"/>
                <w:szCs w:val="20"/>
                <w:lang w:eastAsia="sk-SK"/>
              </w:rPr>
            </w:pPr>
          </w:p>
          <w:p w:rsidR="001B23B7" w:rsidRDefault="009B01B1" w:rsidP="000800FC">
            <w:pPr>
              <w:rPr>
                <w:rFonts w:ascii="Times New Roman" w:eastAsia="Times New Roman" w:hAnsi="Times New Roman" w:cs="Times New Roman"/>
                <w:sz w:val="20"/>
                <w:szCs w:val="20"/>
                <w:lang w:eastAsia="sk-SK"/>
              </w:rPr>
            </w:pPr>
            <w:r w:rsidRPr="009B01B1">
              <w:rPr>
                <w:rFonts w:ascii="Times New Roman" w:eastAsia="Times New Roman" w:hAnsi="Times New Roman" w:cs="Times New Roman"/>
                <w:sz w:val="20"/>
                <w:szCs w:val="20"/>
                <w:lang w:eastAsia="sk-SK"/>
              </w:rPr>
              <w:t>Návrh zákona o</w:t>
            </w:r>
            <w:r w:rsidR="00534EF0">
              <w:rPr>
                <w:rFonts w:ascii="Times New Roman" w:eastAsia="Times New Roman" w:hAnsi="Times New Roman" w:cs="Times New Roman"/>
                <w:sz w:val="20"/>
                <w:szCs w:val="20"/>
                <w:lang w:eastAsia="sk-SK"/>
              </w:rPr>
              <w:t xml:space="preserve"> medzinárodnej </w:t>
            </w:r>
            <w:r w:rsidRPr="009B01B1">
              <w:rPr>
                <w:rFonts w:ascii="Times New Roman" w:eastAsia="Times New Roman" w:hAnsi="Times New Roman" w:cs="Times New Roman"/>
                <w:sz w:val="20"/>
                <w:szCs w:val="20"/>
                <w:lang w:eastAsia="sk-SK"/>
              </w:rPr>
              <w:t>justičnej spolupráci v trestných veciach (ďalej len „návrh zákona“)</w:t>
            </w:r>
          </w:p>
          <w:p w:rsidR="009B01B1" w:rsidRPr="00612E08" w:rsidRDefault="009B01B1"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p w:rsidR="001B23B7" w:rsidRDefault="009B01B1" w:rsidP="000800FC">
            <w:pPr>
              <w:rPr>
                <w:rFonts w:ascii="Times New Roman" w:eastAsia="Times New Roman" w:hAnsi="Times New Roman" w:cs="Times New Roman"/>
                <w:sz w:val="20"/>
                <w:szCs w:val="20"/>
                <w:lang w:eastAsia="sk-SK"/>
              </w:rPr>
            </w:pPr>
            <w:r w:rsidRPr="009B01B1">
              <w:rPr>
                <w:rFonts w:ascii="Times New Roman" w:eastAsia="Times New Roman" w:hAnsi="Times New Roman" w:cs="Times New Roman"/>
                <w:sz w:val="20"/>
                <w:szCs w:val="20"/>
                <w:lang w:eastAsia="sk-SK"/>
              </w:rPr>
              <w:t>Ministerstvo spravodlivosti Slovenskej republiky</w:t>
            </w:r>
          </w:p>
          <w:p w:rsidR="009B01B1" w:rsidRPr="00612E08" w:rsidRDefault="009B01B1"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814A4" w:rsidRDefault="001B23B7" w:rsidP="000800FC">
            <w:pPr>
              <w:spacing w:after="200" w:line="276" w:lineRule="auto"/>
              <w:ind w:left="142"/>
              <w:contextualSpacing/>
              <w:rPr>
                <w:rFonts w:ascii="Times New Roman" w:eastAsia="Calibri" w:hAnsi="Times New Roman" w:cs="Times New Roman"/>
                <w:b/>
              </w:rPr>
            </w:pPr>
            <w:r w:rsidRPr="006814A4">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814A4"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9B01B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814A4"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9B01B1"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814A4" w:rsidRDefault="001B23B7" w:rsidP="009B01B1">
            <w:pPr>
              <w:jc w:val="both"/>
              <w:rPr>
                <w:rFonts w:ascii="Times New Roman" w:eastAsia="Times New Roman" w:hAnsi="Times New Roman" w:cs="Times New Roman"/>
                <w:b/>
                <w:sz w:val="20"/>
                <w:szCs w:val="20"/>
                <w:lang w:eastAsia="sk-SK"/>
              </w:rPr>
            </w:pPr>
            <w:r w:rsidRPr="006814A4">
              <w:rPr>
                <w:rFonts w:ascii="Times New Roman" w:eastAsia="Times New Roman" w:hAnsi="Times New Roman" w:cs="Times New Roman"/>
                <w:b/>
                <w:sz w:val="20"/>
                <w:szCs w:val="20"/>
                <w:lang w:eastAsia="sk-SK"/>
              </w:rPr>
              <w:t>V prípade transpozície</w:t>
            </w:r>
            <w:r w:rsidR="00156064" w:rsidRPr="006814A4">
              <w:rPr>
                <w:rFonts w:ascii="Times New Roman" w:eastAsia="Times New Roman" w:hAnsi="Times New Roman" w:cs="Times New Roman"/>
                <w:b/>
                <w:sz w:val="20"/>
                <w:szCs w:val="20"/>
                <w:lang w:eastAsia="sk-SK"/>
              </w:rPr>
              <w:t>/implementácie</w:t>
            </w:r>
            <w:r w:rsidRPr="006814A4">
              <w:rPr>
                <w:rFonts w:ascii="Times New Roman" w:eastAsia="Times New Roman" w:hAnsi="Times New Roman" w:cs="Times New Roman"/>
                <w:b/>
                <w:sz w:val="20"/>
                <w:szCs w:val="20"/>
                <w:lang w:eastAsia="sk-SK"/>
              </w:rPr>
              <w:t xml:space="preserve"> uveďte zoznam transponovaných</w:t>
            </w:r>
            <w:r w:rsidR="00156064" w:rsidRPr="006814A4">
              <w:rPr>
                <w:rFonts w:ascii="Times New Roman" w:eastAsia="Times New Roman" w:hAnsi="Times New Roman" w:cs="Times New Roman"/>
                <w:b/>
                <w:sz w:val="20"/>
                <w:szCs w:val="20"/>
                <w:lang w:eastAsia="sk-SK"/>
              </w:rPr>
              <w:t>/implementovaných</w:t>
            </w:r>
            <w:r w:rsidRPr="006814A4">
              <w:rPr>
                <w:rFonts w:ascii="Times New Roman" w:eastAsia="Times New Roman" w:hAnsi="Times New Roman" w:cs="Times New Roman"/>
                <w:b/>
                <w:sz w:val="20"/>
                <w:szCs w:val="20"/>
                <w:lang w:eastAsia="sk-SK"/>
              </w:rPr>
              <w:t xml:space="preserve"> predpisov:</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B466E6" w:rsidP="00B466E6">
            <w:pPr>
              <w:jc w:val="both"/>
              <w:rPr>
                <w:rFonts w:ascii="Times New Roman" w:eastAsia="Times New Roman" w:hAnsi="Times New Roman" w:cs="Times New Roman"/>
                <w:sz w:val="20"/>
                <w:szCs w:val="20"/>
                <w:lang w:eastAsia="sk-SK"/>
              </w:rPr>
            </w:pPr>
            <w:r w:rsidRPr="006814A4">
              <w:rPr>
                <w:rFonts w:ascii="Times New Roman" w:eastAsia="Times New Roman" w:hAnsi="Times New Roman" w:cs="Times New Roman"/>
                <w:sz w:val="20"/>
                <w:szCs w:val="20"/>
                <w:lang w:eastAsia="sk-SK"/>
              </w:rPr>
              <w:t xml:space="preserve">1. </w:t>
            </w:r>
            <w:r w:rsidR="004F2D03" w:rsidRPr="004F2D03">
              <w:rPr>
                <w:rFonts w:ascii="Times New Roman" w:eastAsia="Times New Roman" w:hAnsi="Times New Roman" w:cs="Times New Roman"/>
                <w:sz w:val="20"/>
                <w:szCs w:val="20"/>
                <w:lang w:eastAsia="sk-SK"/>
              </w:rPr>
              <w:t>Rámcové rozhodnutie Rady z 13. júna 2002 o európskom zatykači a postupoch odovzdávania osôb medzi členskými štátmi (2002/584/SVV) (Mimoriadne vydanie Ú. v. EÚ, kap. 19/zv. 6; Ú. v. ES L 190, 18.7.2002) v platnom znení.“</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B466E6" w:rsidP="00B466E6">
            <w:pPr>
              <w:jc w:val="both"/>
              <w:rPr>
                <w:rFonts w:ascii="Times New Roman" w:eastAsia="Times New Roman" w:hAnsi="Times New Roman" w:cs="Times New Roman"/>
                <w:sz w:val="20"/>
                <w:szCs w:val="20"/>
                <w:lang w:eastAsia="sk-SK"/>
              </w:rPr>
            </w:pPr>
            <w:r w:rsidRPr="006814A4">
              <w:rPr>
                <w:rFonts w:ascii="Times New Roman" w:eastAsia="Times New Roman" w:hAnsi="Times New Roman" w:cs="Times New Roman"/>
                <w:sz w:val="20"/>
                <w:szCs w:val="20"/>
                <w:lang w:eastAsia="sk-SK"/>
              </w:rPr>
              <w:t xml:space="preserve">2. </w:t>
            </w:r>
            <w:r w:rsidR="00487F89" w:rsidRPr="00487F89">
              <w:rPr>
                <w:rFonts w:ascii="Times New Roman" w:eastAsia="Times New Roman" w:hAnsi="Times New Roman" w:cs="Times New Roman"/>
                <w:sz w:val="20"/>
                <w:szCs w:val="20"/>
                <w:lang w:eastAsia="sk-SK"/>
              </w:rPr>
              <w:t>Rámcové rozhodnutie Rady z 13. júna 2002 o spoločných vyšetrovacích tímoch (2002/465/SVV) (Mimoriadne vydanie Ú. v. EÚ, kap. 19/zv. 6; Ú. v. ES L 162, 20.6.2002) v platnom znení.</w:t>
            </w:r>
          </w:p>
          <w:p w:rsidR="00B466E6" w:rsidRPr="006814A4" w:rsidRDefault="00B466E6" w:rsidP="00B466E6">
            <w:pPr>
              <w:jc w:val="both"/>
              <w:rPr>
                <w:rFonts w:ascii="Times New Roman" w:eastAsia="Times New Roman" w:hAnsi="Times New Roman" w:cs="Times New Roman"/>
                <w:sz w:val="20"/>
                <w:szCs w:val="20"/>
                <w:lang w:eastAsia="sk-SK"/>
              </w:rPr>
            </w:pPr>
          </w:p>
          <w:p w:rsidR="001B1D20" w:rsidRPr="006814A4" w:rsidRDefault="00B466E6" w:rsidP="00B466E6">
            <w:pPr>
              <w:jc w:val="both"/>
              <w:rPr>
                <w:rFonts w:ascii="Times New Roman" w:eastAsia="Times New Roman" w:hAnsi="Times New Roman" w:cs="Times New Roman"/>
                <w:sz w:val="20"/>
                <w:szCs w:val="20"/>
                <w:lang w:eastAsia="sk-SK"/>
              </w:rPr>
            </w:pPr>
            <w:r w:rsidRPr="006814A4">
              <w:rPr>
                <w:rFonts w:ascii="Times New Roman" w:eastAsia="Times New Roman" w:hAnsi="Times New Roman" w:cs="Times New Roman"/>
                <w:sz w:val="20"/>
                <w:szCs w:val="20"/>
                <w:lang w:eastAsia="sk-SK"/>
              </w:rPr>
              <w:t xml:space="preserve">3. </w:t>
            </w:r>
            <w:r w:rsidR="001B1D20" w:rsidRPr="006814A4">
              <w:rPr>
                <w:rFonts w:ascii="Times New Roman" w:eastAsia="Times New Roman" w:hAnsi="Times New Roman" w:cs="Times New Roman"/>
                <w:sz w:val="20"/>
                <w:szCs w:val="20"/>
                <w:lang w:eastAsia="sk-SK"/>
              </w:rPr>
              <w:t>Rámcové rozhodnutie Rady 2005/214/SVV z 24. februára 2005 o uplatňovaní zásady vzájomného uznávania na peňažné sankcie (Ú. v. EÚ L 76, 22.3.2005) v platnom znení.</w:t>
            </w:r>
          </w:p>
          <w:p w:rsidR="00A65283" w:rsidRDefault="00A65283"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w:t>
            </w:r>
            <w:r w:rsidR="00B466E6" w:rsidRPr="006814A4">
              <w:rPr>
                <w:rFonts w:ascii="Times New Roman" w:eastAsia="Times New Roman" w:hAnsi="Times New Roman" w:cs="Times New Roman"/>
                <w:sz w:val="20"/>
                <w:szCs w:val="20"/>
                <w:lang w:eastAsia="sk-SK"/>
              </w:rPr>
              <w:t>. Rámcové rozhodnutie Rady 2008/909/SVV z 27. novembra 2008 o uplatňovaní zásady vzájomného uznávania na rozsudky v trestných veciach, ktorými sa ukladajú tresty odňatia slobody alebo opatrenia zahŕňajúce pozbavenie osobnej slobody, na účely ich výkonu v Európskej únii (Ú. v. EÚ L 327, 5. 12. 2008)</w:t>
            </w:r>
            <w:r w:rsidR="00505004" w:rsidRPr="006814A4">
              <w:rPr>
                <w:rFonts w:ascii="Times New Roman" w:eastAsia="Times New Roman" w:hAnsi="Times New Roman" w:cs="Times New Roman"/>
                <w:sz w:val="20"/>
                <w:szCs w:val="20"/>
                <w:lang w:eastAsia="sk-SK"/>
              </w:rPr>
              <w:t xml:space="preserve"> v platnom znení</w:t>
            </w:r>
            <w:r w:rsidR="00B466E6" w:rsidRPr="006814A4">
              <w:rPr>
                <w:rFonts w:ascii="Times New Roman" w:eastAsia="Times New Roman" w:hAnsi="Times New Roman" w:cs="Times New Roman"/>
                <w:sz w:val="20"/>
                <w:szCs w:val="20"/>
                <w:lang w:eastAsia="sk-SK"/>
              </w:rPr>
              <w:t>.</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w:t>
            </w:r>
            <w:r w:rsidR="00B466E6" w:rsidRPr="006814A4">
              <w:rPr>
                <w:rFonts w:ascii="Times New Roman" w:eastAsia="Times New Roman" w:hAnsi="Times New Roman" w:cs="Times New Roman"/>
                <w:sz w:val="20"/>
                <w:szCs w:val="20"/>
                <w:lang w:eastAsia="sk-SK"/>
              </w:rPr>
              <w:t xml:space="preserve">. Rámcové rozhodnutie Rady 2008/947/SVV z 27. novembra 2008 o uplatňovaní zásady vzájomného uznávania na rozsudky a </w:t>
            </w:r>
            <w:proofErr w:type="spellStart"/>
            <w:r w:rsidR="00B466E6" w:rsidRPr="006814A4">
              <w:rPr>
                <w:rFonts w:ascii="Times New Roman" w:eastAsia="Times New Roman" w:hAnsi="Times New Roman" w:cs="Times New Roman"/>
                <w:sz w:val="20"/>
                <w:szCs w:val="20"/>
                <w:lang w:eastAsia="sk-SK"/>
              </w:rPr>
              <w:t>probačné</w:t>
            </w:r>
            <w:proofErr w:type="spellEnd"/>
            <w:r w:rsidR="00B466E6" w:rsidRPr="006814A4">
              <w:rPr>
                <w:rFonts w:ascii="Times New Roman" w:eastAsia="Times New Roman" w:hAnsi="Times New Roman" w:cs="Times New Roman"/>
                <w:sz w:val="20"/>
                <w:szCs w:val="20"/>
                <w:lang w:eastAsia="sk-SK"/>
              </w:rPr>
              <w:t xml:space="preserve"> rozhodnutia na účely dohľadu nad </w:t>
            </w:r>
            <w:proofErr w:type="spellStart"/>
            <w:r w:rsidR="00B466E6" w:rsidRPr="006814A4">
              <w:rPr>
                <w:rFonts w:ascii="Times New Roman" w:eastAsia="Times New Roman" w:hAnsi="Times New Roman" w:cs="Times New Roman"/>
                <w:sz w:val="20"/>
                <w:szCs w:val="20"/>
                <w:lang w:eastAsia="sk-SK"/>
              </w:rPr>
              <w:t>probačnými</w:t>
            </w:r>
            <w:proofErr w:type="spellEnd"/>
            <w:r w:rsidR="00B466E6" w:rsidRPr="006814A4">
              <w:rPr>
                <w:rFonts w:ascii="Times New Roman" w:eastAsia="Times New Roman" w:hAnsi="Times New Roman" w:cs="Times New Roman"/>
                <w:sz w:val="20"/>
                <w:szCs w:val="20"/>
                <w:lang w:eastAsia="sk-SK"/>
              </w:rPr>
              <w:t xml:space="preserve"> opatreniami a alternatívnymi sankciami (Ú. v. EÚ L 337, 16. 12. 2008)</w:t>
            </w:r>
            <w:r w:rsidR="00505004" w:rsidRPr="006814A4">
              <w:rPr>
                <w:rFonts w:ascii="Times New Roman" w:eastAsia="Times New Roman" w:hAnsi="Times New Roman" w:cs="Times New Roman"/>
                <w:sz w:val="20"/>
                <w:szCs w:val="20"/>
                <w:lang w:eastAsia="sk-SK"/>
              </w:rPr>
              <w:t xml:space="preserve"> v platnom znení</w:t>
            </w:r>
            <w:r w:rsidR="00B466E6" w:rsidRPr="006814A4">
              <w:rPr>
                <w:rFonts w:ascii="Times New Roman" w:eastAsia="Times New Roman" w:hAnsi="Times New Roman" w:cs="Times New Roman"/>
                <w:sz w:val="20"/>
                <w:szCs w:val="20"/>
                <w:lang w:eastAsia="sk-SK"/>
              </w:rPr>
              <w:t>.</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w:t>
            </w:r>
            <w:r w:rsidR="00B466E6" w:rsidRPr="006814A4">
              <w:rPr>
                <w:rFonts w:ascii="Times New Roman" w:eastAsia="Times New Roman" w:hAnsi="Times New Roman" w:cs="Times New Roman"/>
                <w:sz w:val="20"/>
                <w:szCs w:val="20"/>
                <w:lang w:eastAsia="sk-SK"/>
              </w:rPr>
              <w:t xml:space="preserve">. </w:t>
            </w:r>
            <w:r w:rsidR="0001418F" w:rsidRPr="006814A4">
              <w:rPr>
                <w:rFonts w:ascii="Times New Roman" w:eastAsia="Times New Roman" w:hAnsi="Times New Roman" w:cs="Times New Roman"/>
                <w:sz w:val="20"/>
                <w:szCs w:val="20"/>
                <w:lang w:eastAsia="sk-SK"/>
              </w:rPr>
              <w:t>Rámcové rozhodnutie Rady 2009/829/SVV z 23. októbra 2009 o uplatňovaní zásady vzájomného uznávania na rozhodnutia o opatreniach dohľadu ako alternatíve väzby medzi členskými štátmi Európskej únie (Ú. v. EÚ L 294, 11. 11. 2009)</w:t>
            </w:r>
            <w:r w:rsidR="00BD1C53">
              <w:rPr>
                <w:rFonts w:ascii="Times New Roman" w:eastAsia="Times New Roman" w:hAnsi="Times New Roman" w:cs="Times New Roman"/>
                <w:sz w:val="20"/>
                <w:szCs w:val="20"/>
                <w:lang w:eastAsia="sk-SK"/>
              </w:rPr>
              <w:t xml:space="preserve"> v platnom znení</w:t>
            </w:r>
            <w:r w:rsidR="0001418F" w:rsidRPr="006814A4">
              <w:rPr>
                <w:rFonts w:ascii="Times New Roman" w:eastAsia="Times New Roman" w:hAnsi="Times New Roman" w:cs="Times New Roman"/>
                <w:sz w:val="20"/>
                <w:szCs w:val="20"/>
                <w:lang w:eastAsia="sk-SK"/>
              </w:rPr>
              <w:t>.</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w:t>
            </w:r>
            <w:r w:rsidR="00B466E6" w:rsidRPr="006814A4">
              <w:rPr>
                <w:rFonts w:ascii="Times New Roman" w:eastAsia="Times New Roman" w:hAnsi="Times New Roman" w:cs="Times New Roman"/>
                <w:sz w:val="20"/>
                <w:szCs w:val="20"/>
                <w:lang w:eastAsia="sk-SK"/>
              </w:rPr>
              <w:t xml:space="preserve">. </w:t>
            </w:r>
            <w:r w:rsidR="0001418F" w:rsidRPr="006814A4">
              <w:rPr>
                <w:rFonts w:ascii="Times New Roman" w:eastAsia="Times New Roman" w:hAnsi="Times New Roman" w:cs="Times New Roman"/>
                <w:sz w:val="20"/>
                <w:szCs w:val="20"/>
                <w:lang w:eastAsia="sk-SK"/>
              </w:rPr>
              <w:t>Rámcové rozhodnutie Rady 2009/948/SVV z  30. novembra 2009 o predchádzaní kolíziám pri výkone právomoci v trestných veciach a ich urovnávaní (Ú. v. EÚ L 328, 15.12.2009)</w:t>
            </w:r>
            <w:r w:rsidR="0021184C">
              <w:rPr>
                <w:rFonts w:ascii="Times New Roman" w:eastAsia="Times New Roman" w:hAnsi="Times New Roman" w:cs="Times New Roman"/>
                <w:sz w:val="20"/>
                <w:szCs w:val="20"/>
                <w:lang w:eastAsia="sk-SK"/>
              </w:rPr>
              <w:t xml:space="preserve"> v platnom znení</w:t>
            </w:r>
            <w:r w:rsidR="0001418F" w:rsidRPr="006814A4">
              <w:rPr>
                <w:rFonts w:ascii="Times New Roman" w:eastAsia="Times New Roman" w:hAnsi="Times New Roman" w:cs="Times New Roman"/>
                <w:sz w:val="20"/>
                <w:szCs w:val="20"/>
                <w:lang w:eastAsia="sk-SK"/>
              </w:rPr>
              <w:t>.</w:t>
            </w:r>
          </w:p>
          <w:p w:rsidR="008F2D56" w:rsidRPr="006814A4" w:rsidRDefault="008F2D5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8</w:t>
            </w:r>
            <w:r w:rsidR="00B466E6" w:rsidRPr="006814A4">
              <w:rPr>
                <w:rFonts w:ascii="Times New Roman" w:eastAsia="Times New Roman" w:hAnsi="Times New Roman" w:cs="Times New Roman"/>
                <w:sz w:val="20"/>
                <w:szCs w:val="20"/>
                <w:lang w:eastAsia="sk-SK"/>
              </w:rPr>
              <w:t>. Smernica Európskeho parlamentu a Rady 2010/64/EÚ z 20. októbra 2010 o práve na tlmočenie a preklad v trestnom konaní (Ú. v. EÚ L 280, 26. 10. 2010).</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9</w:t>
            </w:r>
            <w:r w:rsidR="00B466E6" w:rsidRPr="006814A4">
              <w:rPr>
                <w:rFonts w:ascii="Times New Roman" w:eastAsia="Times New Roman" w:hAnsi="Times New Roman" w:cs="Times New Roman"/>
                <w:sz w:val="20"/>
                <w:szCs w:val="20"/>
                <w:lang w:eastAsia="sk-SK"/>
              </w:rPr>
              <w:t>. Smernica Európskeho parlamentu a Rady 2011/99/EÚ z 13. decembra 2011 o európskom ochrannom príkaze (Ú. v. EÚ L 338, 21. 12. 2011)</w:t>
            </w:r>
            <w:r w:rsidR="00C3355D">
              <w:rPr>
                <w:rFonts w:ascii="Times New Roman" w:eastAsia="Times New Roman" w:hAnsi="Times New Roman" w:cs="Times New Roman"/>
                <w:sz w:val="20"/>
                <w:szCs w:val="20"/>
                <w:lang w:eastAsia="sk-SK"/>
              </w:rPr>
              <w:t xml:space="preserve"> v platnom znení</w:t>
            </w:r>
            <w:r w:rsidR="00B466E6" w:rsidRPr="006814A4">
              <w:rPr>
                <w:rFonts w:ascii="Times New Roman" w:eastAsia="Times New Roman" w:hAnsi="Times New Roman" w:cs="Times New Roman"/>
                <w:sz w:val="20"/>
                <w:szCs w:val="20"/>
                <w:lang w:eastAsia="sk-SK"/>
              </w:rPr>
              <w:t>.</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w:t>
            </w:r>
            <w:r w:rsidR="00B466E6" w:rsidRPr="006814A4">
              <w:rPr>
                <w:rFonts w:ascii="Times New Roman" w:eastAsia="Times New Roman" w:hAnsi="Times New Roman" w:cs="Times New Roman"/>
                <w:sz w:val="20"/>
                <w:szCs w:val="20"/>
                <w:lang w:eastAsia="sk-SK"/>
              </w:rPr>
              <w:t>.Smernica Európskeho parlamentu a Rady 2012/13/EÚ z 22. mája 2012 o práve na informácie v trestnom konaní (Ú. v. EÚ L 142, 1. 6. 2012).</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11</w:t>
            </w:r>
            <w:r w:rsidR="00B466E6" w:rsidRPr="006814A4">
              <w:rPr>
                <w:rFonts w:ascii="Times New Roman" w:eastAsia="Times New Roman" w:hAnsi="Times New Roman" w:cs="Times New Roman"/>
                <w:sz w:val="20"/>
                <w:szCs w:val="20"/>
                <w:lang w:eastAsia="sk-SK"/>
              </w:rPr>
              <w:t>. Smernica Európskeho parlamentu a Rady 2013/48/EÚ z 22. októbra 2013 o práve na prístup k obhajcovi v trestnom konaní a v konaní o európskom zatykači a o práve na informovanie tretej osoby po pozbavení osobnej slobody a na komunikáciu s tretími osobami a s konzulárnymi úradmi po pozbavení osobnej slobody (Ú. v. EÚ L 294, 6. 11. 2013).</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12</w:t>
            </w:r>
            <w:r w:rsidR="00B466E6" w:rsidRPr="006814A4">
              <w:rPr>
                <w:rFonts w:ascii="Times New Roman" w:eastAsia="Times New Roman" w:hAnsi="Times New Roman" w:cs="Times New Roman"/>
                <w:sz w:val="20"/>
                <w:szCs w:val="20"/>
                <w:lang w:eastAsia="sk-SK"/>
              </w:rPr>
              <w:t xml:space="preserve">. </w:t>
            </w:r>
            <w:r w:rsidR="00C3355D">
              <w:rPr>
                <w:rFonts w:ascii="Times New Roman" w:eastAsia="Times New Roman" w:hAnsi="Times New Roman" w:cs="Times New Roman"/>
                <w:sz w:val="20"/>
                <w:szCs w:val="20"/>
                <w:lang w:eastAsia="sk-SK"/>
              </w:rPr>
              <w:t>S</w:t>
            </w:r>
            <w:r w:rsidR="00C3355D" w:rsidRPr="00C3355D">
              <w:rPr>
                <w:rFonts w:ascii="Times New Roman" w:eastAsia="Times New Roman" w:hAnsi="Times New Roman" w:cs="Times New Roman"/>
                <w:sz w:val="20"/>
                <w:szCs w:val="20"/>
                <w:lang w:eastAsia="sk-SK"/>
              </w:rPr>
              <w:t>mernica Európskeho parlamentu a Rady 2014/41/EÚ z 3. apríla 2014 o európskom vyšetrovacom príkaze v trestných veciach (Ú. v. EÚ L 130, 1.5.2014) v platnom znení</w:t>
            </w:r>
            <w:r w:rsidR="00C3355D">
              <w:rPr>
                <w:rFonts w:ascii="Times New Roman" w:eastAsia="Times New Roman" w:hAnsi="Times New Roman" w:cs="Times New Roman"/>
                <w:sz w:val="20"/>
                <w:szCs w:val="20"/>
                <w:lang w:eastAsia="sk-SK"/>
              </w:rPr>
              <w:t>.</w:t>
            </w:r>
          </w:p>
          <w:p w:rsidR="00B466E6" w:rsidRPr="006814A4" w:rsidRDefault="00B466E6" w:rsidP="00B466E6">
            <w:pPr>
              <w:jc w:val="both"/>
              <w:rPr>
                <w:rFonts w:ascii="Times New Roman" w:eastAsia="Times New Roman" w:hAnsi="Times New Roman" w:cs="Times New Roman"/>
                <w:sz w:val="20"/>
                <w:szCs w:val="20"/>
                <w:lang w:eastAsia="sk-SK"/>
              </w:rPr>
            </w:pPr>
          </w:p>
          <w:p w:rsidR="00B466E6"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13</w:t>
            </w:r>
            <w:r w:rsidR="00B466E6" w:rsidRPr="006814A4">
              <w:rPr>
                <w:rFonts w:ascii="Times New Roman" w:eastAsia="Times New Roman" w:hAnsi="Times New Roman" w:cs="Times New Roman"/>
                <w:sz w:val="20"/>
                <w:szCs w:val="20"/>
                <w:lang w:eastAsia="sk-SK"/>
              </w:rPr>
              <w:t>. Smernica Európskeho parlamentu a Rady (EÚ) 2016/1919 z 26. októbra 2016 o právnej pomoci pre podozrivé a obvinené osoby v trestnom konaní a pre vyžiadané osoby v konaní o európskom zatykači (Ú. v. EÚ L 297, 4. 11. 2016).</w:t>
            </w:r>
          </w:p>
          <w:p w:rsidR="00BF515D" w:rsidRPr="006814A4" w:rsidRDefault="00BF515D" w:rsidP="00B466E6">
            <w:pPr>
              <w:jc w:val="both"/>
              <w:rPr>
                <w:rFonts w:ascii="Times New Roman" w:eastAsia="Times New Roman" w:hAnsi="Times New Roman" w:cs="Times New Roman"/>
                <w:sz w:val="20"/>
                <w:szCs w:val="20"/>
                <w:lang w:eastAsia="sk-SK"/>
              </w:rPr>
            </w:pPr>
          </w:p>
          <w:p w:rsidR="00BF515D" w:rsidRPr="006814A4" w:rsidRDefault="00A65283" w:rsidP="00B466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14</w:t>
            </w:r>
            <w:r w:rsidR="00BF515D" w:rsidRPr="006814A4">
              <w:rPr>
                <w:rFonts w:ascii="Times New Roman" w:eastAsia="Times New Roman" w:hAnsi="Times New Roman" w:cs="Times New Roman"/>
                <w:sz w:val="20"/>
                <w:szCs w:val="20"/>
                <w:lang w:eastAsia="sk-SK"/>
              </w:rPr>
              <w:t>. Smernica Európskeho parlamentu a Rady (EÚ) 2023/1544 z 12. júla 2023, ktorou sa stanovujú harmonizované pravidlá určovania určených prevádzkarní a vymenúvania právnych zástupcov na účely zhromažďovania dôkazov v trestnom konaní (Ú. v. EÚ L, 191, 28.7.2023).</w:t>
            </w:r>
          </w:p>
          <w:p w:rsidR="001B23B7" w:rsidRPr="006814A4" w:rsidRDefault="009B01B1" w:rsidP="00B466E6">
            <w:pPr>
              <w:jc w:val="both"/>
              <w:rPr>
                <w:rFonts w:ascii="Times New Roman" w:eastAsia="Times New Roman" w:hAnsi="Times New Roman" w:cs="Times New Roman"/>
                <w:sz w:val="20"/>
                <w:szCs w:val="20"/>
                <w:lang w:eastAsia="sk-SK"/>
              </w:rPr>
            </w:pPr>
            <w:r w:rsidRPr="006814A4">
              <w:rPr>
                <w:rFonts w:ascii="Times New Roman" w:eastAsia="Times New Roman" w:hAnsi="Times New Roman" w:cs="Times New Roman"/>
                <w:sz w:val="20"/>
                <w:szCs w:val="20"/>
                <w:lang w:eastAsia="sk-SK"/>
              </w:rPr>
              <w:t xml:space="preserve"> </w:t>
            </w: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lastRenderedPageBreak/>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A9599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november</w:t>
            </w:r>
            <w:r w:rsidR="004C780C">
              <w:rPr>
                <w:rFonts w:ascii="Times New Roman" w:eastAsia="Times New Roman" w:hAnsi="Times New Roman" w:cs="Times New Roman"/>
                <w:i/>
                <w:sz w:val="20"/>
                <w:szCs w:val="20"/>
                <w:lang w:eastAsia="sk-SK"/>
              </w:rPr>
              <w:t xml:space="preserve"> 2025</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A27471"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marec </w:t>
            </w:r>
            <w:r w:rsidR="004C780C">
              <w:rPr>
                <w:rFonts w:ascii="Times New Roman" w:eastAsia="Times New Roman" w:hAnsi="Times New Roman" w:cs="Times New Roman"/>
                <w:i/>
                <w:sz w:val="20"/>
                <w:szCs w:val="20"/>
                <w:lang w:eastAsia="sk-SK"/>
              </w:rPr>
              <w:t>2026</w:t>
            </w: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A91484" w:rsidRDefault="00643B30" w:rsidP="00A91484">
            <w:pPr>
              <w:jc w:val="both"/>
              <w:rPr>
                <w:rFonts w:ascii="Times New Roman" w:eastAsia="Times New Roman" w:hAnsi="Times New Roman" w:cs="Times New Roman"/>
                <w:sz w:val="20"/>
                <w:szCs w:val="20"/>
                <w:lang w:eastAsia="sk-SK"/>
              </w:rPr>
            </w:pPr>
            <w:r w:rsidRPr="00643B30">
              <w:rPr>
                <w:rFonts w:ascii="Times New Roman" w:eastAsia="Times New Roman" w:hAnsi="Times New Roman" w:cs="Times New Roman"/>
                <w:sz w:val="20"/>
                <w:szCs w:val="20"/>
                <w:lang w:eastAsia="sk-SK"/>
              </w:rPr>
              <w:t>Slovenská republika v čase, keď vstúpila do Európskej únie (ďalej len „EÚ“) prijala koncept „vzájomného uznávania justičných</w:t>
            </w:r>
            <w:r w:rsidR="00A355D6">
              <w:rPr>
                <w:rFonts w:ascii="Times New Roman" w:eastAsia="Times New Roman" w:hAnsi="Times New Roman" w:cs="Times New Roman"/>
                <w:sz w:val="20"/>
                <w:szCs w:val="20"/>
                <w:lang w:eastAsia="sk-SK"/>
              </w:rPr>
              <w:t xml:space="preserve"> rozhodnutí“ ako základný pilier </w:t>
            </w:r>
            <w:r w:rsidRPr="00643B30">
              <w:rPr>
                <w:rFonts w:ascii="Times New Roman" w:eastAsia="Times New Roman" w:hAnsi="Times New Roman" w:cs="Times New Roman"/>
                <w:sz w:val="20"/>
                <w:szCs w:val="20"/>
                <w:lang w:eastAsia="sk-SK"/>
              </w:rPr>
              <w:t>justičnej spolupráce v trestných veciach deklarovaný Radou Európskej únie. Slovenská republika v roku 2005 prijala koncept transpozície aktov EÚ formou samostatných zákonov. Tento koncept sa prejavil ako opodstatnený, najmä s poukazom na odlišný právny základ (vzájomné uznávanie) a skutočnosť, že nástroje justičnej spolupráce v rámci EÚ sú založené na priamom styku justičných orgánov členských štátov EÚ.</w:t>
            </w:r>
          </w:p>
          <w:p w:rsidR="00643B30" w:rsidRPr="00A91484" w:rsidRDefault="00643B30" w:rsidP="00A91484">
            <w:pPr>
              <w:jc w:val="both"/>
              <w:rPr>
                <w:rFonts w:ascii="Times New Roman" w:eastAsia="Times New Roman" w:hAnsi="Times New Roman" w:cs="Times New Roman"/>
                <w:sz w:val="20"/>
                <w:szCs w:val="20"/>
                <w:lang w:eastAsia="sk-SK"/>
              </w:rPr>
            </w:pPr>
          </w:p>
          <w:p w:rsidR="001B23B7" w:rsidRDefault="00643B30" w:rsidP="00A91484">
            <w:pPr>
              <w:jc w:val="both"/>
              <w:rPr>
                <w:rFonts w:ascii="Times New Roman" w:eastAsia="Times New Roman" w:hAnsi="Times New Roman" w:cs="Times New Roman"/>
                <w:sz w:val="20"/>
                <w:szCs w:val="20"/>
                <w:lang w:eastAsia="sk-SK"/>
              </w:rPr>
            </w:pPr>
            <w:r w:rsidRPr="00643B30">
              <w:rPr>
                <w:rFonts w:ascii="Times New Roman" w:eastAsia="Times New Roman" w:hAnsi="Times New Roman" w:cs="Times New Roman"/>
                <w:sz w:val="20"/>
                <w:szCs w:val="20"/>
                <w:lang w:eastAsia="sk-SK"/>
              </w:rPr>
              <w:t>V súčasnosti, pri náraste počtu osobitných zákonov, úprava medzinárodnej justičnej spolupráce v trestných veciach stratila prehľadnosť. Navyše, transpozícia nástrojov EÚ sa neuskutočnila v jednotnej legislatívnej línii. Preto je potrebné definovať pojmy a postupy, zohľadniť súčasný vývoj a trendy, judikatúru Súdneho dvora EÚ, Európskeho súdu pre ľudské práva a v neposlednom rade reagovať aj na problémy aplikačnej praxe. Rovnako je potrebné zohľadniť skutočnosť, že právne nástroje EÚ sa z hľadiska ich zapracovania, resp. začlenenia do právneho poriadku Slovenskej republiky líšia časovým momentom ich účinnosti a tým i obdobím, ktoré je pre ich využitie v praxi možné relevantne vyhodnotiť.</w:t>
            </w:r>
          </w:p>
          <w:p w:rsidR="00CF1C5D" w:rsidRDefault="00CF1C5D" w:rsidP="00A91484">
            <w:pPr>
              <w:jc w:val="both"/>
              <w:rPr>
                <w:rFonts w:ascii="Times New Roman" w:eastAsia="Times New Roman" w:hAnsi="Times New Roman" w:cs="Times New Roman"/>
                <w:sz w:val="20"/>
                <w:szCs w:val="20"/>
                <w:lang w:eastAsia="sk-SK"/>
              </w:rPr>
            </w:pPr>
          </w:p>
          <w:p w:rsidR="00CF1C5D" w:rsidRDefault="00CF1C5D" w:rsidP="00A91484">
            <w:pPr>
              <w:jc w:val="both"/>
              <w:rPr>
                <w:rFonts w:ascii="Times New Roman" w:eastAsia="Times New Roman" w:hAnsi="Times New Roman" w:cs="Times New Roman"/>
                <w:sz w:val="20"/>
                <w:szCs w:val="20"/>
                <w:lang w:eastAsia="sk-SK"/>
              </w:rPr>
            </w:pPr>
            <w:r w:rsidRPr="00CF1C5D">
              <w:rPr>
                <w:rFonts w:ascii="Times New Roman" w:eastAsia="Times New Roman" w:hAnsi="Times New Roman" w:cs="Times New Roman"/>
                <w:sz w:val="20"/>
                <w:szCs w:val="20"/>
                <w:lang w:eastAsia="sk-SK"/>
              </w:rPr>
              <w:t>Dôsledkom uvedeného stavu nastali problémy pri aplikácii jednotlivých nástrojov z hľadiska jednotného výkladu pojmov, pričom rovnako praktici vnímajú n</w:t>
            </w:r>
            <w:r>
              <w:rPr>
                <w:rFonts w:ascii="Times New Roman" w:eastAsia="Times New Roman" w:hAnsi="Times New Roman" w:cs="Times New Roman"/>
                <w:sz w:val="20"/>
                <w:szCs w:val="20"/>
                <w:lang w:eastAsia="sk-SK"/>
              </w:rPr>
              <w:t xml:space="preserve">áročne výber vhodného nástroja </w:t>
            </w:r>
            <w:r w:rsidRPr="00CF1C5D">
              <w:rPr>
                <w:rFonts w:ascii="Times New Roman" w:eastAsia="Times New Roman" w:hAnsi="Times New Roman" w:cs="Times New Roman"/>
                <w:sz w:val="20"/>
                <w:szCs w:val="20"/>
                <w:lang w:eastAsia="sk-SK"/>
              </w:rPr>
              <w:t xml:space="preserve">v závislosti od štátu, ktorý je </w:t>
            </w:r>
            <w:proofErr w:type="spellStart"/>
            <w:r w:rsidRPr="00CF1C5D">
              <w:rPr>
                <w:rFonts w:ascii="Times New Roman" w:eastAsia="Times New Roman" w:hAnsi="Times New Roman" w:cs="Times New Roman"/>
                <w:sz w:val="20"/>
                <w:szCs w:val="20"/>
                <w:lang w:eastAsia="sk-SK"/>
              </w:rPr>
              <w:t>zainvolvovaný</w:t>
            </w:r>
            <w:proofErr w:type="spellEnd"/>
            <w:r w:rsidRPr="00CF1C5D">
              <w:rPr>
                <w:rFonts w:ascii="Times New Roman" w:eastAsia="Times New Roman" w:hAnsi="Times New Roman" w:cs="Times New Roman"/>
                <w:sz w:val="20"/>
                <w:szCs w:val="20"/>
                <w:lang w:eastAsia="sk-SK"/>
              </w:rPr>
              <w:t xml:space="preserve"> do predmetnej veci. Pokiaľ ide o nevyhnutnosť legislatívne reagovať na judikatúru európskych súdov, táto spôsobuje, že ústredné orgány vynakladajú úsilie a zdroje na metodické usmerňovanie justičných orgánov s cieľom zabezpečiť súlad ich postupov s príslušnou judikatúrou, čo navyše nezabezpečuje jednotný prístup v podobných prípadoch. Rozsah výskytu týchto nezrovnalostí nie je možné kvantifikovať objektívne vzhľadom na absenciu centralizovaného bodu identifikácie a registrácie.</w:t>
            </w:r>
          </w:p>
          <w:p w:rsidR="00B769B6" w:rsidRPr="00612E08" w:rsidRDefault="00B769B6" w:rsidP="00A91484">
            <w:pPr>
              <w:jc w:val="both"/>
              <w:rPr>
                <w:rFonts w:ascii="Times New Roman" w:eastAsia="Times New Roman" w:hAnsi="Times New Roman" w:cs="Times New Roman"/>
                <w:b/>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A91484">
        <w:trPr>
          <w:trHeight w:val="568"/>
        </w:trPr>
        <w:tc>
          <w:tcPr>
            <w:tcW w:w="9180" w:type="dxa"/>
            <w:gridSpan w:val="11"/>
            <w:tcBorders>
              <w:top w:val="nil"/>
              <w:left w:val="single" w:sz="4" w:space="0" w:color="auto"/>
              <w:bottom w:val="single" w:sz="4" w:space="0" w:color="auto"/>
              <w:right w:val="single" w:sz="4" w:space="0" w:color="auto"/>
            </w:tcBorders>
            <w:shd w:val="clear" w:color="auto" w:fill="FFFFFF"/>
          </w:tcPr>
          <w:p w:rsidR="00A91484" w:rsidRDefault="00643B30" w:rsidP="00A91484">
            <w:pPr>
              <w:jc w:val="both"/>
              <w:rPr>
                <w:rFonts w:ascii="Times New Roman" w:eastAsia="Times New Roman" w:hAnsi="Times New Roman" w:cs="Times New Roman"/>
                <w:sz w:val="20"/>
                <w:szCs w:val="20"/>
                <w:lang w:eastAsia="sk-SK"/>
              </w:rPr>
            </w:pPr>
            <w:r w:rsidRPr="00643B30">
              <w:rPr>
                <w:rFonts w:ascii="Times New Roman" w:eastAsia="Times New Roman" w:hAnsi="Times New Roman" w:cs="Times New Roman"/>
                <w:sz w:val="20"/>
                <w:szCs w:val="20"/>
                <w:lang w:eastAsia="sk-SK"/>
              </w:rPr>
              <w:t>Cieľom predkladaného návrhu zákona je konsolidácia právnej úpravy medzinárodnej justičnej spolupráce v trestných veciach, ktorej účelom je, aby sa sprehľadnilo a zjednodušilo využívanie nástrojov a inštitútov využívaných v právnom styku s cudzinou a aby sa odstráni</w:t>
            </w:r>
            <w:r>
              <w:rPr>
                <w:rFonts w:ascii="Times New Roman" w:eastAsia="Times New Roman" w:hAnsi="Times New Roman" w:cs="Times New Roman"/>
                <w:sz w:val="20"/>
                <w:szCs w:val="20"/>
                <w:lang w:eastAsia="sk-SK"/>
              </w:rPr>
              <w:t>li nedostatky aplikačnej praxe.</w:t>
            </w:r>
          </w:p>
          <w:p w:rsidR="00643B30" w:rsidRPr="00A91484" w:rsidRDefault="00643B30" w:rsidP="00A91484">
            <w:pPr>
              <w:jc w:val="both"/>
              <w:rPr>
                <w:rFonts w:ascii="Times New Roman" w:eastAsia="Times New Roman" w:hAnsi="Times New Roman" w:cs="Times New Roman"/>
                <w:sz w:val="20"/>
                <w:szCs w:val="20"/>
                <w:lang w:eastAsia="sk-SK"/>
              </w:rPr>
            </w:pPr>
          </w:p>
          <w:p w:rsidR="001B23B7" w:rsidRPr="00A91484" w:rsidRDefault="00643B30" w:rsidP="00A91484">
            <w:pPr>
              <w:jc w:val="both"/>
              <w:rPr>
                <w:rFonts w:ascii="Times New Roman" w:eastAsia="Times New Roman" w:hAnsi="Times New Roman" w:cs="Times New Roman"/>
                <w:sz w:val="20"/>
                <w:szCs w:val="20"/>
                <w:lang w:eastAsia="sk-SK"/>
              </w:rPr>
            </w:pPr>
            <w:r w:rsidRPr="00643B30">
              <w:rPr>
                <w:rFonts w:ascii="Times New Roman" w:eastAsia="Times New Roman" w:hAnsi="Times New Roman" w:cs="Times New Roman"/>
                <w:sz w:val="20"/>
                <w:szCs w:val="20"/>
                <w:lang w:eastAsia="sk-SK"/>
              </w:rPr>
              <w:t>Nová právna úprava medzinárodnej justičnej spolupráce v trestných veciach predstavuje revíziu jednotlivých osobitných zákonov upravujúcich medzinárodnú justičnú spoluprácu v trestných veciach v potrebnej miere a doplnenie a prepracovanie piatej časti Trestného poriadku, ktorá sa zrušuje a preberá do návrhu zákona. Podkladom pre túto revíziu bola analýza implementácie práva EÚ ako aj medzinárodných zmlúv, ktorými je Slovenská republika viazaná tak, aby boli jej orgány schopné dodržať medzinárodné záväzky Slovenskej republiky. Nová úprava zohľadňuje aj vývoj judikatúry medzinárodných súdov a v neposlednom rade aj Ústavného súdu Slovenskej republiky.</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8E68FF">
        <w:trPr>
          <w:trHeight w:val="730"/>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8E68FF" w:rsidRDefault="008E68FF" w:rsidP="008E68FF">
            <w:pPr>
              <w:jc w:val="both"/>
              <w:rPr>
                <w:rFonts w:ascii="Times New Roman" w:eastAsia="Times New Roman" w:hAnsi="Times New Roman" w:cs="Times New Roman"/>
                <w:b/>
                <w:sz w:val="20"/>
                <w:szCs w:val="20"/>
                <w:lang w:eastAsia="sk-SK"/>
              </w:rPr>
            </w:pPr>
            <w:r w:rsidRPr="008E68FF">
              <w:rPr>
                <w:rFonts w:ascii="Times New Roman" w:eastAsia="Times New Roman" w:hAnsi="Times New Roman" w:cs="Times New Roman"/>
                <w:sz w:val="20"/>
                <w:szCs w:val="20"/>
                <w:lang w:eastAsia="sk-SK"/>
              </w:rPr>
              <w:t>Orgány činné v trestnom konaní, súdy, osoby, voči ktorým sa vedie trestné konanie, odsúdení, Ministerstvo spravodlivosti Slovenskej republiky, Ministerstvo vnútra Slovenskej republiky, Generálna prokuratúra Slovenskej republiky</w:t>
            </w:r>
          </w:p>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rsidTr="00BA26EE">
        <w:trPr>
          <w:trHeight w:val="676"/>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8E68FF" w:rsidP="000800FC">
            <w:pPr>
              <w:jc w:val="both"/>
              <w:rPr>
                <w:rFonts w:ascii="Times New Roman" w:eastAsia="Times New Roman" w:hAnsi="Times New Roman" w:cs="Times New Roman"/>
                <w:sz w:val="20"/>
                <w:szCs w:val="20"/>
                <w:lang w:eastAsia="sk-SK"/>
              </w:rPr>
            </w:pPr>
            <w:r w:rsidRPr="008E68FF">
              <w:rPr>
                <w:rFonts w:ascii="Times New Roman" w:eastAsia="Times New Roman" w:hAnsi="Times New Roman" w:cs="Times New Roman"/>
                <w:sz w:val="20"/>
                <w:szCs w:val="20"/>
                <w:lang w:eastAsia="sk-SK"/>
              </w:rPr>
              <w:t>Ciele tohto dokumentu nie je možné uplatniť  iným spôsobom, ako prijatím návrhu zákona o</w:t>
            </w:r>
            <w:r w:rsidR="00471462">
              <w:rPr>
                <w:rFonts w:ascii="Times New Roman" w:eastAsia="Times New Roman" w:hAnsi="Times New Roman" w:cs="Times New Roman"/>
                <w:sz w:val="20"/>
                <w:szCs w:val="20"/>
                <w:lang w:eastAsia="sk-SK"/>
              </w:rPr>
              <w:t xml:space="preserve"> medzinárodnej </w:t>
            </w:r>
            <w:r w:rsidRPr="008E68FF">
              <w:rPr>
                <w:rFonts w:ascii="Times New Roman" w:eastAsia="Times New Roman" w:hAnsi="Times New Roman" w:cs="Times New Roman"/>
                <w:sz w:val="20"/>
                <w:szCs w:val="20"/>
                <w:lang w:eastAsia="sk-SK"/>
              </w:rPr>
              <w:t>justičnej spolupráci v trestných veciach.</w:t>
            </w:r>
          </w:p>
          <w:p w:rsidR="00A84A82" w:rsidRDefault="00A84A82" w:rsidP="000800FC">
            <w:pPr>
              <w:jc w:val="both"/>
              <w:rPr>
                <w:rFonts w:ascii="Times New Roman" w:eastAsia="Times New Roman" w:hAnsi="Times New Roman" w:cs="Times New Roman"/>
                <w:sz w:val="20"/>
                <w:szCs w:val="20"/>
                <w:lang w:eastAsia="sk-SK"/>
              </w:rPr>
            </w:pPr>
          </w:p>
          <w:p w:rsidR="00A84A82" w:rsidRPr="008E68FF" w:rsidRDefault="00A84A82" w:rsidP="00F7491A">
            <w:pPr>
              <w:jc w:val="both"/>
              <w:rPr>
                <w:rFonts w:ascii="Times New Roman" w:eastAsia="Times New Roman" w:hAnsi="Times New Roman" w:cs="Times New Roman"/>
                <w:sz w:val="20"/>
                <w:szCs w:val="20"/>
                <w:lang w:eastAsia="sk-SK"/>
              </w:rPr>
            </w:pPr>
            <w:r w:rsidRPr="00A84A82">
              <w:rPr>
                <w:rFonts w:ascii="Times New Roman" w:eastAsia="Times New Roman" w:hAnsi="Times New Roman" w:cs="Times New Roman"/>
                <w:sz w:val="20"/>
                <w:szCs w:val="20"/>
                <w:lang w:eastAsia="sk-SK"/>
              </w:rPr>
              <w:t xml:space="preserve">Nulový variant - Nulový variant predstavuje ponechanie súčasného stavu, </w:t>
            </w:r>
            <w:r w:rsidR="00F7491A">
              <w:rPr>
                <w:rFonts w:ascii="Times New Roman" w:eastAsia="Times New Roman" w:hAnsi="Times New Roman" w:cs="Times New Roman"/>
                <w:sz w:val="20"/>
                <w:szCs w:val="20"/>
                <w:lang w:eastAsia="sk-SK"/>
              </w:rPr>
              <w:t xml:space="preserve">ktorý </w:t>
            </w:r>
            <w:r w:rsidR="00F7491A" w:rsidRPr="00F7491A">
              <w:rPr>
                <w:rFonts w:ascii="Times New Roman" w:eastAsia="Times New Roman" w:hAnsi="Times New Roman" w:cs="Times New Roman"/>
                <w:sz w:val="20"/>
                <w:szCs w:val="20"/>
                <w:lang w:eastAsia="sk-SK"/>
              </w:rPr>
              <w:t>neumožňuje prehľadné a jednoduché využívanie nástrojov a inštitútov právneho styku s cudzinou a obsahuje nedostatky v aplikačnej praxi</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810DC4"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BA26EE">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810DC4"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BA26EE" w:rsidRDefault="00BA26EE" w:rsidP="000800FC">
            <w:pPr>
              <w:rPr>
                <w:rFonts w:ascii="Times New Roman" w:eastAsia="Times New Roman" w:hAnsi="Times New Roman" w:cs="Times New Roman"/>
                <w:i/>
                <w:sz w:val="20"/>
                <w:szCs w:val="20"/>
                <w:lang w:eastAsia="sk-SK"/>
              </w:rPr>
            </w:pPr>
          </w:p>
          <w:p w:rsidR="00D215FB" w:rsidRDefault="00BA26EE" w:rsidP="00D215FB">
            <w:pPr>
              <w:pStyle w:val="Odsekzoznamu"/>
              <w:numPr>
                <w:ilvl w:val="0"/>
                <w:numId w:val="3"/>
              </w:numPr>
              <w:rPr>
                <w:rFonts w:ascii="Times New Roman" w:eastAsia="Times New Roman" w:hAnsi="Times New Roman" w:cs="Times New Roman"/>
                <w:sz w:val="20"/>
                <w:szCs w:val="20"/>
                <w:lang w:eastAsia="sk-SK"/>
              </w:rPr>
            </w:pPr>
            <w:r w:rsidRPr="00D215FB">
              <w:rPr>
                <w:rFonts w:ascii="Times New Roman" w:eastAsia="Times New Roman" w:hAnsi="Times New Roman" w:cs="Times New Roman"/>
                <w:sz w:val="20"/>
                <w:szCs w:val="20"/>
                <w:lang w:eastAsia="sk-SK"/>
              </w:rPr>
              <w:t>Návrh vyhlášky Ministerstva spravodlivosti Slovenskej republiky, ktorou sa ustanovujú prílohy k zákonu o</w:t>
            </w:r>
            <w:r w:rsidR="000C28F7" w:rsidRPr="00D215FB">
              <w:rPr>
                <w:rFonts w:ascii="Times New Roman" w:eastAsia="Times New Roman" w:hAnsi="Times New Roman" w:cs="Times New Roman"/>
                <w:sz w:val="20"/>
                <w:szCs w:val="20"/>
                <w:lang w:eastAsia="sk-SK"/>
              </w:rPr>
              <w:t xml:space="preserve"> medzinárodnej </w:t>
            </w:r>
            <w:r w:rsidRPr="00D215FB">
              <w:rPr>
                <w:rFonts w:ascii="Times New Roman" w:eastAsia="Times New Roman" w:hAnsi="Times New Roman" w:cs="Times New Roman"/>
                <w:sz w:val="20"/>
                <w:szCs w:val="20"/>
                <w:lang w:eastAsia="sk-SK"/>
              </w:rPr>
              <w:t>justičnej spolupráci v trestných veciach</w:t>
            </w:r>
          </w:p>
          <w:p w:rsidR="00D215FB" w:rsidRPr="00D215FB" w:rsidRDefault="00D215FB" w:rsidP="00D215FB">
            <w:pPr>
              <w:pStyle w:val="Odsekzoznamu"/>
              <w:rPr>
                <w:rFonts w:ascii="Times New Roman" w:eastAsia="Times New Roman" w:hAnsi="Times New Roman" w:cs="Times New Roman"/>
                <w:sz w:val="20"/>
                <w:szCs w:val="20"/>
                <w:lang w:eastAsia="sk-SK"/>
              </w:rPr>
            </w:pPr>
          </w:p>
          <w:p w:rsidR="00110D3A" w:rsidRPr="00D215FB" w:rsidRDefault="00D215FB" w:rsidP="00D215FB">
            <w:pPr>
              <w:pStyle w:val="Odsekzoznamu"/>
              <w:numPr>
                <w:ilvl w:val="0"/>
                <w:numId w:val="3"/>
              </w:num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w:t>
            </w:r>
            <w:r w:rsidR="00110D3A" w:rsidRPr="00D215FB">
              <w:rPr>
                <w:rFonts w:ascii="Times New Roman" w:eastAsia="Times New Roman" w:hAnsi="Times New Roman" w:cs="Times New Roman"/>
                <w:sz w:val="20"/>
                <w:szCs w:val="20"/>
                <w:lang w:eastAsia="sk-SK"/>
              </w:rPr>
              <w:t>vyhlášky Ministerstva spravodlivosti Slovenskej republiky, ktorou sa ustanovujú podrobnosti o certifikovanom strojovom preklade na účely medzinárodnej justičnej spolupráce</w:t>
            </w:r>
          </w:p>
          <w:p w:rsidR="00110D3A" w:rsidRPr="00110D3A" w:rsidRDefault="00110D3A" w:rsidP="00110D3A">
            <w:pPr>
              <w:ind w:left="360"/>
              <w:rPr>
                <w:rFonts w:ascii="Times New Roman" w:eastAsia="Times New Roman" w:hAnsi="Times New Roman" w:cs="Times New Roman"/>
                <w:sz w:val="20"/>
                <w:szCs w:val="20"/>
                <w:lang w:eastAsia="sk-SK"/>
              </w:rPr>
            </w:pP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110D3A">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110D3A">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110D3A" w:rsidRDefault="00A7788F" w:rsidP="00A7788F">
                  <w:pPr>
                    <w:pStyle w:val="Default"/>
                    <w:rPr>
                      <w:i/>
                      <w:iCs/>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p w:rsidR="00110D3A" w:rsidRDefault="00110D3A" w:rsidP="00A7788F">
                  <w:pPr>
                    <w:pStyle w:val="Default"/>
                    <w:rPr>
                      <w:i/>
                      <w:iCs/>
                      <w:color w:val="auto"/>
                      <w:sz w:val="20"/>
                      <w:szCs w:val="20"/>
                    </w:rPr>
                  </w:pPr>
                </w:p>
                <w:p w:rsidR="00110D3A" w:rsidRDefault="00110D3A" w:rsidP="00A452E7">
                  <w:pPr>
                    <w:pStyle w:val="Default"/>
                    <w:jc w:val="both"/>
                    <w:rPr>
                      <w:iCs/>
                      <w:color w:val="auto"/>
                      <w:sz w:val="20"/>
                      <w:szCs w:val="20"/>
                    </w:rPr>
                  </w:pPr>
                  <w:r>
                    <w:rPr>
                      <w:iCs/>
                      <w:color w:val="auto"/>
                      <w:sz w:val="20"/>
                      <w:szCs w:val="20"/>
                    </w:rPr>
                    <w:t xml:space="preserve">Ku </w:t>
                  </w:r>
                  <w:proofErr w:type="spellStart"/>
                  <w:r>
                    <w:rPr>
                      <w:iCs/>
                      <w:color w:val="auto"/>
                      <w:sz w:val="20"/>
                      <w:szCs w:val="20"/>
                    </w:rPr>
                    <w:t>goldplatingu</w:t>
                  </w:r>
                  <w:proofErr w:type="spellEnd"/>
                  <w:r>
                    <w:rPr>
                      <w:iCs/>
                      <w:color w:val="auto"/>
                      <w:sz w:val="20"/>
                      <w:szCs w:val="20"/>
                    </w:rPr>
                    <w:t xml:space="preserve"> dochádza pri nasledovn</w:t>
                  </w:r>
                  <w:r w:rsidR="00664808">
                    <w:rPr>
                      <w:iCs/>
                      <w:color w:val="auto"/>
                      <w:sz w:val="20"/>
                      <w:szCs w:val="20"/>
                    </w:rPr>
                    <w:t>om</w:t>
                  </w:r>
                  <w:r>
                    <w:rPr>
                      <w:iCs/>
                      <w:color w:val="auto"/>
                      <w:sz w:val="20"/>
                      <w:szCs w:val="20"/>
                    </w:rPr>
                    <w:t xml:space="preserve"> článk</w:t>
                  </w:r>
                  <w:r w:rsidR="00664808">
                    <w:rPr>
                      <w:iCs/>
                      <w:color w:val="auto"/>
                      <w:sz w:val="20"/>
                      <w:szCs w:val="20"/>
                    </w:rPr>
                    <w:t>u</w:t>
                  </w:r>
                  <w:r>
                    <w:rPr>
                      <w:iCs/>
                      <w:color w:val="auto"/>
                      <w:sz w:val="20"/>
                      <w:szCs w:val="20"/>
                    </w:rPr>
                    <w:t xml:space="preserve"> </w:t>
                  </w:r>
                  <w:r w:rsidR="00C3355D">
                    <w:rPr>
                      <w:iCs/>
                      <w:color w:val="auto"/>
                      <w:sz w:val="20"/>
                      <w:szCs w:val="20"/>
                    </w:rPr>
                    <w:t>smernice</w:t>
                  </w:r>
                  <w:r w:rsidR="00C3355D" w:rsidRPr="00C3355D">
                    <w:rPr>
                      <w:iCs/>
                      <w:color w:val="auto"/>
                      <w:sz w:val="20"/>
                      <w:szCs w:val="20"/>
                    </w:rPr>
                    <w:t xml:space="preserve"> Európskeho parlamentu a Rady 2014/41/EÚ z 3. apríla 2014 o európskom vyšetrovacom príkaze v trestných veciach (Ú. v. EÚ L 130, 1.5.2014) v platnom znení</w:t>
                  </w:r>
                  <w:r>
                    <w:rPr>
                      <w:iCs/>
                      <w:color w:val="auto"/>
                      <w:sz w:val="20"/>
                      <w:szCs w:val="20"/>
                    </w:rPr>
                    <w:t>:</w:t>
                  </w:r>
                </w:p>
                <w:p w:rsidR="00110D3A" w:rsidRDefault="00110D3A" w:rsidP="00A452E7">
                  <w:pPr>
                    <w:pStyle w:val="Default"/>
                    <w:jc w:val="both"/>
                    <w:rPr>
                      <w:iCs/>
                      <w:color w:val="auto"/>
                      <w:sz w:val="20"/>
                      <w:szCs w:val="20"/>
                    </w:rPr>
                  </w:pPr>
                </w:p>
                <w:p w:rsidR="00110D3A" w:rsidRDefault="00110D3A" w:rsidP="00A452E7">
                  <w:pPr>
                    <w:pStyle w:val="Default"/>
                    <w:jc w:val="both"/>
                    <w:rPr>
                      <w:iCs/>
                      <w:color w:val="auto"/>
                      <w:sz w:val="20"/>
                      <w:szCs w:val="20"/>
                    </w:rPr>
                  </w:pPr>
                  <w:r w:rsidRPr="00D215FB">
                    <w:rPr>
                      <w:b/>
                      <w:iCs/>
                      <w:color w:val="auto"/>
                      <w:sz w:val="20"/>
                      <w:szCs w:val="20"/>
                    </w:rPr>
                    <w:t>Čl. 22 ods. 9 písm. a):</w:t>
                  </w:r>
                  <w:r w:rsidRPr="00110D3A">
                    <w:rPr>
                      <w:iCs/>
                      <w:color w:val="auto"/>
                      <w:sz w:val="20"/>
                      <w:szCs w:val="20"/>
                    </w:rPr>
                    <w:t xml:space="preserve"> uvedený článok stanovuje dobu 15 dní, počas ktorej ak osoba zotrvá na území štátu pôvodu </w:t>
                  </w:r>
                  <w:proofErr w:type="spellStart"/>
                  <w:r w:rsidRPr="00110D3A">
                    <w:rPr>
                      <w:iCs/>
                      <w:color w:val="auto"/>
                      <w:sz w:val="20"/>
                      <w:szCs w:val="20"/>
                    </w:rPr>
                    <w:t>t.j</w:t>
                  </w:r>
                  <w:proofErr w:type="spellEnd"/>
                  <w:r w:rsidRPr="00110D3A">
                    <w:rPr>
                      <w:iCs/>
                      <w:color w:val="auto"/>
                      <w:sz w:val="20"/>
                      <w:szCs w:val="20"/>
                    </w:rPr>
                    <w:t>. v SR, nevzťahuje sa na ňu zásada špeciality. Uvedená lehota je v návrhu zákona dlhšia ako uvádza smernica, čo je v prospech osoby, voči ktorej sa vedie trestné konanie z pohľadu ochrany jej práva nebyť stíhaná (imunita) za skutky alebo odsúdenia spred jej odchodu z vykonávajúceho štátu. 45 dňová lehota je harmonizovaná v celom návrhu zákona, pokiaľ ide o výluku zo zásady špeciality pri dobrovoľnom opustení územia štátu pôvodu (SR); ide o § 68, § 227, § 328.  Okrem rovnakého prístupu k výlukám zo zásady špeciality je možné argumentovať aj ochranou obvinenej osoby z hľadiska reflexnej doby pre zotrvanie na území štátu pôvodu.</w:t>
                  </w:r>
                </w:p>
                <w:p w:rsidR="001F4B41" w:rsidRDefault="001F4B41" w:rsidP="00A452E7">
                  <w:pPr>
                    <w:pStyle w:val="Default"/>
                    <w:jc w:val="both"/>
                    <w:rPr>
                      <w:iCs/>
                      <w:color w:val="auto"/>
                      <w:sz w:val="20"/>
                      <w:szCs w:val="20"/>
                    </w:rPr>
                  </w:pPr>
                </w:p>
                <w:p w:rsidR="001F4B41" w:rsidRDefault="001F4B41" w:rsidP="00A452E7">
                  <w:pPr>
                    <w:pStyle w:val="Default"/>
                    <w:jc w:val="both"/>
                    <w:rPr>
                      <w:iCs/>
                      <w:color w:val="auto"/>
                      <w:sz w:val="20"/>
                      <w:szCs w:val="20"/>
                    </w:rPr>
                  </w:pPr>
                  <w:r>
                    <w:rPr>
                      <w:iCs/>
                      <w:color w:val="auto"/>
                      <w:sz w:val="20"/>
                      <w:szCs w:val="20"/>
                    </w:rPr>
                    <w:t xml:space="preserve">Ku </w:t>
                  </w:r>
                  <w:proofErr w:type="spellStart"/>
                  <w:r>
                    <w:rPr>
                      <w:iCs/>
                      <w:color w:val="auto"/>
                      <w:sz w:val="20"/>
                      <w:szCs w:val="20"/>
                    </w:rPr>
                    <w:t>goldplatingu</w:t>
                  </w:r>
                  <w:proofErr w:type="spellEnd"/>
                  <w:r>
                    <w:rPr>
                      <w:iCs/>
                      <w:color w:val="auto"/>
                      <w:sz w:val="20"/>
                      <w:szCs w:val="20"/>
                    </w:rPr>
                    <w:t xml:space="preserve"> dochádza pri nasledovnom článku r</w:t>
                  </w:r>
                  <w:r w:rsidRPr="001F4B41">
                    <w:rPr>
                      <w:iCs/>
                      <w:color w:val="auto"/>
                      <w:sz w:val="20"/>
                      <w:szCs w:val="20"/>
                    </w:rPr>
                    <w:t>ámcové</w:t>
                  </w:r>
                  <w:r>
                    <w:rPr>
                      <w:iCs/>
                      <w:color w:val="auto"/>
                      <w:sz w:val="20"/>
                      <w:szCs w:val="20"/>
                    </w:rPr>
                    <w:t>ho</w:t>
                  </w:r>
                  <w:r w:rsidRPr="001F4B41">
                    <w:rPr>
                      <w:iCs/>
                      <w:color w:val="auto"/>
                      <w:sz w:val="20"/>
                      <w:szCs w:val="20"/>
                    </w:rPr>
                    <w:t xml:space="preserve"> rozhodnutie Rady z 13. júna 2002 o európskom zatykači a postupoch odovzdávania osôb medzi členskými štátmi (2002/584/SVV) (Mimoriadne vydanie Ú. v. EÚ, kap. 19/zv. 006; Ú. v. ES L 190, 18.7.2002) v platnom znení</w:t>
                  </w:r>
                  <w:r>
                    <w:rPr>
                      <w:iCs/>
                      <w:color w:val="auto"/>
                      <w:sz w:val="20"/>
                      <w:szCs w:val="20"/>
                    </w:rPr>
                    <w:t>:</w:t>
                  </w:r>
                </w:p>
                <w:p w:rsidR="001F4B41" w:rsidRDefault="001F4B41" w:rsidP="00A452E7">
                  <w:pPr>
                    <w:pStyle w:val="Default"/>
                    <w:jc w:val="both"/>
                    <w:rPr>
                      <w:iCs/>
                      <w:color w:val="auto"/>
                      <w:sz w:val="20"/>
                      <w:szCs w:val="20"/>
                    </w:rPr>
                  </w:pPr>
                </w:p>
                <w:p w:rsidR="00110D3A" w:rsidRPr="00110D3A" w:rsidRDefault="001F4B41" w:rsidP="001F4B41">
                  <w:pPr>
                    <w:pStyle w:val="Default"/>
                    <w:rPr>
                      <w:color w:val="auto"/>
                      <w:sz w:val="20"/>
                      <w:szCs w:val="20"/>
                    </w:rPr>
                  </w:pPr>
                  <w:r w:rsidRPr="001F4B41">
                    <w:rPr>
                      <w:b/>
                      <w:iCs/>
                      <w:color w:val="auto"/>
                      <w:sz w:val="20"/>
                      <w:szCs w:val="20"/>
                    </w:rPr>
                    <w:t>Čl. 25 ods. 1:</w:t>
                  </w:r>
                  <w:r>
                    <w:rPr>
                      <w:b/>
                      <w:iCs/>
                      <w:color w:val="auto"/>
                      <w:sz w:val="20"/>
                      <w:szCs w:val="20"/>
                    </w:rPr>
                    <w:t xml:space="preserve"> </w:t>
                  </w:r>
                  <w:r w:rsidRPr="001F4B41">
                    <w:rPr>
                      <w:iCs/>
                      <w:color w:val="auto"/>
                      <w:sz w:val="20"/>
                      <w:szCs w:val="20"/>
                    </w:rPr>
                    <w:t xml:space="preserve">pripojenie </w:t>
                  </w:r>
                  <w:r>
                    <w:rPr>
                      <w:iCs/>
                      <w:color w:val="auto"/>
                      <w:sz w:val="20"/>
                      <w:szCs w:val="20"/>
                    </w:rPr>
                    <w:t>európskeho zatýkacieho rozkazu</w:t>
                  </w:r>
                  <w:r w:rsidRPr="001F4B41">
                    <w:rPr>
                      <w:iCs/>
                      <w:color w:val="auto"/>
                      <w:sz w:val="20"/>
                      <w:szCs w:val="20"/>
                    </w:rPr>
                    <w:t xml:space="preserve"> má opodstatnenie z hľadiska potrieb policajných zložiek pri logistickej organizácii eskorty osoby. Uvedené nevyvolá dodatočné náklady, nakoľko </w:t>
                  </w:r>
                  <w:r>
                    <w:rPr>
                      <w:iCs/>
                      <w:color w:val="auto"/>
                      <w:sz w:val="20"/>
                      <w:szCs w:val="20"/>
                    </w:rPr>
                    <w:t>európsky zatýkací rozkaz</w:t>
                  </w:r>
                  <w:r w:rsidRPr="001F4B41">
                    <w:rPr>
                      <w:iCs/>
                      <w:color w:val="auto"/>
                      <w:sz w:val="20"/>
                      <w:szCs w:val="20"/>
                    </w:rPr>
                    <w:t xml:space="preserve"> je už vydaný a</w:t>
                  </w:r>
                  <w:r>
                    <w:rPr>
                      <w:iCs/>
                      <w:color w:val="auto"/>
                      <w:sz w:val="20"/>
                      <w:szCs w:val="20"/>
                    </w:rPr>
                    <w:t xml:space="preserve"> evidovaný </w:t>
                  </w:r>
                  <w:r w:rsidRPr="001F4B41">
                    <w:rPr>
                      <w:iCs/>
                      <w:color w:val="auto"/>
                      <w:sz w:val="20"/>
                      <w:szCs w:val="20"/>
                    </w:rPr>
                    <w:t xml:space="preserve">v systéme SIS.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D215FB">
        <w:trPr>
          <w:trHeight w:val="87"/>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110D3A">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99192A" w:rsidRPr="0099192A" w:rsidRDefault="008A6E3B" w:rsidP="007A18B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Od 1. januára 2028</w:t>
            </w:r>
            <w:r w:rsidR="0099192A" w:rsidRPr="0099192A">
              <w:rPr>
                <w:rFonts w:ascii="Times New Roman" w:eastAsia="Times New Roman" w:hAnsi="Times New Roman" w:cs="Times New Roman"/>
                <w:sz w:val="20"/>
                <w:szCs w:val="20"/>
                <w:lang w:eastAsia="sk-SK"/>
              </w:rPr>
              <w:t xml:space="preserve">, kedy nadobudne návrh zákona účinnosť, by malo dôjsť k preskúmaniu účinnosti a účelnosti predkladaného materiálu, ktoré sa bude vykonávať </w:t>
            </w:r>
            <w:r w:rsidR="007A18B2">
              <w:rPr>
                <w:rFonts w:ascii="Times New Roman" w:eastAsia="Times New Roman" w:hAnsi="Times New Roman" w:cs="Times New Roman"/>
                <w:sz w:val="20"/>
                <w:szCs w:val="20"/>
                <w:lang w:eastAsia="sk-SK"/>
              </w:rPr>
              <w:t xml:space="preserve">priebežne, </w:t>
            </w:r>
            <w:r w:rsidR="007A18B2" w:rsidRPr="007A18B2">
              <w:rPr>
                <w:rFonts w:ascii="Times New Roman" w:eastAsia="Times New Roman" w:hAnsi="Times New Roman" w:cs="Times New Roman"/>
                <w:sz w:val="20"/>
                <w:szCs w:val="20"/>
                <w:lang w:eastAsia="sk-SK"/>
              </w:rPr>
              <w:t>pričom sa budú zohľadňovať najmä skúsenosti aplikačnej praxe a vplyvy na ochranu oprávnených záujmov osôb, proti ktorým sa vedie trestné konanie a poškodených.</w:t>
            </w:r>
          </w:p>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607702"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607702"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AB0B4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AB0B4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E67EAB"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AB0B49"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AB0B49"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E67EA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E67EA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E67EA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E67EA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E67EA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E67EA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E67EA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07702" w:rsidRDefault="00CE3D2A" w:rsidP="00607702">
            <w:pPr>
              <w:jc w:val="both"/>
              <w:rPr>
                <w:rFonts w:ascii="Times New Roman" w:eastAsia="Calibri" w:hAnsi="Times New Roman" w:cs="Times New Roman"/>
              </w:rPr>
            </w:pPr>
            <w:r w:rsidRPr="00D215FB">
              <w:rPr>
                <w:rFonts w:ascii="Times New Roman" w:eastAsia="Calibri" w:hAnsi="Times New Roman" w:cs="Times New Roman"/>
                <w:sz w:val="20"/>
              </w:rPr>
              <w:t>Financovanie návrhu zákona bude zabezpečené v rámci schválených limitov na príslušný rok a pri príprave návrhu štátneho rozpočtu na roky 2027 až 2029.</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0D6F30" w:rsidRPr="00875DBF" w:rsidRDefault="00BF0FAC" w:rsidP="00C81759">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 xml:space="preserve">Mgr. Alexander </w:t>
            </w:r>
            <w:proofErr w:type="spellStart"/>
            <w:r>
              <w:rPr>
                <w:rFonts w:ascii="Times New Roman" w:eastAsia="Times New Roman" w:hAnsi="Times New Roman" w:cs="Times New Roman"/>
                <w:b/>
                <w:sz w:val="20"/>
                <w:szCs w:val="20"/>
                <w:lang w:eastAsia="sk-SK"/>
              </w:rPr>
              <w:t>Kunošík</w:t>
            </w:r>
            <w:proofErr w:type="spellEnd"/>
          </w:p>
          <w:p w:rsidR="000D6F30" w:rsidRPr="00875DBF" w:rsidRDefault="00BF0FAC" w:rsidP="00C81759">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riaditeľ </w:t>
            </w:r>
            <w:r w:rsidR="000D6F30" w:rsidRPr="00875DBF">
              <w:rPr>
                <w:rFonts w:ascii="Times New Roman" w:eastAsia="Times New Roman" w:hAnsi="Times New Roman" w:cs="Times New Roman"/>
                <w:sz w:val="20"/>
                <w:szCs w:val="20"/>
                <w:lang w:eastAsia="sk-SK"/>
              </w:rPr>
              <w:t>odbor</w:t>
            </w:r>
            <w:r>
              <w:rPr>
                <w:rFonts w:ascii="Times New Roman" w:eastAsia="Times New Roman" w:hAnsi="Times New Roman" w:cs="Times New Roman"/>
                <w:sz w:val="20"/>
                <w:szCs w:val="20"/>
                <w:lang w:eastAsia="sk-SK"/>
              </w:rPr>
              <w:t>u</w:t>
            </w:r>
            <w:r w:rsidR="000D6F30" w:rsidRPr="00875DBF">
              <w:rPr>
                <w:rFonts w:ascii="Times New Roman" w:eastAsia="Times New Roman" w:hAnsi="Times New Roman" w:cs="Times New Roman"/>
                <w:sz w:val="20"/>
                <w:szCs w:val="20"/>
                <w:lang w:eastAsia="sk-SK"/>
              </w:rPr>
              <w:t xml:space="preserve"> justičnej spolupráce v trestných veciach</w:t>
            </w:r>
          </w:p>
          <w:p w:rsidR="000D6F30" w:rsidRPr="00875DBF" w:rsidRDefault="000D6F30" w:rsidP="00C81759">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Ministerstvo spravodlivosti Slovenskej republiky</w:t>
            </w:r>
          </w:p>
          <w:p w:rsidR="000D6F30" w:rsidRPr="00875DBF" w:rsidRDefault="000D6F30" w:rsidP="00C81759">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Račianska 71, 813 11 Bratislava</w:t>
            </w:r>
          </w:p>
          <w:p w:rsidR="000D6F30" w:rsidRPr="00875DBF" w:rsidRDefault="000D6F30" w:rsidP="00C81759">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 xml:space="preserve">Email: </w:t>
            </w:r>
            <w:r w:rsidR="004918C1" w:rsidRPr="004918C1">
              <w:rPr>
                <w:rFonts w:ascii="Times New Roman" w:eastAsia="Times New Roman" w:hAnsi="Times New Roman" w:cs="Times New Roman"/>
                <w:sz w:val="20"/>
                <w:szCs w:val="20"/>
                <w:lang w:eastAsia="sk-SK"/>
              </w:rPr>
              <w:t>alexander.kunosik@justice.sk</w:t>
            </w:r>
          </w:p>
          <w:p w:rsidR="000D6F30" w:rsidRPr="00875DBF" w:rsidRDefault="000D6F30" w:rsidP="00C81759">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Tel: 02/888 91</w:t>
            </w:r>
            <w:r w:rsidR="00C81759" w:rsidRPr="00875DBF">
              <w:rPr>
                <w:rFonts w:ascii="Times New Roman" w:eastAsia="Times New Roman" w:hAnsi="Times New Roman" w:cs="Times New Roman"/>
                <w:sz w:val="20"/>
                <w:szCs w:val="20"/>
                <w:lang w:eastAsia="sk-SK"/>
              </w:rPr>
              <w:t> </w:t>
            </w:r>
            <w:r w:rsidR="004918C1">
              <w:rPr>
                <w:rFonts w:ascii="Times New Roman" w:eastAsia="Times New Roman" w:hAnsi="Times New Roman" w:cs="Times New Roman"/>
                <w:sz w:val="20"/>
                <w:szCs w:val="20"/>
                <w:lang w:eastAsia="sk-SK"/>
              </w:rPr>
              <w:t>344</w:t>
            </w:r>
          </w:p>
          <w:p w:rsidR="00C81759" w:rsidRPr="00D215FB" w:rsidRDefault="00C81759" w:rsidP="00C81759">
            <w:pPr>
              <w:jc w:val="both"/>
              <w:rPr>
                <w:rFonts w:ascii="Times New Roman" w:eastAsia="Times New Roman" w:hAnsi="Times New Roman" w:cs="Times New Roman"/>
                <w:b/>
                <w:sz w:val="20"/>
                <w:szCs w:val="20"/>
                <w:lang w:eastAsia="sk-SK"/>
              </w:rPr>
            </w:pPr>
          </w:p>
          <w:p w:rsidR="00875DBF" w:rsidRPr="00D215FB" w:rsidRDefault="00875DBF" w:rsidP="00875DBF">
            <w:pPr>
              <w:jc w:val="both"/>
              <w:rPr>
                <w:rFonts w:ascii="Times New Roman" w:eastAsia="Times New Roman" w:hAnsi="Times New Roman" w:cs="Times New Roman"/>
                <w:b/>
                <w:sz w:val="20"/>
                <w:szCs w:val="20"/>
                <w:lang w:eastAsia="sk-SK"/>
              </w:rPr>
            </w:pPr>
            <w:r w:rsidRPr="00D215FB">
              <w:rPr>
                <w:rFonts w:ascii="Times New Roman" w:eastAsia="Times New Roman" w:hAnsi="Times New Roman" w:cs="Times New Roman"/>
                <w:b/>
                <w:sz w:val="20"/>
                <w:szCs w:val="20"/>
                <w:lang w:eastAsia="sk-SK"/>
              </w:rPr>
              <w:t xml:space="preserve">Mgr. Anna </w:t>
            </w:r>
            <w:proofErr w:type="spellStart"/>
            <w:r w:rsidRPr="00D215FB">
              <w:rPr>
                <w:rFonts w:ascii="Times New Roman" w:eastAsia="Times New Roman" w:hAnsi="Times New Roman" w:cs="Times New Roman"/>
                <w:b/>
                <w:sz w:val="20"/>
                <w:szCs w:val="20"/>
                <w:lang w:eastAsia="sk-SK"/>
              </w:rPr>
              <w:t>Graciková</w:t>
            </w:r>
            <w:proofErr w:type="spellEnd"/>
          </w:p>
          <w:p w:rsidR="00875DBF" w:rsidRPr="00875DBF" w:rsidRDefault="00875DBF" w:rsidP="00875DBF">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 xml:space="preserve">odbor legislatívy trestného práva </w:t>
            </w:r>
          </w:p>
          <w:p w:rsidR="00875DBF" w:rsidRPr="00875DBF" w:rsidRDefault="00875DBF" w:rsidP="00875DBF">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Ministerstvo spravodlivosti Slovenskej republiky</w:t>
            </w:r>
          </w:p>
          <w:p w:rsidR="00875DBF" w:rsidRPr="00875DBF" w:rsidRDefault="00875DBF" w:rsidP="00875DBF">
            <w:pPr>
              <w:jc w:val="both"/>
              <w:rPr>
                <w:rFonts w:ascii="Times New Roman" w:eastAsia="Times New Roman" w:hAnsi="Times New Roman" w:cs="Times New Roman"/>
                <w:sz w:val="20"/>
                <w:szCs w:val="20"/>
                <w:lang w:eastAsia="sk-SK"/>
              </w:rPr>
            </w:pPr>
            <w:r w:rsidRPr="00875DBF">
              <w:rPr>
                <w:rFonts w:ascii="Times New Roman" w:eastAsia="Times New Roman" w:hAnsi="Times New Roman" w:cs="Times New Roman"/>
                <w:sz w:val="20"/>
                <w:szCs w:val="20"/>
                <w:lang w:eastAsia="sk-SK"/>
              </w:rPr>
              <w:t>Račianska 71, 813 11 Bratislava</w:t>
            </w:r>
          </w:p>
          <w:p w:rsidR="00875DBF" w:rsidRPr="00875DBF" w:rsidRDefault="00875DBF" w:rsidP="00875DBF">
            <w:pPr>
              <w:jc w:val="both"/>
              <w:rPr>
                <w:rFonts w:ascii="Times New Roman" w:eastAsia="Times New Roman" w:hAnsi="Times New Roman" w:cs="Times New Roman"/>
                <w:sz w:val="20"/>
                <w:szCs w:val="20"/>
                <w:lang w:eastAsia="sk-SK"/>
              </w:rPr>
            </w:pPr>
            <w:r w:rsidRPr="00875DBF">
              <w:rPr>
                <w:rFonts w:ascii="Times New Roman" w:hAnsi="Times New Roman" w:cs="Times New Roman"/>
                <w:sz w:val="20"/>
                <w:szCs w:val="20"/>
              </w:rPr>
              <w:t>E-mail: anna.gracik</w:t>
            </w:r>
            <w:r>
              <w:rPr>
                <w:rFonts w:ascii="Times New Roman" w:hAnsi="Times New Roman" w:cs="Times New Roman"/>
                <w:sz w:val="20"/>
                <w:szCs w:val="20"/>
              </w:rPr>
              <w:t>ova@justice.sk</w:t>
            </w:r>
            <w:r w:rsidRPr="00875DBF">
              <w:rPr>
                <w:rFonts w:ascii="Times New Roman" w:eastAsia="Times New Roman" w:hAnsi="Times New Roman" w:cs="Times New Roman"/>
                <w:sz w:val="20"/>
                <w:szCs w:val="20"/>
                <w:lang w:eastAsia="sk-SK"/>
              </w:rPr>
              <w:t xml:space="preserve"> </w:t>
            </w:r>
          </w:p>
          <w:p w:rsidR="00C869CF" w:rsidRPr="00612E08" w:rsidRDefault="00875DBF" w:rsidP="00C81759">
            <w:pPr>
              <w:jc w:val="both"/>
              <w:rPr>
                <w:rFonts w:ascii="Times New Roman" w:eastAsia="Times New Roman" w:hAnsi="Times New Roman" w:cs="Times New Roman"/>
                <w:i/>
                <w:sz w:val="20"/>
                <w:szCs w:val="20"/>
                <w:lang w:eastAsia="sk-SK"/>
              </w:rPr>
            </w:pPr>
            <w:r w:rsidRPr="00875DBF">
              <w:rPr>
                <w:rFonts w:ascii="Times New Roman" w:eastAsia="Times New Roman" w:hAnsi="Times New Roman" w:cs="Times New Roman"/>
                <w:sz w:val="20"/>
                <w:szCs w:val="20"/>
                <w:lang w:eastAsia="sk-SK"/>
              </w:rPr>
              <w:lastRenderedPageBreak/>
              <w:t>Tel: 02/888 91 289</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Zdroje</w:t>
            </w:r>
          </w:p>
        </w:tc>
      </w:tr>
      <w:tr w:rsidR="00612E08" w:rsidRPr="00612E08" w:rsidTr="000A34C0">
        <w:trPr>
          <w:trHeight w:val="457"/>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7E447C" w:rsidRDefault="003D0EC6" w:rsidP="000A34C0">
            <w:pPr>
              <w:jc w:val="both"/>
              <w:rPr>
                <w:rFonts w:ascii="Times New Roman" w:eastAsia="Times New Roman" w:hAnsi="Times New Roman" w:cs="Times New Roman"/>
                <w:sz w:val="20"/>
                <w:szCs w:val="20"/>
                <w:lang w:eastAsia="sk-SK"/>
              </w:rPr>
            </w:pPr>
            <w:r w:rsidRPr="003D0EC6">
              <w:rPr>
                <w:rFonts w:ascii="Times New Roman" w:eastAsia="Times New Roman" w:hAnsi="Times New Roman" w:cs="Times New Roman"/>
                <w:sz w:val="20"/>
                <w:szCs w:val="20"/>
                <w:lang w:eastAsia="sk-SK"/>
              </w:rPr>
              <w:t>Návrh zákona bol vypracovaný na základe spolupráce Ministerstva spravodlivosti Slovenskej republiky s Generálnou prokuratúrou Sloven</w:t>
            </w:r>
            <w:r w:rsidR="00E51EA4">
              <w:rPr>
                <w:rFonts w:ascii="Times New Roman" w:eastAsia="Times New Roman" w:hAnsi="Times New Roman" w:cs="Times New Roman"/>
                <w:sz w:val="20"/>
                <w:szCs w:val="20"/>
                <w:lang w:eastAsia="sk-SK"/>
              </w:rPr>
              <w:t>skej republiky (ďalej len „generálna prokuratúra</w:t>
            </w:r>
            <w:r w:rsidRPr="003D0EC6">
              <w:rPr>
                <w:rFonts w:ascii="Times New Roman" w:eastAsia="Times New Roman" w:hAnsi="Times New Roman" w:cs="Times New Roman"/>
                <w:sz w:val="20"/>
                <w:szCs w:val="20"/>
                <w:lang w:eastAsia="sk-SK"/>
              </w:rPr>
              <w:t>“) a Najvyšším súdom Sloven</w:t>
            </w:r>
            <w:r w:rsidR="00E51EA4">
              <w:rPr>
                <w:rFonts w:ascii="Times New Roman" w:eastAsia="Times New Roman" w:hAnsi="Times New Roman" w:cs="Times New Roman"/>
                <w:sz w:val="20"/>
                <w:szCs w:val="20"/>
                <w:lang w:eastAsia="sk-SK"/>
              </w:rPr>
              <w:t>skej republiky (ďalej len „najvyšší súd</w:t>
            </w:r>
            <w:r w:rsidRPr="003D0EC6">
              <w:rPr>
                <w:rFonts w:ascii="Times New Roman" w:eastAsia="Times New Roman" w:hAnsi="Times New Roman" w:cs="Times New Roman"/>
                <w:sz w:val="20"/>
                <w:szCs w:val="20"/>
                <w:lang w:eastAsia="sk-SK"/>
              </w:rPr>
              <w:t>“). Spolupráca s uvedenými subjektmi spočívala vo vecných rokovaniach a odborných diskusiách. Návrh zákona sa predkladá do opätovného medzirezortného pripomienkového konania, pričom prvé medzirezortné pripomienkové konanie začalo v októbri 2023. Predkladaný návrh zákona reflektuje pripomienky, ktoré boli uplatnené v prvom medzirezortnom pripomienkovom konaní a zároveň predstavuje dôkladnejšie prepracované znenie vychádzajúce</w:t>
            </w:r>
            <w:r w:rsidR="00CF7E0F">
              <w:rPr>
                <w:rFonts w:ascii="Times New Roman" w:eastAsia="Times New Roman" w:hAnsi="Times New Roman" w:cs="Times New Roman"/>
                <w:sz w:val="20"/>
                <w:szCs w:val="20"/>
                <w:lang w:eastAsia="sk-SK"/>
              </w:rPr>
              <w:t xml:space="preserve"> z jednotlivých rokovaní s generálnou prokuratúrou a najvyšším súdom</w:t>
            </w:r>
            <w:r w:rsidRPr="003D0EC6">
              <w:rPr>
                <w:rFonts w:ascii="Times New Roman" w:eastAsia="Times New Roman" w:hAnsi="Times New Roman" w:cs="Times New Roman"/>
                <w:sz w:val="20"/>
                <w:szCs w:val="20"/>
                <w:lang w:eastAsia="sk-SK"/>
              </w:rPr>
              <w:t>.</w:t>
            </w:r>
          </w:p>
          <w:p w:rsidR="003D0EC6" w:rsidRDefault="003D0EC6" w:rsidP="000A34C0">
            <w:pPr>
              <w:jc w:val="both"/>
              <w:rPr>
                <w:rFonts w:ascii="Times New Roman" w:eastAsia="Times New Roman" w:hAnsi="Times New Roman" w:cs="Times New Roman"/>
                <w:sz w:val="20"/>
                <w:szCs w:val="20"/>
                <w:lang w:eastAsia="sk-SK"/>
              </w:rPr>
            </w:pPr>
          </w:p>
          <w:p w:rsidR="002B6AF7" w:rsidRDefault="002B6AF7" w:rsidP="000A34C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Predkladaný materiál zohľadňuje taktiež </w:t>
            </w:r>
            <w:r w:rsidRPr="002B6AF7">
              <w:rPr>
                <w:rFonts w:ascii="Times New Roman" w:eastAsia="Times New Roman" w:hAnsi="Times New Roman" w:cs="Times New Roman"/>
                <w:sz w:val="20"/>
                <w:szCs w:val="20"/>
                <w:lang w:eastAsia="sk-SK"/>
              </w:rPr>
              <w:t>súčasný vývoj a trendy, judikatúru Súdneho dvora EÚ, Európskeho súdu pre ľudské práva a v neposledno</w:t>
            </w:r>
            <w:r>
              <w:rPr>
                <w:rFonts w:ascii="Times New Roman" w:eastAsia="Times New Roman" w:hAnsi="Times New Roman" w:cs="Times New Roman"/>
                <w:sz w:val="20"/>
                <w:szCs w:val="20"/>
                <w:lang w:eastAsia="sk-SK"/>
              </w:rPr>
              <w:t>m rade reaguje</w:t>
            </w:r>
            <w:r w:rsidRPr="002B6AF7">
              <w:rPr>
                <w:rFonts w:ascii="Times New Roman" w:eastAsia="Times New Roman" w:hAnsi="Times New Roman" w:cs="Times New Roman"/>
                <w:sz w:val="20"/>
                <w:szCs w:val="20"/>
                <w:lang w:eastAsia="sk-SK"/>
              </w:rPr>
              <w:t xml:space="preserve"> aj na problémy aplikačnej praxe</w:t>
            </w:r>
            <w:r>
              <w:rPr>
                <w:rFonts w:ascii="Times New Roman" w:eastAsia="Times New Roman" w:hAnsi="Times New Roman" w:cs="Times New Roman"/>
                <w:sz w:val="20"/>
                <w:szCs w:val="20"/>
                <w:lang w:eastAsia="sk-SK"/>
              </w:rPr>
              <w:t>.</w:t>
            </w:r>
          </w:p>
          <w:p w:rsidR="002B6AF7" w:rsidRPr="000A34C0" w:rsidRDefault="002B6AF7" w:rsidP="000A34C0">
            <w:pPr>
              <w:jc w:val="both"/>
              <w:rPr>
                <w:rFonts w:ascii="Times New Roman" w:eastAsia="Times New Roman" w:hAnsi="Times New Roman" w:cs="Times New Roman"/>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810DC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810DC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810DC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CF1C5D">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w:t>
            </w:r>
            <w:r w:rsidR="00CF1C5D">
              <w:rPr>
                <w:rFonts w:ascii="Times New Roman" w:eastAsia="Calibri" w:hAnsi="Times New Roman" w:cs="Times New Roman"/>
                <w:b/>
              </w:rPr>
              <w:t xml:space="preserve"> 021/2026</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810DC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810DC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810DC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1"/>
                        <w14:checkedState w14:val="2612" w14:font="MS Gothic"/>
                        <w14:uncheckedState w14:val="2610" w14:font="MS Gothic"/>
                      </w14:checkbox>
                    </w:sdtPr>
                    <w:sdtEndPr/>
                    <w:sdtContent>
                      <w:r w:rsidR="00CF1C5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CF1C5D" w:rsidRDefault="00CF1C5D" w:rsidP="000800FC">
            <w:pPr>
              <w:jc w:val="both"/>
              <w:rPr>
                <w:rFonts w:ascii="Times New Roman" w:eastAsia="Times New Roman" w:hAnsi="Times New Roman" w:cs="Times New Roman"/>
                <w:b/>
                <w:sz w:val="20"/>
                <w:szCs w:val="20"/>
                <w:lang w:eastAsia="sk-SK"/>
              </w:rPr>
            </w:pPr>
          </w:p>
          <w:p w:rsidR="00CF1C5D" w:rsidRPr="00CF1C5D" w:rsidRDefault="00CF1C5D" w:rsidP="00CF1C5D">
            <w:pPr>
              <w:jc w:val="both"/>
              <w:rPr>
                <w:rFonts w:ascii="Times New Roman" w:eastAsia="Times New Roman" w:hAnsi="Times New Roman" w:cs="Times New Roman"/>
                <w:b/>
                <w:sz w:val="20"/>
                <w:szCs w:val="20"/>
                <w:lang w:eastAsia="sk-SK"/>
              </w:rPr>
            </w:pPr>
            <w:r w:rsidRPr="00CF1C5D">
              <w:rPr>
                <w:rFonts w:ascii="Times New Roman" w:eastAsia="Times New Roman" w:hAnsi="Times New Roman" w:cs="Times New Roman"/>
                <w:b/>
                <w:sz w:val="20"/>
                <w:szCs w:val="20"/>
                <w:lang w:eastAsia="sk-SK"/>
              </w:rPr>
              <w:t xml:space="preserve">K doložke vybraných vplyvov </w:t>
            </w:r>
          </w:p>
          <w:p w:rsidR="00CF1C5D" w:rsidRDefault="00CF1C5D" w:rsidP="00CF1C5D">
            <w:pPr>
              <w:jc w:val="both"/>
              <w:rPr>
                <w:rFonts w:ascii="Times New Roman" w:eastAsia="Times New Roman" w:hAnsi="Times New Roman" w:cs="Times New Roman"/>
                <w:sz w:val="20"/>
                <w:szCs w:val="20"/>
                <w:lang w:eastAsia="sk-SK"/>
              </w:rPr>
            </w:pPr>
            <w:r w:rsidRPr="00CF1C5D">
              <w:rPr>
                <w:rFonts w:ascii="Times New Roman" w:eastAsia="Times New Roman" w:hAnsi="Times New Roman" w:cs="Times New Roman"/>
                <w:sz w:val="20"/>
                <w:szCs w:val="20"/>
                <w:lang w:eastAsia="sk-SK"/>
              </w:rPr>
              <w:t>Doložka vybraných vplyvov nie je v časti 2. Definovanie problému spracovaná v súlade s Jednotnou metodikou na posudzovanie vybraných vplyvov. Uvedený text má prevažne opisný charakter a neidentifikuje konkrétny problém, jeho príčiny ani dôsledky zachovania súčasného stavu, čím absentuje jasná väzba medzi problémom, cieľom a navrhovaným riešením. Komisia žiada predmetnú časť dopracovať tak, aby spĺňala požiadavky Jednotnej metodiky na posudzovanie vybraných vplyvov.</w:t>
            </w:r>
          </w:p>
          <w:p w:rsidR="00CF1C5D" w:rsidRDefault="00CF1C5D" w:rsidP="00CF1C5D">
            <w:pPr>
              <w:jc w:val="both"/>
              <w:rPr>
                <w:rFonts w:ascii="Times New Roman" w:eastAsia="Times New Roman" w:hAnsi="Times New Roman" w:cs="Times New Roman"/>
                <w:sz w:val="20"/>
                <w:szCs w:val="20"/>
                <w:lang w:eastAsia="sk-SK"/>
              </w:rPr>
            </w:pPr>
          </w:p>
          <w:p w:rsidR="00CF1C5D" w:rsidRPr="00CF1C5D" w:rsidRDefault="00CF1C5D" w:rsidP="00CF1C5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Vyjadrenie MSSR: akceptované. Časť 2 doložky vybraných vplyvov bola doplnená.</w:t>
            </w:r>
          </w:p>
          <w:p w:rsidR="00CF1C5D" w:rsidRPr="00CF1C5D" w:rsidRDefault="00CF1C5D" w:rsidP="00CF1C5D">
            <w:pPr>
              <w:jc w:val="both"/>
              <w:rPr>
                <w:rFonts w:ascii="Times New Roman" w:eastAsia="Times New Roman" w:hAnsi="Times New Roman" w:cs="Times New Roman"/>
                <w:sz w:val="20"/>
                <w:szCs w:val="20"/>
                <w:lang w:eastAsia="sk-SK"/>
              </w:rPr>
            </w:pPr>
          </w:p>
          <w:p w:rsidR="00CF1C5D" w:rsidRPr="00CF1C5D" w:rsidRDefault="00CF1C5D" w:rsidP="00CF1C5D">
            <w:pPr>
              <w:jc w:val="both"/>
              <w:rPr>
                <w:rFonts w:ascii="Times New Roman" w:eastAsia="Times New Roman" w:hAnsi="Times New Roman" w:cs="Times New Roman"/>
                <w:b/>
                <w:sz w:val="20"/>
                <w:szCs w:val="20"/>
                <w:lang w:eastAsia="sk-SK"/>
              </w:rPr>
            </w:pPr>
            <w:r w:rsidRPr="00CF1C5D">
              <w:rPr>
                <w:rFonts w:ascii="Times New Roman" w:eastAsia="Times New Roman" w:hAnsi="Times New Roman" w:cs="Times New Roman"/>
                <w:b/>
                <w:sz w:val="20"/>
                <w:szCs w:val="20"/>
                <w:lang w:eastAsia="sk-SK"/>
              </w:rPr>
              <w:t xml:space="preserve">Ku </w:t>
            </w:r>
            <w:proofErr w:type="spellStart"/>
            <w:r w:rsidRPr="00CF1C5D">
              <w:rPr>
                <w:rFonts w:ascii="Times New Roman" w:eastAsia="Times New Roman" w:hAnsi="Times New Roman" w:cs="Times New Roman"/>
                <w:b/>
                <w:sz w:val="20"/>
                <w:szCs w:val="20"/>
                <w:lang w:eastAsia="sk-SK"/>
              </w:rPr>
              <w:t>goldplatingu</w:t>
            </w:r>
            <w:proofErr w:type="spellEnd"/>
            <w:r w:rsidRPr="00CF1C5D">
              <w:rPr>
                <w:rFonts w:ascii="Times New Roman" w:eastAsia="Times New Roman" w:hAnsi="Times New Roman" w:cs="Times New Roman"/>
                <w:b/>
                <w:sz w:val="20"/>
                <w:szCs w:val="20"/>
                <w:lang w:eastAsia="sk-SK"/>
              </w:rPr>
              <w:t xml:space="preserve"> (všeobecne)</w:t>
            </w:r>
          </w:p>
          <w:p w:rsidR="00CF1C5D" w:rsidRDefault="00CF1C5D" w:rsidP="00CF1C5D">
            <w:pPr>
              <w:jc w:val="both"/>
              <w:rPr>
                <w:rFonts w:ascii="Times New Roman" w:eastAsia="Times New Roman" w:hAnsi="Times New Roman" w:cs="Times New Roman"/>
                <w:sz w:val="20"/>
                <w:szCs w:val="20"/>
                <w:lang w:eastAsia="sk-SK"/>
              </w:rPr>
            </w:pPr>
            <w:r w:rsidRPr="00CF1C5D">
              <w:rPr>
                <w:rFonts w:ascii="Times New Roman" w:eastAsia="Times New Roman" w:hAnsi="Times New Roman" w:cs="Times New Roman"/>
                <w:sz w:val="20"/>
                <w:szCs w:val="20"/>
                <w:lang w:eastAsia="sk-SK"/>
              </w:rPr>
              <w:t xml:space="preserve">Pri preukazovaní transpozície čl. 22 ods. 9 smernice 2014/41/EÚ v platnom znení sa Komisia domnieva, že dochádza ku </w:t>
            </w:r>
            <w:proofErr w:type="spellStart"/>
            <w:r w:rsidRPr="00CF1C5D">
              <w:rPr>
                <w:rFonts w:ascii="Times New Roman" w:eastAsia="Times New Roman" w:hAnsi="Times New Roman" w:cs="Times New Roman"/>
                <w:sz w:val="20"/>
                <w:szCs w:val="20"/>
                <w:lang w:eastAsia="sk-SK"/>
              </w:rPr>
              <w:t>goldplatingu</w:t>
            </w:r>
            <w:proofErr w:type="spellEnd"/>
            <w:r w:rsidRPr="00CF1C5D">
              <w:rPr>
                <w:rFonts w:ascii="Times New Roman" w:eastAsia="Times New Roman" w:hAnsi="Times New Roman" w:cs="Times New Roman"/>
                <w:sz w:val="20"/>
                <w:szCs w:val="20"/>
                <w:lang w:eastAsia="sk-SK"/>
              </w:rPr>
              <w:t xml:space="preserve"> typu b) - navýšenie požiadaviek, nakoľko dochádza k zavedeniu doby „45 dní“  pričom úprava v čl. 22 ods. 9 smernice 2014/41/EÚ v platnom znení žiadnu dobu nestanovuje. V tejto súvislosti Komisia požaduje uviesť v deviatom stĺpci tabuľky zhody slová „GP – A, b) navýšenie požiadaviek“ a v desiatom stĺpci je potrebné identifikovať oblasť, na ktorú má </w:t>
            </w:r>
            <w:proofErr w:type="spellStart"/>
            <w:r w:rsidRPr="00CF1C5D">
              <w:rPr>
                <w:rFonts w:ascii="Times New Roman" w:eastAsia="Times New Roman" w:hAnsi="Times New Roman" w:cs="Times New Roman"/>
                <w:sz w:val="20"/>
                <w:szCs w:val="20"/>
                <w:lang w:eastAsia="sk-SK"/>
              </w:rPr>
              <w:t>goldplating</w:t>
            </w:r>
            <w:proofErr w:type="spellEnd"/>
            <w:r w:rsidRPr="00CF1C5D">
              <w:rPr>
                <w:rFonts w:ascii="Times New Roman" w:eastAsia="Times New Roman" w:hAnsi="Times New Roman" w:cs="Times New Roman"/>
                <w:sz w:val="20"/>
                <w:szCs w:val="20"/>
                <w:lang w:eastAsia="sk-SK"/>
              </w:rPr>
              <w:t xml:space="preserve"> vplyv. V závere tabuľky zhody je potrebné doplniť Vyjadrenie k opodstatnenosti </w:t>
            </w:r>
            <w:proofErr w:type="spellStart"/>
            <w:r w:rsidRPr="00CF1C5D">
              <w:rPr>
                <w:rFonts w:ascii="Times New Roman" w:eastAsia="Times New Roman" w:hAnsi="Times New Roman" w:cs="Times New Roman"/>
                <w:sz w:val="20"/>
                <w:szCs w:val="20"/>
                <w:lang w:eastAsia="sk-SK"/>
              </w:rPr>
              <w:t>goldplatingu</w:t>
            </w:r>
            <w:proofErr w:type="spellEnd"/>
            <w:r w:rsidRPr="00CF1C5D">
              <w:rPr>
                <w:rFonts w:ascii="Times New Roman" w:eastAsia="Times New Roman" w:hAnsi="Times New Roman" w:cs="Times New Roman"/>
                <w:sz w:val="20"/>
                <w:szCs w:val="20"/>
                <w:lang w:eastAsia="sk-SK"/>
              </w:rPr>
              <w:t xml:space="preserve"> a jeho odôvodnenie vo vzťahu k dotknutému čl. 22 ods. 9 smernice 2014/41/EÚ v platnom znení. Túto pripomienku Komisia primerane vzťahuje aj na doložku vybraných vplyvov.</w:t>
            </w:r>
          </w:p>
          <w:p w:rsidR="00CF1C5D" w:rsidRPr="00CF1C5D" w:rsidRDefault="00CF1C5D" w:rsidP="00CF1C5D">
            <w:pPr>
              <w:jc w:val="both"/>
              <w:rPr>
                <w:rFonts w:ascii="Times New Roman" w:eastAsia="Times New Roman" w:hAnsi="Times New Roman" w:cs="Times New Roman"/>
                <w:sz w:val="20"/>
                <w:szCs w:val="20"/>
                <w:lang w:eastAsia="sk-SK"/>
              </w:rPr>
            </w:pPr>
          </w:p>
          <w:p w:rsidR="00CF1C5D" w:rsidRDefault="00CF1C5D" w:rsidP="00CF1C5D">
            <w:pPr>
              <w:jc w:val="both"/>
              <w:rPr>
                <w:rFonts w:ascii="Times New Roman" w:eastAsia="Times New Roman" w:hAnsi="Times New Roman" w:cs="Times New Roman"/>
                <w:sz w:val="20"/>
                <w:szCs w:val="20"/>
                <w:lang w:eastAsia="sk-SK"/>
              </w:rPr>
            </w:pPr>
            <w:r w:rsidRPr="00CF1C5D">
              <w:rPr>
                <w:rFonts w:ascii="Times New Roman" w:eastAsia="Times New Roman" w:hAnsi="Times New Roman" w:cs="Times New Roman"/>
                <w:sz w:val="20"/>
                <w:szCs w:val="20"/>
                <w:lang w:eastAsia="sk-SK"/>
              </w:rPr>
              <w:t xml:space="preserve">Pri preukazovaní transpozície čl. 25 ods. 1 rámcového rozhodnutia 2002/584/SVV  sa Komisia domnieva, že dochádza ku </w:t>
            </w:r>
            <w:proofErr w:type="spellStart"/>
            <w:r w:rsidRPr="00CF1C5D">
              <w:rPr>
                <w:rFonts w:ascii="Times New Roman" w:eastAsia="Times New Roman" w:hAnsi="Times New Roman" w:cs="Times New Roman"/>
                <w:sz w:val="20"/>
                <w:szCs w:val="20"/>
                <w:lang w:eastAsia="sk-SK"/>
              </w:rPr>
              <w:t>goldplatingu</w:t>
            </w:r>
            <w:proofErr w:type="spellEnd"/>
            <w:r w:rsidRPr="00CF1C5D">
              <w:rPr>
                <w:rFonts w:ascii="Times New Roman" w:eastAsia="Times New Roman" w:hAnsi="Times New Roman" w:cs="Times New Roman"/>
                <w:sz w:val="20"/>
                <w:szCs w:val="20"/>
                <w:lang w:eastAsia="sk-SK"/>
              </w:rPr>
              <w:t xml:space="preserve"> typu b) - navýšenie požiadaviek, nakoľko navrhované znenie ustanovenia § 234, ktoré je transpozičným opatrením čl. 25 ods. 1 rámcového rozhodnutia 2002/584/SVV stanovuje navyše požiadavku na pripojenie európskeho zatýkacieho rozkazu. V tejto súvislosti Komisia požaduje uviesť v deviatom stĺpci tabuľky zhody slová „GP – A, b) navýšenie požiadaviek“ a v desiatom stĺpci je potrebné identifikovať oblasť, na ktorú má </w:t>
            </w:r>
            <w:proofErr w:type="spellStart"/>
            <w:r w:rsidRPr="00CF1C5D">
              <w:rPr>
                <w:rFonts w:ascii="Times New Roman" w:eastAsia="Times New Roman" w:hAnsi="Times New Roman" w:cs="Times New Roman"/>
                <w:sz w:val="20"/>
                <w:szCs w:val="20"/>
                <w:lang w:eastAsia="sk-SK"/>
              </w:rPr>
              <w:t>goldplating</w:t>
            </w:r>
            <w:proofErr w:type="spellEnd"/>
            <w:r w:rsidRPr="00CF1C5D">
              <w:rPr>
                <w:rFonts w:ascii="Times New Roman" w:eastAsia="Times New Roman" w:hAnsi="Times New Roman" w:cs="Times New Roman"/>
                <w:sz w:val="20"/>
                <w:szCs w:val="20"/>
                <w:lang w:eastAsia="sk-SK"/>
              </w:rPr>
              <w:t xml:space="preserve"> vplyv. V závere tabuľky zhody je potrebné doplniť Vyjadrenie k opodstatnenosti </w:t>
            </w:r>
            <w:proofErr w:type="spellStart"/>
            <w:r w:rsidRPr="00CF1C5D">
              <w:rPr>
                <w:rFonts w:ascii="Times New Roman" w:eastAsia="Times New Roman" w:hAnsi="Times New Roman" w:cs="Times New Roman"/>
                <w:sz w:val="20"/>
                <w:szCs w:val="20"/>
                <w:lang w:eastAsia="sk-SK"/>
              </w:rPr>
              <w:t>goldplatingu</w:t>
            </w:r>
            <w:proofErr w:type="spellEnd"/>
            <w:r w:rsidRPr="00CF1C5D">
              <w:rPr>
                <w:rFonts w:ascii="Times New Roman" w:eastAsia="Times New Roman" w:hAnsi="Times New Roman" w:cs="Times New Roman"/>
                <w:sz w:val="20"/>
                <w:szCs w:val="20"/>
                <w:lang w:eastAsia="sk-SK"/>
              </w:rPr>
              <w:t xml:space="preserve"> a jeho odôvodnenie vo vzťahu k dotknutému čl. 25 ods. 1 rámcového rozhodnutia 2002/584/SVV. Túto pripomienku Komisia primerane vzťahuje aj na doložku vybraných vplyvov.</w:t>
            </w:r>
          </w:p>
          <w:p w:rsidR="001F4B41" w:rsidRDefault="001F4B41" w:rsidP="00CF1C5D">
            <w:pPr>
              <w:jc w:val="both"/>
              <w:rPr>
                <w:rFonts w:ascii="Times New Roman" w:eastAsia="Times New Roman" w:hAnsi="Times New Roman" w:cs="Times New Roman"/>
                <w:sz w:val="20"/>
                <w:szCs w:val="20"/>
                <w:lang w:eastAsia="sk-SK"/>
              </w:rPr>
            </w:pPr>
          </w:p>
          <w:p w:rsidR="001F4B41" w:rsidRPr="00CF1C5D" w:rsidRDefault="001F4B41" w:rsidP="001F4B41">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Vyjadrenie MSSR: akceptované. Dokumenty boli primerane upravené.</w:t>
            </w:r>
          </w:p>
          <w:p w:rsidR="001F4B41" w:rsidRPr="00CF1C5D" w:rsidRDefault="001F4B41" w:rsidP="00CF1C5D">
            <w:pPr>
              <w:jc w:val="both"/>
              <w:rPr>
                <w:rFonts w:ascii="Times New Roman" w:eastAsia="Times New Roman" w:hAnsi="Times New Roman" w:cs="Times New Roman"/>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810DC4"/>
    <w:sectPr w:rsidR="00274130" w:rsidRPr="00612E08" w:rsidSect="001E356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DC4" w:rsidRDefault="00810DC4" w:rsidP="001B23B7">
      <w:pPr>
        <w:spacing w:after="0" w:line="240" w:lineRule="auto"/>
      </w:pPr>
      <w:r>
        <w:separator/>
      </w:r>
    </w:p>
  </w:endnote>
  <w:endnote w:type="continuationSeparator" w:id="0">
    <w:p w:rsidR="00810DC4" w:rsidRDefault="00810DC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1E6D">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DC4" w:rsidRDefault="00810DC4" w:rsidP="001B23B7">
      <w:pPr>
        <w:spacing w:after="0" w:line="240" w:lineRule="auto"/>
      </w:pPr>
      <w:r>
        <w:separator/>
      </w:r>
    </w:p>
  </w:footnote>
  <w:footnote w:type="continuationSeparator" w:id="0">
    <w:p w:rsidR="00810DC4" w:rsidRDefault="00810DC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49F4"/>
    <w:multiLevelType w:val="hybridMultilevel"/>
    <w:tmpl w:val="9AAC552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AAC604E"/>
    <w:multiLevelType w:val="hybridMultilevel"/>
    <w:tmpl w:val="649C11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418F"/>
    <w:rsid w:val="00016CFC"/>
    <w:rsid w:val="000241BA"/>
    <w:rsid w:val="00043706"/>
    <w:rsid w:val="00061DDC"/>
    <w:rsid w:val="0009258F"/>
    <w:rsid w:val="00097069"/>
    <w:rsid w:val="000A34C0"/>
    <w:rsid w:val="000B6602"/>
    <w:rsid w:val="000C28F7"/>
    <w:rsid w:val="000D348F"/>
    <w:rsid w:val="000D645E"/>
    <w:rsid w:val="000D6F30"/>
    <w:rsid w:val="000F2BE9"/>
    <w:rsid w:val="00101055"/>
    <w:rsid w:val="00110D3A"/>
    <w:rsid w:val="00113AE4"/>
    <w:rsid w:val="00156064"/>
    <w:rsid w:val="00187182"/>
    <w:rsid w:val="001B1D20"/>
    <w:rsid w:val="001B23B7"/>
    <w:rsid w:val="001C41D9"/>
    <w:rsid w:val="001C5FDB"/>
    <w:rsid w:val="001E3562"/>
    <w:rsid w:val="001F4B41"/>
    <w:rsid w:val="00203EE3"/>
    <w:rsid w:val="0021184C"/>
    <w:rsid w:val="002243BB"/>
    <w:rsid w:val="00225025"/>
    <w:rsid w:val="0023360B"/>
    <w:rsid w:val="00243652"/>
    <w:rsid w:val="002810CE"/>
    <w:rsid w:val="00282C82"/>
    <w:rsid w:val="002A66C8"/>
    <w:rsid w:val="002B6AF7"/>
    <w:rsid w:val="002F6ADB"/>
    <w:rsid w:val="002F72EA"/>
    <w:rsid w:val="003145AE"/>
    <w:rsid w:val="003553ED"/>
    <w:rsid w:val="00373261"/>
    <w:rsid w:val="00377A03"/>
    <w:rsid w:val="003A057B"/>
    <w:rsid w:val="003A26AF"/>
    <w:rsid w:val="003A381E"/>
    <w:rsid w:val="003D0EC6"/>
    <w:rsid w:val="003D41CF"/>
    <w:rsid w:val="003D4BDB"/>
    <w:rsid w:val="003E45EC"/>
    <w:rsid w:val="00411898"/>
    <w:rsid w:val="00424365"/>
    <w:rsid w:val="00432544"/>
    <w:rsid w:val="00453788"/>
    <w:rsid w:val="00471462"/>
    <w:rsid w:val="00481E6D"/>
    <w:rsid w:val="00487F89"/>
    <w:rsid w:val="00490C83"/>
    <w:rsid w:val="004918C1"/>
    <w:rsid w:val="0049476D"/>
    <w:rsid w:val="004A4383"/>
    <w:rsid w:val="004B78E1"/>
    <w:rsid w:val="004C6831"/>
    <w:rsid w:val="004C780C"/>
    <w:rsid w:val="004F2D03"/>
    <w:rsid w:val="00505004"/>
    <w:rsid w:val="00522228"/>
    <w:rsid w:val="00534EF0"/>
    <w:rsid w:val="00561EE8"/>
    <w:rsid w:val="00584EF2"/>
    <w:rsid w:val="00591EC6"/>
    <w:rsid w:val="00591ED3"/>
    <w:rsid w:val="005A1494"/>
    <w:rsid w:val="005D138C"/>
    <w:rsid w:val="00604BE5"/>
    <w:rsid w:val="00607702"/>
    <w:rsid w:val="00612E08"/>
    <w:rsid w:val="00643B30"/>
    <w:rsid w:val="00664808"/>
    <w:rsid w:val="006814A4"/>
    <w:rsid w:val="00682A80"/>
    <w:rsid w:val="006917B1"/>
    <w:rsid w:val="006B4060"/>
    <w:rsid w:val="006F1FC4"/>
    <w:rsid w:val="006F4D86"/>
    <w:rsid w:val="006F678E"/>
    <w:rsid w:val="006F6B62"/>
    <w:rsid w:val="006F6D3B"/>
    <w:rsid w:val="00720322"/>
    <w:rsid w:val="0075197E"/>
    <w:rsid w:val="00761208"/>
    <w:rsid w:val="007756BE"/>
    <w:rsid w:val="007841FC"/>
    <w:rsid w:val="00784246"/>
    <w:rsid w:val="00793135"/>
    <w:rsid w:val="007A18B2"/>
    <w:rsid w:val="007A43FD"/>
    <w:rsid w:val="007A5241"/>
    <w:rsid w:val="007B40C1"/>
    <w:rsid w:val="007C18C9"/>
    <w:rsid w:val="007C5312"/>
    <w:rsid w:val="007D39E9"/>
    <w:rsid w:val="007D6F2C"/>
    <w:rsid w:val="007E447C"/>
    <w:rsid w:val="007F587A"/>
    <w:rsid w:val="007F6556"/>
    <w:rsid w:val="0080042A"/>
    <w:rsid w:val="00810DC4"/>
    <w:rsid w:val="0083594B"/>
    <w:rsid w:val="008520BA"/>
    <w:rsid w:val="008625FA"/>
    <w:rsid w:val="0086540A"/>
    <w:rsid w:val="00865E81"/>
    <w:rsid w:val="00875DBF"/>
    <w:rsid w:val="008801B5"/>
    <w:rsid w:val="00881E07"/>
    <w:rsid w:val="008A6E3B"/>
    <w:rsid w:val="008B222D"/>
    <w:rsid w:val="008C79B7"/>
    <w:rsid w:val="008D70D9"/>
    <w:rsid w:val="008E14A2"/>
    <w:rsid w:val="008E68FF"/>
    <w:rsid w:val="008F2D56"/>
    <w:rsid w:val="008F79E2"/>
    <w:rsid w:val="0091154E"/>
    <w:rsid w:val="0092215B"/>
    <w:rsid w:val="009431E3"/>
    <w:rsid w:val="009475F5"/>
    <w:rsid w:val="009717F5"/>
    <w:rsid w:val="00972946"/>
    <w:rsid w:val="0098472E"/>
    <w:rsid w:val="0099192A"/>
    <w:rsid w:val="00991971"/>
    <w:rsid w:val="009B01B1"/>
    <w:rsid w:val="009C424C"/>
    <w:rsid w:val="009E09F7"/>
    <w:rsid w:val="009F4832"/>
    <w:rsid w:val="00A27471"/>
    <w:rsid w:val="00A340BB"/>
    <w:rsid w:val="00A355D6"/>
    <w:rsid w:val="00A452E7"/>
    <w:rsid w:val="00A50DD8"/>
    <w:rsid w:val="00A60413"/>
    <w:rsid w:val="00A65283"/>
    <w:rsid w:val="00A7788F"/>
    <w:rsid w:val="00A84A82"/>
    <w:rsid w:val="00A91484"/>
    <w:rsid w:val="00A95965"/>
    <w:rsid w:val="00A95990"/>
    <w:rsid w:val="00AA12BB"/>
    <w:rsid w:val="00AB0B49"/>
    <w:rsid w:val="00AC2CF4"/>
    <w:rsid w:val="00AC30D6"/>
    <w:rsid w:val="00B00B6E"/>
    <w:rsid w:val="00B466E6"/>
    <w:rsid w:val="00B547F5"/>
    <w:rsid w:val="00B64D89"/>
    <w:rsid w:val="00B769B6"/>
    <w:rsid w:val="00B84F87"/>
    <w:rsid w:val="00BA26EE"/>
    <w:rsid w:val="00BA2754"/>
    <w:rsid w:val="00BA2BF4"/>
    <w:rsid w:val="00BB53C8"/>
    <w:rsid w:val="00BB78C8"/>
    <w:rsid w:val="00BD1C53"/>
    <w:rsid w:val="00BF0FAC"/>
    <w:rsid w:val="00BF515D"/>
    <w:rsid w:val="00C3355D"/>
    <w:rsid w:val="00C56239"/>
    <w:rsid w:val="00C81759"/>
    <w:rsid w:val="00C86714"/>
    <w:rsid w:val="00C869CF"/>
    <w:rsid w:val="00C94E4E"/>
    <w:rsid w:val="00CB08AE"/>
    <w:rsid w:val="00CD6E04"/>
    <w:rsid w:val="00CE3701"/>
    <w:rsid w:val="00CE3D2A"/>
    <w:rsid w:val="00CE6AAE"/>
    <w:rsid w:val="00CF1A25"/>
    <w:rsid w:val="00CF1C5D"/>
    <w:rsid w:val="00CF7E0F"/>
    <w:rsid w:val="00D161E6"/>
    <w:rsid w:val="00D215FB"/>
    <w:rsid w:val="00D2313B"/>
    <w:rsid w:val="00D50F1E"/>
    <w:rsid w:val="00DF357C"/>
    <w:rsid w:val="00E01DA6"/>
    <w:rsid w:val="00E16053"/>
    <w:rsid w:val="00E440B4"/>
    <w:rsid w:val="00E51EA4"/>
    <w:rsid w:val="00E67EAB"/>
    <w:rsid w:val="00EB4EEE"/>
    <w:rsid w:val="00ED165A"/>
    <w:rsid w:val="00ED1AC0"/>
    <w:rsid w:val="00EE68B0"/>
    <w:rsid w:val="00F15853"/>
    <w:rsid w:val="00F50A84"/>
    <w:rsid w:val="00F7491A"/>
    <w:rsid w:val="00F87681"/>
    <w:rsid w:val="00FA02DB"/>
    <w:rsid w:val="00FB56B3"/>
    <w:rsid w:val="00FF57D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C869CF"/>
    <w:rPr>
      <w:color w:val="0563C1" w:themeColor="hyperlink"/>
      <w:u w:val="single"/>
    </w:rPr>
  </w:style>
  <w:style w:type="paragraph" w:styleId="Odsekzoznamu">
    <w:name w:val="List Paragraph"/>
    <w:basedOn w:val="Normlny"/>
    <w:uiPriority w:val="34"/>
    <w:qFormat/>
    <w:rsid w:val="00110D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11757">
      <w:bodyDiv w:val="1"/>
      <w:marLeft w:val="0"/>
      <w:marRight w:val="0"/>
      <w:marTop w:val="0"/>
      <w:marBottom w:val="0"/>
      <w:divBdr>
        <w:top w:val="none" w:sz="0" w:space="0" w:color="auto"/>
        <w:left w:val="none" w:sz="0" w:space="0" w:color="auto"/>
        <w:bottom w:val="none" w:sz="0" w:space="0" w:color="auto"/>
        <w:right w:val="none" w:sz="0" w:space="0" w:color="auto"/>
      </w:divBdr>
    </w:div>
    <w:div w:id="92812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B0D0D6F-6368-46F2-8FBD-ED59E5F4E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2481</Words>
  <Characters>14146</Characters>
  <Application>Microsoft Office Word</Application>
  <DocSecurity>0</DocSecurity>
  <Lines>117</Lines>
  <Paragraphs>33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GAROFALO Michaela</dc:creator>
  <cp:keywords/>
  <dc:description/>
  <cp:lastModifiedBy>GRACIKOVÁ Anna</cp:lastModifiedBy>
  <cp:revision>4</cp:revision>
  <cp:lastPrinted>2026-03-12T08:24:00Z</cp:lastPrinted>
  <dcterms:created xsi:type="dcterms:W3CDTF">2026-03-16T11:16:00Z</dcterms:created>
  <dcterms:modified xsi:type="dcterms:W3CDTF">2026-03-18T16:28:00Z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