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E5EFAF" w14:textId="17FD2D6C" w:rsidR="00E66622" w:rsidRPr="00785E8D" w:rsidRDefault="00461B69" w:rsidP="00796EBE">
      <w:pPr>
        <w:spacing w:line="276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8"/>
          <w:lang w:val="en-US"/>
        </w:rPr>
        <w:t>VYHODNOTENIE PRIPOMIENKOVÉHO KONANIA</w:t>
      </w:r>
      <w:r w:rsidR="00785E8D" w:rsidRPr="00785E8D">
        <w:rPr>
          <w:rFonts w:ascii="Times New Roman" w:eastAsia="Times New Roman" w:hAnsi="Times New Roman" w:cs="Times New Roman"/>
          <w:b/>
          <w:sz w:val="28"/>
        </w:rPr>
        <w:br/>
      </w:r>
      <w:r w:rsidR="009D32B4" w:rsidRPr="00215E64">
        <w:rPr>
          <w:rFonts w:ascii="Times New Roman" w:eastAsia="Times New Roman" w:hAnsi="Times New Roman" w:cs="Times New Roman"/>
          <w:b/>
          <w:sz w:val="24"/>
          <w:szCs w:val="20"/>
        </w:rPr>
        <w:t>Návrh zákona, ktorým sa mení a dopĺňa zákon č. 583/2008 Z. z. o prevencii kriminality a inej protispoločenskej činnosti a o zmene a doplnení niektorých zákonov v znení neskorších predpisov</w:t>
      </w:r>
      <w:r w:rsidR="00917A99" w:rsidRPr="00785E8D">
        <w:rPr>
          <w:rFonts w:ascii="Times New Roman" w:eastAsia="Times New Roman" w:hAnsi="Times New Roman" w:cs="Times New Roman"/>
          <w:b/>
          <w:sz w:val="28"/>
        </w:rPr>
        <w:br/>
      </w:r>
      <w:r w:rsidR="003F1216" w:rsidRPr="00785E8D">
        <w:rPr>
          <w:rFonts w:ascii="Times New Roman" w:eastAsia="Times New Roman" w:hAnsi="Times New Roman" w:cs="Times New Roman"/>
          <w:bCs/>
          <w:sz w:val="24"/>
          <w:szCs w:val="24"/>
        </w:rPr>
        <w:t>LP/2026/105</w:t>
      </w:r>
    </w:p>
    <w:p w14:paraId="37B19B45" w14:textId="0784701B" w:rsidR="00362D69" w:rsidRPr="00362D69" w:rsidRDefault="00785E8D" w:rsidP="00362D69">
      <w:pPr>
        <w:spacing w:line="276" w:lineRule="auto"/>
        <w:rPr>
          <w:rFonts w:ascii="Times New Roman" w:eastAsia="Times New Roman" w:hAnsi="Times New Roman" w:cs="Times New Roman"/>
          <w:sz w:val="24"/>
          <w:szCs w:val="24"/>
        </w:rPr>
        <w:sectPr w:rsidR="00362D69" w:rsidRPr="00362D69" w:rsidSect="00362D69">
          <w:footerReference w:type="default" r:id="rId7"/>
          <w:pgSz w:w="15840" w:h="12240" w:orient="landscape"/>
          <w:pgMar w:top="1440" w:right="1440" w:bottom="1440" w:left="1440" w:header="720" w:footer="720" w:gutter="0"/>
          <w:cols w:space="720"/>
          <w:titlePg/>
          <w:docGrid w:linePitch="360"/>
        </w:sectPr>
      </w:pPr>
      <w:r w:rsidRPr="00785E8D">
        <w:rPr>
          <w:rFonts w:ascii="Times New Roman" w:eastAsia="Times New Roman" w:hAnsi="Times New Roman" w:cs="Times New Roman"/>
          <w:b/>
          <w:bCs/>
          <w:sz w:val="24"/>
          <w:szCs w:val="24"/>
        </w:rPr>
        <w:t>Spôsob pripomienkového konania</w:t>
      </w:r>
      <w:r w:rsidRPr="00785E8D"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>Počet vznesených pripomienok</w:t>
      </w:r>
      <w:r w:rsidR="009275D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z toho z</w:t>
      </w:r>
      <w:r w:rsid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á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sadn</w:t>
      </w:r>
      <w:r w:rsid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ý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ch</w:t>
      </w:r>
      <w:r w:rsid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:</w:t>
      </w:r>
      <w:r w:rsidR="00FC0831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="00FC0831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="00FC0831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="00AD6CAE">
        <w:rPr>
          <w:rFonts w:ascii="Times New Roman" w:eastAsia="Times New Roman" w:hAnsi="Times New Roman" w:cs="Times New Roman"/>
          <w:sz w:val="24"/>
          <w:szCs w:val="24"/>
          <w:lang w:val="en-US"/>
        </w:rPr>
        <w:t>37/9</w:t>
      </w:r>
      <w:r w:rsidRPr="00785E8D">
        <w:rPr>
          <w:rFonts w:ascii="Times New Roman" w:eastAsia="Times New Roman" w:hAnsi="Times New Roman" w:cs="Times New Roman"/>
          <w:sz w:val="24"/>
          <w:szCs w:val="24"/>
        </w:rPr>
        <w:br/>
      </w:r>
      <w:r w:rsidR="009275DB" w:rsidRP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Po</w:t>
      </w:r>
      <w:r w:rsidR="00677591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et vyhodnoten</w:t>
      </w:r>
      <w:r w:rsid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ý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ch pripomienok</w:t>
      </w:r>
      <w:r w:rsid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:</w:t>
      </w:r>
      <w:r w:rsidR="00B41FEA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="00754CB0">
        <w:rPr>
          <w:rFonts w:ascii="Times New Roman" w:eastAsia="Times New Roman" w:hAnsi="Times New Roman" w:cs="Times New Roman"/>
          <w:sz w:val="24"/>
          <w:szCs w:val="24"/>
        </w:rPr>
        <w:t>37</w:t>
      </w:r>
      <w:r w:rsidR="00677591">
        <w:rPr>
          <w:sz w:val="24"/>
          <w:szCs w:val="24"/>
        </w:rPr>
        <w:br/>
      </w:r>
      <w:r w:rsidR="00677591">
        <w:rPr>
          <w:sz w:val="24"/>
          <w:szCs w:val="24"/>
        </w:rPr>
        <w:br/>
      </w:r>
      <w:r w:rsidR="009275DB" w:rsidRP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Po</w:t>
      </w:r>
      <w:r w:rsidR="00677591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et akceptovan</w:t>
      </w:r>
      <w:r w:rsid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ý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ch pripomienok, z toho z</w:t>
      </w:r>
      <w:r w:rsid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á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sadn</w:t>
      </w:r>
      <w:r w:rsid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ý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ch</w:t>
      </w:r>
      <w:r w:rsidRPr="00785E8D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Pr="00785E8D">
        <w:rPr>
          <w:rFonts w:ascii="Times New Roman" w:eastAsia="Times New Roman" w:hAnsi="Times New Roman" w:cs="Times New Roman"/>
          <w:sz w:val="18"/>
          <w:szCs w:val="18"/>
        </w:rPr>
        <w:tab/>
      </w:r>
      <w:r w:rsidR="009275DB">
        <w:rPr>
          <w:rFonts w:ascii="Times New Roman" w:eastAsia="Times New Roman" w:hAnsi="Times New Roman" w:cs="Times New Roman"/>
          <w:sz w:val="18"/>
          <w:szCs w:val="18"/>
        </w:rPr>
        <w:tab/>
      </w:r>
      <w:r w:rsidR="00273DAE">
        <w:rPr>
          <w:rFonts w:ascii="Times New Roman" w:eastAsia="Times New Roman" w:hAnsi="Times New Roman" w:cs="Times New Roman"/>
          <w:sz w:val="24"/>
          <w:szCs w:val="24"/>
        </w:rPr>
        <w:t>14</w:t>
      </w:r>
      <w:r w:rsidR="00754CB0">
        <w:rPr>
          <w:rFonts w:ascii="Times New Roman" w:eastAsia="Times New Roman" w:hAnsi="Times New Roman" w:cs="Times New Roman"/>
          <w:sz w:val="24"/>
          <w:szCs w:val="24"/>
        </w:rPr>
        <w:t>/5</w:t>
      </w:r>
      <w:r w:rsidR="009275DB">
        <w:rPr>
          <w:sz w:val="24"/>
          <w:szCs w:val="24"/>
        </w:rPr>
        <w:br/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Po</w:t>
      </w:r>
      <w:r w:rsidR="00677591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 xml:space="preserve">et </w:t>
      </w:r>
      <w:r w:rsidR="009275DB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iasto</w:t>
      </w:r>
      <w:r w:rsidR="00677591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ne akceptovaných pripomienok, z toho zásadných</w:t>
      </w:r>
      <w:r w:rsidRPr="00785E8D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Pr="00785E8D">
        <w:rPr>
          <w:rFonts w:ascii="Times New Roman" w:eastAsia="Times New Roman" w:hAnsi="Times New Roman" w:cs="Times New Roman"/>
          <w:sz w:val="24"/>
          <w:szCs w:val="24"/>
        </w:rPr>
        <w:tab/>
      </w:r>
      <w:r w:rsidR="00AD6CAE">
        <w:rPr>
          <w:rFonts w:ascii="Times New Roman" w:eastAsia="Times New Roman" w:hAnsi="Times New Roman" w:cs="Times New Roman"/>
          <w:sz w:val="24"/>
          <w:szCs w:val="24"/>
        </w:rPr>
        <w:t>9/</w:t>
      </w:r>
      <w:r w:rsidR="008E0404">
        <w:rPr>
          <w:rFonts w:ascii="Times New Roman" w:eastAsia="Times New Roman" w:hAnsi="Times New Roman" w:cs="Times New Roman"/>
          <w:sz w:val="24"/>
          <w:szCs w:val="24"/>
        </w:rPr>
        <w:t xml:space="preserve">3 </w:t>
      </w:r>
      <w:r w:rsidR="009275DB">
        <w:rPr>
          <w:rFonts w:ascii="Times New Roman" w:eastAsia="Times New Roman" w:hAnsi="Times New Roman" w:cs="Times New Roman"/>
          <w:sz w:val="24"/>
          <w:szCs w:val="24"/>
        </w:rPr>
        <w:br/>
      </w:r>
      <w:r w:rsidR="009275DB" w:rsidRPr="009275DB">
        <w:rPr>
          <w:rFonts w:ascii="Times New Roman" w:hAnsi="Times New Roman" w:cs="Times New Roman"/>
          <w:sz w:val="24"/>
          <w:szCs w:val="24"/>
        </w:rPr>
        <w:t>Po</w:t>
      </w:r>
      <w:r w:rsidR="00677591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hAnsi="Times New Roman" w:cs="Times New Roman"/>
          <w:sz w:val="24"/>
          <w:szCs w:val="24"/>
        </w:rPr>
        <w:t>et neakceptovaných pripomienok, z toho zásadných</w:t>
      </w:r>
      <w:r w:rsidR="009275DB">
        <w:rPr>
          <w:rFonts w:ascii="Times New Roman" w:hAnsi="Times New Roman" w:cs="Times New Roman"/>
          <w:sz w:val="24"/>
          <w:szCs w:val="24"/>
        </w:rPr>
        <w:t>:</w:t>
      </w:r>
      <w:r w:rsidR="00AE09D4">
        <w:rPr>
          <w:rFonts w:ascii="Times New Roman" w:hAnsi="Times New Roman" w:cs="Times New Roman"/>
          <w:sz w:val="24"/>
          <w:szCs w:val="24"/>
        </w:rPr>
        <w:tab/>
      </w:r>
      <w:r w:rsidR="00AE09D4">
        <w:rPr>
          <w:rFonts w:ascii="Times New Roman" w:hAnsi="Times New Roman" w:cs="Times New Roman"/>
          <w:sz w:val="24"/>
          <w:szCs w:val="24"/>
        </w:rPr>
        <w:tab/>
      </w:r>
      <w:r w:rsidR="00AD6CAE">
        <w:rPr>
          <w:rFonts w:ascii="Times New Roman" w:eastAsia="Times New Roman" w:hAnsi="Times New Roman" w:cs="Times New Roman"/>
          <w:sz w:val="24"/>
          <w:szCs w:val="24"/>
        </w:rPr>
        <w:t>14</w:t>
      </w:r>
      <w:r w:rsidR="004A48F0">
        <w:rPr>
          <w:rFonts w:ascii="Times New Roman" w:eastAsia="Times New Roman" w:hAnsi="Times New Roman" w:cs="Times New Roman"/>
          <w:sz w:val="24"/>
          <w:szCs w:val="24"/>
        </w:rPr>
        <w:t>/1</w:t>
      </w:r>
      <w:r w:rsidR="00677591">
        <w:rPr>
          <w:sz w:val="24"/>
          <w:szCs w:val="24"/>
        </w:rPr>
        <w:br/>
      </w:r>
      <w:r w:rsidR="00677591">
        <w:rPr>
          <w:sz w:val="24"/>
          <w:szCs w:val="24"/>
        </w:rPr>
        <w:br/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Po</w:t>
      </w:r>
      <w:r w:rsidR="00677591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et vznesených hromadných pripomienok</w:t>
      </w:r>
      <w:r w:rsidR="009275DB">
        <w:rPr>
          <w:rFonts w:ascii="Times New Roman" w:eastAsia="Times New Roman" w:hAnsi="Times New Roman" w:cs="Times New Roman"/>
          <w:sz w:val="24"/>
          <w:szCs w:val="24"/>
        </w:rPr>
        <w:t>:</w:t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011D51">
        <w:rPr>
          <w:rFonts w:ascii="Times New Roman" w:eastAsia="Times New Roman" w:hAnsi="Times New Roman" w:cs="Times New Roman"/>
          <w:sz w:val="24"/>
          <w:szCs w:val="24"/>
        </w:rPr>
        <w:t>0</w:t>
      </w:r>
      <w:r w:rsidR="009275DB">
        <w:rPr>
          <w:rFonts w:ascii="Times New Roman" w:eastAsia="Times New Roman" w:hAnsi="Times New Roman" w:cs="Times New Roman"/>
          <w:sz w:val="24"/>
          <w:szCs w:val="24"/>
        </w:rPr>
        <w:br/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Po</w:t>
      </w:r>
      <w:r w:rsidR="00677591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et vyhodnotených hromadných pripomienok</w:t>
      </w:r>
      <w:r w:rsidR="009275DB">
        <w:rPr>
          <w:rFonts w:ascii="Times New Roman" w:eastAsia="Times New Roman" w:hAnsi="Times New Roman" w:cs="Times New Roman"/>
          <w:sz w:val="24"/>
          <w:szCs w:val="24"/>
        </w:rPr>
        <w:t>:</w:t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AD6CAE">
        <w:rPr>
          <w:rFonts w:ascii="Times New Roman" w:hAnsi="Times New Roman" w:cs="Times New Roman"/>
          <w:sz w:val="24"/>
          <w:szCs w:val="24"/>
        </w:rPr>
        <w:t>0</w:t>
      </w:r>
      <w:r w:rsidR="00677591">
        <w:rPr>
          <w:sz w:val="24"/>
          <w:szCs w:val="24"/>
        </w:rPr>
        <w:br/>
      </w:r>
      <w:r w:rsidR="00677591">
        <w:rPr>
          <w:sz w:val="24"/>
          <w:szCs w:val="24"/>
        </w:rPr>
        <w:br/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Po</w:t>
      </w:r>
      <w:r w:rsidR="00677591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et akceptovaných hromadných pripomienok</w:t>
      </w:r>
      <w:r w:rsidR="009275DB">
        <w:rPr>
          <w:rFonts w:ascii="Times New Roman" w:eastAsia="Times New Roman" w:hAnsi="Times New Roman" w:cs="Times New Roman"/>
          <w:sz w:val="24"/>
          <w:szCs w:val="24"/>
        </w:rPr>
        <w:t>:</w:t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AD6CAE">
        <w:rPr>
          <w:rFonts w:ascii="Times New Roman" w:eastAsia="Times New Roman" w:hAnsi="Times New Roman" w:cs="Times New Roman"/>
          <w:sz w:val="24"/>
          <w:szCs w:val="24"/>
        </w:rPr>
        <w:t>0</w:t>
      </w:r>
      <w:r w:rsidR="009275DB">
        <w:rPr>
          <w:rFonts w:ascii="Times New Roman" w:hAnsi="Times New Roman" w:cs="Times New Roman"/>
          <w:sz w:val="24"/>
          <w:szCs w:val="24"/>
        </w:rPr>
        <w:br/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Po</w:t>
      </w:r>
      <w:r w:rsidR="00677591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 xml:space="preserve">et </w:t>
      </w:r>
      <w:r w:rsidR="009275DB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iasto</w:t>
      </w:r>
      <w:r w:rsidR="00677591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ne akceptovaných hromadných pripomienok</w:t>
      </w:r>
      <w:r w:rsidR="009275DB">
        <w:rPr>
          <w:rFonts w:ascii="Times New Roman" w:eastAsia="Times New Roman" w:hAnsi="Times New Roman" w:cs="Times New Roman"/>
          <w:sz w:val="24"/>
          <w:szCs w:val="24"/>
        </w:rPr>
        <w:t>:</w:t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AD6CAE">
        <w:rPr>
          <w:rFonts w:ascii="Times New Roman" w:eastAsia="Times New Roman" w:hAnsi="Times New Roman" w:cs="Times New Roman"/>
          <w:sz w:val="24"/>
          <w:szCs w:val="24"/>
        </w:rPr>
        <w:t>0</w:t>
      </w:r>
      <w:r w:rsidR="009275DB">
        <w:rPr>
          <w:rFonts w:ascii="Times New Roman" w:hAnsi="Times New Roman" w:cs="Times New Roman"/>
          <w:sz w:val="24"/>
          <w:szCs w:val="24"/>
        </w:rPr>
        <w:br/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Po</w:t>
      </w:r>
      <w:r w:rsidR="00677591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et neakceptovaných hromadných pripomienok</w:t>
      </w:r>
      <w:r w:rsidR="009275DB">
        <w:rPr>
          <w:rFonts w:ascii="Times New Roman" w:eastAsia="Times New Roman" w:hAnsi="Times New Roman" w:cs="Times New Roman"/>
          <w:sz w:val="24"/>
          <w:szCs w:val="24"/>
        </w:rPr>
        <w:t>:</w:t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AD6CAE">
        <w:rPr>
          <w:rFonts w:ascii="Times New Roman" w:eastAsia="Times New Roman" w:hAnsi="Times New Roman" w:cs="Times New Roman"/>
          <w:sz w:val="24"/>
          <w:szCs w:val="24"/>
        </w:rPr>
        <w:t>0</w:t>
      </w:r>
      <w:r w:rsidR="00362D69">
        <w:rPr>
          <w:sz w:val="24"/>
          <w:szCs w:val="24"/>
        </w:rPr>
        <w:tab/>
      </w:r>
    </w:p>
    <w:p w14:paraId="7416DD4C" w14:textId="08345D1C" w:rsidR="00677591" w:rsidRPr="00677591" w:rsidRDefault="00677591" w:rsidP="00677591">
      <w:pPr>
        <w:spacing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77591">
        <w:rPr>
          <w:rFonts w:ascii="Times New Roman" w:eastAsia="Times New Roman" w:hAnsi="Times New Roman" w:cs="Times New Roman"/>
          <w:sz w:val="24"/>
          <w:szCs w:val="24"/>
        </w:rPr>
        <w:lastRenderedPageBreak/>
        <w:t>Vysvetlivky k použitým skratkám v tabu</w:t>
      </w:r>
      <w:r w:rsidR="00A6034C">
        <w:rPr>
          <w:rFonts w:ascii="Times New Roman" w:eastAsia="Times New Roman" w:hAnsi="Times New Roman" w:cs="Times New Roman"/>
          <w:sz w:val="24"/>
          <w:szCs w:val="24"/>
        </w:rPr>
        <w:t>ľ</w:t>
      </w:r>
      <w:r w:rsidRPr="00677591">
        <w:rPr>
          <w:rFonts w:ascii="Times New Roman" w:eastAsia="Times New Roman" w:hAnsi="Times New Roman" w:cs="Times New Roman"/>
          <w:sz w:val="24"/>
          <w:szCs w:val="24"/>
        </w:rPr>
        <w:t>kách:</w:t>
      </w:r>
    </w:p>
    <w:p w14:paraId="6682E303" w14:textId="77777777" w:rsidR="00677591" w:rsidRDefault="00677591" w:rsidP="00677591">
      <w:pPr>
        <w:spacing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77591">
        <w:rPr>
          <w:rFonts w:ascii="Times New Roman" w:eastAsia="Times New Roman" w:hAnsi="Times New Roman" w:cs="Times New Roman"/>
          <w:sz w:val="24"/>
          <w:szCs w:val="24"/>
        </w:rPr>
        <w:t>O – obyčajná</w:t>
      </w:r>
      <w:r w:rsidRPr="00677591">
        <w:rPr>
          <w:rFonts w:ascii="Times New Roman" w:eastAsia="Times New Roman" w:hAnsi="Times New Roman" w:cs="Times New Roman"/>
          <w:sz w:val="24"/>
          <w:szCs w:val="24"/>
        </w:rPr>
        <w:tab/>
        <w:t>A – akceptovaná</w:t>
      </w:r>
      <w:r w:rsidRPr="00677591">
        <w:rPr>
          <w:rFonts w:ascii="Times New Roman" w:eastAsia="Times New Roman" w:hAnsi="Times New Roman" w:cs="Times New Roman"/>
          <w:sz w:val="24"/>
          <w:szCs w:val="24"/>
        </w:rPr>
        <w:br/>
        <w:t>Z – zásadná</w:t>
      </w:r>
      <w:r w:rsidRPr="00677591">
        <w:rPr>
          <w:rFonts w:ascii="Times New Roman" w:eastAsia="Times New Roman" w:hAnsi="Times New Roman" w:cs="Times New Roman"/>
          <w:sz w:val="24"/>
          <w:szCs w:val="24"/>
        </w:rPr>
        <w:tab/>
        <w:t>N – neakceptovaná</w:t>
      </w:r>
      <w:r w:rsidRPr="00677591">
        <w:rPr>
          <w:rFonts w:ascii="Times New Roman" w:eastAsia="Times New Roman" w:hAnsi="Times New Roman" w:cs="Times New Roman"/>
          <w:sz w:val="24"/>
          <w:szCs w:val="24"/>
        </w:rPr>
        <w:br/>
        <w:t xml:space="preserve">                        ČA – čiastočne akceptovaná</w:t>
      </w:r>
      <w:r w:rsidRPr="00677591">
        <w:rPr>
          <w:rFonts w:ascii="Times New Roman" w:eastAsia="Times New Roman" w:hAnsi="Times New Roman" w:cs="Times New Roman"/>
          <w:sz w:val="24"/>
          <w:szCs w:val="24"/>
        </w:rPr>
        <w:br/>
        <w:t xml:space="preserve">                        NEP – neprihliada sa</w:t>
      </w:r>
    </w:p>
    <w:p w14:paraId="1D01C82C" w14:textId="77777777" w:rsidR="00677591" w:rsidRDefault="00677591" w:rsidP="00677591">
      <w:pPr>
        <w:spacing w:line="276" w:lineRule="auto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Vyhodnotenie vecných pripomienok</w:t>
      </w:r>
    </w:p>
    <w:p w14:paraId="1F0934E1" w14:textId="3FA44BEE" w:rsidR="007C1A93" w:rsidRPr="00677591" w:rsidRDefault="00E66622" w:rsidP="001E6254">
      <w:pPr>
        <w:keepLines/>
        <w:spacing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85E8D">
        <w:rPr>
          <w:rFonts w:ascii="Times New Roman" w:eastAsia="Times New Roman" w:hAnsi="Times New Roman" w:cs="Times New Roman"/>
          <w:sz w:val="24"/>
          <w:szCs w:val="24"/>
        </w:rPr>
        <w:t>Vznesené pripomienky</w:t>
      </w:r>
    </w:p>
    <w:tbl>
      <w:tblPr>
        <w:tblW w:w="0" w:type="auto"/>
        <w:jc w:val="center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44"/>
        <w:gridCol w:w="1296"/>
        <w:gridCol w:w="6480"/>
        <w:gridCol w:w="778"/>
        <w:gridCol w:w="2462"/>
      </w:tblGrid>
      <w:tr w:rsidR="000B16EA" w:rsidRPr="00785E8D" w14:paraId="575AAFA8" w14:textId="1649F593" w:rsidTr="00343965">
        <w:trPr>
          <w:trHeight w:val="648"/>
          <w:jc w:val="center"/>
        </w:trPr>
        <w:tc>
          <w:tcPr>
            <w:tcW w:w="1944" w:type="dxa"/>
            <w:vAlign w:val="center"/>
          </w:tcPr>
          <w:p w14:paraId="4B4FA583" w14:textId="62ECD7CF" w:rsidR="000B16EA" w:rsidRPr="00785E8D" w:rsidRDefault="000B16EA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85E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Subjekt</w:t>
            </w:r>
          </w:p>
        </w:tc>
        <w:tc>
          <w:tcPr>
            <w:tcW w:w="1296" w:type="dxa"/>
            <w:vAlign w:val="center"/>
          </w:tcPr>
          <w:p w14:paraId="498D7DF6" w14:textId="5D009C3B" w:rsidR="000B16EA" w:rsidRPr="00785E8D" w:rsidRDefault="000B16EA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85E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Typ</w:t>
            </w:r>
          </w:p>
        </w:tc>
        <w:tc>
          <w:tcPr>
            <w:tcW w:w="6480" w:type="dxa"/>
            <w:vAlign w:val="center"/>
          </w:tcPr>
          <w:p w14:paraId="54262B5F" w14:textId="62E0E806" w:rsidR="000B16EA" w:rsidRPr="00785E8D" w:rsidRDefault="000B16EA" w:rsidP="001E6254">
            <w:pPr>
              <w:keepLines/>
              <w:spacing w:after="0" w:line="240" w:lineRule="auto"/>
              <w:ind w:left="-21" w:firstLine="21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85E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Pripomienka</w:t>
            </w:r>
          </w:p>
        </w:tc>
        <w:tc>
          <w:tcPr>
            <w:tcW w:w="778" w:type="dxa"/>
            <w:vAlign w:val="center"/>
          </w:tcPr>
          <w:p w14:paraId="41ADFD06" w14:textId="0CD664FD" w:rsidR="000B16EA" w:rsidRPr="00785E8D" w:rsidRDefault="000B16EA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Vyh.</w:t>
            </w:r>
          </w:p>
        </w:tc>
        <w:tc>
          <w:tcPr>
            <w:tcW w:w="2462" w:type="dxa"/>
            <w:vAlign w:val="center"/>
          </w:tcPr>
          <w:p w14:paraId="2E5EC5EB" w14:textId="449D24DE" w:rsidR="000B16EA" w:rsidRDefault="000B16EA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Spôsob vyhodnotenia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GPSR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Generálna prokuratúra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n"/>
                <w:color w:val="FF0000"/>
                <w:rFonts w:ascii="Times New Roman" w:hAnsi="Times New Roman" w:cs="Times New Roman" w:eastAsia="Times New Roman"/>
                <w:sz w:val="24"/>
              </w:rPr>
              <w:t>Z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3. Nad rámec návrhu zákona - Z: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V § 11 navrhujeme odsek 4 doplniť písmenom g), ktorý znie: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„g)  nie je bezúhonný.“. 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Poznámku pod čiarou k odkazu 3a navrhujeme uviesť v znení: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„3a) § 12 ods. 4 zákona č. 192/2023 Z. z. o registri trestov a o zmene a doplnení niektorých zákonov.“.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Odôvodnenie: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Ustanovenie § 12 ods. 8 zákona č. 583/2008 Z. z. o prevencii kriminality a inej protispoločenskej činnosti a o zmene a doplnení niektorých zákonov v znení neskorších predpisov síce upravuje rozsah, kto sa nepovažuje za bezúhonného, ale právna úprava v § 11 a 12 neustanovuje požiadavku, že žiadateľ o poskytnutie dotácie musí spĺňať podmienku bezúhonnosti.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Táto pripomienka je zásadná.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GPSR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Generálna prokuratúra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1. K čl. I bodu 23 (§ 9a, § 9b a § 9f) - O: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A. Navrhujeme v § 9a uviesť odseky 2 a 4 v tomto znení: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„(2) Akreditácia nie je podmienkou na realizáciu preventívneho programu.“.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„(4) Akreditácia je podmienkou na získanie dotácie na preventívny program podľa tohto zákona.“.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B. Navrhujeme nadpis § 9b uviesť v tomto znení: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„§ 9b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Podmienky na udelenie akreditácie“.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C. Navrhujeme v § 9b ods. 3 uviesť úvodnú vetu v tomto znení: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„(3) Za odborne spôsobilú na účely udeľovania akreditácie v oblasti prevencie kriminality sa považuje osoba, ktorá“. 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D. Navrhujeme v § 9b ods. 4 slová „sa na účel“ nahradiť slovami „sa na účely“.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E. Navrhujeme v § 9b ods. 5 prvej vete slová „sa na účel“ nahradiť slovami „sa na účely“ a tretej vete slová „Na účel“ nahradiť slovami „Na účely“.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F. Navrhujeme v § 9f písm. a) slová „podmienky pre udelenie“ nahradiť slovami „podmienky na udelenie“.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G. Navrhujeme v § 9f písm. b) slová „podmienok pre udelenie“ nahradiť slovami „podmienok na udelenie“.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Odôvodnenie: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Ide o legislatívno-technické pripomienky (pozri napríklad § 9d ods. 3 návrhu zákona a § 3 a § 7a ods. 3 zákona, ktorým sa mení a dopĺňa zákon č. 583/2008 Z. z. o prevencii kriminality a inej protispoločenskej činnosti a o zmene a doplnení niektorých zákonov v znení neskorších predpisov).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ČA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K pripomienke B. uvádzame, že nami navrhované znenie považujeme za vhodnejšie. 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GPSR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Generálna prokuratúra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2. K čl. I bodu 28 (§ 12 ods. 8) - O: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Navrhujeme slová „na účel poskytovania dotácií“ nahradiť slovami „na účely poskytovania dotácií“.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Odôvodnenie: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Ide o legislatívno-technickú pripomienku (pozri napríklad § 3 a § 7a ods. 3 zákona, ktorým sa mení a dopĺňa zákon č. 583/2008 Z. z. o prevencii kriminality a inej protispoločenskej činnosti a o zmene a doplnení niektorých zákonov v znení neskorších predpisov).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MDSR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dopravy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obalu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Obal odporúčame upraviť v súlade s prílohou č. 7 legislatívnych pravidiel SR, najmä doplnenie obsahu materiálu a správne označenie štádia prerokovania materiálu.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MDSR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dopravy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čl. I bodu 3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V čl. I bode 3 v § 3 písm. f) navrhujeme slová „bola...udelená“ nahradiť slovami „sa udelila“.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N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Nami navrhované znenie považujeme za vhodnejšie.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MDSR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dopravy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čl. I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V čl. I bode 8, bode 23 v § 9a ods. 3 a  4 a v bode 26 odporúčame vypustiť slová „podľa tohto zákona“ pre nadbytočnosť.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N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Nami navrhované znenie považujeme za vhodnejšie.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MDSR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dopravy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čl. I bodu 12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V čl. I bode 12 navrhujeme slovo „a“ nahradiť slovom „alebo“.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N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Nami navrhované znenie považujeme za správnejšie aj vzhľadom na obdobnú úpravu v ďalších ustanoveniach zákona (napr. § 2, § 6 ods. 1 písm. b), § 7a ods. 2 písm. a)).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MDSR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dopravy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čl. I bodu 14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V čl. I bode 14 navrhujeme zaviesť legislatívnu skratku „(ďalej len „krajský koordinátor“)“ a tú premietnuť do čl. I bodu 21 -  § 8 ods. 2 písm. a), ods. 3 a 4.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N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Úprava nie je potrebná. 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MDSR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dopravy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čl. I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V čl. I bode 15 v § 7 ods. 2 písm. a) desiatom bode navrhujeme slová „e-mailová adresa“ nahradiť slovami „adresa elektronickej pošty“, pripomienka platí aj pre § 7 ods. 2 písm. b) treťom bode,  bod 16 a bod 23 - § 9i ods. 2 písm. b).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N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Nami navrhované znenie považujeme za vhodnejšie.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MDSR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dopravy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čl. I bode 19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V čl. I bode 19 navrhujeme vypustiť slová „ustanovenej osobitnými predpismi“ pre nadbytočnosť, okresný úrad v sídle kraja z hľadiska princípu legality  môže konať len v rozsahu svojej pôsobnosti, ktorú ustanovujú zákony.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MDSR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dopravy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čl. I bodu 21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V čl. I bode 21 v § 8 ods. 3 navrhujeme slová „povinnosťou mlčanlivosti“ nahradiť slovom „mlčanlivosťou“.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N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Nami navrhované znenie považujeme za vhodnejšie. 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MDSR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dopravy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čl. I bodu 23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V čl. I odporúčame znenie bodu 23 napr. takto: „Za § 9 sa vkladajú § 9a až 9i, ktoré vrátane nadpisu nad § 9a a nadpisov § 9b až  9i znejú:...“. 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V čl. I bode 23 v § 9b ods. 1 a 2 navrhujeme čiarku na  konci predposledného pododseku nahradiť spojkou „a“.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V čl. I bode 23 v § 9c písm. a) navrhujeme slová „žiadateľ o akreditáciu je fyzická osoba“ nahradiť slovami „je žiadateľom o akreditáciu fyzická osoba“, pripomienka platí primerane aj pre ods. 1 písm. b) a v odseku 3 navrhujeme slová „Prílohu žiadosti o udelenie akreditácie tvoria“ nahradiť slovami „Prílohami žiadosti o udelenie akreditácie sú“.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V čl. I bode 23 v § 9e ods. 2 slovo „päť“ (2x) nahradiť číslom „5“ (2x) a v poznámke pod čiarou k odkazu 2aa odporúčame vypustiť slová „v znení neskorších predpisov“ za slovami „Trestného poriadku“ a citáciu CSP zaradiť za citáciu trestného zákona.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V čl. I bode 23 v § 9e ods. 4 navrhujeme slová „blízke osoby“ nahradiť slovami „blízka osoba“ a vetu primerane gramaticky upraviť.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ČA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K navrhovanej úprave čl. I novelizačného bodu 23 úvodnej vety týkajúcej sa nadpisov uvádzame, že nami navrhované znenie považujeme za vhodnejšie.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K navrhovanej úprave čl. I novelizačného bodu 23 § 9c ods. 3 úvodnej vete uvádzame, že v súlade s bodom 3 Legislatívnych pravidiel vlády Slovenskej republiky bola táto veta upravená v znení: „(3) Prílohou žiadosti o udelenie akreditácie je“.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MDSR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dopravy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čl. I bodu 23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V čl. I bode 23 v § 9e ods. 6 navrhujeme slová „interný predpis, ktorý vydá  ministerstvo vnútra“ nahradiť slovami „vnútorný predpis ministerstva vnútra“.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V čl. I bode 23 v § 9g navrhujeme slovo „zaniká“ nahradiť dokonavým tvarom „zanikne“  aj vzhľadom na nadpis; v ods. 1 písm. d) navrhujeme slová „bola udelená“ nahradiť slovami „sa udelila“ a v ods. 2 písm. a) čiarku na konci nahradiť slovom „alebo“.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V čl. I bode 23 v § 9h ods. 3 navrhujeme vypustiť bodkočiarku a slová za bodkočiarkou.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N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Vo vzťahu k čl. I bode 23 v § 9e ods. 6 došlo k úprave na základe inej pripomienky. 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Vo vzťahu k čl. I bode 23 v § 9g a § 9h ods. 3 považujeme nami navrhované znenie za vhodnejšie.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MDSR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dopravy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čl. I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V čl. I odporúčame spojiť body 24 a 25 do jedného bodu napr. takto: „V § 10 ods. 1 a  § 12 ods. 2 sa slová „písm. d)“ nahrádzajú slovami „písm. e).““ a primerane prečíslovať.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ČA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Upravené inak na základe inej pripomienky. 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MDSR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dopravy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čl. I bodu 28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V čl. I bode 28 navrhujeme bodku na konci prvej vety nahradiť čiarkou a vypustiť slová „V § 12 ods. 8“ a na konci druhej vety bodku nahradiť slovom „a“ a vypustiť slová „V § 12 ods. 8“ 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resp. upraviť bod takto: „V § 12 ods. 8  sa slová „osobu sa na účely tohto zákona“ nahrádzajú slovami „osobu na účel poskytovania dotácií v oblasti prevencie kriminality“, slová „Bezúhonnosť sa na účely tohto zákona“ nahrádzajú slovami „Bezúhonnosť podľa prvej vety“ a slová „písm. d)“ sa nahrádzajú slovami „písm. e).“.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ČA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V neakceptovanej časti upravené na základe inej pripomienky.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MFSR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financií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Celému materiálu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Návrh je potrebné zosúladiť s prílohou č. 1 Legislatívnych pravidiel vlády SR (napríklad v čl. I celom texte odporúčame slová „krajská komisia prevencie kriminality“ vo všetkých tvaroch nahradiť slovami „krajská komisia pre prevenciu kriminality“ v príslušnom tvare, aby sa použil podobný pojem ako zaužívaný pojem „krajský koordinátor pre prevenciu kriminality“, v bode 3 § 3 písm. e) slovo „stratégii“ nahradiť slovom „Stratégii“, v bode 6 § 5 ods. 3 písm. c) vypustiť slová „a cieľov“ z dôvodu zosúladenia formulácie s inými ustanoveniami § 5, v bode 9 poznámke pod čiarou k odkazu 1 v zátvorke vypustiť čiarku a slová „s. 44 – 46“ ako nadbytočné, v bode 17 za slová „ods. 3“ vložiť slová „úvodnej vete“ a vypustiť slovo „na“ (2x) ako nadbytočné, v bode 23 úvodnej vete vypustiť paragrafovú značku za slovom „až“, v bode 23 § 9b ods. 1 písm. e) na začiatok vložiť vhodné slovo, napríklad „predloženie“, v § 9b ods. 2 úvodnej vete slová „popri podmienkach“ nahradiť slovami „okrem podmienok“, v § 9b ods. 3 písm. a) až d) za slovo „prax“ vložiť slovo „najmenej“, v § 9b ods. 3 písm. d) slovo „odbore“ nahradiť slovom „oblasti“, v § 9b ods. 5 prvej vete slová „podľa § 9c“ nahradiť slovami „o udelenie akreditácie“ a v tretej vete za slovo „žiadateľ“ vložiť slová „o akreditáciu“, v § 9b ods. 6 prvej vete slovo „Projekt“ nahradiť slovami „V projekte“ a za slovo „programu“ vložiť slovo „sa“, v § 9c ods. 1 písm. a) úvodnej vete a písm. b) úvodnej vete slovo „žiadateľ“ nahradiť slovom „žiadateľom“, v § 9c ods. 4 slová „je zverejnený na webovom sídle ministerstva vnútra“ nahradiť slovami „zverejňuje ministerstvo vnútra na svojom webovom sídle“, v § 9d ods. 1 slová „podľa § 9c“ nahradiť slovami „o udelenie akreditácie“, v § 9e nadpise na konci pripojiť slová „a predĺžení platnosti akreditácie“, v § 9e ods. 2 za slovo „žiadosti“ vložiť slová „o udelenie akreditácie“, v § 9e ods. 4 prvej vete slová „akreditácie, predĺžení jej platnosti a o zrušení akreditácie“ nahradiť slovami „akreditácie a predĺžení jej platnosti“, pretože zrušenie akreditácie je upravené v § 9g, v § 9e ods. 4 zvážiť presunutie druhej vety až piatej vety do samostatného odseku, v § 9e ods. 4 piatej vete za slovo „druhej“ vložiť slovo „vety“, preveriť správnosť citácií uvedených v poznámke pod čiarou k odkazu 2aa, pretože odkaz 2aa je umiestnený nad slovami „blízke osoby“, v poznámke pod čiarou k odkazu 2aa jednotlivé citácie uvádzať v chronologickom poradí, pričom najprv sa uvádzajú kódexy a potom ostatné zákony a v prvej citácii vypustiť slová „v znení neskorších predpisov“ ako nadbytočné, v bode 25 za slová „ods. 2“ vložiť slová „prvej vete“, bod 28 preformulovať takto: „28. V § 12 ods. 8 prvej vete sa slová „na účely tohto zákona“ nahrádzajú slovami „na účel poskytovania dotácií v oblasti prevencie kriminality“, v druhej vete sa slová „sa na účely tohto zákona“ nahrádzajú slovami „podľa prvej vety sa“ a v štvrtej vete sa slová „písm. d)“ nahrádzajú slovami „písm. e)“.“).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ČA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Úprava vo vzťahu k čl. I bodu 6 § 5 ods. 3 písm. c), bodu 23 § 9b ods. 1 písm. e) a ods. 6, § 9c ods. 1 písm. a), b) a ods. 4, § 9e nadpisu a ods. 2, 4, bodu 25 a 28 nie je potrebná. 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MHSR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hospodárstva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Doložke vybraných vplyvov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Odporúčame predkladateľovi v bode 1. „Základné údaje” v časti „Charakter predkladaného materiálu” vyznačiť, že sa jedná aj o transpozíciu/ implementáciu práva EÚ, a zároveň uviesť zoznam transponovaných smerníc EÚ.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Odôvodnenie: Keďže predkladaný materiál obsahuje zmeny ustanovení, ktoré predstavujú transpozičné opatrenia smernice EÚ, je nevyhnutné túto skutočnosť vyznačiť v Doložke vybraných vplyvov.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N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Návrhom zákona nedochádza k transpozícii/implementácii práva EÚ a ani k zmene obsahu ustanovení, ktoré sú transpozičnými opatreniami smernice EÚ.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MINCRS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cestovného ruchu a športu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Celému materiálu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Návrh odporúčame zosúladiť s Legislatívnymi pravidlami vlády Slovenskej republiky, a to napríklad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- v čl. I bode 23 úvodnej vete odporúčame za slovom „až“ vypustiť paragrafovú značku,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- v čl. I odporúčame novelizačné body 24 a 25 spojiť do jedného novelizačného bodu z dôvodu rovnakej úpravy.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MPRVSR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pôdohospodárstva a rozvoja vidieka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čl. I bodu 23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V čl. I bode 23 odporúčame úvodnú vetu zosúladiť s bodom 34.3 prílohy č. 1 k Legislatívnym pravidlám vlády Slovenskej republiky.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MPRVSR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pôdohospodárstva a rozvoja vidieka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poznámkam pod čiarou k odkazom 1, 2aa a 6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V čl. I bode 9 poznámke pod čiarou k odkazu 1 odporúčame citáciu zosúladiť s bodom 62.8 prílohy č. 1 k Legislatívnym pravidlám vlády Slovenskej republiky.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V čl. I bode 23 poznámke pod čiarou k odkazu 2aa odporúčame citáciu Trestného poriadku zosúladiť s bodom 48 prílohy č. 1 k Legislatívnym pravidlám vlády Slovenskej republiky a pri citácii zákona Národnej rady Slovenskej republiky č. 171/1993 Z. z. uviesť iba skrátenú citáciu, keďže sa predmetný zákon cituje už v poznámke pod čiarou k odkazu 1a.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V čl. I bode 31 odporúčame zosúladiť poznámku pod čiarou k odkazu 6 s bodom 23.7 prílohy č. 1 k Legislatívnym pravidlám vlády Slovenskej republiky, ktorý predpokladá pri uvedení demonštratívneho výpočtu citáciu viacerých, najmenej dvoch osobitných predpisov.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MPRVSR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pôdohospodárstva a rozvoja vidieka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čl. I bodom 24, 25 a 28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S ohľadom na rovnaký predmet úpravy odporúčame body 24 a 25 zlúčiť do jedného bodu vrátane doplnenia úpravy navrhovanej v poslednej vete bodu 28 v tomto znení: „24. V § 10 ods. 1, § 12 ods. 2 a § 12 ods. 8 štvrtej vete sa slová „ods. 3 písm. d)“ nahrádzajú slovami „ods. 3 písm. e)“.“. Zároveň odporúčame prvú vetu a druhú vetu v bode 28 spojiť do jednej vety.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MPSVRSR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práce, sociálnych vecí a rodiny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n"/>
                <w:color w:val="FF0000"/>
                <w:rFonts w:ascii="Times New Roman" w:hAnsi="Times New Roman" w:cs="Times New Roman" w:eastAsia="Times New Roman"/>
                <w:sz w:val="24"/>
              </w:rPr>
              <w:t>Z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Čl. I bodu 10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Zásadne žiadam v Čl. I vypustiť bod 10.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Odôvodnenie: Predkladateľom navrhovaným doplnením v Čl. I bode 10 § 6 ods. 1 písm. b) sa ministerstvám a ostatným ústredným orgánom štátnej správy ukladá povinnosť predkladať Rade vlády Slovenskej republiky pre prevenciu kriminality správu o stave, vývoji a dynamike kriminality a inej protispoločenskej činnosti. Podľa osobitnej časti dôvodovej správy 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k Čl. I bodu 10 je cieľom tejto zmeny posilniť úlohu analýz a dát pri strategickom riadení preventívnej politiky a zároveň zabezpečiť pravidelný a systematický tok relevantných informácií smerom k poradnému a koordinačnému orgánu vlády Slovenskej republiky.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Primárne dáta o kriminalite sú v pôsobnosti Ministerstva vnútra Slovenskej republiky 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a Policajného zboru a sú obsiahnuté v existujúcich správach o stave a vývoji kriminality. Ministerstvo práce, sociálnych vecí a rodiny Slovenskej republiky je v tomto smere konzumentom, nie tvorcom takýchto štatistík. Navyše štatistiky, t.j. zbierané údaje v pôsobnosti Ministerstva práce, sociálnych vecí a rodiny Slovenskej republiky sú verejné a sú k dispozícii.  Ministerstvo práce, sociálnych vecí a rodiny Slovenskej republiky, rovnako 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ako iné ministerstvá a ostatné ústredné orgány štátnej správy, predkladajú Rade vlády Slovenskej republiky pre prevenciu kriminality správu o plnení úloh vyplývajúcich zo Stratégie prevencie kriminality a inej protispoločenskej činnosti v Slovenskej republike do roku 2028, 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za predchádzajúci kalendárny rok a zavedenie ďalšieho typu správy považujem za neefektívne.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Upravené inak na základe záverov z rozporového konania.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MPSVRSR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práce, sociálnych vecí a rodiny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n"/>
                <w:color w:val="FF0000"/>
                <w:rFonts w:ascii="Times New Roman" w:hAnsi="Times New Roman" w:cs="Times New Roman" w:eastAsia="Times New Roman"/>
                <w:sz w:val="24"/>
              </w:rPr>
              <w:t>Z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Čl. I bodu 21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Zásadne žiadam v Čl. I bode 21 navrhovanom § 8 ods. 3 prvej vete za slová „prevencie kriminality“ vložiť čiarku a slová „okrem aktivít v oblasti prevencie násilia na deťoch,X)“.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Poznámka pod čiarou k odkazu X znie: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„X) § 3 ods. 1 písm. n) a ods. 2 zákona č. 453/2003 Z. z. o orgánoch štátnej správy v oblasti sociálnych vecí, rodiny a služieb zamestnanosti a o zmene a doplnení niektorých zákonov 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v znení neskorších predpisov.“. 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Odôvodnenie: Ministerstvo práce, sociálnych vecí a rodiny Slovenskej republiky koordinuje štátnu politiku v oblasti ochrany detí pred násilím a plnenie úloh v tejto oblasti a vytvára podmienky pre vzájomnú spoluprácu a výmenu informácií medzi subjektami ochrany detí (§ 3 ods. 1 písm. n) a ods. 2 zákona č. 453/2003 Z. z. o orgánoch štátnej správy v oblasti sociálnych vecí, rodiny a služieb zamestnanosti a o zmene a doplnení niektorých zákonov v znení neskorších predpisov). Na tento účel Ministerstvo práce, sociálnych vecí a rodiny Slovenskej republiky vytvorilo pozíciu koordinátora ochrany detí pred násilím v Národnom projekte Podpora ochrany detí pred násilím a nadväzujúcom Národnom projekte Spoločne za detstvo bez násilia pre všetky deti. Sieť 46 koordinátorov ochrany detí pred násilím pokrýva celé územie Slovenskej republiky a vykazuje dobré výsledky. V zásadnej pripomienke navrhovaná úprava má predísť kompetenčným sporom a má zamedziť nadmernému zaťažovaniu subjektov ochrany detí pred násilím opakovanými pracovnými stretnutiami v témach ochrany detí 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pred násilím na pôde úradu práce, sociálnych vecí a rodiny a následne na pôde okresného úradu. Koordinátori ochrany detí pred násilím úzko spolupracujú s krajskými koordinátormi 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pre prevenciu kriminality.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MPSVRSR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práce, sociálnych vecí a rodiny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n"/>
                <w:color w:val="FF0000"/>
                <w:rFonts w:ascii="Times New Roman" w:hAnsi="Times New Roman" w:cs="Times New Roman" w:eastAsia="Times New Roman"/>
                <w:sz w:val="24"/>
              </w:rPr>
              <w:t>Z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Čl. I bodu 21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Zásadne žiadam v Čl. I bode 21  navrhovaný § 8 ods. 3 doplniť o účel oboznamovania 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sa s osobnými údajmi na multidisciplinárnom stretnutí, ktoré môže zorganizovať krajský koordinátor pre prevenciu kriminality. 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Odôvodnenie: Zásadne žiadam doplnenie účelu oboznamovania sa s osobnými údajmi 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na multidisciplinárnom stretnutí, ktoré môže zorganizovať krajský koordinátor pre prevenciu kriminality, pretože ani zo súčasnej právnej úpravy pôsobnosti okresného úradu v sídle kraja 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v oblasti prevencie kriminality, ani  z predkladateľom navrhovanej pôsobnosti okresného úradu v sídle kraja v oblasti prevencie kriminality (vrátane krajského koordinátora pre prevenciu kriminality a krajskej komisie prevencie kriminality) a ani z dôvodovej správy nie je zrejmé, 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že predmetom multidisciplinárnych stretnutí má byť prejednávanie konkrétnych prípadov, 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či situácie konkrétnych osôb. Ak sa majú účastníci týchto stretnutí vzájomne oboznamovať 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s osobnými údajmi (z návrhu vyplýva, že bez súhlasu dotknutých osôb a pravdepodobne 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aj tretích osôb), musí byť účel jednoznačne stanovený zákonom. Zo znenia, ako ho navrhuje predkladateľ a ani z dôvodovej správy tiež nie je jednoznačne zrejmé, či takto získané informácie môžu zúčastnené subjekty využiť  pri plnení svojich zákonom stanovených úloh 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 nie je jednoznačná ani reciprocita informácií zúčastnených subjektov.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Upravené inak na základe záverov z rozporového konania.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MŠVVaMSR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školstva,výskumu,vývoja a mládeže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n"/>
                <w:color w:val="FF0000"/>
                <w:rFonts w:ascii="Times New Roman" w:hAnsi="Times New Roman" w:cs="Times New Roman" w:eastAsia="Times New Roman"/>
                <w:sz w:val="24"/>
              </w:rPr>
              <w:t>Z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Celému materiálu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Celému materiálu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Navrhujeme zohľadniť pripravovaný nový zákon o ochrane mládeže pred radikalizáciou a extrémizmom a v nadväznosti na to prehodnotiť jednotlivé inštitúty, ktoré môžu mať presah na pripravovaný zákon, napr. vymedzenie odbornej spôsobilosti na účel udelenia akreditácie  (§ 9b ods. 3) a vymedzenie bezúhonnosti (§ 9b ods. 5).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Odôvodnenie: 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Podľa plánu legislatívnych úloh vlády SR na rok 2026, má MŠVVaM SR v spolupráci s MPSVaR SR a MV SR predložiť na rokovanie vlády SR návrh zákona o ochrane mládeže pred radikalizáciou a extrémizmom.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Keďže doterajší stav je roztrieštený a jednotlivé rezorty postupujú podľa vlastných postupov, výmena údajov je obmedzená a medzi úrovňami štátnej správy a samosprávy neexistujú koordinované mechanizmy. 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Cieľom navrhovaného zákona o ochrane mládeže pred radikalizáciou a extrémizmom má byť systém, ktorý bude prepájať školy, sociálne služby, zdravotníctvo, orgány činné v trestnom konaní, samosprávy a ďalšie dotknuté subjekty, najmä pre zdieľanie údajov v rozsahu potrebnom na včasnú identifikáciu rizikových osôb a javov. Zákonom sa má upraviť vznik medzirezortných koordinačných tímov, ktoré majú zabezpečovať rýchlu reakciu, jednotný metodický prístup a prepojenie preventívnych, výchovných, sociálnych a bezpečnostných zásahov. Opatrenia majú byť zamerané na včasné zachytenie rizikových signálov, koordinovanú pomoc, znižovanie radikalizačných vplyvov a podporu faktorov, ktoré posilňujú psychickú, sociálnu a komunitnú odolnosť mladých ľudí.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V rámci tohto zákona sa má upraviť koordinovaný systém prevencie mobilizácie k násiliu, ktorý bude inštitucionálne tvorení národným koordinátorom pre ochranu detí pred mobilizáciou k násiliu na celoštátnej úrovni a regionálnymi koordinátormi na regionálnej úrovni. Súčasťou tohto integrovaného systému má byť aj mechanizmus akreditácie subjektov pôsobiacich v tejto oblasti.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Podľa návrhu o udelení akreditácie bude rozhodovať MV SR na návrh hodnotiacej komisie. V nadväznosti na vyššie uvedené žiadame prehodnotiť zloženie, organizáciu práce a postup hodnotiacej komisie tak, aby neboli predmetom interného predpisu MV SR, ale priamo v zákone.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Ak ide o bezúhonnosť,  návrh ustanovuje iba úmyselný trestný čin v posledných 5 rokoch. Pri programoch pracujúcich s deťmi poukazujeme na vymedzenie, ktoré upravuje napríklad zákon č. 138/2019 Z. z.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Ak ide o odbornú spôsobilosť, v návrhu je miernejšia ako napríklad pri akreditácii podľa zákona č. 305/2005 Z. z. a preto navrhujeme najmenej vysokoškolské vzdelania prvého stupňa.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Túto pripomienku považujeme za zásadnú.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ČA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Na základe záverov z rozporového konania došlo zo strany MŠVVaM SR k preklasifikovaniu zásadnej pripomienky na obyčajnú.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MŠVVaMSR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školstva,výskumu,vývoja a mládeže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§ 9e ods. 3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K § 9e ods. 3 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Odporúčame prehodnotiť nemožnosť využitia opravného prostriedku voči rozhodnutiu o udelení akreditácie.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Odôvodnenie: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Nemožnosť podať opravný prostriedok nie je dostatočne odôvodnená. Ak v konaní nemá byť možnosť jeho podania, v kontexte princípov správneho konania je potrebné tento návrh dôkladnejšie odôvodniť. V opačnom prípade odporúčame doplnenie druhostupňového konania.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N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Použitie riadneho opravného prostriedku, t. j. odvolania, je vylúčené len vo vzťahu k rozhodnutiu, ktorým bolo žiadosti jediného účastníka konania - žiadateľa o akreditáciu vyhovené a akreditácia mu bola udelená. Proti rozhodnutiu, ktorým nebola akreditácia udelená, je prípustné podať odvolanie. 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MŠVVaMSR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školstva,výskumu,vývoja a mládeže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§ 9b ods. 3 písm. d)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K § 9b ods. 3 písm. d) 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Odporúčame neuvádzať konkrétny názov akreditovaného vzdelávacieho programu, ale uviesť iba opisne oblasť akreditovaného vzdelávacieho programu (napr. v oblasti prevencie kriminality a inej protispoločenskej činnosti) z dôvodu, že názov programu sa môže v budúcnosti zmeniť a v takom prípade by bola potrebná novela zákona iba kvôli zmene názvu akreditovaného vzdelávacieho programu.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N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Nami navrhované znenie považujeme za vhodnejšie.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MŠVVaMSR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školstva,výskumu,vývoja a mládeže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§ 9i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K § 9i 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Odporúčame v zákone uviesť, či register je verejný (a ak áno, ktoré informácie sú verejné) alebo neverejný. Zároveň odporúčame uviesť, či register je informačným systémom verejnej správy podľa § 2 ods. 4 zákona č. 95/2019 Z. z. o informačných technológiách vo verejnej správe a o zmene a doplnení niektorých zákonov a kto je správcom a prevádzkovateľom registra.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N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Z navrhovanej úpravy § 5 ods. 3 písm. e) vyplýva, že predmetný register bude verejný, pričom verejné budú všetky informácie v ňom evidované. 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Register nie je informačným systémom verejnej správy podľa § 2 ods. 4 zákona č. 95/2019 Z. z. o informačných technológiách vo verejnej správe a o zmene a doplnení niektorých zákonov.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Odbor aproximácie práva sekcie vládnej legislatívy Úradu vlády SR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Nad rámec návrhu zákona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Do návrhu zákona žiadame vložiť nový novelizačný bod, ktorým sa v § 5 ods. 4 zákona č. 583/2008 Z. z. o prevencii kriminality a inej protispoločenskej činnosti a o zmene a doplnení niektorých zákonov slová „Európskej siete na prevenciu kriminality“ nahradia slovami „Európskej siete na predchádzanie trestnej činnosti“ tak, aby predmetné ustanovenie bolo v súlade s rozhodnutím Rady 2009/902/SVV z  30. novembra 2009 o vytvorení Európskej siete na predchádzanie trestnej činnosti (EUCPN) a o zrušení rozhodnutia 2001/427/SVV (Ú. v. EÚ L 321, 8.12.2009).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ČA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Pripomienka zapracovaná v rámci úpravy čl. I novelizačného bodu 9. V nadväznosti na to bolo upravené aj odôvodnenie tohto bodu.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Odbor aproximácie práva sekcie vládnej legislatívy Úradu vlády SR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čl. I bod 9 návrhu zákona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V čl. I bod 9 návrhu zákona v poznámke pod čiarou k odkazu č. 1 pri citácii rozhodnutia 2009/902/SVV žiadame publikačný zdroj uviesť nasledovne: „(Ú. v. EÚ L 321, 8.12.2009)“.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Odbor aproximácie práva sekcie vládnej legislatívy Úradu vlády SR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tabuľke zhody so smernicou 2012/29/EÚ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V tabuľke zhody so smernicou Európskeho parlamentu a Rady 2012/29/EÚ z  25. októbra 2012, ktorou sa stanovujú minimálne normy v oblasti práv, podpory a ochrany obetí trestných činov a ktorou sa nahrádza rámcové rozhodnutie Rady 2001/220/SVV (Ú. v. EÚ L 315, 14.11.2012) žiadame v stĺpci 6 pri preukazovaní transpozície čl. 8 ods. 4 smernice 2012/29/EÚ do § 7a ods. 3 vypustiť slová „na účely prevencie kriminality a inej protispoločenskej činnosti“.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N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Vzhľadom na úpravu znenia čl. I novelizačného bodu 17 bola upravená úvodná veta v stĺpci 6 pri preukazovaní transpozície čl. 8 ods. 4 smernice 2012/29/EÚ do § 7a ods. 3 v znení: „Informačná kancelária na účely prevencie kriminality ďalej“.  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SIS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Slovenská informačná služba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Čl. 1 § 6 ods. 1 Pripomienka je zásadná.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K čl. I: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	K 10. bodu návrhu zákona 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Znenie predmetného bodu, ktorým má dôjsť k úprave súčasného znenia § 6 ods. 1 písm. b), žiadame upraviť tak, aby sa povinnosť podľa tohto ustanovenia na Slovenskú informačnú službu nevzťahovala. Zároveň žiadame vykonať rovnakú úpravu aj v súvislosti s povinnosťou ustanovenou v súčasnom znení § 6 ods. 1 písm. a). 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           V súvislosti s uvedenou pripomienkou navrhujeme do § 6 vložiť nový odsek 2, ktorý znie: 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„(2) Povinnosti podľa odseku 1 písm. a) a b) sa nevzťahujú na Slovenskú informačnú službu.“.  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Doterajší odsek 2 sa označuje ako odsek 3.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Pripomienka je zásadná.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Odôvodnenie: 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Vychádzajúc z predkladacej správy k návrhu zákona, dôležitým prvkom návrhu zákona má byť aj doplnenie povinnosti ministerstiev a ostatných ústredných orgánov štátnej správy predkladať Rade vlády Slovenskej republiky pre prevenciu kriminality správu o stave, vývoji a dynamike kriminality   a inej protispoločenskej činnosti, ktorej cieľom je prispieť k tvorbe verejných politík založených na dátach a tiež aj k efektívnemu strategickému plánovaniu v oblasti prevencie kriminality a inej protispoločenskej činnosti. Zároveň, podľa už účinného znenia § 6 ods. 1 písm. a) zákona č. 583/2008 Z. z. o prevencii kriminality a inej protispoločenskej činnosti a o zmene a doplnení niektorých zákonov, ministerstvá a ostatné ústredné orgány štátnej správy v oblasti prevencie kriminality v rozsahu svojej pôsobnosti ustanovenej osobitnými predpismi, rozpracúvajú stratégiu prevencie kriminality a predkladajú Rade vlády Slovenskej republiky správu o plnení úloh vyplývajúcich zo stratégie prevencie kriminality za predchádzajúci kalendárny rok.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Vzhľadom na to, že podľa § 4 ods. 1 písm. b) zákona č. 583/2008 Z. z. je orgánom verejnej moci v oblasti prevencie kriminality aj Slovenská informačná služba ako ústredný orgán štátnej správy (ktorého postavenie nadobudla od 01. 02. 2024), predmetné povinnosti  by sa mali vzťahovať aj na Slovenskú informačnú službu.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V nadväznosti na uvedené Slovenská informačná služba navrhuje explicitné vypustenie povinností ustanovených v § 6 ods. 1 písm. a) v súčasnosti účinného zákona č. 583/2008 Z. z. a povinností navrhovaných v predloženom bode 10. návrhu zákona – § 6 ods. 1 písm. b) vo vzťahu k Slovenskej informačnej službe, a to z dôvodu osobitného charakteru jej činnosti, právneho postavenia a úloh, ktoré vykonáva v rámci bezpečnostného systému štátu. Ukladanie povinností spočívajúcich v systematickom vypracúvaní dokumentov a pravidelnom predkladaní správ Rade vlády Slovenskej republiky by mohlo viesť k neprimeranému zásahu do režimu ochrany utajovaných skutočností v pôsobnosti Slovenskej informačnej služby, pričom rozsah údajov, ktorými Slovenská informačná služba disponuje, má spravidla operatívny alebo spravodajský charakter a tieto údaje nie sú určené na štatistické vyhodnocovanie v zmysle verejných politík. Podporne možno uviesť, že Slovenská informačná služba k prevencii kriminality a inej protispoločenskej činnosti nepriamo už prispieva, 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a to práve prostredníctvom informácií postupovaných zákonným príjemcom v zmysle zákona Národnej rady Slovenskej republiky č. 46/1993 Z. Z. o Slovenskej informačnej služby v znení neskorších predpisov. Predmetné informácie sú čiastočne súčasťou Správy o činnosti Slovenskej informačnej služby za príslušný rok, ktorú je Slovenská informačná služba povinná každoročne predkladať Národnej rade Slovenskej republiky. 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Činnosť Slovenskej informačnej služby je charakteristická vysokou mierou utajenia, využívaním osobitných operatívnych postupov a metód spravodajskej činnosti, ako aj spracúvaním informácií, ktoré majú často charakter utajovaných skutočností alebo citlivých informácií. Tieto špecifiká si vyžadujú osobitný právny režim ochrany informácií, ktorý sa v právnom poriadku Slovenskej republiky premieta do viacerých právnych predpisov upravujúcich postavenie a pôsobnosť spravodajských služieb. 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Uvedený osobitný režim sa odráža aj napríklad v právnej úprave zákona č. 54/2019 Z. z. 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o ochrane oznamovateľov protispoločenskej činnosti v znení neskorších predpisov, podľa ktorého sa na Slovenskú informačnú službu vzťahujú len vybrané ustanovenia tohto zákona, pričom dozor nad dodržiavaním uvedeného zákona vo vzťahu k Slovenskej informačnej službe nevykonáva Úrad na ochranu oznamovateľov ale Národná rada Slovenskej republiky. Takéto obmedzenie rozsahu pôsobnosti predstavuje legislatívne uznanie špecifického postavenia spravodajskej služby a potreby ochrany jej činnosti pred zásahmi, ktoré by mohli ohroziť bezpečnostné záujmy štátu. Ide predovšetkým o ustanovenia upravujúce procesné postupy pri evidencii, preverovaní a zverejňovaní informácií o oznámeniach o protispoločenskej činnosti, ako aj ustanovenia týkajúce sa výkonu dozoru a povinnosti poskytnúť Úradu na ochranu oznamovateľov pri plnení jeho úloh potrebnú súčinnosť. 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Pre komplexnosť uvádzame, že Slovenskej informačnej službe nie sú priamo ukladané ani odporúčané žiadne povinnosti, resp. úlohy v súvislosti so Stratégiou prevencie kriminality a inej protispoločenskej činnosti (pozn. uvedené vyplýva z uznesenia vlády SR č. 189/2023 z 19. 04. 2023 prijatého k Stratégii prevencie kriminality a inej protispoločenskej činnosti v Slovenskej republike do roku 2028 a rovnako tak aj z týmto uznesením zrušeného uznesenia vlády SR č. 513/2016 k Stratégii prevencii kriminality a inej protispoločenskej činnosti v Slovenskej republike na roky 2016-2020).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V nadväznosti na vyššie uvedené je podľa nášho názoru nevyhnutné explicitné vylúčenie Slovenskej informačnej služby aj z plnenia už existujúcich povinností (§ 6 ods. 1 písm. a) – rozpracúvať stratégiu prevencie kriminality a predkladať rade správu o plnení úloh vyplývajúcich zo stratégie prevencie kriminality za predchádzajúci kalendárny rok), ktoré by sa zaradením Slovenskej informačnej služby medzi ústredné orgány štátnej správy s účinnosťou od 01. 02. 2024 mali vzťahovať z uvedeného dôvodu aj na Slovenskú informačnú službu.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ÚMS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Únia miest Slovenska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n"/>
                <w:color w:val="FF0000"/>
                <w:rFonts w:ascii="Times New Roman" w:hAnsi="Times New Roman" w:cs="Times New Roman" w:eastAsia="Times New Roman"/>
                <w:sz w:val="24"/>
              </w:rPr>
              <w:t>Z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čl. I bod 23 (§ 9d ods. 2, § 9e ods. 4 a 6)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Znenie pripomienky: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V záujme zvýšenia transparentnosti, odbornosti a nezávislosti akreditačného procesu navrhujeme nasledovné úpravy: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V § 9d ods. 2 navrhujeme doplniť, že ministerstvo je pri udelení akreditácie viazané návrhom hodnotiacej komisie., pričom súčasne navrhujeme úpravu § 9a ods. 4 tak, aby hodnotiaca komisia pozostávala z odborníkov z oblasti prevencie kriminality, sociálnej práce, školstva a ďalších relevantných oblastí, ako aj zástupcov územnej samosprávy. Ustanovenie § 9e ods. 6 navrhujeme vypustiť a zloženie a činnosť komisie upraviť všeobecne záväzným právnym predpisom. Zároveň navrhujeme doplniť ustanovenie, podľa ktorého bude mať ministerstvo vnútra povinnosť zverejniť kritériá akreditácie, metodiku hodnotenia, zloženie komisie, zoznam akreditovaných subjektov a anonymizované odôvodnenia rozhodnutí. 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Odôvodnenie: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Navrhovaný akreditačný mechanizmus predstavuje významný regulačný nástroj. Bez explicitných záruk existuje riziko koncentrácie rozhodovacích právomocí, netransparentnosti a obmedzenia plurality odborných prístupov.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ČA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Na základe záverov rozporového konania a úprave dotknutého ustanovenia na základe inej pripomienky bol rozpor odstránený.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ÚMS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Únia miest Slovenska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n"/>
                <w:color w:val="FF0000"/>
                <w:rFonts w:ascii="Times New Roman" w:hAnsi="Times New Roman" w:cs="Times New Roman" w:eastAsia="Times New Roman"/>
                <w:sz w:val="24"/>
              </w:rPr>
              <w:t>Z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čl. I bod 3 a 23 (§ 3 písm. d) až f), § 9a ods. 3)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Znenie pripomienky: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Navrhujeme doplniť ustanovenie: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„Obec a obecná polícia podľa osobitného predpisu sa na účely tohto zákona považujú za subjekty preventívneho programu.“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Zároveň navrhujeme doplniť: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„Na obec a obecnú políciu sa nevzťahuje povinnosť akreditácie podľa § 9a, ak vykonávajú preventívne činnosti v rozsahu svojej zákonnej pôsobnosti.“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Odôvodnenie: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Obecné a mestské polície sú kľúčovým aktérom prevencie kriminality. Ich postavenie musí byť v zákone explicitne upravené tak, že sa považujú za subjekty preventívneho programu ex lege, aby nedochádzalo k právnej neistote a neprimeranej administratívnej záťaži.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Na základe záverov rozporového konania a úprave dotknutého ustanovenia bol rozpor odstránený.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ÚMS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Únia miest Slovenska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n"/>
                <w:color w:val="FF0000"/>
                <w:rFonts w:ascii="Times New Roman" w:hAnsi="Times New Roman" w:cs="Times New Roman" w:eastAsia="Times New Roman"/>
                <w:sz w:val="24"/>
              </w:rPr>
              <w:t>Z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čl. I bod 23 (§ 9b ods. 3, § 9b ods. 6)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Znenie pripomienky: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Navrhujeme doplniť ustanovenie: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„Za odbornú spôsobilosť podľa tohto zákona sa považuje aj kvalifikácia získaná podľa osobitných predpisov v oblasti sociálnych služieb, sociálnoprávnej ochrany detí a sociálnej kurately, školstva alebo zdravotníctva, ak je obsahovo zameraná na prevenciu protispoločenského správania.“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Zároveň navrhujeme doplniť: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„Akreditácia podľa tohto zákona sa nevyžaduje na výkon činností, ktoré sú vykonávané v rámci povolaní regulovaných osobitnými predpismi, ak tieto činnosti svojím obsahom zodpovedajú prevencii kriminality.“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Odôvodnenie: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Prevencia kriminality sa obsahovo prekrýva s viacerými regulovanými oblasťami – napr. sociálna práca a iné sektory. Neuznávanie existujúcich kvalifikácií by viedlo k duplicite a neefektívnosti.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ČA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Na základe záverov rozporového konania a úprave dotknutého ustanovenia na základe inej pripomienky bol rozpor odstránený.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ÚMS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Únia miest Slovenska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n"/>
                <w:color w:val="FF0000"/>
                <w:rFonts w:ascii="Times New Roman" w:hAnsi="Times New Roman" w:cs="Times New Roman" w:eastAsia="Times New Roman"/>
                <w:sz w:val="24"/>
              </w:rPr>
              <w:t>Z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čl. I bod 21 (§ 8 ods. 2 až 4)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Znenie pripomienky: 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Navrhujeme upraviť ustanovenia tak, aby členmi krajských komisií prevencie kriminality obligatórne boli aj zástupcovia obcí z územného obvodu kraja. 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Odôvodnenie: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Samosprávy sú kľúčovým aktérom prevencie kriminality na lokálnej úrovni a ich zapojenie do regionálnej koordinácie je nevyhnutné.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N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Na základe záverov rozporového konania a vysvetlení predkladateľom pripomienkujúci subjekt stiahol túto pripomienku.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ÚMS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Únia miest Slovenska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čl. I bod 1 a 3 (§ 1, § 3)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Znenie pripomienky: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Navrhujeme doplniť ustanovenie: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„Prevenciou kriminality podľa tohto zákona nie sú dotknuté činnosti vykonávané podľa osobitných predpisov v oblasti sociálnych služieb, sociálnoprávnej ochrany detí a sociálnej kurately; tieto činnosti sa považujú za súčasť systému prevencie kriminality.“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Odôvodnenie: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Cieľom je zabezpečiť komplementaritu systémov a predísť aplikačným nejasnostiam.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N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Úprava nie je potrebná.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MIRRI 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investícií, regionálneho rozvoja a informatizácie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MKSR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kultúry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MOSR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obrany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MSSR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spravodlivosti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MZSR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zdravotníctva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MZVEZ 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zahraničných vecí a európskych záležitostí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MŽPSR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životného prostredia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NBS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Národná banka Slovenska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PMÚSR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Protimonopolný úrad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ÚGKKSR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Úrad geodézie, kartografie a katastra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ÚJDSR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Úrad jadrového dozoru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ÚNMSSR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Úrad pre normalizáciu,  metrológiu a skúšobníctvo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ÚPVSR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Úrad priemyselného vlastníctva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ÚVO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Úrad pre verejné obstarávanie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ŠÚSR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Štatistický úrad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</w:tbl>
    <w:p w14:paraId="3A57E3AF" w14:textId="77777777" w:rsidR="000B2D78" w:rsidRPr="00785E8D" w:rsidRDefault="000B2D78">
      <w:pPr>
        <w:rPr>
          <w:rFonts w:ascii="Times New Roman" w:hAnsi="Times New Roman" w:cs="Times New Roman"/>
        </w:rPr>
      </w:pPr>
    </w:p>
    <w:p w14:paraId="48602EC8" w14:textId="37FB2F71" w:rsidR="00E66622" w:rsidRPr="00785E8D" w:rsidRDefault="00E66622" w:rsidP="001E6254">
      <w:pPr>
        <w:keepLines/>
        <w:rPr>
          <w:rFonts w:ascii="Times New Roman" w:hAnsi="Times New Roman" w:cs="Times New Roman"/>
        </w:rPr>
      </w:pPr>
      <w:r w:rsidRPr="00785E8D">
        <w:rPr>
          <w:rFonts w:ascii="Times New Roman" w:eastAsia="Times New Roman" w:hAnsi="Times New Roman" w:cs="Times New Roman"/>
          <w:sz w:val="24"/>
          <w:szCs w:val="24"/>
        </w:rPr>
        <w:t>Vznesené hromadné pripomienky</w:t>
      </w:r>
    </w:p>
    <w:tbl>
      <w:tblPr>
        <w:tblW w:w="0" w:type="auto"/>
        <w:jc w:val="center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44"/>
        <w:gridCol w:w="1296"/>
        <w:gridCol w:w="6480"/>
        <w:gridCol w:w="778"/>
        <w:gridCol w:w="2462"/>
      </w:tblGrid>
      <w:tr w:rsidR="000B16EA" w:rsidRPr="00785E8D" w14:paraId="57C7F9BD" w14:textId="5FDA99DB" w:rsidTr="00343965">
        <w:trPr>
          <w:trHeight w:val="648"/>
          <w:jc w:val="center"/>
        </w:trPr>
        <w:tc>
          <w:tcPr>
            <w:tcW w:w="1944" w:type="dxa"/>
            <w:vAlign w:val="center"/>
          </w:tcPr>
          <w:p w14:paraId="12485476" w14:textId="77777777" w:rsidR="000B16EA" w:rsidRPr="00785E8D" w:rsidRDefault="000B16EA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85E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Subjekt</w:t>
            </w:r>
          </w:p>
        </w:tc>
        <w:tc>
          <w:tcPr>
            <w:tcW w:w="1296" w:type="dxa"/>
            <w:vAlign w:val="center"/>
          </w:tcPr>
          <w:p w14:paraId="7BDCDFBF" w14:textId="7CC13C3E" w:rsidR="000B16EA" w:rsidRPr="00785E8D" w:rsidRDefault="000B16EA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85E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Podporo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</w:r>
            <w:r w:rsidRPr="00785E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vatelia</w:t>
            </w:r>
          </w:p>
        </w:tc>
        <w:tc>
          <w:tcPr>
            <w:tcW w:w="6480" w:type="dxa"/>
            <w:vAlign w:val="center"/>
          </w:tcPr>
          <w:p w14:paraId="63809B05" w14:textId="77777777" w:rsidR="000B16EA" w:rsidRPr="00785E8D" w:rsidRDefault="000B16EA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85E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Pripomienka</w:t>
            </w:r>
          </w:p>
        </w:tc>
        <w:tc>
          <w:tcPr>
            <w:tcW w:w="778" w:type="dxa"/>
            <w:vAlign w:val="center"/>
          </w:tcPr>
          <w:p w14:paraId="5D84DA5A" w14:textId="5E88111B" w:rsidR="000B16EA" w:rsidRPr="00785E8D" w:rsidRDefault="000B16EA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Vyh.</w:t>
            </w:r>
          </w:p>
        </w:tc>
        <w:tc>
          <w:tcPr>
            <w:tcW w:w="2462" w:type="dxa"/>
            <w:vAlign w:val="center"/>
          </w:tcPr>
          <w:p w14:paraId="604D4B30" w14:textId="0F85F5F9" w:rsidR="000B16EA" w:rsidRPr="00785E8D" w:rsidRDefault="000B16EA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Spôsob vyhodnotenia</w:t>
            </w:r>
          </w:p>
        </w:tc>
      </w:tr>
      <w:tr>
        <w:trPr>
          <w:trHeight w:val="648"/>
        </w:trPr>
        <w:tc>
          <w:tcPr>
            <w:hMerge w:val="restart"/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K materiálu neboli pridané hromadné pripomienky.</w:t>
            </w:r>
          </w:p>
        </w:tc>
        <w:tc>
          <w:tcPr>
            <w:hMerge w:val="continue"/>
          </w:tcPr>
          <w:p/>
        </w:tc>
        <w:tc>
          <w:tcPr>
            <w:hMerge w:val="continue"/>
          </w:tcPr>
          <w:p/>
        </w:tc>
        <w:tc>
          <w:tcPr>
            <w:hMerge w:val="continue"/>
          </w:tcPr>
          <w:p/>
        </w:tc>
        <w:tc>
          <w:tcPr>
            <w:hMerge w:val="continue"/>
          </w:tcPr>
          <w:p/>
        </w:tc>
      </w:tr>
    </w:tbl>
    <w:p w14:paraId="1F01DA97" w14:textId="77777777" w:rsidR="00E66622" w:rsidRDefault="00E66622">
      <w:pPr>
        <w:rPr>
          <w:rFonts w:ascii="Times New Roman" w:hAnsi="Times New Roman" w:cs="Times New Roman"/>
        </w:rPr>
      </w:pPr>
    </w:p>
    <w:p w14:paraId="20BAA03A" w14:textId="3B15C826" w:rsidR="00677591" w:rsidRDefault="00677591" w:rsidP="001E6254">
      <w:pPr>
        <w:keepLines/>
        <w:rPr>
          <w:rFonts w:ascii="Times New Roman" w:hAnsi="Times New Roman" w:cs="Times New Roman"/>
          <w:sz w:val="24"/>
          <w:szCs w:val="24"/>
          <w:lang w:val="en-US"/>
        </w:rPr>
      </w:pPr>
      <w:r w:rsidRPr="00677591">
        <w:rPr>
          <w:rFonts w:ascii="Times New Roman" w:hAnsi="Times New Roman" w:cs="Times New Roman"/>
          <w:sz w:val="24"/>
          <w:szCs w:val="24"/>
        </w:rPr>
        <w:t>Sumarizácia vznesených pripomienok pod</w:t>
      </w:r>
      <w:r w:rsidRPr="00677591">
        <w:rPr>
          <w:rFonts w:ascii="Times New Roman" w:hAnsi="Times New Roman" w:cs="Times New Roman"/>
          <w:sz w:val="24"/>
          <w:szCs w:val="24"/>
          <w:lang w:val="en-US"/>
        </w:rPr>
        <w:t>ľa subjektov</w:t>
      </w:r>
    </w:p>
    <w:tbl>
      <w:tblPr>
        <w:tblW w:w="5000" w:type="pct"/>
        <w:jc w:val="center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450"/>
        <w:gridCol w:w="6777"/>
        <w:gridCol w:w="1550"/>
        <w:gridCol w:w="1550"/>
        <w:gridCol w:w="1537"/>
        <w:gridCol w:w="1096"/>
      </w:tblGrid>
      <w:tr w:rsidR="00634468" w:rsidRPr="00785E8D" w14:paraId="45EBE45F" w14:textId="77777777" w:rsidTr="008C63F3">
        <w:trPr>
          <w:trHeight w:val="648"/>
          <w:jc w:val="center"/>
        </w:trPr>
        <w:tc>
          <w:tcPr>
            <w:tcW w:w="178" w:type="pct"/>
            <w:tcBorders>
              <w:right w:val="single" w:sz="2" w:space="0" w:color="auto"/>
            </w:tcBorders>
            <w:vAlign w:val="center"/>
          </w:tcPr>
          <w:p w14:paraId="2337D103" w14:textId="702E9A83" w:rsidR="00634468" w:rsidRPr="00785E8D" w:rsidRDefault="00634468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Č.</w:t>
            </w:r>
          </w:p>
        </w:tc>
        <w:tc>
          <w:tcPr>
            <w:tcW w:w="2750" w:type="pc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2F5A17B0" w14:textId="580FA8A4" w:rsidR="00634468" w:rsidRPr="00785E8D" w:rsidRDefault="00A80C4C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Subjekt</w:t>
            </w:r>
          </w:p>
        </w:tc>
        <w:tc>
          <w:tcPr>
            <w:tcW w:w="613" w:type="pct"/>
            <w:tcBorders>
              <w:left w:val="single" w:sz="2" w:space="0" w:color="auto"/>
            </w:tcBorders>
            <w:vAlign w:val="center"/>
          </w:tcPr>
          <w:p w14:paraId="2E49D00C" w14:textId="475549EF" w:rsidR="00634468" w:rsidRPr="00785E8D" w:rsidRDefault="00A80C4C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Pripomienky do termínu</w:t>
            </w:r>
          </w:p>
        </w:tc>
        <w:tc>
          <w:tcPr>
            <w:tcW w:w="613" w:type="pct"/>
            <w:vAlign w:val="center"/>
          </w:tcPr>
          <w:p w14:paraId="2E4B8C3C" w14:textId="1CD05F49" w:rsidR="00634468" w:rsidRPr="00A80C4C" w:rsidRDefault="00A80C4C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Pripomienky po termíne</w:t>
            </w:r>
          </w:p>
        </w:tc>
        <w:tc>
          <w:tcPr>
            <w:tcW w:w="486" w:type="pct"/>
            <w:vAlign w:val="center"/>
          </w:tcPr>
          <w:p w14:paraId="4561F266" w14:textId="377257BE" w:rsidR="00634468" w:rsidRDefault="00634468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Nemali pripomienky</w:t>
            </w:r>
          </w:p>
        </w:tc>
        <w:tc>
          <w:tcPr>
            <w:tcW w:w="486" w:type="pct"/>
            <w:vAlign w:val="center"/>
          </w:tcPr>
          <w:p w14:paraId="44212096" w14:textId="60E9F3CB" w:rsidR="00634468" w:rsidRPr="00785E8D" w:rsidRDefault="00A80C4C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Vôbec neza</w:t>
            </w:r>
            <w:r w:rsidR="0001352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slali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APZD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Asociácia priemyselných zväzov a dopravy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AZZZ 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Asociácia zamestnávatelských zväzov a združení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BBSK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Banskobystrický samosprávny kraj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4.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BSK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BRATISLAVSKÝ SAMOSPRÁVNY KRAJ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5.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GPSR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Generálna prokuratúra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 (2o, 1z)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6.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KBS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Konferencia biskupov Slovenska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7.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KOZSR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Konfederácia odborových zväzov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8.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KSK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Košický samosprávny kraj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9.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Klub 500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Klub 500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10.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MDSR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dopravy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12 (12o,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11.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MFSR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financií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 (1o,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12.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MHSR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hospodárstva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 (1o,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13.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MINCRS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cestovného ruchu a športu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 (1o,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14.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MIRRI 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investícií, regionálneho rozvoja a informatizácie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15.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MKSR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kultúry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16.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MOSR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obrany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17.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MPRVSR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pôdohospodárstva a rozvoja vidieka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 (3o,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18.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MPSVRSR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práce, sociálnych vecí a rodiny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 (0o, 3z)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19.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MSSR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spravodlivosti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20.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MVSR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vnútra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21.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MZSR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zdravotníctva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22.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MZVEZ 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zahraničných vecí a európskych záležitostí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23.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MŠVVaMSR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školstva,výskumu,vývoja a mládeže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4 (3o, 1z)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24.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MŽPSR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životného prostredia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25.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NBS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Národná banka Slovenska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26.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NBÚ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Národný bezpečnostný úrad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27.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NKÚSR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Najvyšší kontrolný úrad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28.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NSK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Nitriansky samosprávny kraj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29.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NSSR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Najvyšší súd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30.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Odbor aproximácie práva sekcie vládnej legislatívy Úradu vlády SR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 (3o,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31.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PMÚSR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Protimonopolný úrad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32.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PSK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Prešovský samosprávny kraj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33.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RÚZSR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Republiková únia zamestnávateľov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34.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SIS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Slovenská informačná služba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 (1o,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35.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SK8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Samosprávne kraje Slovenska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36.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SPPK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Slovenská poľnohospodárska a potravinárska komora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37.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SVSLPRK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Splnomocnenec vlády Slovenskej republiky pre rómske komunity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38.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SŠHRSR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Správa štátnych hmotných rezerv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39.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TSK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Trenčiansky samosprávny kraj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40.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TTSK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Trnavský samosprávny kraj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41.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UOOU 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Úrad na ochranu osobných údajov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42.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UPVSR POaZE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Úrad podpredsedu vlády Slovenskej republiky pre Plán obnovy a znalostnú ekonomiku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43.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URSO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Úrad pre reguláciu sieťových odvetví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44.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UpUPaVSR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Úrad pre územné plánovanie a výstavbu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45.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ZMOS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Združenie miest a obcí Slovenska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46.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hlavné mesto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Hlavné mesto Slovenskej republiky Bratislava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47.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ÚDZS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Úrad pre dohľad nad zdravotnou starostlivosťou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48.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ÚGKKSR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Úrad geodézie, kartografie a katastra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49.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ÚJDSR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Úrad jadrového dozoru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50.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ÚMS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Únia miest Slovenska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5 (1o, 4z)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51.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ÚNMSSR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Úrad pre normalizáciu,  metrológiu a skúšobníctvo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52.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ÚPVSR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Úrad priemyselného vlastníctva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53.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ÚVO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Úrad pre verejné obstarávanie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54.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ÚVSR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Úrad vlády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55.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Ústavný súd 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Kancelária Ústavného súdu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56.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ŠÚSR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Štatistický úrad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57.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ŽSK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Žilinský samosprávny kraj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center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Spolu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37 (28o, 9z)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15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31</w:t>
            </w:r>
          </w:p>
        </w:tc>
      </w:tr>
    </w:tbl>
    <w:p w14:paraId="1D280440" w14:textId="77777777" w:rsidR="008960F8" w:rsidRPr="00677591" w:rsidRDefault="008960F8" w:rsidP="00C00CF3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</w:p>
    <w:sectPr w:rsidR="008960F8" w:rsidRPr="00677591" w:rsidSect="00362D69">
      <w:headerReference w:type="first" r:id="rId8"/>
      <w:footerReference w:type="first" r:id="rId9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292465" w14:textId="77777777" w:rsidR="006D051F" w:rsidRPr="00785E8D" w:rsidRDefault="006D051F" w:rsidP="00E66622">
      <w:pPr>
        <w:spacing w:after="0" w:line="240" w:lineRule="auto"/>
      </w:pPr>
      <w:r w:rsidRPr="00785E8D">
        <w:separator/>
      </w:r>
    </w:p>
  </w:endnote>
  <w:endnote w:type="continuationSeparator" w:id="0">
    <w:p w14:paraId="72C637E6" w14:textId="77777777" w:rsidR="006D051F" w:rsidRPr="00785E8D" w:rsidRDefault="006D051F" w:rsidP="00E66622">
      <w:pPr>
        <w:spacing w:after="0" w:line="240" w:lineRule="auto"/>
      </w:pPr>
      <w:r w:rsidRPr="00785E8D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noProof w:val="0"/>
      </w:rPr>
      <w:id w:val="1274362024"/>
      <w:docPartObj>
        <w:docPartGallery w:val="Page Numbers (Bottom of Page)"/>
        <w:docPartUnique/>
      </w:docPartObj>
    </w:sdtPr>
    <w:sdtEndPr>
      <w:rPr>
        <w:rFonts w:ascii="Times New Roman" w:hAnsi="Times New Roman"/>
        <w:noProof/>
      </w:rPr>
    </w:sdtEndPr>
    <w:sdtContent>
      <w:p w14:paraId="45945688" w14:textId="3489CFEE" w:rsidR="00362D69" w:rsidRPr="00362D69" w:rsidRDefault="00362D69">
        <w:pPr>
          <w:pStyle w:val="Footer"/>
          <w:jc w:val="center"/>
          <w:rPr>
            <w:rFonts w:ascii="Times New Roman" w:hAnsi="Times New Roman"/>
          </w:rPr>
        </w:pPr>
        <w:r w:rsidRPr="00362D69">
          <w:rPr>
            <w:rFonts w:ascii="Times New Roman" w:hAnsi="Times New Roman"/>
            <w:noProof w:val="0"/>
          </w:rPr>
          <w:fldChar w:fldCharType="begin"/>
        </w:r>
        <w:r w:rsidRPr="00362D69">
          <w:rPr>
            <w:rFonts w:ascii="Times New Roman" w:hAnsi="Times New Roman"/>
          </w:rPr>
          <w:instrText xml:space="preserve"> PAGE   \* MERGEFORMAT </w:instrText>
        </w:r>
        <w:r w:rsidRPr="00362D69">
          <w:rPr>
            <w:rFonts w:ascii="Times New Roman" w:hAnsi="Times New Roman"/>
            <w:noProof w:val="0"/>
          </w:rPr>
          <w:fldChar w:fldCharType="separate"/>
        </w:r>
        <w:r w:rsidRPr="00362D69">
          <w:rPr>
            <w:rFonts w:ascii="Times New Roman" w:hAnsi="Times New Roman"/>
          </w:rPr>
          <w:t>2</w:t>
        </w:r>
        <w:r w:rsidRPr="00362D69">
          <w:rPr>
            <w:rFonts w:ascii="Times New Roman" w:hAnsi="Times New Roman"/>
          </w:rPr>
          <w:fldChar w:fldCharType="end"/>
        </w:r>
      </w:p>
    </w:sdtContent>
  </w:sdt>
  <w:p w14:paraId="1A536CAE" w14:textId="77777777" w:rsidR="00362D69" w:rsidRDefault="00362D6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noProof w:val="0"/>
      </w:rPr>
      <w:id w:val="170914649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</w:rPr>
    </w:sdtEndPr>
    <w:sdtContent>
      <w:p w14:paraId="487DCFBA" w14:textId="77777777" w:rsidR="00362D69" w:rsidRPr="003E3F51" w:rsidRDefault="00362D69">
        <w:pPr>
          <w:pStyle w:val="Footer"/>
          <w:jc w:val="center"/>
          <w:rPr>
            <w:rFonts w:ascii="Times New Roman" w:hAnsi="Times New Roman" w:cs="Times New Roman"/>
          </w:rPr>
        </w:pPr>
        <w:r w:rsidRPr="003E3F51">
          <w:rPr>
            <w:rFonts w:ascii="Times New Roman" w:hAnsi="Times New Roman" w:cs="Times New Roman"/>
            <w:noProof w:val="0"/>
          </w:rPr>
          <w:fldChar w:fldCharType="begin"/>
        </w:r>
        <w:r w:rsidRPr="003E3F51">
          <w:rPr>
            <w:rFonts w:ascii="Times New Roman" w:hAnsi="Times New Roman" w:cs="Times New Roman"/>
          </w:rPr>
          <w:instrText xml:space="preserve"> PAGE   \* MERGEFORMAT </w:instrText>
        </w:r>
        <w:r w:rsidRPr="003E3F51">
          <w:rPr>
            <w:rFonts w:ascii="Times New Roman" w:hAnsi="Times New Roman" w:cs="Times New Roman"/>
            <w:noProof w:val="0"/>
          </w:rPr>
          <w:fldChar w:fldCharType="separate"/>
        </w:r>
        <w:r w:rsidRPr="003E3F51">
          <w:rPr>
            <w:rFonts w:ascii="Times New Roman" w:hAnsi="Times New Roman" w:cs="Times New Roman"/>
          </w:rPr>
          <w:t>2</w:t>
        </w:r>
        <w:r w:rsidRPr="003E3F51">
          <w:rPr>
            <w:rFonts w:ascii="Times New Roman" w:hAnsi="Times New Roman" w:cs="Times New Roman"/>
          </w:rPr>
          <w:fldChar w:fldCharType="end"/>
        </w:r>
      </w:p>
    </w:sdtContent>
  </w:sdt>
  <w:p w14:paraId="1D96E3B8" w14:textId="77777777" w:rsidR="00362D69" w:rsidRDefault="00362D69" w:rsidP="00FD38D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7C60E1" w14:textId="77777777" w:rsidR="006D051F" w:rsidRPr="00785E8D" w:rsidRDefault="006D051F" w:rsidP="00E66622">
      <w:pPr>
        <w:spacing w:after="0" w:line="240" w:lineRule="auto"/>
      </w:pPr>
      <w:r w:rsidRPr="00785E8D">
        <w:separator/>
      </w:r>
    </w:p>
  </w:footnote>
  <w:footnote w:type="continuationSeparator" w:id="0">
    <w:p w14:paraId="1ED6E918" w14:textId="77777777" w:rsidR="006D051F" w:rsidRPr="00785E8D" w:rsidRDefault="006D051F" w:rsidP="00E66622">
      <w:pPr>
        <w:spacing w:after="0" w:line="240" w:lineRule="auto"/>
      </w:pPr>
      <w:r w:rsidRPr="00785E8D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C88A22" w14:textId="77777777" w:rsidR="00362D69" w:rsidRDefault="00362D6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1A93"/>
    <w:rsid w:val="00011D51"/>
    <w:rsid w:val="0001352E"/>
    <w:rsid w:val="00047E84"/>
    <w:rsid w:val="00050137"/>
    <w:rsid w:val="0006133B"/>
    <w:rsid w:val="000A2F5F"/>
    <w:rsid w:val="000B16EA"/>
    <w:rsid w:val="000B2D78"/>
    <w:rsid w:val="000C172E"/>
    <w:rsid w:val="000D3CA3"/>
    <w:rsid w:val="000D5402"/>
    <w:rsid w:val="001228AD"/>
    <w:rsid w:val="00131490"/>
    <w:rsid w:val="00131742"/>
    <w:rsid w:val="001433FA"/>
    <w:rsid w:val="00146A7D"/>
    <w:rsid w:val="00176679"/>
    <w:rsid w:val="0019276A"/>
    <w:rsid w:val="001B1BE3"/>
    <w:rsid w:val="001D2B4E"/>
    <w:rsid w:val="001E50FA"/>
    <w:rsid w:val="001E6254"/>
    <w:rsid w:val="001F2C94"/>
    <w:rsid w:val="001F5D28"/>
    <w:rsid w:val="001F777F"/>
    <w:rsid w:val="00215E64"/>
    <w:rsid w:val="00231554"/>
    <w:rsid w:val="00237490"/>
    <w:rsid w:val="00245F36"/>
    <w:rsid w:val="0026614F"/>
    <w:rsid w:val="002715E0"/>
    <w:rsid w:val="00273DAE"/>
    <w:rsid w:val="0029170C"/>
    <w:rsid w:val="00295E6A"/>
    <w:rsid w:val="002A0A58"/>
    <w:rsid w:val="002A4482"/>
    <w:rsid w:val="002D3B5E"/>
    <w:rsid w:val="002E17D6"/>
    <w:rsid w:val="002F4660"/>
    <w:rsid w:val="002F717D"/>
    <w:rsid w:val="003034A4"/>
    <w:rsid w:val="00303CA7"/>
    <w:rsid w:val="00335FFB"/>
    <w:rsid w:val="00343965"/>
    <w:rsid w:val="00362D69"/>
    <w:rsid w:val="003640A5"/>
    <w:rsid w:val="003A59FA"/>
    <w:rsid w:val="003C31D4"/>
    <w:rsid w:val="003E3F51"/>
    <w:rsid w:val="003E641E"/>
    <w:rsid w:val="003E7146"/>
    <w:rsid w:val="003F1216"/>
    <w:rsid w:val="003F37C1"/>
    <w:rsid w:val="004050CF"/>
    <w:rsid w:val="00405348"/>
    <w:rsid w:val="00434080"/>
    <w:rsid w:val="00461B69"/>
    <w:rsid w:val="0048545F"/>
    <w:rsid w:val="004A12EE"/>
    <w:rsid w:val="004A48F0"/>
    <w:rsid w:val="004A62B8"/>
    <w:rsid w:val="004B4188"/>
    <w:rsid w:val="004C6C3C"/>
    <w:rsid w:val="004E0BF7"/>
    <w:rsid w:val="004F10FF"/>
    <w:rsid w:val="004F4092"/>
    <w:rsid w:val="00500EBD"/>
    <w:rsid w:val="00506E0B"/>
    <w:rsid w:val="00511A3C"/>
    <w:rsid w:val="00513767"/>
    <w:rsid w:val="005146CA"/>
    <w:rsid w:val="005259A1"/>
    <w:rsid w:val="0053699B"/>
    <w:rsid w:val="00550D13"/>
    <w:rsid w:val="00583F11"/>
    <w:rsid w:val="0059287B"/>
    <w:rsid w:val="005B618C"/>
    <w:rsid w:val="005C0A7E"/>
    <w:rsid w:val="005C4CF5"/>
    <w:rsid w:val="005E6A45"/>
    <w:rsid w:val="005F3B1C"/>
    <w:rsid w:val="005F3E6F"/>
    <w:rsid w:val="005F5908"/>
    <w:rsid w:val="00602231"/>
    <w:rsid w:val="006031E3"/>
    <w:rsid w:val="00634468"/>
    <w:rsid w:val="006371D1"/>
    <w:rsid w:val="00641DD8"/>
    <w:rsid w:val="006434AC"/>
    <w:rsid w:val="00664F3B"/>
    <w:rsid w:val="00677591"/>
    <w:rsid w:val="00695857"/>
    <w:rsid w:val="006C2D6E"/>
    <w:rsid w:val="006D051F"/>
    <w:rsid w:val="0070694E"/>
    <w:rsid w:val="00707B3A"/>
    <w:rsid w:val="0072062B"/>
    <w:rsid w:val="00724A0E"/>
    <w:rsid w:val="00726A34"/>
    <w:rsid w:val="00727704"/>
    <w:rsid w:val="00745443"/>
    <w:rsid w:val="00754CB0"/>
    <w:rsid w:val="0077472A"/>
    <w:rsid w:val="00774ED8"/>
    <w:rsid w:val="00776E62"/>
    <w:rsid w:val="00784062"/>
    <w:rsid w:val="00785E8D"/>
    <w:rsid w:val="00796E02"/>
    <w:rsid w:val="00796EBE"/>
    <w:rsid w:val="007C1A93"/>
    <w:rsid w:val="007C678D"/>
    <w:rsid w:val="007E7C38"/>
    <w:rsid w:val="007E7E01"/>
    <w:rsid w:val="007F53D4"/>
    <w:rsid w:val="0084532B"/>
    <w:rsid w:val="0087153C"/>
    <w:rsid w:val="008741FE"/>
    <w:rsid w:val="00876D47"/>
    <w:rsid w:val="008960F8"/>
    <w:rsid w:val="008C2612"/>
    <w:rsid w:val="008C63F3"/>
    <w:rsid w:val="008D299D"/>
    <w:rsid w:val="008E0404"/>
    <w:rsid w:val="008F1FF3"/>
    <w:rsid w:val="00913D14"/>
    <w:rsid w:val="00917A99"/>
    <w:rsid w:val="00925ABD"/>
    <w:rsid w:val="009275DB"/>
    <w:rsid w:val="00932936"/>
    <w:rsid w:val="00947810"/>
    <w:rsid w:val="00980D7A"/>
    <w:rsid w:val="009912BF"/>
    <w:rsid w:val="00995007"/>
    <w:rsid w:val="009B0C1F"/>
    <w:rsid w:val="009B1491"/>
    <w:rsid w:val="009D152C"/>
    <w:rsid w:val="009D32B4"/>
    <w:rsid w:val="009D3FBE"/>
    <w:rsid w:val="009F35D2"/>
    <w:rsid w:val="00A070EB"/>
    <w:rsid w:val="00A6034C"/>
    <w:rsid w:val="00A61348"/>
    <w:rsid w:val="00A80C4C"/>
    <w:rsid w:val="00A81039"/>
    <w:rsid w:val="00AD6CAE"/>
    <w:rsid w:val="00AE09D4"/>
    <w:rsid w:val="00AF678C"/>
    <w:rsid w:val="00B02EF2"/>
    <w:rsid w:val="00B0310C"/>
    <w:rsid w:val="00B11932"/>
    <w:rsid w:val="00B13C0C"/>
    <w:rsid w:val="00B41FEA"/>
    <w:rsid w:val="00B60148"/>
    <w:rsid w:val="00B74B69"/>
    <w:rsid w:val="00B8742A"/>
    <w:rsid w:val="00B946A0"/>
    <w:rsid w:val="00BD7F55"/>
    <w:rsid w:val="00BE323C"/>
    <w:rsid w:val="00BF207A"/>
    <w:rsid w:val="00C00CF3"/>
    <w:rsid w:val="00C42676"/>
    <w:rsid w:val="00C43D79"/>
    <w:rsid w:val="00C53F43"/>
    <w:rsid w:val="00C62C70"/>
    <w:rsid w:val="00C84A5B"/>
    <w:rsid w:val="00CD7313"/>
    <w:rsid w:val="00D40591"/>
    <w:rsid w:val="00D44E47"/>
    <w:rsid w:val="00D466F6"/>
    <w:rsid w:val="00D50310"/>
    <w:rsid w:val="00D610D0"/>
    <w:rsid w:val="00D91683"/>
    <w:rsid w:val="00DA267A"/>
    <w:rsid w:val="00DD2850"/>
    <w:rsid w:val="00DD302E"/>
    <w:rsid w:val="00DD7CB5"/>
    <w:rsid w:val="00DE3F5A"/>
    <w:rsid w:val="00E06854"/>
    <w:rsid w:val="00E07639"/>
    <w:rsid w:val="00E078E8"/>
    <w:rsid w:val="00E11D16"/>
    <w:rsid w:val="00E245BC"/>
    <w:rsid w:val="00E37A37"/>
    <w:rsid w:val="00E41A2D"/>
    <w:rsid w:val="00E66622"/>
    <w:rsid w:val="00E741B6"/>
    <w:rsid w:val="00E92A50"/>
    <w:rsid w:val="00EA23A2"/>
    <w:rsid w:val="00EB4CEF"/>
    <w:rsid w:val="00ED6E83"/>
    <w:rsid w:val="00EE00C6"/>
    <w:rsid w:val="00F23986"/>
    <w:rsid w:val="00F273EE"/>
    <w:rsid w:val="00F456DC"/>
    <w:rsid w:val="00F727C3"/>
    <w:rsid w:val="00F758C6"/>
    <w:rsid w:val="00F8431B"/>
    <w:rsid w:val="00F85AB8"/>
    <w:rsid w:val="00F907A2"/>
    <w:rsid w:val="00FA016F"/>
    <w:rsid w:val="00FA0A5A"/>
    <w:rsid w:val="00FA40AE"/>
    <w:rsid w:val="00FC0831"/>
    <w:rsid w:val="00FD38D1"/>
    <w:rsid w:val="00FE16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132CD4F"/>
  <w15:docId w15:val="{800A4F65-FABE-47DB-AF8A-6E31DFCAB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960F8"/>
    <w:rPr>
      <w:noProof/>
      <w:lang w:val="sk-SK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662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6622"/>
  </w:style>
  <w:style w:type="paragraph" w:styleId="Footer">
    <w:name w:val="footer"/>
    <w:basedOn w:val="Normal"/>
    <w:link w:val="FooterChar"/>
    <w:uiPriority w:val="99"/>
    <w:unhideWhenUsed/>
    <w:rsid w:val="00E6662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66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<Relationships xmlns="http://schemas.openxmlformats.org/package/2006/relationships"><Relationship Id="rId1" Target="../customXml/item1.xml" Type="http://schemas.openxmlformats.org/officeDocument/2006/relationships/customXml"/><Relationship Id="rId10" Target="fontTable.xml" Type="http://schemas.openxmlformats.org/officeDocument/2006/relationships/fontTable"/><Relationship Id="rId11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footer1.xml" Type="http://schemas.openxmlformats.org/officeDocument/2006/relationships/footer"/><Relationship Id="rId8" Target="header1.xml" Type="http://schemas.openxmlformats.org/officeDocument/2006/relationships/header"/><Relationship Id="rId9" Target="footer2.xml" Type="http://schemas.openxmlformats.org/officeDocument/2006/relationships/footer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43904B-5DF0-4166-8157-7EF183BD17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2</Pages>
  <Words>219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2024-12-11T14:15:00Z</dcterms:created>
  <dc:creator>Apache POI</dc:creator>
  <cp:lastModifiedBy>Mark M</cp:lastModifiedBy>
  <dcterms:modified xsi:type="dcterms:W3CDTF">2025-01-21T10:34:00Z</dcterms:modified>
  <cp:revision>80</cp:revision>
</cp:coreProperties>
</file>