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160/2015 Z. z. Civilný sporový poriadok v znení neskorších predpisov a ktorým sa mení a dopĺňa zákon č. 97/1963 Zb.  o medzinárodnom práve súkromnom a procesnom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LP/2025/667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84/8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50</w:t>
      </w:r>
      <w:r w:rsidR="00754CB0">
        <w:rPr>
          <w:rFonts w:ascii="Times New Roman" w:eastAsia="Times New Roman" w:hAnsi="Times New Roman" w:cs="Times New Roman"/>
          <w:sz w:val="24"/>
          <w:szCs w:val="24"/>
        </w:rPr>
        <w:t>/5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11/</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23</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323a ods. 1</w:t>
              <w:br/>
            </w:r>
            <w:r>
              <w:rPr>
                <w:b w:val="off"/>
                <w:color w:val="000000"/>
                <w:rFonts w:ascii="Times New Roman" w:hAnsi="Times New Roman" w:cs="Times New Roman" w:eastAsia="Times New Roman"/>
                <w:sz w:val="24"/>
              </w:rPr>
              <w:t>V čl. I bode 1 v § 323a ods. 1 navrhujeme vypustiť slová „fyzickou osobou alebo právnickou“, pripomienkam platí primerane aj pre § 323a ods. 2, ods. 3 písm. b) a čl. II bod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zvážení ponechávame text definície a zdôraznenie, že sa úprava vzťahuje aj na fyzické aj právnické osoby podľa smernice. Docieli sa tak jednoznačnosť právnej úpravy aj pre adresátov neznalých skratky „osoba-osoby“. Obdobne sa takéto spojenie používa napr. v § 16 CSP.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323a ods. 3 písm. c)</w:t>
              <w:br/>
            </w:r>
            <w:r>
              <w:rPr>
                <w:b w:val="off"/>
                <w:color w:val="000000"/>
                <w:rFonts w:ascii="Times New Roman" w:hAnsi="Times New Roman" w:cs="Times New Roman" w:eastAsia="Times New Roman"/>
                <w:sz w:val="24"/>
              </w:rPr>
              <w:t>V čl. I bode 1 v § 323a ods. 3 písm. c) sa hovorí o záležitostiach posudzovaných zákonodarným orgánom, výkonným orgánom, súdnym orgánom, ani z dôvodovej správy je zrejmé čo sa tým má konkrétne na mysli, či v užšom zmysle len Národná rada SR, vláda SR, súdy SR, alebo v širšom zmysle zastupiteľské zbory (obecne/mestské/župné zastupiteľstvo, ministerstvá, starostovia, primátori, župani, rozhodcovské súdy), na základe uvedeného navrhujeme predmetné ustanovenie precizovať.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definície, čo sa rozumie záležitosťou verejného záujmu nie je taxatívne vymenovávať orgány verejnej moci a nemá byť zužovaná len na vrcholné orgány. Dávame do pozornosti, že ide o doslovnú transpozáciu.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323a ods. 3 písm. d)</w:t>
              <w:br/>
            </w:r>
            <w:r>
              <w:rPr>
                <w:b w:val="off"/>
                <w:color w:val="000000"/>
                <w:rFonts w:ascii="Times New Roman" w:hAnsi="Times New Roman" w:cs="Times New Roman" w:eastAsia="Times New Roman"/>
                <w:sz w:val="24"/>
              </w:rPr>
              <w:t>V čl. I bode 1 v § 323a ods. 3 písm. d) navrhujeme slová „takýmito záležitosťami“ nahradiť slovami „takým protiprávnym správaním“ alebo iným vhodným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nie je označiť za záležitosť verejného záujmu akékoľvek protiprávne konanie, ale príkladmo vymenovať druh trestných činov alebo správnych deliktov, ktoré patria do okruhu záležitostí, o ktorý by sa verejnosť mohla oprávnene zaujímať.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323a ods. 3 písm. e)</w:t>
              <w:br/>
            </w:r>
            <w:r>
              <w:rPr>
                <w:b w:val="off"/>
                <w:color w:val="000000"/>
                <w:rFonts w:ascii="Times New Roman" w:hAnsi="Times New Roman" w:cs="Times New Roman" w:eastAsia="Times New Roman"/>
                <w:sz w:val="24"/>
              </w:rPr>
              <w:t>V čl. I bode 1 v § 323a ods. 3 písm. e) navrhujeme slovo „zakotvených“ nahradiť sovom „ustanovených “ resp. iné vhodné slovo.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323a ods. 4 písm. d)</w:t>
              <w:br/>
            </w:r>
            <w:r>
              <w:rPr>
                <w:b w:val="off"/>
                <w:color w:val="000000"/>
                <w:rFonts w:ascii="Times New Roman" w:hAnsi="Times New Roman" w:cs="Times New Roman" w:eastAsia="Times New Roman"/>
                <w:sz w:val="24"/>
              </w:rPr>
              <w:t>V čl. I bode 1 v § 323a ods. 4 písm. d) navrhujeme slovo „taktík“, „taktizovanie“, „jurisdikcie“ nahradiť vhodnejšími výrazmi.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Výrazy ako taktika, taktizovanie je použité v oficiálnom preklade smernice, slovo jurisdikcia bude nahradené.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323e</w:t>
              <w:br/>
            </w:r>
            <w:r>
              <w:rPr>
                <w:b w:val="off"/>
                <w:color w:val="000000"/>
                <w:rFonts w:ascii="Times New Roman" w:hAnsi="Times New Roman" w:cs="Times New Roman" w:eastAsia="Times New Roman"/>
                <w:sz w:val="24"/>
              </w:rPr>
              <w:t>V čl. I bode 1 v § 323e  navrhujeme vypustiť slovo „najneskôr“ (pripomienka platí aj pre § 323i ods. 5) a v poslednej vete vnútorný odkaz vyjadriť prostredníctvom uvedenia konkrétnych paragrafov.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obdobnú formuláciu ako v platnom § 296, § 312 a § 320 CSP, ktorá by mala byť zachovaná z dôvodu jednotnosti.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323i ods. 2</w:t>
              <w:br/>
            </w:r>
            <w:r>
              <w:rPr>
                <w:b w:val="off"/>
                <w:color w:val="000000"/>
                <w:rFonts w:ascii="Times New Roman" w:hAnsi="Times New Roman" w:cs="Times New Roman" w:eastAsia="Times New Roman"/>
                <w:sz w:val="24"/>
              </w:rPr>
              <w:t>V čl. I bode 1 v § 323i ods. 2  navrhujeme vypustiť slovo „výšky“.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Slovo je dôležité z dôvodu zrozumiteľnosti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323i ods.  4</w:t>
              <w:br/>
            </w:r>
            <w:r>
              <w:rPr>
                <w:b w:val="off"/>
                <w:color w:val="000000"/>
                <w:rFonts w:ascii="Times New Roman" w:hAnsi="Times New Roman" w:cs="Times New Roman" w:eastAsia="Times New Roman"/>
                <w:sz w:val="24"/>
              </w:rPr>
              <w:t>V čl. I bode 1 v § 323i ods.  4 navrhujeme vypustiť slovo „právnym“.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 v § 323j</w:t>
              <w:br/>
            </w:r>
            <w:r>
              <w:rPr>
                <w:b w:val="off"/>
                <w:color w:val="000000"/>
                <w:rFonts w:ascii="Times New Roman" w:hAnsi="Times New Roman" w:cs="Times New Roman" w:eastAsia="Times New Roman"/>
                <w:sz w:val="24"/>
              </w:rPr>
              <w:t>V čl. I bode 1 v § 323j navrhujeme uviesť ustanovenia v ktorých je uvedené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obdobnú formuláciu ako v platnom § 300, § 315, § 323 CSP, ktorá by mala byť zachovaná z dôvodu jednotnosti.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w:t>
              <w:br/>
            </w:r>
            <w:r>
              <w:rPr>
                <w:b w:val="off"/>
                <w:color w:val="000000"/>
                <w:rFonts w:ascii="Times New Roman" w:hAnsi="Times New Roman" w:cs="Times New Roman" w:eastAsia="Times New Roman"/>
                <w:sz w:val="24"/>
              </w:rPr>
              <w:t>V čl. II  bode 1 navrhujeme zjednotiť terminológiu (zneužívajúce súdne konanie proti verejnej účasti) s čl.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osobitnej časti k čl. I k bodu 1 § 323a ods. 1  prvej vete</w:t>
              <w:br/>
            </w:r>
            <w:r>
              <w:rPr>
                <w:b w:val="off"/>
                <w:color w:val="000000"/>
                <w:rFonts w:ascii="Times New Roman" w:hAnsi="Times New Roman" w:cs="Times New Roman" w:eastAsia="Times New Roman"/>
                <w:sz w:val="24"/>
              </w:rPr>
              <w:t>V dôvodovej správe osobitnej časti k čl. I k bodu 1 § 323a ods. 1  prvej vete odporúčame za slovo „transpozíciu“  vložiť slovo „smernice“; v druhej vete slová „doplniť do tretej hlavy Civilného“ nahradiť slovami „doplniť do tretej časti Civilného“.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názve návrhu zákona a v čl. I úvodnej vete vypustiť slová „mení a“, pretože Civilný sporový poriadok sa len dopĺňa, v čl. I bode 1 úvodnej vete slová „Tretia časť druhá hlava sa dopĺňa“ nahradiť slovami „V tretej časti sa druhá hlava dopĺňa“, v § 323a ods. 3 písm. e) slovo „Únii“ nahradiť slovom „únii“, v § 323f ods. 5 písm. c) slová „skončenia právoplatného“ nahradiť slovami „právoplatného skončenia“, v § 323f písm. f) za slovo „od“ vložiť slovo „právoplatného“, v § 323h ods. 3 vypustiť slovo „svoju“ ako nadbytočné, v § 323i nadpise za slovo „poriadkových“ vložiť slovo „opatreniach“, v § 323i ods. 4 slová „stanovenej osobitným právnym predpisom“ nahradiť slovami „podľa osobitného predpisu“, v čl. II bode 3 § 56 ods. 4 druhej vete vypustiť čiarku za slovom „prekladu“ ako nadbytočnú, v bode 5 § 58f ods. 3 prvej vete slová „strojovým prekladom“ nahradiť slovami „formou strojového prekladu“).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návrhu ponechávame aj slová „a mení“, keďže po zapracovaní pripomienok sa niektoré ustanovenia menia, ostatné pripomienky sú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 xml:space="preserve">V bode 1 § 323a ods. 3 odporúčame slová „v oblastiach ako“ nahradiť slovami „v týchto oblastiach:“. </w:t>
              <w:br/>
            </w:r>
            <w:r>
              <w:rPr>
                <w:b w:val="off"/>
                <w:color w:val="000000"/>
                <w:rFonts w:ascii="Times New Roman" w:hAnsi="Times New Roman" w:cs="Times New Roman" w:eastAsia="Times New Roman"/>
                <w:sz w:val="24"/>
              </w:rPr>
              <w:t xml:space="preserve">V § 323i ods. 6 slová „s výnimkou“ odporúčame nahradiť slovom „okrem“.   </w:t>
              <w:br/>
            </w:r>
            <w:r>
              <w:rPr>
                <w:b w:val="off"/>
                <w:color w:val="000000"/>
                <w:rFonts w:ascii="Times New Roman" w:hAnsi="Times New Roman" w:cs="Times New Roman" w:eastAsia="Times New Roman"/>
                <w:sz w:val="24"/>
              </w:rPr>
              <w:t>V § 323j slovo „uvedené“ odporúčame nahradiť slovom „ustanovené“.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formulácia by evokovala, že ide o taxatívny výpočet oblastí verejného záujmu. Slová „s výnimkou“ sa jednoznačnejšie vykladajú. Pripomienka k § 323j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 návrhu zákona</w:t>
              <w:br/>
            </w:r>
            <w:r>
              <w:rPr>
                <w:b w:val="off"/>
                <w:color w:val="000000"/>
                <w:rFonts w:ascii="Times New Roman" w:hAnsi="Times New Roman" w:cs="Times New Roman" w:eastAsia="Times New Roman"/>
                <w:sz w:val="24"/>
              </w:rPr>
              <w:t xml:space="preserve">V úvodnej vete novelizačného článku odporúčame vypustiť slová „mení 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Novelizačný článok I obsahuje iba doplnenia zákona č. 160/2015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návrhu ponechávame aj slová „a mení“, keďže po zapracovaní pripomienok sa niektoré ustanovenia menia.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 § 323a návrhu zákona</w:t>
              <w:br/>
            </w:r>
            <w:r>
              <w:rPr>
                <w:b w:val="off"/>
                <w:color w:val="000000"/>
                <w:rFonts w:ascii="Times New Roman" w:hAnsi="Times New Roman" w:cs="Times New Roman" w:eastAsia="Times New Roman"/>
                <w:sz w:val="24"/>
              </w:rPr>
              <w:t xml:space="preserve">1. V § 323a ods. 1 navrhujeme zvážiť vypustenie slova „zneužívajúce“.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v § 323a ods. 1 definovať pojem „spor proti verejnej účasti“ ako akékoľvek súdne konanie vedené z dôvodu zapojenia osoby do verejného života. Pojem „zneužívajúce súdne konanie proti verejnej účasti“ je definovaný až v § 323a ods. 4. Poukazujeme tiež na nadpis § 323h, ktorý spor proti verejnej účasti označuje osobitným prívlastkom „nedôvodný“, podobne aj znenie § 323h ods. 2.   </w:t>
              <w:br/>
            </w:r>
            <w:r>
              <w:rPr>
                <w:b w:val="off"/>
                <w:color w:val="000000"/>
                <w:rFonts w:ascii="Times New Roman" w:hAnsi="Times New Roman" w:cs="Times New Roman" w:eastAsia="Times New Roman"/>
                <w:sz w:val="24"/>
              </w:rPr>
              <w:t xml:space="preserve">2. V § 323a ods. 2 odporúčame slová „slobody umenia a vedeckého bádania“ nahradiť slovami „slobody vedeckého bádania a umenia“, príp. slovami „slobody vedeckého bádania a umeleckej tvorby“. Zároveň navrhujeme slová „slobody zhromažďovania a slobody združovania“ nahradiť slovami „práva zhromažďovania a práva združovania“.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Odporúčame terminologickú úpravu v oblasti základných práv a slobôd v súlade s čl. 28, čl. 29 a s čl. 43 ods. 1 Ústavy SR, resp. s čl. 15 ods. 2 Listiny základných práv a slobôd. </w:t>
              <w:br/>
            </w:r>
            <w:r>
              <w:rPr>
                <w:b w:val="off"/>
                <w:color w:val="000000"/>
                <w:rFonts w:ascii="Times New Roman" w:hAnsi="Times New Roman" w:cs="Times New Roman" w:eastAsia="Times New Roman"/>
                <w:sz w:val="24"/>
              </w:rPr>
              <w:t xml:space="preserve">3. V § 323a ods. 3 písm. d) odporúčame za slovami „trestného činu“ zvážiť vloženie čiarky, vypustenie spojky „alebo“ a za slovami „správneho deliktu“ vloženie slov „alebo priestupku“.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zvážiť popri správnom delikte uvedenie priestupku, a to vzhľadom na právny kontext znenia čl. 4 ods. 2 preberanej smernice (EÚ) 2024/1069 v rámci jednotlivých jazykových verzií.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Slovné spojenie „zneužitie práva“ sa používa už v čl. 5 CSP, ktorý vyjadruje základný princíp procesného kódexu, že zjavné zneužitie práva nepožíva právnu ochranu. Hlavným cieľom smernice je identifikovať súdne konania, ktoré sú zneužívajúce a ochrániť osoby proti ktorým sú namierené. To, že zneužívajúce súdne konanie je definované až v odseku 4 je dané tým, že v odseku 1 je použité aj slovo verejná účasť, ktoré bolo potrebné tiež zadefinovať, aby bol zjavný jeho význam pri použití v odseku 4. V neposlednom rade ide o definičný znak tohto súdneho sporu v zmysle smernice, ktorá sa touto právnou úpravou transponuje.</w:t>
              <w:br/>
            </w:r>
            <w:r>
              <w:rPr>
                <w:b w:val="off"/>
                <w:color w:val="000000"/>
                <w:rFonts w:ascii="Times New Roman" w:hAnsi="Times New Roman" w:cs="Times New Roman" w:eastAsia="Times New Roman"/>
                <w:sz w:val="24"/>
              </w:rPr>
              <w:t>2. Akceptované</w:t>
              <w:br/>
            </w:r>
            <w:r>
              <w:rPr>
                <w:b w:val="off"/>
                <w:color w:val="000000"/>
                <w:rFonts w:ascii="Times New Roman" w:hAnsi="Times New Roman" w:cs="Times New Roman" w:eastAsia="Times New Roman"/>
                <w:sz w:val="24"/>
              </w:rPr>
              <w:t>3. Čiastočne akceptované. Správny delikt je širší pojem než jeho podkategórie priestupok a iný správny delikt. V znení je slovo správny delikt nahradené.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 § 323h návrhu zákona</w:t>
              <w:br/>
            </w:r>
            <w:r>
              <w:rPr>
                <w:b w:val="off"/>
                <w:color w:val="000000"/>
                <w:rFonts w:ascii="Times New Roman" w:hAnsi="Times New Roman" w:cs="Times New Roman" w:eastAsia="Times New Roman"/>
                <w:sz w:val="24"/>
              </w:rPr>
              <w:t xml:space="preserve">1. V § 323h ods. 1 navrhujeme na konci pripojiť tieto slová: „proti verejnej účasti“.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terminologické spresnenie ustanovenia v súlade s definíciou pojmu „zneužívajúce súdne konanie proti verejnej účasti“ v § 323a ods. 4. </w:t>
              <w:br/>
            </w:r>
            <w:r>
              <w:rPr>
                <w:b w:val="off"/>
                <w:color w:val="000000"/>
                <w:rFonts w:ascii="Times New Roman" w:hAnsi="Times New Roman" w:cs="Times New Roman" w:eastAsia="Times New Roman"/>
                <w:sz w:val="24"/>
              </w:rPr>
              <w:t xml:space="preserve">2. V § 323h ods. 2 prvej vete navrhujeme slová „pripojiť dôkazy na preukázanie svojho tvrdenia“ nahradiť napr. slovami „pripojiť dôkazy, ktorých povaha to pripúšťa, a označiť ostatné dôkazy na preukázanie svojich tvrdení“.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Odporúčame precizovať znenie § 323h ods. 2 vzhľadom na skutočnosť, že k odôvodneniu žaloby bude možné pripojiť napr. listinné dôkazy, pričom niektoré dôkazy bude možné iba označiť. Poukazujeme aj na podobnú formuláciu napr. v § 132 Civilného sporového poriadku, resp. na obdobné formulácie v tomto zákone o označovaní a predkladaní dôkazov. </w:t>
              <w:br/>
            </w:r>
            <w:r>
              <w:rPr>
                <w:b w:val="off"/>
                <w:color w:val="000000"/>
                <w:rFonts w:ascii="Times New Roman" w:hAnsi="Times New Roman" w:cs="Times New Roman" w:eastAsia="Times New Roman"/>
                <w:sz w:val="24"/>
              </w:rPr>
              <w:t xml:space="preserve">3. V § 323 h ods. 4 odporúčame za slová „o návrhu žalovaného“ vložiť slová „podľa odseku 2“. Zároveň </w:t>
              <w:br/>
            </w:r>
            <w:r>
              <w:rPr>
                <w:b w:val="off"/>
                <w:color w:val="000000"/>
                <w:rFonts w:ascii="Times New Roman" w:hAnsi="Times New Roman" w:cs="Times New Roman" w:eastAsia="Times New Roman"/>
                <w:sz w:val="24"/>
              </w:rPr>
              <w:t xml:space="preserve">navrhujeme upraviť výslovnú kompetenciu súdu rozhodnúť o bezodkladnom zastavení konania z dôvodu zjavnej neopodstatnenosti uplatňovaného nároku.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doplniť vnútorný odkaz na návrh žalovaného, o ktorom má rozhodnúť súd. Rovnako odporúčame upraviť kompetenciu súdu v nadväznosti na čl. 2 ods. 2 Ústavy SR, ako aj na čl. 6 ods. 1 písm. b) preberanej smernice (EÚ) 2024/1069.   </w:t>
              <w:br/>
            </w:r>
            <w:r>
              <w:rPr>
                <w:b w:val="off"/>
                <w:color w:val="000000"/>
                <w:rFonts w:ascii="Times New Roman" w:hAnsi="Times New Roman" w:cs="Times New Roman" w:eastAsia="Times New Roman"/>
                <w:sz w:val="24"/>
              </w:rPr>
              <w:t>4. V § 323h ods. 5 odporúčame prehodnotiť slová „spor proti verejnej účasti“ v súvislosti s navrhovanou zmenou terminológie v § 323a ods. 1. Poukazujeme v tejto súvislosti aj na nadpis § 323h, resp. na znenie § 323h ods. 2, z ktorých vyplýva, že spor proti verejnej účasti by mohol byť aj dôvodný.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Akceptované</w:t>
              <w:br/>
            </w:r>
            <w:r>
              <w:rPr>
                <w:b w:val="off"/>
                <w:color w:val="000000"/>
                <w:rFonts w:ascii="Times New Roman" w:hAnsi="Times New Roman" w:cs="Times New Roman" w:eastAsia="Times New Roman"/>
                <w:sz w:val="24"/>
              </w:rPr>
              <w:t>2. Akceptované</w:t>
              <w:br/>
            </w:r>
            <w:r>
              <w:rPr>
                <w:b w:val="off"/>
                <w:color w:val="000000"/>
                <w:rFonts w:ascii="Times New Roman" w:hAnsi="Times New Roman" w:cs="Times New Roman" w:eastAsia="Times New Roman"/>
                <w:sz w:val="24"/>
              </w:rPr>
              <w:t>3. Akceptovaná prvá časť pripomienky, druhá časť neakceptovaná, v § 323a ods. 4 prvej vete je do definície zneužívajúceho súdneho konania proti verejnej účasti zahrnutá aj situácia zjavne neopodstatnených nárokov.</w:t>
              <w:br/>
            </w:r>
            <w:r>
              <w:rPr>
                <w:b w:val="off"/>
                <w:color w:val="000000"/>
                <w:rFonts w:ascii="Times New Roman" w:hAnsi="Times New Roman" w:cs="Times New Roman" w:eastAsia="Times New Roman"/>
                <w:sz w:val="24"/>
              </w:rPr>
              <w:t xml:space="preserve">4. Vzhľadom na to, že návrh na úpravu § 323a ods. 1 nebol akceptovaný, ponechávajú sa v texte slová „spor proti verejnej účasti“. Ak súdne konanie napĺňa znaky sporu proti verejnej účasti, teda ide o zneužívajúce súdne konanie prejavujúce sa rôznymi formami, nemôže byť dôvodným spor proti verejnej účasti, ale v danom prípade nepôjde o spor proti verejnej účasti.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 § 323j návrhu zákona</w:t>
              <w:br/>
            </w:r>
            <w:r>
              <w:rPr>
                <w:b w:val="off"/>
                <w:color w:val="000000"/>
                <w:rFonts w:ascii="Times New Roman" w:hAnsi="Times New Roman" w:cs="Times New Roman" w:eastAsia="Times New Roman"/>
                <w:sz w:val="24"/>
              </w:rPr>
              <w:t xml:space="preserve">V § 323j navrhujeme slová „nie je uvedené inak“ nahradiť slovami „tento zákon neustanovuje inak“.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terminologické zladenie formulácie v súlade s ostatnými ustanoveniami Civilného sporového poriadku, resp. s bodom 22.6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je zladený s formuláciami v platnom § 300, § 315, § 323 CSP.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5 § 58f návrhu zákona</w:t>
              <w:br/>
            </w:r>
            <w:r>
              <w:rPr>
                <w:b w:val="off"/>
                <w:color w:val="000000"/>
                <w:rFonts w:ascii="Times New Roman" w:hAnsi="Times New Roman" w:cs="Times New Roman" w:eastAsia="Times New Roman"/>
                <w:sz w:val="24"/>
              </w:rPr>
              <w:t xml:space="preserve">V § 58f ods. 1 prvej vete odporúčame vypustiť slová „alebo do jazyka používaného na jeho území“.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 58f ods. 1 prvej vety v kontexte znenia druhej vety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niektorých štátoch sa okrem oficiálneho úradného jazyka bežne používa aj iný jazyk, v ktorom miestne orgány prijímajú a vybavujú podania. Možnosť prekladu do takéhoto jazyka umožňuje rýchlejšie a efektívnejšie vybavenie dožiadaní, zohľadňuje praktické skúsenosti a minimalizuje administratívne komplikácie.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Do predloženého návrhu zákona žiadame zahrnúť právnu úpravu, ktorou sa vylúči možnosť súdu rozhodnúť rozsudkom pre zmeškanie žalovaného, tzv. kontumačným rozsudkom, ak by rozsudok spôsobil vznik, zmenu, alebo zánik právneho vzťahu medzi stranami konania, ďalej v spore, ktorý strany konania nemôžu ukončiť súdnym zmierom, v spore na ochranu osobnosti, ak sa v žalobe žiada náhrada nemajetkovej ujmy a taktiež v spore o vypratanie nehnuteľnosti. Úpravu žiadame zahrnúť do ustanovení, v ktorých sú vymedzené podmienky rozhodnutia súdu kontumačne aj bez nariadenia pojednávania.</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obsahuje riešenie doručovania kontumačných rozsudkov v dohodnutom znení. Rozporové konanie bolo uskutočnené dňa 15.12.2025, pričom rozpor bol odstránený. Riešenie spočíva v doplnení § 276a a v zmene § 274 ods. 2 a § 278.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2.	V návrhu zákona žiadame tiež upraviť vylúčenie fikcie doručenia pri doručovaní do elektronickej schránky. Pri doručovaní súdom do elektronickej schránky sa toto doručovanie má riadiť len ustanoveniami Civilného sporového poriadku, ktorý je potrebné v tejto súvislosti upraviť.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obsahuje riešenie doručovania kontumačných rozsudkov v dohodnutom znení. Rozporové konanie bolo uskutočnené dňa 15.12.2025, pričom rozpor bol odstránený. Riešenie spočíva v doplnení § 276a a v zmene § 274 ods. 2 a § 278.</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323i</w:t>
              <w:br/>
            </w:r>
            <w:r>
              <w:rPr>
                <w:b w:val="off"/>
                <w:color w:val="000000"/>
                <w:rFonts w:ascii="Times New Roman" w:hAnsi="Times New Roman" w:cs="Times New Roman" w:eastAsia="Times New Roman"/>
                <w:sz w:val="24"/>
              </w:rPr>
              <w:t>K bodu 1: Navrhovaný § 323i ods. 2 Civilného sporového poriadku odporúčame preformulovať, nakoľko máme za to, že v praxi môžu nastať situácie, kedy dolná hranica pokuty (t. j. suma 500 eur) môže presiahnuť výšku hornej hranice pokuty (t. j. 10 % žalovanej sumy).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37b</w:t>
              <w:br/>
            </w:r>
            <w:r>
              <w:rPr>
                <w:b w:val="off"/>
                <w:color w:val="000000"/>
                <w:rFonts w:ascii="Times New Roman" w:hAnsi="Times New Roman" w:cs="Times New Roman" w:eastAsia="Times New Roman"/>
                <w:sz w:val="24"/>
              </w:rPr>
              <w:t>1.	K bodu 1: V navrhovanom § 37b písm. d) zákona č. 97/1963 Zb. žiadame slová „tretej krajiny“ nahradiť slovami „štátu, ktorý nie je členským štátom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37b</w:t>
              <w:br/>
            </w:r>
            <w:r>
              <w:rPr>
                <w:b w:val="off"/>
                <w:color w:val="000000"/>
                <w:rFonts w:ascii="Times New Roman" w:hAnsi="Times New Roman" w:cs="Times New Roman" w:eastAsia="Times New Roman"/>
                <w:sz w:val="24"/>
              </w:rPr>
              <w:t>2.	K bodu 1: V navrhovanom § 37b písm. d) zákona č. 97/1963 Zb. žiadame v súlade s čl. 17 smernice (EÚ) 2024/1069 limitovať udelenie právomoci slovenským súdom na prípady, kedy žalovaná fyzická osoba alebo právnická osoba má bydlisko alebo sídlo v členskom štáte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64a</w:t>
              <w:br/>
            </w:r>
            <w:r>
              <w:rPr>
                <w:b w:val="off"/>
                <w:color w:val="000000"/>
                <w:rFonts w:ascii="Times New Roman" w:hAnsi="Times New Roman" w:cs="Times New Roman" w:eastAsia="Times New Roman"/>
                <w:sz w:val="24"/>
              </w:rPr>
              <w:t>3.	K bodu 6: V navrhovanom § 64a zákona č. 97/1963 Zb. žiadame slová „v krajine, ktorá“ nahradiť slovami „v štáte, ktorý“.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Navrhovaný dátum nadobudnutia účinnosti predkladaného návrhu zákona žiadame v súlade s čl. 9 ods. 9 písm. c) Legislatívnych pravidiel vlády Slovenskej republiky a v súlade s čl. 22 ods. 1 smernice (EÚ) 2024/1069 posunúť na 7. mája 2026; ak bolo zámerom predkladateľa, aby návrh zákona nadobudol účinnosť 1. mája 2026 bez ohľadu na transpozičnú lehotu smernice, je potrebné identifikovať goldplating v tabuľke zhody so smernicou (EÚ) 2024/1069 a v siedmom bode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nevylučuje posun účinnosti na neskorší dátum, ak to bude odôvodnené dĺžkou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	V predkladanej tabuľke zhody so smernicou (EÚ) 2024/1069 žiadame v pravej časti záhlavia ako transpozičné ustanovenie v samostatnom bode uvádzať aj predkladaný návrh zákona. V celom texte tabuľky zhody so smernicou (EÚ) 2024/1069 žiadame v štvrtom až šiestom stĺpci tabuľky zhody rozlišovať medzi predkladaným návrhom zákona a platným a účinným znením Civilného sporového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2.	Pri preukazovaní transpozície čl. 2 smernice (EÚ) 2024/1069 žiadame v tabuľke zhody ako transpozičné opatrenia uvádzať aj § 1 a 2 Civilného sporového poriadku a § 1 zákona č. 97/19963 Zb. v znení neskorších predpisov. Odporúčame v ôsmom stĺpci tabuľky zhody uviesť informáciu, na ktoré veci resp. konania sa Civilný sporový poriadok a zákon č. 97/19963 Zb. v znení neskorších predpisov nevzťahujú.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3.	Pri preukazovaní transpozície čl. 3 ods. 1 smernice (EÚ) 2024/1069 žiadame v siedmom stĺpci tabuľky zhody uvádzať skratku „Ú“, a v ôsmom stĺpci tabuľky zhody vysvetliť, že k prijatiu alebo zachovaniu priaznivejších ustanovení nedochádza.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4.	Pri preukazovaní transpozície čl. 3 ods. 2 smernice (EÚ) 2024/1069 žiadame v treťom stĺpci tabuľky zhody uvádzať skratku „n. a.“, zo štvrtého stĺpca tabuľky zhody vypustiť číslo 1, a v ôsmom stĺpci tabuľky zhody uviesť, že k zníženiu existujúcich záruk predkladaným návrhom zákona nedochádza.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5.	Žiadame v predkladanej tabuľke zhody so smernicou (EÚ) 2024/1069 preukázať transpozíciu čl. 5 ods. 1 a 2 smernice do slovenského právneho poriadku, nakoľko máme za to, že ide o ustanovenia s bežnou transpozíciou, ktorých prebratie do vnútroštátneho právneho poriadku je pre členské štáty povinné. Žiadame riadne vyplniť štvrtý až siedmy stĺpec tabuľky zhody v súlade s Prílohou č. 3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transpozičnom workshope Európska komisia ujasnila a potvrdila aj v písomnej forme, že definíciu nie je potrebné transponovať, ak sa transpozícia bude aplikovať bez rozlišovania cudzieho prvku, pričom takýto prístup avizovala prevažná väčšina členských štátov, preto je vyplnený štvrtý stĺpec s písmenom O a siedmy stĺpec 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6.	Pri preukazovaní transpozície čl. 6 ods. 1 písm. a) smernice (EÚ) 2024/1069 žiadame z tabuľky zhody vypustiť navrhovaný § 323f Civilného sporového poriadku, a transpozíciu preukazovať iba prostredníctvom navrhovaného § 323g Civilného sporového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6 ods. 1 smernice sa týka preddavku podľa čl. 10 smernice a ten pokrýva dva prípady: preddavok na odhadované trovy konania a preddavok na náhradu škody. Preddavok na predpokladané trovy konania rieši § 323g a zábezpeku na náhradu škody § 323f, pričom terminológia je zosúladená s pojmami používanými pre obdobné situácie podľa CSP, preto je potrebné, aby boli obidve ustanovenia uvedené v tabuľke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7.	Pri preukazovaní transpozície čl. 6 ods. 2 smernice (EÚ) 2024/1069 do slovenského právneho poriadku žiadame v deviatom stĺpci tabuľky zhody uviesť skratku „GP – A, d) prísnejšie vymáhanie“, nakoľko máme za to, že transpozíciou tohto ustanovenia dochádza ku goldplatingu, nakoľko prebratím ustanovenia smernice, ktorého transpozícia nie je pre členské štáty povinná, ide predkladaný návrh zákona nad rámec minimálnych požiadaviek smernice (EÚ) 2024/1069. V desiatom stĺpci tabuľky zhody žiadame identifikovať oblasť resp. oblasti, na ktoré bude mať goldplating vplyv, a navrhovanú úpravu žiadame zhodnotiť a odôvodniť v siedmom bode doložky vybraných vplyvov a vo Vyjadrení k opodstatnenosti goldplatingu a jeho odôvodnení v závere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8.	Pri preukazovaní transpozície čl. 7 smernice (EÚ) 2024/1069 do slovenského právneho poriadku žiadame v prvom stĺpci tabuľky zhody skratku „O: 7“ nahradiť skratkou „O: 1 a 2“. Pri preukazovaní transpozície čl. 7 ods. 2 smernice (EÚ) 2024/1069 do slovenského právneho poriadku žiadame v treťom stĺpci tabuľky zhody skratku „D“ nahradiť skratkou „N“, nakoľko máme za to, že ide o ustanovenie s bežnou transpozíciou, ktorého prebratie do vnútroštátneho právneho poriadku je pre členské štáty povinné.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9.	Žiadame v predkladanej tabuľke zhody so smernicou (EÚ) 2024/1069 preukázať transpozíciu čl. 9 smernice do slovenského právneho poriadku, nakoľko máme za to, že uvádzané transpozičné opatrenia nie sú na preukázanie úplnej transpozície dostatočné. Kým smernica (EÚ) 2024/1069 v čl. 9 určuje povinnosť členských štátov zabezpečiť, aby „združenia, organizácie, odborové organizácie a iné subjekty, ktoré v súlade s kritériami stanovenými v ich vnútroštátnom práve majú oprávnený záujem na ochrane alebo podpore práv osôb zapojených do verejnej účasti“ mohli v súdnom konaní podporovať žalovaného alebo poskytovať informácie, transpozičné opatrenie, ktorým je § 95 ods. 1 Civilného sporového poriadku, umožňuje súdu do konania pribrať „orgán verejnej moci, v pôsobnosti ktorého je ochrana základných ľudských práv a slobôd, alebo právnickú osobu, ktorej predmetom činnosti je ochrana práv podľa osobitného predpisu“. Máme za to, že užším vymedzením subjektov oprávnených podporovať žalovaného v konaní dochádza k nesprávnej resp. nedostatočnej transpozícií čl. 9 smernice (EÚ) 2024/1069 do slovenského právneho poriadku, a žiadame Civilný sporový poriadok v tomto ohľade upraviť. Poukazujeme aj na znenie recitálu 35 smernice (EÚ) 2024/1069, podľa ktorého by subjekty menované v čl. 9 smernice mali mať možnosť podporiť žalovaného, pričom touto podporou by sa malo zabezpečiť, aby sa v takýchto konaniach mohli využiť osobitné odborné znalosti takýchto subjektov. Takáto podpora by mohla mať napríklad formu poskytovania informácií relevantných z hľadiska prípadu, intervencie v prospech žalovaného v súdnom konaní alebo akúkoľvek inú formu stanovenú vo vnútroštátnom 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95 ods. 1 CSP pokrýva prípady uvedené v smernici. V danom prípade ide o podporu žalovaného, čo je vyjadrené aj nadpisom čl. 9, s jeho súhlasom, na rozdiel od inštitútu zastúpenia alebo intervencie. Smernica predpokladá, že vnútroštátne právo nastaví kritériá, ktoré osoby tento status budú spĺňať. </w:t>
              <w:br/>
            </w:r>
            <w:r>
              <w:rPr>
                <w:b w:val="off"/>
                <w:color w:val="000000"/>
                <w:rFonts w:ascii="Times New Roman" w:hAnsi="Times New Roman" w:cs="Times New Roman" w:eastAsia="Times New Roman"/>
                <w:sz w:val="24"/>
              </w:rPr>
              <w:t>„Právnická osoba, ktorej predmetom je ochrana práv podľa osobitného zákona“ je napr. odborová organizácia v zmysle § 230 Zákonníka práce, združenie na ochranu spotrebiteľa, Slovenské národné stredisko pre ľudské práva a pod.</w:t>
              <w:br/>
            </w:r>
            <w:r>
              <w:rPr>
                <w:b w:val="off"/>
                <w:color w:val="000000"/>
                <w:rFonts w:ascii="Times New Roman" w:hAnsi="Times New Roman" w:cs="Times New Roman" w:eastAsia="Times New Roman"/>
                <w:sz w:val="24"/>
              </w:rPr>
              <w:t>Ako uviedol aj Ústavný súd SR sp. zn. I. ÚS 214/2017-22“ V konaní môže ako subjekt konania vystupovať právnická osoba v pozícii osobitného subjektu (§ 95 CSP) iba vtedy, ak ide o právnickú osobu, ktorej predmetom činnosti je ochrana práv podľa osobitného predpisu. Inak povedané, zákonná úprava (rozumne) prezumuje, že takáto právnická osoba je dostatočne odborne vybavená (keďže jej predmet činnosti je ochrana práv) na to, aby v konaní riadne plnila úlohu ochrancu práv strany, na ktorej vystupuje, a práve preto, že je takto odborne vybavená (tzn. že nepotrebuje už samu seba nechať zastupovať kvalifikovanejším subjektom   advokátom), je spôsobilá vystupovať na konkrétnej strane konania na ochranu jej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10.	Pri preukazovaní transpozície čl. 11 smernice (EÚ) 2024/1069 do slovenského právneho poriadku žiadame z prvého stĺpca tabuľky zhody vypustiť skratku „O. 1“, nakoľko tento článok smernice sa nečlení na odseky. Ako transpozičné opatrenie čl. 11 smernice žiadame v tabuľke zhody uvádzať aj navrhovaný § 323h ods. 1 Civilného sporového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Navrhovaný § 323h ods. 1 nie je transpozíciou čl. 11, nakoľko bezodkladné zastavenie konania a odmietnutie konania sú rozdielne inštitúty. Bezodkladné zastavenie upravuje kapitola III smernice vrátane článkov 12 a 13, ktoré sa na odmietnutie konania nepoužijú.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11.	Pri preukazovaní transpozície čl. 15 smernice (EÚ) 2024/1069 do navrhovaného § 323i ods. 2 Civilného sporového poriadku upozorňujeme na znenie recitálu 42 smernice (EÚ) 2024/1069, podľa ktorého by v prípade, ak súd konštatuje, že ide o zneužívajúce súdne konanie, sa sankcie mali „stanovovať na individuálnom základe, mali by byť primerané vzhľadom na povahu a skutočnosti, ktoré nasvedčujú zistenému zneužívaniu, a mali by zohľadňovať potenciál škodlivého alebo zastrašujúceho účinku uvedených konaní na verejnú účasť alebo majetkové pomery žalobcu, ktorý využil nerovnováhu moci“. Máme za to, že tieto kritériá ukladania sankcií neboli do predkladaného návrhu zákona premietnuté, a žiadame vysvetliť, na základe akých kritérií bude súd v týchto prípadoch sankcie ukladať.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Recitál nie je záväzný text, ktorý sa preberá do textu právneho predpisu. Súčasťou rozhodnutia je v zmysle § 220 CSP aj odôvodnenie rozhodnutia. Ak súd pristúpi k uloženiu opatrenia, v odôvodnení musí vysvetliť, prečo k tomu v danom prejednávanom prípade pristúpil, prečo zvolil danú výšku pokuty, aby bolo rozhodnutie preskúmateľné. Navrhovaný § 323i upresňuje v akých intenciách sa voľná úvaha súdu môže pohybovať, t. j. že sankcia má byť účinná, primeraná a odrádzajúca. Súd môže v závislosti od okolností rozhodnúť, že pre daný prípad je primerané, resp. postačuje zverejnenie rozsudku na náklady žalobcu, prípadne že uloží aj pokutu v rozpätí,  ktoré je upravené v odseku 2 na dosiahnutie odrádzajúceho účinku.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12.	Pri preukazovaní transpozície čl. 17 smernice (EÚ) 2024/1069 do slovenského právneho poriadku žiadame v prvom stĺpci tabuľky zhody správne označiť odseky tohto článku. Nakoľko transpozícia čl. 17 ods. 2 smernice (EÚ) 2024/1069 je pre členské štáty dobrovoľná a v predkladanej tabuľke zhody sa nepreukazuje, žiadame v treťom stĺpci uviesť skratku „D“ a v siedmom stĺpci skratku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13.	Pri preukazovaní transpozície čl. 17 smernice (EÚ) 2024/1069 do slovenského právneho poriadku žiadame v šiestom stĺpci tabuľky zhody uvádzať aj úvodnú vetu navrhovaného § 37b písm. d) zákona č. 97/1963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14.	Pri preukazovaní transpozície čl. 18 smernice (EÚ) 2024/1069 do slovenského právneho poriadku žiadame v treťom stĺpci tabuľky zhody uviesť skratku „n. a.“ a v ôsmom stĺpci tabuľky zhody vysvetliť, z akého dôvodu k transpozícií nedochádza. Žiadame tiež vypustiť skratky uvádzané v piatom a deviatom stĺpci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15.	Žiadame v predkladanej tabuľke zhody so smernicou (EÚ) 2024/1069 preukázať transpozíciu čl. 19 ods. 1 smernice do slovenského právneho poriadku, nakoľko máme za to, že ide o ustanovenie s bežnou transpozíciou, ktorého prebratie do vnútroštátneho právneho poriadku je pre členské štáty povinné. Poukazujeme aj na znenie recitálu 46 smernice (EÚ) 2024/1069, podľa ktorého by členské štáty mali „sprístupniť informácie o dostupných procesných zárukách, prostriedkoch nápravy a existujúcich podporných opatreniach na jednom mieste, na tzv. jednotnom kontaktnom mieste, s cieľom poskytnúť osobám, na ktoré sú zacielené strategické žaloby proti verejnej účasti, jednoduchý a bezplatný prístup k špecializovaným informáciám, aby im pomohli nájsť všetky relevantné informácie“, pričom informácie poskytované prostredníctvom jednotného kontaktného miesta by mali zahŕňať „existujúce podporné mechanizmy, napríklad informácie o príslušných organizáciách a združeniach, ktoré poskytujú právnu alebo finančnú pomoc a psychologickú podporu osobám, na ktoré sú strategické žaloby proti verejnej účasti zacielené.“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tabuľky zhody bolo doplnené, že v zmysle uznesení vlády SR bolo Európskej komisii ako jednotné kontaktné miesto notifikované Ministerstvo kultúry SR, ktoré zriadilo na svojom webovom sídle osobitné miesto na poskytovanie informácií v zmysle čl. 19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16.	Žiadame v predkladanej tabuľke zhody so smernicou (EÚ) 2024/1069 preukázať transpozíciu čl. 20 smernice do slovenského právneho poriadku, nakoľko máme za to, že ide o ustanovenie s bežnou transpozíciou, ktorého prebratie do vnútroštátneho právneho poriadku je pre členské štáty povinné. V opačnom prípade žiadame v ôsmom stĺpci tabuľky zhody jednoznačne vysvetliť, ktorý subjekt, v akom formáte a v akých lehotách bude údaje podľa čl. 20 smernice zbierať a predkladať Európskej komisii.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je zakotvená v § 35 ods. 7 zákona č. 575/2001 Z. z., čo je uvedené aj v tabuľke zhody. Do 8. stĺpca sme pridali vysvetľujúcu poznámku, že na všetkých troch transpozičných workshopoch Európska komisia ozrejmila, že v zmysle tohto článku sa nepožaduje vytváranie nových mechanizmov na získavanie údajov. Ak sú však tieto údaje už v súčasnosti dostupné, členské štáty ich predložia Komisii.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17.	Odporúčame v predkladanej tabuľke zhody so smernicou (EÚ) 2024/1069 preukázať transpozíciu čl. 21 prvej vety smernice do slovenského právneho poriadku, nakoľko máme za to, že ide o ustanovenie s bežnou transpozíciou, ktorého prebratie do vnútroštátneho právneho poriadku je pre členské štáty povinné. V opačnom prípade žiadame v ôsmom stĺpci tabuľky zhody jednoznačne vysvetliť, ktorý subjekt bude v lehote 7. mája 2030 Európsku komisiu informovať.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transpozičnom workshope EK ozrejmila, že čl. 21 až 24 nevyžadujú transpozíciu.</w:t>
              <w:br/>
            </w:r>
            <w:r>
              <w:rPr>
                <w:b w:val="off"/>
                <w:color w:val="000000"/>
                <w:rFonts w:ascii="Times New Roman" w:hAnsi="Times New Roman" w:cs="Times New Roman" w:eastAsia="Times New Roman"/>
                <w:sz w:val="24"/>
              </w:rPr>
              <w:t>Vo vzťahu k dostupnosti údajov bude Komisiu informovať v zmysle § 35 ods. 7 zákona č. 575/2001 Z. z. gestor, ktorým je Ministerstvo spravodlivosti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18.	Pri preukazovaní transpozície čl. 22 ods. 1 smernice (EÚ) 2024/1069 do slovenského právneho poriadku žiadame v šiestom stĺpci tabuľky zhody uvádzať ako transpozičné opatrenie aj § 472 Civilného sporového poriadku, ktorý obsahuje odkaz na transpozičnú prílohu Civilného sporového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19.	Pri preukazovaní transpozície čl. 22 ods. 1 smernice (EÚ) 2024/1069 do slovenského právneho poriadku žiadame v deviatom stĺpci tabuľky zhody uviesť skratku „GP – A, e) skoršia transpozícia“, nakoľko máme za to, že transpozíciou smernice pred uplynutím transpozičnej lehoty dochádza ku goldplatingu. V desiatom stĺpci tabuľky zhody žiadame identifikovať oblasť resp. oblasti, na ktoré bude mať goldplating vplyv, a navrhovanú úpravu žiadame zhodnotiť a odôvodniť v siedmom bode doložky vybraných vplyvov a vo Vyjadrení k opodstatnenosti goldplatingu a jeho odôvodnení v závere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Keďže účinnosť bola presunutá na 7.5.2026, úprava v tabuľke zhody nie je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20.	Pri preukazovaní transpozície čl. 23 a 24 smernice (EÚ) 2024/1069 do slovenského právneho poriadku žiadame v treťom a siedmom stĺpci tabuľky zhody uvádzať skratku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2024/1069</w:t>
              <w:br/>
            </w:r>
            <w:r>
              <w:rPr>
                <w:b w:val="off"/>
                <w:color w:val="000000"/>
                <w:rFonts w:ascii="Times New Roman" w:hAnsi="Times New Roman" w:cs="Times New Roman" w:eastAsia="Times New Roman"/>
                <w:sz w:val="24"/>
              </w:rPr>
              <w:t>21.	V závere tabuľky zhody žiadame v súlade s Prílohou č. 3 k Legislatívnym pravidlám vlády Slovenskej republiky uvádzať Vyjadrenie k opodstatnenosti goldplatingu a jeho odôvodnenie s ohľadom na transpozíciu čl. 6 ods. 2 a čl. 22 ods. 1 smernice (EÚ) 2024/1069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Keďže účinnosť bola presunutá na 7.5.2026, úprava v tabuľke zhody k čl. 22 ods. 1 smernice nie je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ako relevantný zdroj primárneho práva Európskej únie uvádzať aj čl. 10 ods. 3 Zmluvy o Európskej únií a čl. 11 Charty základných práv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ako relevantný zdroj sekundárneho práva Európskej únie uvádzať spolu s gestorom aj nariadenie (EÚ) 2020/1784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4 písm. c) doložky zlučiteľnosti žiadame slová  „Smernica Európskeho parlamentu a Rady (EÚ) 2024/1069 ešte nie je prebratá v žiadnych právnych predpisoch“ nahradiť slovami „K transpozícií smernice (EÚ) 2024/1069 do slovenského právneho poriadku dochádza predkladaným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odôvodnení k čl. I bodu 1 k § 323a v osobitnej časti dôvodovej správy k predkladanému návrhu zákona žiadame za slovo „transpozíciu“ doplniť slovo „smernice“, a za názvom smernice (EÚ) 2024/1069 žiadame zaviesť skrátenú citáciu nasledovne: „(ďalej len „smernica (EÚ) 2024/1069“)“. Takto zavedenú skrátenú citáciu následne žiadame používať v celom texte osobitnej časti dôvodovej správy, predovšetkým v odôvodnení k čl. I bodu 1 k § 323a, § 323f a 323g, § 323i a 323j, k čl. I bodu 4, k čl. II bodom 1 a 6 a k čl. III.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odôvodnení k čl. II bodu 5 v osobitnej časti dôvodovej správy k predkladanému návrhu zákona žiadame slová „nariadenia č. 2020/1784 o doručovaní súdnych a mimosúdnych písomností v občianskych a obchodných veciach v členských štátoch“ nahradiť slovami „nariadenia Európskeho parlamentu a Rady (EÚ) 2020/1784 z 25. novembra 2020 o doručovaní súdnych a mimosúdnych písomností v občianskych a obchodných veciach v členských štátoch (doručovanie písomností) (prepracované znenie)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 druhom odseku všeobecnej časti dôvodovej správy a v druhom odseku predkladacej správy k predkladanému návrhu žiadame za názvom smernice (EÚ) 2024/1069 doplniť jej publikačný zdroj nasledovne: „(Ú. v. EÚ L, 2024/1069, 16.4.2024)“.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Vo všeobecnej časti dôvodovej správy k predkladanému návrhu zákona žiadame v súlade s čl. 20 ods. 2 Legislatívnych pravidiel vlády Slovenskej republiky uvádzať informáciu, či návrh zákona má byť predmetom vnútrokomunitárneho pripomienkového konania alebo či sa vnútrokomunitárne pripomienkové konanie uskutočnilo.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3.	V piatom odseku predkladacej správy k predkladanému návrhu zákona odporúčame vysvetliť navrhovanú účinnosť zákona k 1. máju 2026, nakoľko sa nezhoduje s transpozičnou lehotou smernice (EÚ) 2024/1069.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Keďže účinnosť bola presunutá na 7.5.2026, vysvetlenie v predkladacej správe nie je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4.	V prvom bode doložky vybraných vplyvov k predkladanému návrhu žiadame za názvom smernice (EÚ) 2024/1069 zaviesť skrátenú citáciu nasledovne: „(ďalej len „smernica (EÚ) 2024/1069“)“. Takto zavedenú skrátenú citáciu následne žiadame používať v celom texte doložky vybraných vplyvov, predovšetkým v druhom, piatom a ôsmom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5.	V siedmom bode doložky vybraných vplyvov k predkladanému návrhu žiadame v súlade s čl. 21 ods. 4 Legislatívnych pravidiel vlády Slovenskej republiky osobitne zhodnotiť rozsah transpozície čl. 6 ods. 2 a čl. 22 ods. 1 smernice (EÚ) 2024/1069 predkladaným návrhom zákona, nakoľko máme za to, že navrhovaná vnútroštátna úprava ide nad rámec minimálnych požiadaviek smernice (EÚ) 2024/1069 a vo vzťahu k týmto ustanoveniam smernice (EÚ) 2024/1069 dochádza ku goldplatingu.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264 sa vkladá § 264a,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264a</w:t>
              <w:br/>
            </w:r>
            <w:r>
              <w:rPr>
                <w:b w:val="off"/>
                <w:color w:val="000000"/>
                <w:rFonts w:ascii="Times New Roman" w:hAnsi="Times New Roman" w:cs="Times New Roman" w:eastAsia="Times New Roman"/>
                <w:sz w:val="24"/>
              </w:rPr>
              <w:t>(1) Úspešnej strane, ktorá v konaní nebola zastúpená advokátom, prizná súd v rámci náhrady trov konania aj náhradu v paušálnej výške určenej všeobecne záväzným právnym predpisom, ktorý vydá ministerstvo spravodlivosti.</w:t>
              <w:br/>
            </w:r>
            <w:r>
              <w:rPr>
                <w:b w:val="off"/>
                <w:color w:val="000000"/>
                <w:rFonts w:ascii="Times New Roman" w:hAnsi="Times New Roman" w:cs="Times New Roman" w:eastAsia="Times New Roman"/>
                <w:sz w:val="24"/>
              </w:rPr>
              <w:t>(2) Paušálnu náhradu podľa odseku 1 súd neprizná, ak si strana uplatní také trovy konania, ktoré sú nad rámec uhradeného súdneho poplatku alebo trov dôkazu, ktoré musela strana uhradiť na základe povinnosti uloženej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CSP doplniť inštitút paušálnej náhrady, ktorá by bola priznaná úspešnej strane, ktorá nie je v konaní  zastúpená advokátom a ktorá si neuplatní v konaní žiadne trovy alebo len trovy spočívajúce v uhradenom súdnom poplatku alebo uhradených trov dôkazu. Týmto sa odstráni nerovnosť medzi účastníkmi konania, ktorí sú zastúpení advokátmi a účastníkmi, ktorí nie sú zastúpení advokátmi, ktorá  spočíva v tom, že účastníci nezastúpení advokátmi musia náročnejšie preukazovať svoje trovy. Na túto nerovnosť poukázal napríklad aj český ústavný súd, ktorý ju označil za nesúladnú s Listinou základných práv a slobôd. Navrhovaná náhrada zlepší aj postavenie žalovaných v sporoch proti verejnej účasti, ktorí z rôznych dôvodov nebudú môcť byť zastúpení advokátmi. Máme za to, že žalobca v sporoch, kedy žalovaný nie je zastúpený advokátom v zásade veľmi neriskuje, nakoľko v praxi málokedy hrozí, že bude musieť nahrádzať žalovanému trovy konania v relevantnejšej výške. Navrhujeme, aby výšku paušálnej náhrady stanovilo ministerstvo spravodlivosti vykonávacím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charakter pripomienky, ktorá ide nad rámec cieľa transpozície a vzhľadom na to, že takáto úprava by mala byť predmetom pripomienkového konania sa na rozporovom konaní dohodlo, že podnet bude postúpený pracovnej skupine pre plnenie úlohy vyplývajúcej z Plánu legislatívnych úloh vlády SR pripraviť novelizáciu CSP v nadväznosti na Programové vyhlásenie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 v časti §323f</w:t>
              <w:br/>
            </w:r>
            <w:r>
              <w:rPr>
                <w:b w:val="off"/>
                <w:color w:val="000000"/>
                <w:rFonts w:ascii="Times New Roman" w:hAnsi="Times New Roman" w:cs="Times New Roman" w:eastAsia="Times New Roman"/>
                <w:sz w:val="24"/>
              </w:rPr>
              <w:t>V §323f odsek 1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323f ods. 1 znie:</w:t>
              <w:br/>
            </w:r>
            <w:r>
              <w:rPr>
                <w:b w:val="off"/>
                <w:color w:val="000000"/>
                <w:rFonts w:ascii="Times New Roman" w:hAnsi="Times New Roman" w:cs="Times New Roman" w:eastAsia="Times New Roman"/>
                <w:sz w:val="24"/>
              </w:rPr>
              <w:t>„(1) Súd môže na návrh žalovaného uložiť žalobcovi uznesením povinnosť zložiť zábezpeku do úschovy súdu určenú na zabezpečenie náhrady škody alebo inej ujmy, ktorá by vznikla v dôsledku sporu proti verejnej účasti, ak má súd za osvedčené, že súdne konanie bolo zo strany žalobcu začaté z dôvodu zapojenia žalovaného do verejnej účasti. Výšku zábezpeky a lehotu na jej zloženie určí súd podľa okolností prípadu, najmä podľa výšky škody alebo inej ujmy hroziacej žalovanému. Ak je žalobcov viac, sú povinní zložiť zábezpeku spoločne a nerozdielne.“.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ustanovenia § 323f CSP neobsahuje úpravu predpokladov, na ktoré je súd pri rozhodovaní o návrhu žalovaného na uloženie povinnosti žalobcu zložiť zábezpeku do úschovy súdu povinný prihliadať. Takto definovaná úprava zvyšuje právnu neistotu oboch sporových strán a môže spôsobiť nepredvídateľnosť rozhodnutí o takýchto návrhoch. Navrhujeme preto doplniť, že v prípade rozhodovania súdu o takýchto návrhoch musí mať súd za osvedčené, že súdne konanie bolo zo strany žalobcu začaté z dôvodu zapojenia žalovaného do verejnej účasti, čím sa vymedzí rámec právnej úvahy súdu pri rozhodovaní o takýchto návrhoch.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rozporovom konaní sa dohodlo, že text bude spresnený vrátane dôvodovej správy, aby súd povinnosť uložil, ak je možné dôvodne predpokladať, že by k škode alebo inej ujme mohlo v dôsledku sporu proti verejnej účasti dôjsť.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 v časti §323g</w:t>
              <w:br/>
            </w:r>
            <w:r>
              <w:rPr>
                <w:b w:val="off"/>
                <w:color w:val="000000"/>
                <w:rFonts w:ascii="Times New Roman" w:hAnsi="Times New Roman" w:cs="Times New Roman" w:eastAsia="Times New Roman"/>
                <w:sz w:val="24"/>
              </w:rPr>
              <w:t>V §323g odsek 1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323g ods. 1 znie:</w:t>
              <w:br/>
            </w:r>
            <w:r>
              <w:rPr>
                <w:b w:val="off"/>
                <w:color w:val="000000"/>
                <w:rFonts w:ascii="Times New Roman" w:hAnsi="Times New Roman" w:cs="Times New Roman" w:eastAsia="Times New Roman"/>
                <w:sz w:val="24"/>
              </w:rPr>
              <w:t>„(1) Súd môže na návrh žalovaného uložiť žalobcovi uznesením povinnosť zložiť primeraný preddavok do úschovy súdu na predpokladané trovy konania, ak má súd za osvedčené, že súdne konanie bolo zo strany žalobcu začaté z dôvodu zapojenia žalovaného do verejnej účasti.  Výšku preddavku a lehotu na jeho zloženie určí súd podľa okolností prípadu. Ak je žalobcov viac, sú povinní zložiť preddavok spoločne a nerozdielne.“.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ustanovenia § 323g ods. 1 CSP neobsahuje úpravu predpokladov, na ktoré je súd pri rozhodovaní o návrhu žalovaného na uloženie povinnosti žalobcu zložiť preddavok do úschovy súdu povinný prihliadať. Takto definovaná úprava zvyšuje právnu neistotu oboch sporových strán a môže spôsobiť nepredvídateľnosť rozhodnutí o takýchto návrhoch. Navrhujeme preto doplniť, že v prípade rozhodovania súdu o takýchto návrhoch musí mať súd za osvedčené, že súdne konanie bolo zo strany žalobcu začaté z dôvodu zapojenia žalovaného do verejnej účasti, čím sa vymedzí rámec právnej úvahy súdu pri rozhodovaní o takýchto návrhoch.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znenia sa doplnilo, že ide o preddavok na trovy konania v sporoch proti verejnej 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pôjde o skoré štádium sporu, kedy ešte nedošlo k dokazovaniu, nie je možné mať s istotou osvedčené, že ide jednoznačne o spor proti verejnej účasti, ale už by mal byť dôvodný predpoklad, že ide o spor proti verejnej 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so závermi z rozporového konania bola vyprecizovaná aj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466 sa za slová „zápisnici o procesných úkonoch“ vkladá čiarka a tieto slová „o výške paušálnej náhrady podľa § 264a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úpravu splnomocňovacieho ustanovenia CSP, ktorá súvisí s navrhovaným novým § 264a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súvisí s predchádzajúcou pripomienkou k paušálnym náhradám, ku ktorej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471e sa vkladá § 471f,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„471f</w:t>
              <w:br/>
            </w:r>
            <w:r>
              <w:rPr>
                <w:b w:val="off"/>
                <w:color w:val="000000"/>
                <w:rFonts w:ascii="Times New Roman" w:hAnsi="Times New Roman" w:cs="Times New Roman" w:eastAsia="Times New Roman"/>
                <w:sz w:val="24"/>
              </w:rPr>
              <w:t>Prechodné ustanovenie k úpravám účinným od 1. mája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nadobudnutia účinnosti všeobecne záväzného  právneho predpisu ministerstva spravodlivosti o výške paušálnej náhrady podľa § 264a ods. 1, sa na určenie výšky paušálnej náhrady  podľa § 264a ods. 1 primerane použijú ustanovenia právnych predpisov o odmenách a náhradách advokátov za poskytovanie právnych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prechodné ustanovenie, podľa ktorého sa bude postupovať v prechodnom období do doby, kedy ministerstvo spravodlivosti vydá vykonávací predpis upravujúci výšku paušálnej náhrady. Navrhujeme, aby sa v prechodnom období postupovalo primerane podľa predpisov o odmenách advokátov.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súvisí s predchádzajúcou pripomienkou k paušálnym náhradám, ku ktorej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1</w:t>
              <w:br/>
            </w:r>
            <w:r>
              <w:rPr>
                <w:b w:val="off"/>
                <w:color w:val="000000"/>
                <w:rFonts w:ascii="Times New Roman" w:hAnsi="Times New Roman" w:cs="Times New Roman" w:eastAsia="Times New Roman"/>
                <w:sz w:val="24"/>
              </w:rPr>
              <w:t>V § 37b písm. d) sa navrhuje zaviesť pojem „tribunál“, ktorý nie je v platnom znení zákona č. 97/1963 Zb. o medzinárodnom práve súkromnom a procesnom v znení neskorších právnych predpisov definovaný. Navrhujeme preto tento pojem v predmetnom zákone definovať.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pojmu „tribunál“ priamo v ustanovení zákona č. 97/1963 Zb. o medzinárodnom práve súkromnom a procesnom v znení neskorších právnych predpisov môže prispieť k určitosti právnej úpravy a tým tiež k zvýšeniu právnej istoty pri jej aplikácii, ako aj obmedzeniu možnosti rôznych výkladov tohto pojmu.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 v časti §323h odsek 5</w:t>
              <w:br/>
            </w:r>
            <w:r>
              <w:rPr>
                <w:b w:val="off"/>
                <w:color w:val="000000"/>
                <w:rFonts w:ascii="Times New Roman" w:hAnsi="Times New Roman" w:cs="Times New Roman" w:eastAsia="Times New Roman"/>
                <w:sz w:val="24"/>
              </w:rPr>
              <w:t>V § 323h ods. 5 navrhujeme za druhú vetu doplniť nasledujúcu tretiu vetu, ktorá znie takto: „Ak žalobca v súlade s týmto ustanovením vezme žalobu späť, súd žalobcovi za toto späťvzatie neuloží sankciu podľa § 323i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Rozumieme, že cieľom predmetného ustanovenia je dosiahnuť, aby v prípadoch, kedy súd po predbežnom právnom posúdení vyjadrí právny názor, že ide o spor proti verejnej účasti, bol žalobca motivovaný zobrať žalobu späť. V prípade takéhoto právneho úkonu však žalobcovi, napriek späťvzatiu žaloby, hrozí za tento právny úkon sankcia podľa ustanovenia § 323i ods. 1 CSP, čo môže oslabiť motiváciu žalobcu realizovať späťvzatie žaloby. Dávame preto na zváženie v takýchto prípadoch pozitívne motivovať žalobcu tým spôsobom, že v prípade späťvzatia žaloby, po predbežnom právnom posúdení, postupom podľa ustanovenia § 323h ods. 5 CSP, žalobca nebude čeliť hrozbe uloženia sankcie podľa § 323i ods. 1  CSP.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 uložení sankcie súd odôvodňuje, prečo sa rozhodol k nej pristúpiť a v akej výške, preto ak súd vyzval na späťvzatie žaloby a zároveň pristúpi k sankcionovaniu späťvzatia, predpokladá sa, že ho k tomu budú viesť okolnosti, ktoré v rozhodnutí zdôvodní.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bola v tomto smere vyprecizovaná a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 v časti §323i odsek 2</w:t>
              <w:br/>
            </w:r>
            <w:r>
              <w:rPr>
                <w:b w:val="off"/>
                <w:color w:val="000000"/>
                <w:rFonts w:ascii="Times New Roman" w:hAnsi="Times New Roman" w:cs="Times New Roman" w:eastAsia="Times New Roman"/>
                <w:sz w:val="24"/>
              </w:rPr>
              <w:t xml:space="preserve">V § 323i ods. 2 znie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môže žalobcovi aj bez návrhu žalovaného uložiť za zneužívajúce súdne konanie pokutu od 500 eur do výšky 10 % z hodnoty sporných nárokov alebo hodnoty, ktorá má byť základom na výpočet súdneho poplatku.“  Alternatívne navrhujeme za prvú vetu doplniť druhú vetu, ktorá znie takto: „Ak možno túto hodnotu zistiť len s nepomernými ťažkosťami alebo ak ju nemožno zistiť vôbec, určí ju súd podľa svojho odhadu. Rovnako súd postupuje aj vtedy, ak túto hodnotu možno zistiť znaleckým posudkom, avšak náklady na jeho vypracovanie sú v zjavnom nepomere k predmetu sporu.“.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CSP nedefinuje ani neuvádza v žiadnych ustanoveniach pojem "žalovaná suma", navrhujeme nahradiť tento pojem pojmom definovaným v ustanovení § 264 ods. 1 CSP, a to "hodnota sporných nárokov alebo hodnota, ktorá má byť základom na výpočet súdneho poplatku", čím bude zabezpečená určitosť navrhovanej právnej úpravy a zosúladenie navrhovanej právnej úpravy s existujúcim znením CSP. Zároveň navrhujeme doplniť úpravu situácií, kedy možno túto hodnotu zistiť len s nepomernými ťažkosťami, alebo ak ju nemožno zistiť vôbec, a to obdobným spôsobom, akým sú tieto situácie upravené v ustanovení § 264 ods. 1 a 2 CSP.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primerane upravené v súlade s uplatnenými pripomienkami, pričom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 v časti §323i odsek 5</w:t>
              <w:br/>
            </w:r>
            <w:r>
              <w:rPr>
                <w:b w:val="off"/>
                <w:color w:val="000000"/>
                <w:rFonts w:ascii="Times New Roman" w:hAnsi="Times New Roman" w:cs="Times New Roman" w:eastAsia="Times New Roman"/>
                <w:sz w:val="24"/>
              </w:rPr>
              <w:t>V ustanovení § 323i ods. 5 druhá veta, navrhujeme predĺženie lehoty na vyčíslenie trov konania z troch na desať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troch pracovných dní sa javí ako neprimerane krátka najmä v kontexte ustanovenia § 323i ods. 6, keďže v komplikovanejších súdnych konaniach môže byť vyčíslenie trov časovo náročnejšie.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bola predĺžená na základe kompromisu.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323a</w:t>
              <w:br/>
            </w:r>
            <w:r>
              <w:rPr>
                <w:b w:val="off"/>
                <w:color w:val="000000"/>
                <w:rFonts w:ascii="Times New Roman" w:hAnsi="Times New Roman" w:cs="Times New Roman" w:eastAsia="Times New Roman"/>
                <w:sz w:val="24"/>
              </w:rPr>
              <w:t>Z dôvodovej správy k § 323a vyplýva, že „V súlade s § 123 CSP sa ochrana podľa tohto dielu bude vzťahovať na rôzne druhy podaní vrátane návrhov na neodkladné opatrenia alebo zabezpečovacie opatrenia“.</w:t>
              <w:br/>
            </w:r>
            <w:r>
              <w:rPr>
                <w:b w:val="off"/>
                <w:color w:val="000000"/>
                <w:rFonts w:ascii="Times New Roman" w:hAnsi="Times New Roman" w:cs="Times New Roman" w:eastAsia="Times New Roman"/>
                <w:sz w:val="24"/>
              </w:rPr>
              <w:t>Termín „podanie“  (definovaný v § 123 CSP) sa v návrhu nachádza len v § 323h pri možnosti odmietnuť podanie ak ide o zjavne zneužívajúce konanie. Odporúčame doplniť tento, prípadne iné ustanovenie novely tak, aby bolo nepochybné, že na neodkladné opatrenia alebo zabezpečovacie opatrenia sa aplikujú všetky procesné záruky uvedené v § 323f až § 323i.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Bude doplnená dôvodová správa ozrejmujúca, že  v § 323a ods. 4 je výslovne uvedené, že zneužívajúce konania proti verejnej účasti sú súdnymi konaniami. </w:t>
              <w:br/>
            </w:r>
            <w:r>
              <w:rPr>
                <w:b w:val="off"/>
                <w:color w:val="000000"/>
                <w:rFonts w:ascii="Times New Roman" w:hAnsi="Times New Roman" w:cs="Times New Roman" w:eastAsia="Times New Roman"/>
                <w:sz w:val="24"/>
              </w:rPr>
              <w:t>Nariadenie neodkladných opatrení aj zabezpečovacích konaní sa tiež uskutočňujú v rámci súdnych konaní, ktoré sa podľa § 156 CSP začínajú doručením návrhu.</w:t>
              <w:br/>
            </w:r>
            <w:r>
              <w:rPr>
                <w:b w:val="off"/>
                <w:color w:val="000000"/>
                <w:rFonts w:ascii="Times New Roman" w:hAnsi="Times New Roman" w:cs="Times New Roman" w:eastAsia="Times New Roman"/>
                <w:sz w:val="24"/>
              </w:rPr>
              <w:t>Keďže podľa § 323j sa všeobecné ustanovenia o konaní sa použijú aj v tomto „osobitnom procesnom postupe“, budú sa aplikovať vrátane § 156 CSP t. j. aj na neodkladné opatrenia a zabezpečovacie opatrenia. Aj v týchto súdnych konaniach sa teda budú aplikovať všetky procesné záruky uvedené v § 323f až § 323i.</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§323f ods.2</w:t>
              <w:br/>
            </w:r>
            <w:r>
              <w:rPr>
                <w:b w:val="off"/>
                <w:color w:val="000000"/>
                <w:rFonts w:ascii="Times New Roman" w:hAnsi="Times New Roman" w:cs="Times New Roman" w:eastAsia="Times New Roman"/>
                <w:sz w:val="24"/>
              </w:rPr>
              <w:t xml:space="preserve">Navrhujeme za slovo „lehote“ vložiť slová „ktorá nesmie byť kratšia ako 10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 ísť o lehotu, ktorú nemožno odpustiť, preto by najvhodnejšie bolo upraviť zákonnú lehotu, nie sudcovskú, pretože môžu vznikať veľké rozdiely pri rôznych sudcoch v prístupe. Bez úpravy minimálnej dĺžky lehoty by dochádzalo k právnej neistote a tiež pri ultrakrátkych lehotách k obmedzeniu práv žalobcu a odopreniu prístupu k súdu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§323f ods. 5 písm. c) a d)</w:t>
              <w:br/>
            </w:r>
            <w:r>
              <w:rPr>
                <w:b w:val="off"/>
                <w:color w:val="000000"/>
                <w:rFonts w:ascii="Times New Roman" w:hAnsi="Times New Roman" w:cs="Times New Roman" w:eastAsia="Times New Roman"/>
                <w:sz w:val="24"/>
              </w:rPr>
              <w:t xml:space="preserve">Navrhujeme v písm. c) pred slovo „skončenia“ vložiť slovo „právoplatného“ a v písm. d) pred slovo „rozhodnutím“ vložiť slovo „právoplatným“.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písm. c) ide o gramatickú opravu v súlade so zákonnými definíciami. V písm. d) odporúčame doplniť slovo „právoplatným“, aby bolo zrejmé, že súd môže vrátiť zábezpeku späť žalobcovi až po právoplatnom rozhodnutí súdu, tj. nie predčasne po prvom rozhodnutí ktoré môže byť napadnuté opravným prostriedkom. Návrh posilňuje ochranu žalobcovho nároku na zábezpeku a legislatívne ho precizuje.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323g ods. 2 a 5</w:t>
              <w:br/>
            </w:r>
            <w:r>
              <w:rPr>
                <w:b w:val="off"/>
                <w:color w:val="000000"/>
                <w:rFonts w:ascii="Times New Roman" w:hAnsi="Times New Roman" w:cs="Times New Roman" w:eastAsia="Times New Roman"/>
                <w:sz w:val="24"/>
              </w:rPr>
              <w:t xml:space="preserve">Navrhujeme v odseku 2 za slovo „lehote“ vložiť slová „ktorá nesmie byť kratšia ako 10 dní,“.  Odsek 5 navrhujeme nahradiť nasledovným znením: „Súd preddavok vráti, ak nepriznal právoplatným rozhodnutím náhradu trov  konania žalobcovi alebo žiadnej zo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Má ísť o lehotu, ktorú nemožno odpustiť, preto by úplne najvhodnejšie bolo upraviť zákonnú lehotu, nie sudcovskú, pretože môžu vznikať veľké rozdiely pri rôznych sudcoch v prístupe. Bez úpravy minimálnej dĺžky lehoty by dochádzalo k právnej neistote a tiež pri ultrakrátkych lehotách k obmedzeniu práv žalobcu a odopreniu prístupu k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5 odporúčame doplniť slová „právoplatným rozhodnutím“ aby bolo zrejmé, že súd môže vrátiť žalobcovi preddavok na trovy konania až po nadobudnutí právoplatnosti daného rozhodnutia, a nie už po jeho vydaní. Návrh posilňuje žalobcovho nároku na preddavok a legislatívne ho precizuje. Tiež je potrebné upraviť situáciu, keď žiadnej zo strán nebude priznaná náhrada trov konania-aj vtedy by sa preddavok mal vrátiť žalovanému.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rozporovom konaní sa dohodlo upravené znenie, ktoré bude doplnené do § 323 ods. 2 a 5.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323h ods. 3</w:t>
              <w:br/>
            </w:r>
            <w:r>
              <w:rPr>
                <w:b w:val="off"/>
                <w:color w:val="000000"/>
                <w:rFonts w:ascii="Times New Roman" w:hAnsi="Times New Roman" w:cs="Times New Roman" w:eastAsia="Times New Roman"/>
                <w:sz w:val="24"/>
              </w:rPr>
              <w:t>Odsek 3 navrhujeme nahradiť nasledovným znením: „Ak žalobca nesplní svoju povinnosť podľa odseku 2 a v súdom určenej lehote, ktorá nesmie byť kratšia ako 10 dní, sa nevyjadrí alebo žalobu neodôvodní, súd konanie zastaví.“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explicitne uviesť, že má ísť o sudcovskú lehotu, aby bolo jasné, že táto lehota môže byť v odôvodnených prípadoch predĺžená na návrh žalobcu. Zároveň by nemala byť kratšia ako 10 dní, aby nedochádzalo k prílišnému znevýhodňovaniu žalobcu. Je predpoklad, že žalovaní budú takýto návrh podávať vždy automaticky ako súčasť procesnej taktiky.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§323i ods. 4</w:t>
              <w:br/>
            </w:r>
            <w:r>
              <w:rPr>
                <w:b w:val="off"/>
                <w:color w:val="000000"/>
                <w:rFonts w:ascii="Times New Roman" w:hAnsi="Times New Roman" w:cs="Times New Roman" w:eastAsia="Times New Roman"/>
                <w:sz w:val="24"/>
              </w:rPr>
              <w:t>Za navrhované znenie odporúčame nahradiť bodku bodkočiarku a doplniť „takto priznaná náhrada nesmie presiahnuť výšku skutočne vynaložených trov právneho zastúpenia žalovaného.“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pravidlo, že na priznaných trovách by sa nemalo zarábať. Východisko by preto mohlo byť to, že súd nebude postupovať podľa advokátskej tarify, ale bude vychádzať zo skutočne vynaložených trov právneho zastúpenia, teda zo skutočne zaplatenej odmeny za právne služby žalovaným. Ak by sa ponechal len pojem „primerané trovy“ tak by to v praxi mohlo spôsobovať veľké odchýlky v rôznych prípadoch. Primeranosť naďalej ostáva kritériom, ktoré musí súd vyhodnotiť, pretože je vyjadrená v hlavnej vete pred bodkočiarkou. Doplnením vety za bodkočiarkou vznikne kaskáda:</w:t>
              <w:br/>
            </w:r>
            <w:r>
              <w:rPr>
                <w:b w:val="off"/>
                <w:color w:val="000000"/>
                <w:rFonts w:ascii="Times New Roman" w:hAnsi="Times New Roman" w:cs="Times New Roman" w:eastAsia="Times New Roman"/>
                <w:sz w:val="24"/>
              </w:rPr>
              <w:t>-Súd nevyužije sankciu a prizná trovy podľa tarify (všeobecné pravidlo);</w:t>
              <w:br/>
            </w:r>
            <w:r>
              <w:rPr>
                <w:b w:val="off"/>
                <w:color w:val="000000"/>
                <w:rFonts w:ascii="Times New Roman" w:hAnsi="Times New Roman" w:cs="Times New Roman" w:eastAsia="Times New Roman"/>
                <w:sz w:val="24"/>
              </w:rPr>
              <w:t>-Súd využije sankciu a prizná primerané trovy nad tarifu (vo výške podľa svojho uváženia) s horným limitom „skutočných trov“ (osobitné pravidlo s horným limitom).</w:t>
              <w:br/>
            </w:r>
            <w:r>
              <w:rPr>
                <w:b w:val="off"/>
                <w:color w:val="000000"/>
                <w:rFonts w:ascii="Times New Roman" w:hAnsi="Times New Roman" w:cs="Times New Roman" w:eastAsia="Times New Roman"/>
                <w:sz w:val="24"/>
              </w:rPr>
              <w:t>Uvedený návrh je v súlade s čl. 14 smernice ktorý priznáva náhradu trov v celej výške, ak nie sú neprimerané.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doplnené v dôvodovej správe, že na základe § 323j sa bude uplatňovať aj § 251, ktorý upravuje, že trovy konania sú všetky preukázané, odôvodnené a účelne vynaložené výdavky, ktoré vzniknú v konaní v súvislosti s uplatňovaním alebo bránením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323c</w:t>
              <w:br/>
            </w:r>
            <w:r>
              <w:rPr>
                <w:b w:val="off"/>
                <w:color w:val="000000"/>
                <w:rFonts w:ascii="Times New Roman" w:hAnsi="Times New Roman" w:cs="Times New Roman" w:eastAsia="Times New Roman"/>
                <w:sz w:val="24"/>
              </w:rPr>
              <w:t>V navrhovanom § 323c chýba ešte situácia, ak ide o klasický spor, a žalovaný podá vzájomnú žalobu voči žalobcovi, ktorá podľa svojho obsahu je sporom proti verejnej účasti. Odsek 2 daného paragrafu § 323c totiž rieši presne opačnú situáciu (v spore proti verejnej účasti je podaná vzájomná žaloba, ktorá nie je sporom proti verejnej účasti), ktorá navyše nebude zrejme ani veľmi častá, nakoľko žalovaný (voči ktorému je vedený spor proti verejnej účasti) zrejme nebude sám podávať vzájomnú žalobu na žalobcu, ktorá by sama o sebe bola sporom proti verejnej účasti (ak je žalovaný v takýchto sporoch chápaný ako slabšia strana, tak je v podstate vylúčené, aby pri vzájomnej žalobe sa  zrazu stal silnejšou stranou proti žalobcovi, ktorý sa naopak zo silnejšej strany stane stranou slabšou). Navrhovaný tretí odsek by mohol znieť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 konaní, ktoré nie je sporom proti verejnej účasti, je vzájomnou žalobou uplatnený nárok, ktorý je sporom proti verejnej účasti, súd tento nárok vylúči na samostatné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Vladislav Pečík</w:t>
              <w:br/>
            </w:r>
            <w:r>
              <w:rPr>
                <w:b w:val="off"/>
                <w:color w:val="000000"/>
                <w:rFonts w:ascii="Times New Roman" w:hAnsi="Times New Roman" w:cs="Times New Roman" w:eastAsia="Times New Roman"/>
                <w:sz w:val="24"/>
              </w:rPr>
              <w:t>sudca Mestského súdu Bratislava IV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danom prípade pôjde o situáciu, keď sa veci na spojenie podľa § 166 CSP nehodia a v kombinácii s § 147 CSP by mal súd takúto vzájomnú žalobu vylúčiť na samostatné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323i ods. 2</w:t>
              <w:br/>
            </w:r>
            <w:r>
              <w:rPr>
                <w:b w:val="off"/>
                <w:color w:val="000000"/>
                <w:rFonts w:ascii="Times New Roman" w:hAnsi="Times New Roman" w:cs="Times New Roman" w:eastAsia="Times New Roman"/>
                <w:sz w:val="24"/>
              </w:rPr>
              <w:t>V navrhovanom § 323i ods. 2 je potrebné preformulovať znenie, nakoľko (aj keď také prípady budú veľmi zriedkavá vzhľadom na vysokú žalovanú sumu) môže v určitých situáciách viesť k paradoxným situáciám, že dolná hranica pokuty bude zadefinovaná vyššie ako horná hranica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napr. žalovaná suma bola 200 eur, tak podľa teraz navrhovaného znenia by výška pokuty bola od 500 eur do 20 eur (10 % z 200).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Teda treba toto znenie preformulovať napríklad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môže žalobcovi aj bez návrhu žalovaného uložiť za zneužívajúce súdne konanie pokutu do výšky 10 % zo žalovanej sumy, najmenej však 500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Vladislav Pečík</w:t>
              <w:br/>
            </w:r>
            <w:r>
              <w:rPr>
                <w:b w:val="off"/>
                <w:color w:val="000000"/>
                <w:rFonts w:ascii="Times New Roman" w:hAnsi="Times New Roman" w:cs="Times New Roman" w:eastAsia="Times New Roman"/>
                <w:sz w:val="24"/>
              </w:rPr>
              <w:t>sudca Mestského súdu Bratislava IV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 nevyhovieť 2 pripomienkam Ministerstva vnútra SR, ktoré sa týkajú obmedzenia rozsudku pre zmeškanie žalovaného a fikcie doručenia v civilnom procese.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s predmetom návrhu zákona (transpozícia smernice EÚ č. 2024/1069) vôbec nesúvisia. Navyše je maximálne absurdné, že Ministerstvo vnútra SR uplatňuje tieto pripomienky zjavne účelovo po tom, ako boli tieto inštitúty uplatnené práve voči ministrovi vnútra, navyše ako súkromnej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by však malo byť týmto pripomienkám vyhovené, potom bude potrebné opätovne predložiť návrh zákona na pripomienkové konanie podľa čl. 15 ods. 7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vyjadrenie názoru na pripomienku iného subjektu, teda nejde o pripomienku k návrhu právneho predpisu. Dávame do pozornosti vyhodnotenie pripomienok MV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323f ods. 5 písm. d)</w:t>
              <w:br/>
            </w:r>
            <w:r>
              <w:rPr>
                <w:b w:val="off"/>
                <w:color w:val="000000"/>
                <w:rFonts w:ascii="Times New Roman" w:hAnsi="Times New Roman" w:cs="Times New Roman" w:eastAsia="Times New Roman"/>
                <w:sz w:val="24"/>
              </w:rPr>
              <w:t>V súvislosti s čl. I bod 1 § 323f ods. 5 písm. d) vzniká otázka, či súd má vrátiť zábezpeku už na základe neprávoplatného rozhodnutia súdu prvej inštancie o odmietnutí alebo zamietnutí žaloby alebo o zastavení konania alebo až po tom, ako takéto rozhodnutie nadobudne právoplatnosť. Je potrebné túto otázku vyjasniť minimálne v dôvodovej správe alebo priamo v texte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byť zábezpeka vrátená už na základe neprávoplatného prvoinštančného rozhodnutia, je vhodné za slovo „súd“ doplniť slová „prvej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byť zábezpeka vrátená až na základe právoplatného rozhodnutia, je vhodné pred slovo „rozhodnutím“ doplniť slovo „právoplatným“.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323f ods. 5 písm. c)</w:t>
              <w:br/>
            </w:r>
            <w:r>
              <w:rPr>
                <w:b w:val="off"/>
                <w:color w:val="000000"/>
                <w:rFonts w:ascii="Times New Roman" w:hAnsi="Times New Roman" w:cs="Times New Roman" w:eastAsia="Times New Roman"/>
                <w:sz w:val="24"/>
              </w:rPr>
              <w:t>V čl. I bod 1 § 323f ods. 5 písm. c) zvážiť slová „povahu a okolnosti“ nahradiť slovami „povahu, okolnosti a priebeh“.  Ide o doplnenie slova „priebeh“.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transpozičné ustanovenie. V neposlednom rade slová „povaha a okolnosti“ v sebe subsumujú aj priebeh sporu.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357 písm. k)</w:t>
              <w:br/>
            </w:r>
            <w:r>
              <w:rPr>
                <w:b w:val="off"/>
                <w:color w:val="000000"/>
                <w:rFonts w:ascii="Times New Roman" w:hAnsi="Times New Roman" w:cs="Times New Roman" w:eastAsia="Times New Roman"/>
                <w:sz w:val="24"/>
              </w:rPr>
              <w:t>V súvislosti s čl. I bodom 2 [§ 357 písm. k) CSP] vzniká otázka, či má byť odvolanie prípustné len proti rozhodnutiam, ktorými bola uložená povinnosti zložiť zábezpeku, alebo aj proti rozhodnutiam, ktorými súd zamietol návrh žalovaného na uloženie povinnosti zložiť zábezpeku alebo preddavok. Je potrebné túto otázku vyjasniť aspoň v dôvodovej správe alebo upresniť priamo znenie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byť odvolanie prípustné aj proti zamietavým rozhodnutiam, je vhodné napr. doplniť slová: „a o zamietnutí návrhu na uloženie povinnosti zložiť zábezpeku alebo preddavok v sporoch proti verejnej 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byť odvolanie prípustné len proti rozhodnutiam, ktorými bola uložená táto povinnosť, je vhodné slová „povinnosti zložiť“ nahradiť slovami „uložení povinnosti zložiť“.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bol preformulovaný a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Civilného sporového poriadku do štvrtej časti do prvej hlavy upravujúcej odvolanie (§ 355 až 396) doplniť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„Odvolací súd môže na návrh odložiť vykonateľnosť napadnutého rozhodnutia, ak sú tu dôvody hodné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„Odvolací súd môže v odôvodnených prípadoch na návrh odložiť vykonateľnosť napadnutého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je možné vložiť napr. ako nový § 385a alebo ako nový odsek v § 378.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Ide o doplnenie ustanovenia, ktoré umožní odvolaciemu súdu odložiť vykonateľnosť napadnutého rozhodnutia v prípade, že ide o tzv. predbežne vykonateľné rozhodnutie, teda rozhodnutie, ktoré je vykonateľné už samotným doručením (ešte predtým, ako rozhodnutie nadobudne právoplatnosť).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predbežne vykonateľné rozhodnutia patria najmä neodkladné opatrenia, ktoré sú vykonateľné doručením, ďalej napr. rozsudky o výživnom a rozsudky, v ktorých súd rozhodne o predbežnej vykonateľnosti doručením podľa § 223 CSP.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by teda malo význam aj v sporoch proti verejnej účasti, v ktorých by bolo vydané neodkladné opatrenie.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týchto prípadoch je žiadúce, aby aj odvolací súd mal možnosť odložiť vykonateľnosť napadnutého rozhodnutia ešte pred rozhodnutím o odvolaní. Ide o analogickú úpravu, aká platí v dovolacom konaní. Podľa § 444 ods. 1 CSP, dovolací súd môže na návrh odložiť vykonateľnosť napadnutého rozhodnutia, ak sú tu dôvody hodné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Rovnakú možnosť by preto mal mať aj odvolací súd vo vzťahu k predbežne vykonateľným rozhodnutiam súdu prvej inštancie. Odvolanie pritom smeruje proti neprávoplatným rozhodnutiam, narozdiel od právoplatných rozhodnutí v prípade dovolania. O to viac je preto zavedenie tejto možnosti opodstatnené aj v odvolacom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nad rámec a netýka sa sporov proti verejnej účasti. Predkladateľ zváži navrhovanú právnu úpravu v rámci všeobecných novelizácií CSP.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323i ods. 2</w:t>
              <w:br/>
            </w:r>
            <w:r>
              <w:rPr>
                <w:b w:val="off"/>
                <w:color w:val="000000"/>
                <w:rFonts w:ascii="Times New Roman" w:hAnsi="Times New Roman" w:cs="Times New Roman" w:eastAsia="Times New Roman"/>
                <w:sz w:val="24"/>
              </w:rPr>
              <w:t xml:space="preserve">V čl. I bode 1 § 323i ods. 2 je potrebné zohľadniť prípady, kedy by 10 % zo žalovanej sumy (horná hranica pokuty) bolo menej ako 500 eur (dolná hranica pokuty).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vhodné zvážiť úplné vypustenie dolnej hranice pokuty, keďže uloženie tejto pokuty je iba fakultatívna možnosť súdu a ani pri klasickej poriadkovej pokute (§ 102 CSP) nie je stanovená dolná hranica. Teda ponechať len hornú hranicu pokuty s tým, že pokuta môže byť uložená do 10 % zo žalovanej sumy alebo do 500 eur, podľa toho, ktorá suma je vyššia.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upraveného znenia § 323i ods. 2: „Súd môže žalobcovi aj bez návrhu žalovaného uložiť za zneužívajúce súdne konanie pokutu do 10 % zo žalovanej sumy alebo do 500 eur, podľa toho, ktorá suma je vyššia.“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preformulované v súlade so zapracovaním ostatných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323f ods. 2 a § 323g ods. 2</w:t>
              <w:br/>
            </w:r>
            <w:r>
              <w:rPr>
                <w:b w:val="off"/>
                <w:color w:val="000000"/>
                <w:rFonts w:ascii="Times New Roman" w:hAnsi="Times New Roman" w:cs="Times New Roman" w:eastAsia="Times New Roman"/>
                <w:sz w:val="24"/>
              </w:rPr>
              <w:t>V čl. I bode 1 § 323f ods. 2 a § 323g ods. 2 je vhodné doplniť minimálnu dĺžku sudcovskej lehoty, v rámci ktorej musí byť zložená zábezpeka alebo preddavok. Napr. za slová „súdom určenej lehote“ doplniť čiarku a slová „ktorá nemôže byť kratšia ako 10 dní,“. Alternatívne zvážiť stanovenie fixnej zákonnej lehoty, prípadne rozpätia pre sudcovskú lehotu (napr. od 5 do 15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323i ods. 5</w:t>
              <w:br/>
            </w:r>
            <w:r>
              <w:rPr>
                <w:b w:val="off"/>
                <w:color w:val="000000"/>
                <w:rFonts w:ascii="Times New Roman" w:hAnsi="Times New Roman" w:cs="Times New Roman" w:eastAsia="Times New Roman"/>
                <w:sz w:val="24"/>
              </w:rPr>
              <w:t>V čl. I bode 1 § 323i ods. 5 slová „po právoplatnosti“ nahradiť slovami „od pravoplatnosti“. Ide o opravu predložky z dôvodu vhodnosti.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323j</w:t>
              <w:br/>
            </w:r>
            <w:r>
              <w:rPr>
                <w:b w:val="off"/>
                <w:color w:val="000000"/>
                <w:rFonts w:ascii="Times New Roman" w:hAnsi="Times New Roman" w:cs="Times New Roman" w:eastAsia="Times New Roman"/>
                <w:sz w:val="24"/>
              </w:rPr>
              <w:t>V čl. I bode 1 § 323j je potrebné slovo „uvedené“ nahradiť slovom „ustanovené“. Legislatívno-technická pripomienka na zosúladenie s existujúcimi ustanoveniami CSP.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323c ods. 2</w:t>
              <w:br/>
            </w:r>
            <w:r>
              <w:rPr>
                <w:b w:val="off"/>
                <w:color w:val="000000"/>
                <w:rFonts w:ascii="Times New Roman" w:hAnsi="Times New Roman" w:cs="Times New Roman" w:eastAsia="Times New Roman"/>
                <w:sz w:val="24"/>
              </w:rPr>
              <w:t>V čl. I bode 1 § 323c ods. 2 zvážiť vypustenie slov „uplatnený vzájomnou žalobou“. Ustanovenie by tak znelo: „Súd vylúči na samostatné konanie nárok, ktorý nie je sporom proti verejnej 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všeobecné znenie by pokrylo nielen prípady, kedy je nárok, ktorý nie je sporom proti verejnej účasti, uplatnený vzájomnou žalobou, ale aj ďalšie obdobné prípady, napr. ak sú v jednej žalobe uplatnené rôzne nároky, pričom len niektoré z nich predstavujú spor proti verejnej účasti.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sa veci v žalobe nehodia na spojenie, takúto situáciu rieši § 166 CSP.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SIGNUM legal</w:t>
              <w:br/>
            </w:r>
            <w:r>
              <w:rPr>
                <w:b w:val="off"/>
                <w:color w:val="000000"/>
                <w:rFonts w:ascii="Times New Roman" w:hAnsi="Times New Roman" w:cs="Times New Roman" w:eastAsia="Times New Roman"/>
                <w:sz w:val="24"/>
              </w:rPr>
              <w:t>SIGNUM legal s. r. o.</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Nový inštitút (preventívny list)</w:t>
              <w:br/>
            </w:r>
            <w:r>
              <w:rPr>
                <w:b w:val="off"/>
                <w:color w:val="000000"/>
                <w:rFonts w:ascii="Times New Roman" w:hAnsi="Times New Roman" w:cs="Times New Roman" w:eastAsia="Times New Roman"/>
                <w:sz w:val="24"/>
              </w:rPr>
              <w:t>Návrh na zavedenie inštitútu tzv. preventívneho listu do slovenského procesného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Podávajú spoločne: 	</w:t>
              <w:br/>
            </w:r>
            <w:r>
              <w:rPr>
                <w:b w:val="off"/>
                <w:color w:val="000000"/>
                <w:rFonts w:ascii="Times New Roman" w:hAnsi="Times New Roman" w:cs="Times New Roman" w:eastAsia="Times New Roman"/>
                <w:sz w:val="24"/>
              </w:rPr>
              <w:t>JUDr. Tomáš Klinka, advokát (iniciátor a kontaktná osoba)</w:t>
              <w:br/>
            </w:r>
            <w:r>
              <w:rPr>
                <w:b w:val="off"/>
                <w:color w:val="000000"/>
                <w:rFonts w:ascii="Times New Roman" w:hAnsi="Times New Roman" w:cs="Times New Roman" w:eastAsia="Times New Roman"/>
                <w:sz w:val="24"/>
              </w:rPr>
              <w:t>JUDr. Peter Komínek, advokát</w:t>
              <w:br/>
            </w:r>
            <w:r>
              <w:rPr>
                <w:b w:val="off"/>
                <w:color w:val="000000"/>
                <w:rFonts w:ascii="Times New Roman" w:hAnsi="Times New Roman" w:cs="Times New Roman" w:eastAsia="Times New Roman"/>
                <w:sz w:val="24"/>
              </w:rPr>
              <w:t>JUDr. Štefan Pilár, advokát</w:t>
              <w:br/>
            </w:r>
            <w:r>
              <w:rPr>
                <w:b w:val="off"/>
                <w:color w:val="000000"/>
                <w:rFonts w:ascii="Times New Roman" w:hAnsi="Times New Roman" w:cs="Times New Roman" w:eastAsia="Times New Roman"/>
                <w:sz w:val="24"/>
              </w:rPr>
              <w:t>SIGNUM legal s. r. o., advokátska kancelária</w:t>
              <w:br/>
            </w:r>
            <w:r>
              <w:rPr>
                <w:b w:val="off"/>
                <w:color w:val="000000"/>
                <w:rFonts w:ascii="Times New Roman" w:hAnsi="Times New Roman" w:cs="Times New Roman" w:eastAsia="Times New Roman"/>
                <w:sz w:val="24"/>
              </w:rPr>
              <w:t>Mgr. Martin Guttmann, MBA, advokát</w:t>
              <w:br/>
            </w:r>
            <w:r>
              <w:rPr>
                <w:b w:val="off"/>
                <w:color w:val="000000"/>
                <w:rFonts w:ascii="Times New Roman" w:hAnsi="Times New Roman" w:cs="Times New Roman" w:eastAsia="Times New Roman"/>
                <w:sz w:val="24"/>
              </w:rPr>
              <w:t>JUDr. Michal Ďubek, PhD., advokát</w:t>
              <w:br/>
            </w:r>
            <w:r>
              <w:rPr>
                <w:b w:val="off"/>
                <w:color w:val="000000"/>
                <w:rFonts w:ascii="Times New Roman" w:hAnsi="Times New Roman" w:cs="Times New Roman" w:eastAsia="Times New Roman"/>
                <w:sz w:val="24"/>
              </w:rPr>
              <w:t>PhDr. Mgr. Michal Krajčírovič, advokát (CZ)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Dátum vyhotovenia: 30.11.2025</w:t>
              <w:br/>
            </w:r>
            <w:r>
              <w:rPr>
                <w:b w:val="off"/>
                <w:color w:val="000000"/>
                <w:rFonts w:ascii="Times New Roman" w:hAnsi="Times New Roman" w:cs="Times New Roman" w:eastAsia="Times New Roman"/>
                <w:sz w:val="24"/>
              </w:rPr>
              <w:t>Dátum uplatnenia:	03.12.2025</w:t>
              <w:br/>
            </w:r>
            <w:r>
              <w:rPr>
                <w:b w:val="off"/>
                <w:color w:val="000000"/>
                <w:rFonts w:ascii="Times New Roman" w:hAnsi="Times New Roman" w:cs="Times New Roman" w:eastAsia="Times New Roman"/>
                <w:sz w:val="24"/>
              </w:rPr>
              <w:t xml:space="preserve">Uplatnené:  v rámci PK ako zásadná pripomienka k návrhu novely Civilného sporového poriadku v súvislosti s tzv. SLAPP: https://www.slov-lex.sk/elegislativa/legislativne-procesy/SK/LP/2025/667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(novela CSP + novela zákona o súdnych poplatkoch)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160/2015 Z. z. Civilný sporový poriadok v znení neskorších predpisov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327 sa vkladá § 327a,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327a </w:t>
              <w:br/>
            </w:r>
            <w:r>
              <w:rPr>
                <w:b w:val="off"/>
                <w:color w:val="000000"/>
                <w:rFonts w:ascii="Times New Roman" w:hAnsi="Times New Roman" w:cs="Times New Roman" w:eastAsia="Times New Roman"/>
                <w:sz w:val="24"/>
              </w:rPr>
              <w:t>Preventívny list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Ten, kto sa dôvodne obáva, že proti nemu bude v blízkej budúcnosti podaný návrh na nariadenie neodkladného opatrenia (ďalej ako „žiadateľ“), môže na súde, ktorý by bol príslušný na konanie o návrhu na nariadenie neodkladného opatrenia, podať preventívny list, ktorým požiada o ochranu pred neodkladným opatrením. V preventívnom liste sa popri sa popri všeobecných náležitostiach podania uvedie označenie osoby, od ktorej možno dôvodne očakávať podanie návrhu na nariadenie neodkladného opatrenia (ďalej len „predpokladaný navrhovateľ“), opísanie rozhodujúcich skutočností, ktoré odôvodňujú obavu z podania návrhu na nariadenie neodkladného opatrenia, informácie o prebiehajúcich súvisiacich súdnych alebo iných konaniach medzi žiadateľom a predpokladaným navrhovateľom a dôvody, pre ktoré by mal byť návrh na nariadenie neodkladného opatrenia, ak bude podaný predpokladaným navrhovateľom, zamietnutý. Ustanovenia o odstraňovaní vád podania sa nepoužijú.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Preventívnym listom môže žiadateľ navrhnúť, aby navrhovateľ zložil zábezpeku do úschovy súdu na náhradu škody alebo inej ujmy vzniknutej neodkladným opatrením (§ 340) alebo aby vykonateľnosť neodkladného opatrenia bola podmienená zložením peňažnej zábezpeky. Pri rozhodovaní o výške peňažnej zábezpeky súd prihliadne na rozsah škody alebo inej ujmy, ktorá môže vzniknúť žiadateľovi, ako aj na majetkové možnosti navrhovateľa s tým, že uloženie povinnosti zložiť zábezpeku nesmie byť podstatnou prekážkou účelného uplatnenia práva. Zo zloženej zábezpeky sa uspokojí žiadateľovi právoplatne priznaná náhrada škody alebo inej ujmy. Povinnosť nahradiť škodu alebo inú ujmu, ktorá nebola z tejto zábezpeky uspokojená, tým nie je dotknutá. Súd vráti zloženú zábezpeku alebo jej pomernú časť navrhovateľovi, ak</w:t>
              <w:br/>
            </w:r>
            <w:r>
              <w:rPr>
                <w:b w:val="off"/>
                <w:color w:val="000000"/>
                <w:rFonts w:ascii="Times New Roman" w:hAnsi="Times New Roman" w:cs="Times New Roman" w:eastAsia="Times New Roman"/>
                <w:sz w:val="24"/>
              </w:rPr>
              <w:t>a)	žiadateľ neuplatní nárok na náhradu škody alebo inej ujmy na súde v lehote šiestich mesiacov odo dňa, keď sa dozvedel o vzniku škody alebo inej ujmy, najneskôr však do troch rokov od nariadenia neodkladného opatrenia,</w:t>
              <w:br/>
            </w:r>
            <w:r>
              <w:rPr>
                <w:b w:val="off"/>
                <w:color w:val="000000"/>
                <w:rFonts w:ascii="Times New Roman" w:hAnsi="Times New Roman" w:cs="Times New Roman" w:eastAsia="Times New Roman"/>
                <w:sz w:val="24"/>
              </w:rPr>
              <w:t>b)	bola súdu predložená dohoda strán o použití peňažnej zábezpeky alebo</w:t>
              <w:br/>
            </w:r>
            <w:r>
              <w:rPr>
                <w:b w:val="off"/>
                <w:color w:val="000000"/>
                <w:rFonts w:ascii="Times New Roman" w:hAnsi="Times New Roman" w:cs="Times New Roman" w:eastAsia="Times New Roman"/>
                <w:sz w:val="24"/>
              </w:rPr>
              <w:t>c)	navrhovateľ bol vo veci samej celkom alebo sčasti úspešný.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sú splnené podmienky podľa odseku 1 a je zaplatený súdny poplatok, súd bezodkladne zapíše preventívny list do osobitného súdneho registra (ďalej ako „register preventívnych listov“), prihliadne naň v konaní o návrhu na nariadenie neodkladného opatrenia, ktorý proti žiadateľovi podá predpokladaný navrhovateľ do šiestich mesiacov od podania preventívneho listu </w:t>
              <w:br/>
            </w:r>
            <w:r>
              <w:rPr>
                <w:b w:val="off"/>
                <w:color w:val="000000"/>
                <w:rFonts w:ascii="Times New Roman" w:hAnsi="Times New Roman" w:cs="Times New Roman" w:eastAsia="Times New Roman"/>
                <w:sz w:val="24"/>
              </w:rPr>
              <w:t>a rozhodne o prípadnom návrhu žiadateľa podľa odseku 2. Preventívny list sa nedoručuje predpokladanému navrhovateľovi. Preventívny list, na ktorý súd prihliadol, sa doručuje navrhovateľovi až spolu s rozhodnutím o zamietnutí návrhu na nariadenie neodkladného opatrenia alebo s spolu s neodkladným opatrením.“.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Slovenskej národnej rady č. 71/1992 Zb. o súdnych poplatkoch a poplatku za výpis z registra trestov v znení neskorších predpisov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1 sa za písmeno g) vkladá nové písmeno h), ktoré znie:</w:t>
              <w:br/>
            </w:r>
            <w:r>
              <w:rPr>
                <w:b w:val="off"/>
                <w:color w:val="000000"/>
                <w:rFonts w:ascii="Times New Roman" w:hAnsi="Times New Roman" w:cs="Times New Roman" w:eastAsia="Times New Roman"/>
                <w:sz w:val="24"/>
              </w:rPr>
              <w:t>h) „podaním preventívneho listu podľa Civilného sporového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Sadzobníku súdnych poplatkov sa v položke 1 za písmeno g) vkladá nové písmeno h), ktoré znie:</w:t>
              <w:br/>
            </w:r>
            <w:r>
              <w:rPr>
                <w:b w:val="off"/>
                <w:color w:val="000000"/>
                <w:rFonts w:ascii="Times New Roman" w:hAnsi="Times New Roman" w:cs="Times New Roman" w:eastAsia="Times New Roman"/>
                <w:sz w:val="24"/>
              </w:rPr>
              <w:t>„h) z preventívneho listu podľa Civilného sporového poriadku ................................... 50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tá istá účinnosť, akú má nadobudnúť celý zákon ( 1. máj 2026). Prechodné ustanovenia nie sú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Stručné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preventívneho listu (Preventive Letter, Protective Letter, Schutzschrift) je v rôznych formách známy z mnohých zahraničných jurisdikcií, najmä Nemecko, Rakúsko, Švajčiarsko, ale aj Belgicko, Holandsko, Dánsko, Fínsko či Švédsko. Jeho základným zmyslom je umožniť predísť nariadeniu ex parte neodkladného opatrenia a to na základe iniciatívy strany, ktorá má dôvodnú obavu, že proti nej bude zo strany konkrétneho navrhovateľa podaný návrh na nariadenie neodkladného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Vyvažuje sa tým jednostranný (ex parte) pohľad súdu, ktorý štandardne rozhoduje o návrhu na nariadenie neodkladného opatrenia bez vypočutia druhej strany (§ 329 ods.  1 CSP). Predchádza sa tým aj hroziacim škodám, ktoré môžu vzniknúť neodkladným opatrením (§ 340 CSP). Uplatnenie inštitútu preventívneho listu by nemalo byť obmedzené len na konkrétne typy sporov (typicky spory z nekalého súťažného konania, porušovanie práv duševného vlastníctva), ale malo by byť prípustné v akomkoľvek spore, kde je možné navrhnúť nariadenie neodkladného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procesno-administratívne jednoduchý a pritom efektívny postup, keď žiadateľ musí na príslušný súd podať preventívny list so všetkými obligatórnymi náležitosťami a zaplatiť novozavedený súdny poplatok, inak súd nebude vôbec konať. Fakultatívnou náležitosťou preventívneho listu môže byť návrh na zloženie peňažnej zábezpeky na strane navrhovateľa, čo je inštitút známy z oblasti priemyselného vlastníctva (napr. § 34 patentového zákona, § 13 zákona o ochranných známkach). Ak sú obligatórne náležitosti splnené a poplatok je zaplatený, súd zapíše preventívny list do novovytvoreného súdneho registra (vyžaduje sa následná novela Spravovacieho a kancelárskeho poriadku) a prihliadne naň, keď skutočne dôjde k podaniu návrhu na nariadenie neodkladného opatrenia v priebehu primeranej doby (navrhuje sa 6 mesiacov). Takýto postup nebude zbytočne zaťažovať súdy a nespôsobí ani predĺženie konania o návrhu na nariadenie neodkladného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túto pripomienku označiť za zásadnú. Na ďalšiu odbornú diskusiu a prerokovanie je poverený JUDr. Tomáš Klinka, advokát, iniciátor a kontaktná osoba, tomas.klinka@signum.legal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 hromadnou pripomienkou sa nestotožnilo viac ako 500 ľudí, rozporové konanie sa v zmysle § 10 ods. 4 zákona č. 400/2015 Z. z. neuskutočnilo. Z uvedeného dôvodu je pripomienka vyhodnotená ako obyčajná pripomienka verejnosti. Pripomienka ide nad rámec cieľa transpozície a vzhľadom na to, že takáto úprava by mala byť predmetom pripomienkového konania, podnet bude postúpený na zváženie pracovnej skupine pre plnenie úlohy vyplývajúcej z Plánu legislatívnych úloh vlády SR pripraviť novelizáciu CSP v nadväznosti na Programové vyhlásenie vlády SR.</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36 (36o,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9 (3o,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84 (76o, 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