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254B1C0A" w:rsidR="00E66622" w:rsidRPr="00785E8D" w:rsidRDefault="00785E8D" w:rsidP="00796EBE">
      <w:pPr>
        <w:spacing w:line="276" w:lineRule="auto"/>
        <w:jc w:val="center"/>
        <w:rPr>
          <w:rFonts w:ascii="Times New Roman" w:eastAsia="Times New Roman" w:hAnsi="Times New Roman" w:cs="Times New Roman"/>
          <w:bCs/>
          <w:sz w:val="24"/>
          <w:szCs w:val="24"/>
        </w:rPr>
      </w:pPr>
      <w:r w:rsidRPr="00785E8D">
        <w:rPr>
          <w:rFonts w:ascii="Times New Roman" w:eastAsia="Times New Roman" w:hAnsi="Times New Roman" w:cs="Times New Roman"/>
          <w:b/>
          <w:sz w:val="28"/>
        </w:rPr>
        <w:t>VYHODNOTENIE PRIPOMIENKOVÉHO KONANIA</w:t>
      </w:r>
      <w:r w:rsidRPr="00785E8D">
        <w:rPr>
          <w:rFonts w:ascii="Times New Roman" w:eastAsia="Times New Roman" w:hAnsi="Times New Roman" w:cs="Times New Roman"/>
          <w:b/>
          <w:sz w:val="28"/>
        </w:rPr>
        <w:br/>
      </w:r>
      <w:r w:rsidR="009D32B4" w:rsidRPr="00785E8D">
        <w:rPr>
          <w:rFonts w:ascii="Times New Roman" w:eastAsia="Times New Roman" w:hAnsi="Times New Roman" w:cs="Times New Roman"/>
          <w:b/>
          <w:sz w:val="28"/>
        </w:rPr>
        <w:t>Návrh zákona, ktorým sa mení a dopĺňa zákon č. 359/2015 Z. z. o automatickej výmene informácií o finančných účtoch na účely správy daní a o zmene a doplnení niektorých zákonov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LP/2024/645</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87/2</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87</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64</w:t>
      </w:r>
      <w:r w:rsidR="00754CB0">
        <w:rPr>
          <w:rFonts w:ascii="Times New Roman" w:eastAsia="Times New Roman" w:hAnsi="Times New Roman" w:cs="Times New Roman"/>
          <w:sz w:val="24"/>
          <w:szCs w:val="24"/>
        </w:rPr>
        <w:t>/1</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13/</w:t>
      </w:r>
      <w:r w:rsidR="008E0404">
        <w:rPr>
          <w:rFonts w:ascii="Times New Roman" w:eastAsia="Times New Roman" w:hAnsi="Times New Roman" w:cs="Times New Roman"/>
          <w:sz w:val="24"/>
          <w:szCs w:val="24"/>
        </w:rPr>
        <w:t xml:space="preserve">1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10</w:t>
      </w:r>
      <w:r w:rsidR="004A48F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77777777"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tabulkách: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bodu 2 (§ 28 ods. 6) - O:</w:t>
              <w:br/>
            </w:r>
            <w:r>
              <w:rPr>
                <w:b w:val="off"/>
                <w:color w:val="000000"/>
                <w:rFonts w:ascii="Times New Roman" w:hAnsi="Times New Roman" w:cs="Times New Roman" w:eastAsia="Times New Roman"/>
                <w:sz w:val="24"/>
              </w:rPr>
              <w:t xml:space="preserve">Odsek 6 odporúčame preformulovať, pretože navrhované znenie je nezrozumiteľné a nie je v súlade s § 11 ods. 1 písm. c) a § 12 písm. e) zákona Slovenskej národnej rady č. 78/1992 Zb. o daňových poradcoch a Slovenskej komore daňových poradcov (ďalej len „zákon č. 78/1992 Zb.“).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 zákona č. 78/1992 Zb., ani z predloženého návrhu novely, nie je zrejmé, akým spôsobom sa bude bezúhonnosť preukazovať.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tejto súvislosti upozorňujeme, že podľa § 11 ods. 1 zákona č. 192/2023 Z. z. o registri trestov a o zmene a doplnení niektorých zákonov v znení účinnom od 1. januára 2026  verejnými listinami, ktorými sa preukazuje, či osoba bola alebo nebola právoplatne odsúdená sú: </w:t>
              <w:br/>
            </w:r>
            <w:r>
              <w:rPr>
                <w:b w:val="off"/>
                <w:color w:val="000000"/>
                <w:rFonts w:ascii="Times New Roman" w:hAnsi="Times New Roman" w:cs="Times New Roman" w:eastAsia="Times New Roman"/>
                <w:sz w:val="24"/>
              </w:rPr>
              <w:t xml:space="preserve">a) výpis z registra trestov, </w:t>
              <w:br/>
            </w:r>
            <w:r>
              <w:rPr>
                <w:b w:val="off"/>
                <w:color w:val="000000"/>
                <w:rFonts w:ascii="Times New Roman" w:hAnsi="Times New Roman" w:cs="Times New Roman" w:eastAsia="Times New Roman"/>
                <w:sz w:val="24"/>
              </w:rPr>
              <w:t xml:space="preserve">b) výpis z registra trestov pre prácu s deťmi a mládežou, </w:t>
              <w:br/>
            </w:r>
            <w:r>
              <w:rPr>
                <w:b w:val="off"/>
                <w:color w:val="000000"/>
                <w:rFonts w:ascii="Times New Roman" w:hAnsi="Times New Roman" w:cs="Times New Roman" w:eastAsia="Times New Roman"/>
                <w:sz w:val="24"/>
              </w:rPr>
              <w:t xml:space="preserve">c) špecializovaný výpis z registra trestov, </w:t>
              <w:br/>
            </w:r>
            <w:r>
              <w:rPr>
                <w:b w:val="off"/>
                <w:color w:val="000000"/>
                <w:rFonts w:ascii="Times New Roman" w:hAnsi="Times New Roman" w:cs="Times New Roman" w:eastAsia="Times New Roman"/>
                <w:sz w:val="24"/>
              </w:rPr>
              <w:t xml:space="preserve">d) odpis registra trestov pre vybrané povolania a civilný proces, </w:t>
              <w:br/>
            </w:r>
            <w:r>
              <w:rPr>
                <w:b w:val="off"/>
                <w:color w:val="000000"/>
                <w:rFonts w:ascii="Times New Roman" w:hAnsi="Times New Roman" w:cs="Times New Roman" w:eastAsia="Times New Roman"/>
                <w:sz w:val="24"/>
              </w:rPr>
              <w:t xml:space="preserve">e) odpis registra trestov.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navrhujeme spôsob preukazovania bezúhonnosti upraviť po dohode s registrom trestov Generálnej prokuratúry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Úprava § 11 a § 12 je súčasťou novelizácie zákona č. 297/2008 Z. z. (AML zákon), ktorý bol 27. 11 2024 schválený v NR SR a má byť účinný od 18. januára 2025. Preukazovanie bezúhonnosti bude riešené v najbližšej budúcnosti v novele zákona, dovtedy sa bude uskutočňovať v takej forme ako doteraz.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V čl. I bode 3 odporúčame pred slovo „daňovým“ vložiť slovo „h)“.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w:t>
              <w:br/>
            </w:r>
            <w:r>
              <w:rPr>
                <w:b w:val="off"/>
                <w:color w:val="000000"/>
                <w:rFonts w:ascii="Times New Roman" w:hAnsi="Times New Roman" w:cs="Times New Roman" w:eastAsia="Times New Roman"/>
                <w:sz w:val="24"/>
              </w:rPr>
              <w:t>2.	V čl. I bode 4 odporúčame v poznámke pod čiarou k odkazu 4a slová „Európskej parlamentu“ nahradiť slovami „Európskeho parlamentu“.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w:t>
              <w:br/>
            </w:r>
            <w:r>
              <w:rPr>
                <w:b w:val="off"/>
                <w:color w:val="000000"/>
                <w:rFonts w:ascii="Times New Roman" w:hAnsi="Times New Roman" w:cs="Times New Roman" w:eastAsia="Times New Roman"/>
                <w:sz w:val="24"/>
              </w:rPr>
              <w:t>3.	V čl. I bode 13 odporúčame slová „až f) nahrádzajú“ nahradiť slovami „až f)“ nahrádzajú“.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26</w:t>
              <w:br/>
            </w:r>
            <w:r>
              <w:rPr>
                <w:b w:val="off"/>
                <w:color w:val="000000"/>
                <w:rFonts w:ascii="Times New Roman" w:hAnsi="Times New Roman" w:cs="Times New Roman" w:eastAsia="Times New Roman"/>
                <w:sz w:val="24"/>
              </w:rPr>
              <w:t>4.	V čl. I bode 26 v § 15e ods. 4 odporúčame slovo „§15h“ nahradiť slovami „§ 15h“.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26</w:t>
              <w:br/>
            </w:r>
            <w:r>
              <w:rPr>
                <w:b w:val="off"/>
                <w:color w:val="000000"/>
                <w:rFonts w:ascii="Times New Roman" w:hAnsi="Times New Roman" w:cs="Times New Roman" w:eastAsia="Times New Roman"/>
                <w:sz w:val="24"/>
              </w:rPr>
              <w:t>5.	V čl. I bode 26 v § 15h ods. 17 odporúčame vypustiť slovo „tohto“.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3</w:t>
              <w:br/>
            </w:r>
            <w:r>
              <w:rPr>
                <w:b w:val="off"/>
                <w:color w:val="000000"/>
                <w:rFonts w:ascii="Times New Roman" w:hAnsi="Times New Roman" w:cs="Times New Roman" w:eastAsia="Times New Roman"/>
                <w:sz w:val="24"/>
              </w:rPr>
              <w:t>6.	V čl. III bode 3 odporúčame slovo „r)“ nahradiť slovom „q)“.</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body 19 a 20</w:t>
              <w:br/>
            </w:r>
            <w:r>
              <w:rPr>
                <w:b w:val="off"/>
                <w:color w:val="000000"/>
                <w:rFonts w:ascii="Times New Roman" w:hAnsi="Times New Roman" w:cs="Times New Roman" w:eastAsia="Times New Roman"/>
                <w:sz w:val="24"/>
              </w:rPr>
              <w:t>7.	V čl. III odporúčame body 19 a 20 spojiť do jedného novelizačného bodu.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Upravená iným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25</w:t>
              <w:br/>
            </w:r>
            <w:r>
              <w:rPr>
                <w:b w:val="off"/>
                <w:color w:val="000000"/>
                <w:rFonts w:ascii="Times New Roman" w:hAnsi="Times New Roman" w:cs="Times New Roman" w:eastAsia="Times New Roman"/>
                <w:sz w:val="24"/>
              </w:rPr>
              <w:t>8.	V čl. III bode 25 odporúčame v poznámke pod čiarou k odkazu 21d za slová „359/2015“ vložiť slová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vybraných vplyvov a Analýze vplyvov</w:t>
              <w:br/>
            </w:r>
            <w:r>
              <w:rPr>
                <w:b w:val="off"/>
                <w:color w:val="000000"/>
                <w:rFonts w:ascii="Times New Roman" w:hAnsi="Times New Roman" w:cs="Times New Roman" w:eastAsia="Times New Roman"/>
                <w:sz w:val="24"/>
              </w:rPr>
              <w:t>Žiadame predkladateľa o vyznačenie mechanizmu znižovania byrokracie a nákladov v Doložke vybraných vplyvov v bode 9. a úpravu Analýzy vplyvov na podnikateľské prostredie.</w:t>
              <w:br/>
            </w:r>
            <w:r>
              <w:rPr>
                <w:b w:val="off"/>
                <w:color w:val="000000"/>
                <w:rFonts w:ascii="Times New Roman" w:hAnsi="Times New Roman" w:cs="Times New Roman" w:eastAsia="Times New Roman"/>
                <w:sz w:val="24"/>
              </w:rPr>
              <w:t>Odôvodnenie: Predkladateľom bola doplnená po predbežnom pripomienkovom konaní do kalkulačky a analýzy regulácia č. 15, ktorá vyplýva z existujúcej slovenskej legislatívy, na ktorú sa uplatňuje mechanizmus znižovania byrokracie a nákladov, ktorý je potrebné vyznačiť v doložke. Zároveň odporúčame predkladateľovi upraviť pôvod regulácie č. 13 na „SK“ v kalkulačke nákladov v nadväznosti na to, že sa zohľadňuje doterajšia aplikačná prax pri oznamovaní informácií o finančných účtoch zo strany finančných agentov a finančných sprostredkovateľov, ktorí nadväzne na existujúcu legislatívu v Slovenskej republike (zákon č. 186/2009) nie sú oprávnení viesť finančné účty. Odporúčame stanoviť minimálne 60 min. trvanie tejto povinnosti. Tiež navrhujeme prehodnotiť časovú náročnosť regulácie č. 12 s ohľadom na množstvo úkonov a krokov, ktoré bude nutné vykonať.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Doložka aj analýza sú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celom texte návrhu zákona odporúčame v jednotlivých ustanoveniach správne umiestniť bodky a čiarky pri slovách, nad ktorými je umiestnený odkaz, a to tak, aby boli za príslušným slovom a pred jednotlivým odkazom a nie až za odkazmi. Ako príklady uvádzame napríklad čl. I bod 26 ( § 15d ods. 7, § 15h ods. 1 písm. a) a § 15i ods. 9), bod 40, čl. II bod 1 (§ 18 ods. 2 písm. b)), čl. III bod 3 (§ 2 písm. p) a r)) a body 5, 22 a 33.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w:t>
              <w:br/>
            </w:r>
            <w:r>
              <w:rPr>
                <w:b w:val="off"/>
                <w:color w:val="000000"/>
                <w:rFonts w:ascii="Times New Roman" w:hAnsi="Times New Roman" w:cs="Times New Roman" w:eastAsia="Times New Roman"/>
                <w:sz w:val="24"/>
              </w:rPr>
              <w:t>Odporúčame upraviť znenie § 2 písm. m) tretieho bodu, vzhľadom nato, že táto časť vety nekorešponduje s úvodnou časťou vety písmena 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w:t>
              <w:br/>
            </w:r>
            <w:r>
              <w:rPr>
                <w:b w:val="off"/>
                <w:color w:val="000000"/>
                <w:rFonts w:ascii="Times New Roman" w:hAnsi="Times New Roman" w:cs="Times New Roman" w:eastAsia="Times New Roman"/>
                <w:sz w:val="24"/>
              </w:rPr>
              <w:t>Odporúčame upraviť znenie novelizačného bodu, a to tak, že slová „„opcie,“ vkladajú slová „podiel na kryptoaktíve podliehajúcom oznamovaniu,““ sa nahradia slovami „„opcie“ vkladá čiarka a slová „podiel na kryptoaktíve podliehajúcom oznamovaniu““.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w:t>
              <w:br/>
            </w:r>
            <w:r>
              <w:rPr>
                <w:b w:val="off"/>
                <w:color w:val="000000"/>
                <w:rFonts w:ascii="Times New Roman" w:hAnsi="Times New Roman" w:cs="Times New Roman" w:eastAsia="Times New Roman"/>
                <w:sz w:val="24"/>
              </w:rPr>
              <w:t>Odporúčame slovo „uvedené“ nahradiť slovom „uvedených“ a slovo „body“ nahradiť slovom „bodoch“.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26</w:t>
              <w:br/>
            </w:r>
            <w:r>
              <w:rPr>
                <w:b w:val="off"/>
                <w:color w:val="000000"/>
                <w:rFonts w:ascii="Times New Roman" w:hAnsi="Times New Roman" w:cs="Times New Roman" w:eastAsia="Times New Roman"/>
                <w:sz w:val="24"/>
              </w:rPr>
              <w:t>Odporúčame v § 15d ods. 4 písm. f) na konci pripojiť tieto slová: „písm. c)“, vzhľadom na to, že investičný subjekt je zadefinovaný v novo navrhovanom znení § 3 ods. 2 písm. c).</w:t>
              <w:br/>
            </w:r>
            <w:r>
              <w:rPr>
                <w:b w:val="off"/>
                <w:color w:val="000000"/>
                <w:rFonts w:ascii="Times New Roman" w:hAnsi="Times New Roman" w:cs="Times New Roman" w:eastAsia="Times New Roman"/>
                <w:sz w:val="24"/>
              </w:rPr>
              <w:t xml:space="preserve">V § 15g ods. 2 písm. a) úvodnej vete odporúčame za slovo „alebo“ vložiť slovo „jej“ z dôvodu upresnenia, že ide o ovládajúcu osobu vo vzťahu k osobe, ktorá je používateľom kryptoaktív. </w:t>
              <w:br/>
            </w:r>
            <w:r>
              <w:rPr>
                <w:b w:val="off"/>
                <w:color w:val="000000"/>
                <w:rFonts w:ascii="Times New Roman" w:hAnsi="Times New Roman" w:cs="Times New Roman" w:eastAsia="Times New Roman"/>
                <w:sz w:val="24"/>
              </w:rPr>
              <w:t>V § 15g ods. 2 písm. a) šiestom bode odporúčame na konci pripojiť tieto slová: „ktorý je používateľom kryptoaktív,“ z dôvodu rozšírenia špecifikácie subjektu ako aj z dôvodu zosúladenia so znením § 8 ods. 2 písm. a) ôsmeho bodu.</w:t>
              <w:br/>
            </w:r>
            <w:r>
              <w:rPr>
                <w:b w:val="off"/>
                <w:color w:val="000000"/>
                <w:rFonts w:ascii="Times New Roman" w:hAnsi="Times New Roman" w:cs="Times New Roman" w:eastAsia="Times New Roman"/>
                <w:sz w:val="24"/>
              </w:rPr>
              <w:t>V § 15i ods. 11 odporúčame za slová „prijatých opatrení“ vložiť čiarku. Ide o gramatickú pripomienku.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Časti pripomienky týkajúce sa § 15d ods. 4 písm. f) a § 15i ods. 11 sú akceptované.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časti pripomienky sú neakceptované, nakoľko spresnenie nie je žiaduce z obsahového hľadiska – ovládajúca osoba je vo vzťahu k subjektu, nie k FO.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32</w:t>
              <w:br/>
            </w:r>
            <w:r>
              <w:rPr>
                <w:b w:val="off"/>
                <w:color w:val="000000"/>
                <w:rFonts w:ascii="Times New Roman" w:hAnsi="Times New Roman" w:cs="Times New Roman" w:eastAsia="Times New Roman"/>
                <w:sz w:val="24"/>
              </w:rPr>
              <w:t>Odporúčame za vkladané slová do § 19 ods. 2 prvej vety vložiť koncové úvodzovky.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34</w:t>
              <w:br/>
            </w:r>
            <w:r>
              <w:rPr>
                <w:b w:val="off"/>
                <w:color w:val="000000"/>
                <w:rFonts w:ascii="Times New Roman" w:hAnsi="Times New Roman" w:cs="Times New Roman" w:eastAsia="Times New Roman"/>
                <w:sz w:val="24"/>
              </w:rPr>
              <w:t>Odporúčame v § 19 ods. 4 slovo „minimálne“ nahradiť slovom „najmenej“, a to aj z dôvodu zosúladenia jeho použitia v bodoch 38 a 39 a súčasne v odseku 5 za slovo „zákonom“ vložiť čiarku.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37</w:t>
              <w:br/>
            </w:r>
            <w:r>
              <w:rPr>
                <w:b w:val="off"/>
                <w:color w:val="000000"/>
                <w:rFonts w:ascii="Times New Roman" w:hAnsi="Times New Roman" w:cs="Times New Roman" w:eastAsia="Times New Roman"/>
                <w:sz w:val="24"/>
              </w:rPr>
              <w:t>Odporúčame v novelizačnom bode slová „sa za slovo „účtu13a)“ vkladá čiarka a slová „oznamujúci poskytovateľ služieb kryptoaktív, používateľ kryptoaktív“  nahradiť slovami  „sa slová „účtu13a)“ nahrádzajú slovami  „účtu,13a) oznamujúci poskytovateľ služieb kryptoaktív, používateľ kryptoaktív“.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42</w:t>
              <w:br/>
            </w:r>
            <w:r>
              <w:rPr>
                <w:b w:val="off"/>
                <w:color w:val="000000"/>
                <w:rFonts w:ascii="Times New Roman" w:hAnsi="Times New Roman" w:cs="Times New Roman" w:eastAsia="Times New Roman"/>
                <w:sz w:val="24"/>
              </w:rPr>
              <w:t>Odporúčame za slovami „§ 5 ods. 3 písm. g)“ vypustiť slovo „sa“ a vložiť slovo „sa“ za slová „vo Finančnom spravodajcovi“.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43</w:t>
              <w:br/>
            </w:r>
            <w:r>
              <w:rPr>
                <w:b w:val="off"/>
                <w:color w:val="000000"/>
                <w:rFonts w:ascii="Times New Roman" w:hAnsi="Times New Roman" w:cs="Times New Roman" w:eastAsia="Times New Roman"/>
                <w:sz w:val="24"/>
              </w:rPr>
              <w:t>Odporúčame za slová „za neoznamujúce finančné inštitúcie“ a za slová „§ 4“ vložiť čiarku. Ide o gramatickú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46</w:t>
              <w:br/>
            </w:r>
            <w:r>
              <w:rPr>
                <w:b w:val="off"/>
                <w:color w:val="000000"/>
                <w:rFonts w:ascii="Times New Roman" w:hAnsi="Times New Roman" w:cs="Times New Roman" w:eastAsia="Times New Roman"/>
                <w:sz w:val="24"/>
              </w:rPr>
              <w:t>Odporúčame v § 23 ods. 3 a 5 slovo „takúto“ vypustiť a za slovo „pokutu“ vložiť vnútorný odkaz na príslušné ustanovenie zákona upravujúce pokutu, ktorá sa má vzťahovať na prípady uvedené v odsekoch 3 a 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w:t>
              <w:br/>
            </w:r>
            <w:r>
              <w:rPr>
                <w:b w:val="off"/>
                <w:color w:val="000000"/>
                <w:rFonts w:ascii="Times New Roman" w:hAnsi="Times New Roman" w:cs="Times New Roman" w:eastAsia="Times New Roman"/>
                <w:sz w:val="24"/>
              </w:rPr>
              <w:t>Odporúčame v § 18 ods. 2 odkaz 5d umiestnený nad slovom „zmluvy“ premiestniť nad slovo „predpisu“ a za slová „predpisu alebo“ vložiť slovo „podľa“.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Zmena formulácie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bodu 3</w:t>
              <w:br/>
            </w:r>
            <w:r>
              <w:rPr>
                <w:b w:val="off"/>
                <w:color w:val="000000"/>
                <w:rFonts w:ascii="Times New Roman" w:hAnsi="Times New Roman" w:cs="Times New Roman" w:eastAsia="Times New Roman"/>
                <w:sz w:val="24"/>
              </w:rPr>
              <w:t>Odporúčame dopĺňané písmeno „r)“ do § 2 nahradiť označením písmena „q“ v súlade s bodom 14.1. prílohy č. 1 k Legislatívnym pravidlám vlády SR a v poznámke pod čiarou k odkazu 4f na konci pripojiť slová „v znení zákona č. .../2024 Z. z.“, vzhľadom na navrhované zmeny v zákone č. 359/2015 Z. 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Časť pripomienky o nahradení písmena „r)“ za „q“ v § 2  je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k poznámke pod čiarou k odkazu 4f  je neakceptovaná, nakoľko § 5 ods. 2 písm. f) sa v predmetnej novelizácii zákona nemení.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bodu 5</w:t>
              <w:br/>
            </w:r>
            <w:r>
              <w:rPr>
                <w:b w:val="off"/>
                <w:color w:val="000000"/>
                <w:rFonts w:ascii="Times New Roman" w:hAnsi="Times New Roman" w:cs="Times New Roman" w:eastAsia="Times New Roman"/>
                <w:sz w:val="24"/>
              </w:rPr>
              <w:t>Odporúčame slová „slovo „predpisu7), vkladajú slová „počas ktorého sa informácie stali dostupnými““ nahradiť slovami „slová „predpisu,7)“ nahrádzajú slovami „predpisu,7) počas ktorého sa informácie stali dostupnými,““.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bodu 7</w:t>
              <w:br/>
            </w:r>
            <w:r>
              <w:rPr>
                <w:b w:val="off"/>
                <w:color w:val="000000"/>
                <w:rFonts w:ascii="Times New Roman" w:hAnsi="Times New Roman" w:cs="Times New Roman" w:eastAsia="Times New Roman"/>
                <w:sz w:val="24"/>
              </w:rPr>
              <w:t>Odporúčame slová „§ 7 sa“ nahradiť slovami „V § 7 sa odsek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 prvému bodu.</w:t>
              <w:br/>
            </w:r>
            <w:r>
              <w:rPr>
                <w:b w:val="off"/>
                <w:color w:val="000000"/>
                <w:rFonts w:ascii="Times New Roman" w:hAnsi="Times New Roman" w:cs="Times New Roman" w:eastAsia="Times New Roman"/>
                <w:sz w:val="24"/>
              </w:rPr>
              <w:t>V prvom bode Doložky zlučiteľnosti odporúčame uviesť ako navrhovateľa zákona Ministerstvo financií Slovenskej republiky, tak ako sa to uvádza v ďalších sprievodných dokumentoch k predkladanému materiálu.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Formálna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 druhému bodu.</w:t>
              <w:br/>
            </w:r>
            <w:r>
              <w:rPr>
                <w:b w:val="off"/>
                <w:color w:val="000000"/>
                <w:rFonts w:ascii="Times New Roman" w:hAnsi="Times New Roman" w:cs="Times New Roman" w:eastAsia="Times New Roman"/>
                <w:sz w:val="24"/>
              </w:rPr>
              <w:t>V druhom bode Doložky zlučiteľnosti odporúčame uviesť názov návrhu zákona tak, ako sa uvádza v ďalších sprievodných dokumentoch k predkladanému materiálu, t. j. v znení „Návrh zákona, ktorým sa mení a dopĺňa zákon č. 359/2015 Z. z. o automatickej výmene informácií o finančných účtoch na účely správy daní a o zmene a doplnení niektorých zákonov v znení neskorších predpisov a ktorým sa menia a dopĺňajú niektoré zákony“.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Formálna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K bodu 2 (§ 28 ods. 6): Navrhované ustanovenie nie je v súlade s jeho odôvodnením, lebo je kontraproduktívne a je potrebné ho preformulovať. Za bezúhonného sa podľa návrhu bude považovať ten, kto bol odsúdený za trestné činy proti majetku, hospodárske, republike, atď</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upravená po konzultáciách s SKDP.</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návrhu zákona</w:t>
              <w:br/>
            </w:r>
            <w:r>
              <w:rPr>
                <w:b w:val="off"/>
                <w:color w:val="000000"/>
                <w:rFonts w:ascii="Times New Roman" w:hAnsi="Times New Roman" w:cs="Times New Roman" w:eastAsia="Times New Roman"/>
                <w:sz w:val="24"/>
              </w:rPr>
              <w:t xml:space="preserve">Odporúčame prehodnotiť doplnenie predmetu úpravy zákona č. 359/2015 Z. z. v znení neskorších predpisov o oblasť automatickej výmeny informácií o kryptoaktívach.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Popri úprave automatickej výmeny informácií o finančných účtoch na účely správy daní sa v rámci novelizovaného zákona č. 359/2015 Z. z. navrhuje upraviť aj oblasť automatickej výmeny informácií o kryptoaktívach na účely správy daní. Navrhované doplnenie predmetu úpravy však nezodpovedá názvu novelizovaného zákona č. 359/2015 Z. z. o automatickej výmene informácií o finančných účtoch na účely správy daní a o zmene a doplnení niektorých zákonov v znení neskorších predpisov. Podotýkame, že podľa bodu 29.2. prílohy č. 1 k Legislatívnym pravidlám vlády SR nemožno novelou právneho predpisu meniť alebo dopĺňať názov pôvodného právneho predpisu.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Predmet úpravy v § 1 je doplnený o kryptoaktíva.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 návrhu zákona</w:t>
              <w:br/>
            </w:r>
            <w:r>
              <w:rPr>
                <w:b w:val="off"/>
                <w:color w:val="000000"/>
                <w:rFonts w:ascii="Times New Roman" w:hAnsi="Times New Roman" w:cs="Times New Roman" w:eastAsia="Times New Roman"/>
                <w:sz w:val="24"/>
              </w:rPr>
              <w:t xml:space="preserve">Na začiatku navrhovaného znenia § 2 písm. h) odporúčame uviesť označenie pododseku.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úpravu v súlade s bodom 14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 návrhu zákona</w:t>
              <w:br/>
            </w:r>
            <w:r>
              <w:rPr>
                <w:b w:val="off"/>
                <w:color w:val="000000"/>
                <w:rFonts w:ascii="Times New Roman" w:hAnsi="Times New Roman" w:cs="Times New Roman" w:eastAsia="Times New Roman"/>
                <w:sz w:val="24"/>
              </w:rPr>
              <w:t xml:space="preserve">V navrhovanom znení § 18 ods. 2 odporúčame odkaz 5d umiestniť nad slová „podľa osobitného predpisu“ a nad slová „medzinárodnej zmluvy“ odporúčame umiestniť odkaz 5e. Zároveň odporúčame doplniť poznámku pod čiarou k odkazu 5e s citáciou príslušnej rezortnej medzinárodnej zmluvy.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úpravy v súlade s bodmi 22.1. a 23.11.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Zosúladenie v zmysle požiadaviek legislatívy a zaužívanej legislatívnej techniky.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bodu 7 návrhu zákona</w:t>
              <w:br/>
            </w:r>
            <w:r>
              <w:rPr>
                <w:b w:val="off"/>
                <w:color w:val="000000"/>
                <w:rFonts w:ascii="Times New Roman" w:hAnsi="Times New Roman" w:cs="Times New Roman" w:eastAsia="Times New Roman"/>
                <w:sz w:val="24"/>
              </w:rPr>
              <w:t xml:space="preserve">V poznámke pod čiarou k odkazu 11b odporúčame uviesť skrátenú citáciu právneho predpisu.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úpravu v súlade s bodom 47.2.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bodom 10 a 23 návrhu zákona</w:t>
              <w:br/>
            </w:r>
            <w:r>
              <w:rPr>
                <w:b w:val="off"/>
                <w:color w:val="000000"/>
                <w:rFonts w:ascii="Times New Roman" w:hAnsi="Times New Roman" w:cs="Times New Roman" w:eastAsia="Times New Roman"/>
                <w:sz w:val="24"/>
              </w:rPr>
              <w:t xml:space="preserve">Na konci navrhovaného znenia § 8 ods. 2 písm. b) odporúčame doplniť úvodzovky a bodku a na konci § 14 ods. 1 písm. d) odporúčame doplniť úvodzovky.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úpravy v súlade s bodmi 32.1. a 33.2.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bodu 34 návrhu zákona</w:t>
              <w:br/>
            </w:r>
            <w:r>
              <w:rPr>
                <w:b w:val="off"/>
                <w:color w:val="000000"/>
                <w:rFonts w:ascii="Times New Roman" w:hAnsi="Times New Roman" w:cs="Times New Roman" w:eastAsia="Times New Roman"/>
                <w:sz w:val="24"/>
              </w:rPr>
              <w:t xml:space="preserve">V navrhovanom znení § 24f odporúčame slová „po 1. januári 2023“ nahradiť slovami „od 1. januára 2030“, príp. slovami „po 31. decembri 2029“.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rámci navrhovaného prechodného ustanovenia § 24f odporúčame upraviť začiatok zdaňovacieho obdobia, na ktoré sa má vzťahovať prvá aplikácia navrhovaného § 7 ods. 4 zákona č. 442/2012 Z. z. o medzinárodnej pomoci a spolupráci pri správe daní v znení neskorších predpisov, keďže zdaňovacie obdobie začína spravidla od 1. januára príslušného kalendárneho roka, ako aj s ohľadom na navrhovanú účinnosť čl. III bodu 8 § 7 ods. 4 návrhu zákona od 1. januára 2030.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obalu</w:t>
              <w:br/>
            </w:r>
            <w:r>
              <w:rPr>
                <w:b w:val="off"/>
                <w:color w:val="000000"/>
                <w:rFonts w:ascii="Times New Roman" w:hAnsi="Times New Roman" w:cs="Times New Roman" w:eastAsia="Times New Roman"/>
                <w:sz w:val="24"/>
              </w:rPr>
              <w:t>Domnievame sa, že je praktické a účelné v obale materiálu ako podnet pre prijatie predmetnej právnej úpravy uvádzať odkaz na príslušnú úlohu z gestorského uznesenia vlády Slovenskej republiky, v tomto prípade úloha B.8. z uznesenia vlády Slovenskej republiky č. 195 z 3. apríla 2024.</w:t>
              <w:br/>
            </w:r>
            <w:r>
              <w:rPr>
                <w:b w:val="off"/>
                <w:color w:val="000000"/>
                <w:rFonts w:ascii="Times New Roman" w:hAnsi="Times New Roman" w:cs="Times New Roman" w:eastAsia="Times New Roman"/>
                <w:sz w:val="24"/>
              </w:rPr>
              <w:t xml:space="preserve">Zároveň odporúčame predkladateľovi upraviť obal materiálu podľa vzoru, šablóny zverejnenej v zmysle Metodického pokynu na prípravu a predkladanie materiálov na rokovanie vlády Slovenskej republiky. </w:t>
              <w:br/>
            </w:r>
            <w:r>
              <w:rPr>
                <w:b w:val="off"/>
                <w:color w:val="000000"/>
                <w:rFonts w:ascii="Times New Roman" w:hAnsi="Times New Roman" w:cs="Times New Roman" w:eastAsia="Times New Roman"/>
                <w:sz w:val="24"/>
              </w:rPr>
              <w:t>Šablóna a vzor sú dostupné cez nasl. odkaz: https://www.vlada.gov.sk/vlada-sr/dokumenty/sablony-a-vzory/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1</w:t>
              <w:br/>
            </w:r>
            <w:r>
              <w:rPr>
                <w:b w:val="off"/>
                <w:color w:val="000000"/>
                <w:rFonts w:ascii="Times New Roman" w:hAnsi="Times New Roman" w:cs="Times New Roman" w:eastAsia="Times New Roman"/>
                <w:sz w:val="24"/>
              </w:rPr>
              <w:t>Odporúčame predkladateľovi návrh vykonávacieho predpisu spracovať do podoby legislatívneho materiálu. Zároveň si dovoľujeme predkladateľa upozorniť na znenie bodu 2.2.13 ods. 3 Metodického pokynu na prípravu a predkladanie materiálov na rokovanie vlády Slovenskej republiky, v zmysle ktorého pokiaľ smernica je transponovaná tak do zákona, ako aj do vykonávacieho právneho predpisu, navrhovateľ predkladá na rokovanie vlády SR oba návrhy, a to aj v prípade, že nadobudnutie účinnosti vykonávacieho právneho predpisu sa predpokladá v neskoršom termíne. Pokiaľ by aj vykonávací predpis nebol vo vzťahu k transponovanej smernici transpozičným predkladateľ má v zmysle bodu 2.2.13 ods. 2 Metodického pokynu na prípravu a predkladanie materiálov na rokovanie vlády Slovenskej republiky povinnosť predložiť návrhu vykonávacieho predpisu vždy, ak má nadobudnúť účinnosť súčasne so zákonom, na základe ktorého sa má vydať“.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4. (§ 2 písm. j) až p))</w:t>
              <w:br/>
            </w:r>
            <w:r>
              <w:rPr>
                <w:b w:val="off"/>
                <w:color w:val="000000"/>
                <w:rFonts w:ascii="Times New Roman" w:hAnsi="Times New Roman" w:cs="Times New Roman" w:eastAsia="Times New Roman"/>
                <w:sz w:val="24"/>
              </w:rPr>
              <w:t>Odporúčame predkladateľovi v novonavrhovaných ustanoveniach dôsledne používať zvedenú legislatívnu skratku „členský štát“ a legálnu definíciu pojmu „zmluvný štát“.</w:t>
              <w:br/>
            </w:r>
            <w:r>
              <w:rPr>
                <w:b w:val="off"/>
                <w:color w:val="000000"/>
                <w:rFonts w:ascii="Times New Roman" w:hAnsi="Times New Roman" w:cs="Times New Roman" w:eastAsia="Times New Roman"/>
                <w:sz w:val="24"/>
              </w:rPr>
              <w:t>Zároveň vo vzťahu k zneniu § 2 písm. j) dávame predkladateľovi na zváženie, či nie je vhodnejšie časť vety za bodkočiarkou uviesť v samostatnom novom odseku 2, nakoľko táto nie je obsahovo legálnou definíciou pojmu „centrálna banka“, ale obsahovým spresnením pojmu „inštitúcia“. Akceptovanie uvedenej pripomienky by si vyžiadalo legislatívnu zmenu § 2 spočívajúcu v jeho rozčlenení do odsekov.</w:t>
              <w:br/>
            </w:r>
            <w:r>
              <w:rPr>
                <w:b w:val="off"/>
                <w:color w:val="000000"/>
                <w:rFonts w:ascii="Times New Roman" w:hAnsi="Times New Roman" w:cs="Times New Roman" w:eastAsia="Times New Roman"/>
                <w:sz w:val="24"/>
              </w:rPr>
              <w:t>V rozsahu § 2 písm. m) upozorňujeme predkladateľa, že znenie bodu 3. štylisticky nenadväzuje na predvetie písmena m).</w:t>
              <w:br/>
            </w:r>
            <w:r>
              <w:rPr>
                <w:b w:val="off"/>
                <w:color w:val="000000"/>
                <w:rFonts w:ascii="Times New Roman" w:hAnsi="Times New Roman" w:cs="Times New Roman" w:eastAsia="Times New Roman"/>
                <w:sz w:val="24"/>
              </w:rPr>
              <w:t>V rozsahu § 2 písm. m) bod 5. odporúčame predkladateľovi časť vety za bodkočiarkou uviesť ako samostatné ustanovenie, teda mimo rozsahu úpravy § 2 písm. m) bod 5., a to najmä z dôvodu, že § 2 pozitívnym vymedzením ustanovuje legálne definície základným pojmov pre účely zákona, pričom časť vety za bodkočiarkou je negatívnym vymedzením pojmu, ktoré logicky nenadväzuje na predvetie § 2, a tým by teda ani vecne nemalo patriť do úpravy § 2 písm. m) bod 5.</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Časť pripomienky týkajúca sa používania pojmov „členský štát“ a „zmluvný štát“ neakceptujeme, keďže pojem „štát“ v písmenách j) a k) má všeobecný charakter, týka sa členských štátov aj zmluvných štátov.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Zvyšná časť pripomienky je akceptovaná, pričom časti týkajúce sa pojmu „centrálna banka“ a  úpravy § 2 písm. m) bod 5. sú upravené iným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6. (§ 3 ods. 2 písm. c) bod 2., podbod 2a. a 2b.)</w:t>
              <w:br/>
            </w:r>
            <w:r>
              <w:rPr>
                <w:b w:val="off"/>
                <w:color w:val="000000"/>
                <w:rFonts w:ascii="Times New Roman" w:hAnsi="Times New Roman" w:cs="Times New Roman" w:eastAsia="Times New Roman"/>
                <w:sz w:val="24"/>
              </w:rPr>
              <w:t>Odporúčame predkladateľovi prehodnotiť navrhnuté znenie najmä v rozsahu ponechania časti vety za bodkočiarkou, nakoľko toto de facto predstavuje vymedzenie legálnej definície vo vymedzení inej legálnej definície, čo nie je želateľné.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Zvolené legislatívne znenie považujeme za dostatočné a v súlade s už existujúcou legislatívnou úpravou v zákone č. 359/2015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11. (§ 5 ods. 3 písm. e) bod 5.)</w:t>
              <w:br/>
            </w:r>
            <w:r>
              <w:rPr>
                <w:b w:val="off"/>
                <w:color w:val="000000"/>
                <w:rFonts w:ascii="Times New Roman" w:hAnsi="Times New Roman" w:cs="Times New Roman" w:eastAsia="Times New Roman"/>
                <w:sz w:val="24"/>
              </w:rPr>
              <w:t xml:space="preserve">Dávame predkladateľovi na zváženie za slovo „založenie“ vloženie slov „a vznik“. Proces zriaďovania právnických osôb (obchodných spoločností) je dvojfázový, vzhľadom na uvedené odporúčame túto skutočnosť zohľadniť aj v navrhovanom znení. Zároveň sa domnievame, že po správnosti by sa v súvislosti s obchodnými spoločnosťami malo v návrhu zákona hovoriť o zvýšení základného imania a nie o zvýšení kapitálu, pripúšťame však, že osobitná právna úprava z oblasti kapitálového trhu môže v tejto otázke korešpondovať v predloženým návrhom. </w:t>
              <w:br/>
            </w:r>
            <w:r>
              <w:rPr>
                <w:b w:val="off"/>
                <w:color w:val="000000"/>
                <w:rFonts w:ascii="Times New Roman" w:hAnsi="Times New Roman" w:cs="Times New Roman" w:eastAsia="Times New Roman"/>
                <w:sz w:val="24"/>
              </w:rPr>
              <w:t>V rozsahu úpravy § 5 ods. 3 písm. e) bod 5. podbod 5d. odporúčame predkladateľovi tento terminologicky zosúladiť s Obchodným zákonníkom. Uvedená pripomienka technicky znamená, že po správnosti by sa namiesto slova „platby“ malo používať slovo „vklady“, resp. „peňažné vklady“, ktoré v situácii, ktorú predmetné ustanovenie upravuje (nedošlo k vzniku spoločnosti) spravuje správca vkladu, ktorý je povinný ich vrátiť zakladateľom (§ 60 ods. 3 druhá veta Obchodného zákonníka). Rovnako použitie slov „neúspešného založenia“ (napriek tomu, že rozumieme zámeru predkladateľa) nepovažujeme z hľadiska obchodnoprávnej teórie za vhodné, nakoľko založenie by nemala právna úprava kvalifikovať ako „úspešné“, resp. „neúspešné“, môže byť len „platné“ alebo „neplatné“, pričom posúdenie platnosti, resp. neplatnosti daného právneho úkonu v konečnom dôsledku patrí do právomoci súdu. V neposlednom rade odporúčame slová „prispeli týmito sumami“ nahradiť slovami „prevzali záväzok na vklad“ alebo slovami „ktoré sa zaviazali k peňažnému vkladu“.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Časť pripomienky týkajúca sa zvýšenia kapitálu je akceptovaná iným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19. (§ 9 ods. 1 písm. f))</w:t>
              <w:br/>
            </w:r>
            <w:r>
              <w:rPr>
                <w:b w:val="off"/>
                <w:color w:val="000000"/>
                <w:rFonts w:ascii="Times New Roman" w:hAnsi="Times New Roman" w:cs="Times New Roman" w:eastAsia="Times New Roman"/>
                <w:sz w:val="24"/>
              </w:rPr>
              <w:t>Odporúčame predkladateľovi vzhľadom na znenie predvetia príslušného ustanovenia zmeniť slovosled písmena f) tak, aby toto znelo nasledujúco „f) postavenie, na základe ktorého je osoba podliehajúca oznamovaniu držiteľom majetkového podielu, pri majetkovom podiele držanom v investičnom subjekte, ktorý je právnym usporiadaním,“. Zároveň dávame predkladateľovi na zváženie použitie slov „ktoré je právnym usporiadaním“, alternatívne odporúčame pripojenie dovetku „bez právnej subjektivity“, a to s poukazom na znenie § 2 písm. f)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26. (§ 15a až 15j)</w:t>
              <w:br/>
            </w:r>
            <w:r>
              <w:rPr>
                <w:b w:val="off"/>
                <w:color w:val="000000"/>
                <w:rFonts w:ascii="Times New Roman" w:hAnsi="Times New Roman" w:cs="Times New Roman" w:eastAsia="Times New Roman"/>
                <w:sz w:val="24"/>
              </w:rPr>
              <w:t>Dávame predkladateľovi na zváženie nasledujúce znenie novelizačného bodu 26.: „26. Za § 15 sa vkladajú § 15a až 15j, ktoré vrátane nadpisov znejú:“, a to aj s poukazom na iné skoršie prípady, kedy sa rovnako ako v uvedenej situácii okrem doplnenia nových §§ súčasne vkladal aj nadpis nad paragrafom (pozri napr. zákon č. 156/2019 Z. z. – čl. I. bod 9.). Zároveň odporúčame predkladateľovi v nadpise nad paragrafom s ohľadom na znenie § 2 písm. b) slová „štátov, ktoré sú zmluvnou stranou medzinárodnej zmluvy, ktorou je Slovenská republika viazaná“ nahradiť slovami „zmluvných štátov“.</w:t>
              <w:br/>
            </w:r>
            <w:r>
              <w:rPr>
                <w:b w:val="off"/>
                <w:color w:val="000000"/>
                <w:rFonts w:ascii="Times New Roman" w:hAnsi="Times New Roman" w:cs="Times New Roman" w:eastAsia="Times New Roman"/>
                <w:sz w:val="24"/>
              </w:rPr>
              <w:t>K § 15a všeobecne</w:t>
              <w:br/>
            </w:r>
            <w:r>
              <w:rPr>
                <w:b w:val="off"/>
                <w:color w:val="000000"/>
                <w:rFonts w:ascii="Times New Roman" w:hAnsi="Times New Roman" w:cs="Times New Roman" w:eastAsia="Times New Roman"/>
                <w:sz w:val="24"/>
              </w:rPr>
              <w:t>Odporúčame predkladateľovi ustanovenie systematicky rozčleniť do odsekov. Súčasný návrh znenia § 15a pôsobí neprehľadne a nezrozumiteľne, zároveň pri legálnych definíciách obsahuje v častiach vety za bodkočiarkou aj negatívne vymedzenie pojmov, čo prispieva k neprehľadnosti a je podľa nášho názoru z legislatívno-technického hľadiska nevhodným riešením.</w:t>
              <w:br/>
            </w:r>
            <w:r>
              <w:rPr>
                <w:b w:val="off"/>
                <w:color w:val="000000"/>
                <w:rFonts w:ascii="Times New Roman" w:hAnsi="Times New Roman" w:cs="Times New Roman" w:eastAsia="Times New Roman"/>
                <w:sz w:val="24"/>
              </w:rPr>
              <w:t>K § 15a písm. d)</w:t>
              <w:br/>
            </w:r>
            <w:r>
              <w:rPr>
                <w:b w:val="off"/>
                <w:color w:val="000000"/>
                <w:rFonts w:ascii="Times New Roman" w:hAnsi="Times New Roman" w:cs="Times New Roman" w:eastAsia="Times New Roman"/>
                <w:sz w:val="24"/>
              </w:rPr>
              <w:t xml:space="preserve">Odporúčame slovo „jednotka“ nahradiť slovom „zložka“, slová „sa nachádza“ nahradiť slovami „je umiestnená“ a slová „nachádzajúce sa“ nahradiť slovom „umiestnené“, a to najmä s poukazom na terminológiu používanú v § 21 Obchodného zákonníka. </w:t>
              <w:br/>
            </w:r>
            <w:r>
              <w:rPr>
                <w:b w:val="off"/>
                <w:color w:val="000000"/>
                <w:rFonts w:ascii="Times New Roman" w:hAnsi="Times New Roman" w:cs="Times New Roman" w:eastAsia="Times New Roman"/>
                <w:sz w:val="24"/>
              </w:rPr>
              <w:t>K § 15a ods. h)</w:t>
              <w:br/>
            </w:r>
            <w:r>
              <w:rPr>
                <w:b w:val="off"/>
                <w:color w:val="000000"/>
                <w:rFonts w:ascii="Times New Roman" w:hAnsi="Times New Roman" w:cs="Times New Roman" w:eastAsia="Times New Roman"/>
                <w:sz w:val="24"/>
              </w:rPr>
              <w:t>Odporúčame predkladateľovi za slová „viac ako 50% hlasovacích práv“ nahradiť slovami „viac ako 50% podielu na hlasovacích právach“ a slová „hodnoty podielu“ nahradiť slovami „50% podielu základnom imaní“.</w:t>
              <w:br/>
            </w:r>
            <w:r>
              <w:rPr>
                <w:b w:val="off"/>
                <w:color w:val="000000"/>
                <w:rFonts w:ascii="Times New Roman" w:hAnsi="Times New Roman" w:cs="Times New Roman" w:eastAsia="Times New Roman"/>
                <w:sz w:val="24"/>
              </w:rPr>
              <w:t>K § 15a písm. i) bod 3.</w:t>
              <w:br/>
            </w:r>
            <w:r>
              <w:rPr>
                <w:b w:val="off"/>
                <w:color w:val="000000"/>
                <w:rFonts w:ascii="Times New Roman" w:hAnsi="Times New Roman" w:cs="Times New Roman" w:eastAsia="Times New Roman"/>
                <w:sz w:val="24"/>
              </w:rPr>
              <w:t>Odporúčame predkladateľovi slovo „zriadení“ nahradiť slovom „vzniku“.</w:t>
              <w:br/>
            </w:r>
            <w:r>
              <w:rPr>
                <w:b w:val="off"/>
                <w:color w:val="000000"/>
                <w:rFonts w:ascii="Times New Roman" w:hAnsi="Times New Roman" w:cs="Times New Roman" w:eastAsia="Times New Roman"/>
                <w:sz w:val="24"/>
              </w:rPr>
              <w:t>K § 15a písm. i) bod 4.</w:t>
              <w:br/>
            </w:r>
            <w:r>
              <w:rPr>
                <w:b w:val="off"/>
                <w:color w:val="000000"/>
                <w:rFonts w:ascii="Times New Roman" w:hAnsi="Times New Roman" w:cs="Times New Roman" w:eastAsia="Times New Roman"/>
                <w:sz w:val="24"/>
              </w:rPr>
              <w:t>Odporúčame predkladateľovi slovo „reorganizácie“ nahradiť iným vhodným pojmom, ktorý je v právnom poriadku Slovenskej republiky obsahovo známym, teda odporúčame transpozíciu smernice Rady (EÚ) 2023/2226 zo 17. októbra 2023, ktorou sa mení smernica 2011/16/EÚ o administratívnej spolupráci v oblasti daní (ďalej len „Smernica 2023/2226“) zasadiť do kontextu vnútroštátnej právnej úpravy. Transpozícia Smernice 2023/2226 by sa podľa nášho názoru nemala obmedziť len formálne (jazykovo) doslovné prebratie textu právneho aktu EU, ale mala by zohľadniť systém národného právneho poriadku, a tým minimalizovať nezrovnalosti, ktoré tak môžu vzniknúť nielen v rovine terminologickej, no najmä v rovine vecnej.</w:t>
              <w:br/>
            </w:r>
            <w:r>
              <w:rPr>
                <w:b w:val="off"/>
                <w:color w:val="000000"/>
                <w:rFonts w:ascii="Times New Roman" w:hAnsi="Times New Roman" w:cs="Times New Roman" w:eastAsia="Times New Roman"/>
                <w:sz w:val="24"/>
              </w:rPr>
              <w:t>K § 15a písm. i) bod 5.</w:t>
              <w:br/>
            </w:r>
            <w:r>
              <w:rPr>
                <w:b w:val="off"/>
                <w:color w:val="000000"/>
                <w:rFonts w:ascii="Times New Roman" w:hAnsi="Times New Roman" w:cs="Times New Roman" w:eastAsia="Times New Roman"/>
                <w:sz w:val="24"/>
              </w:rPr>
              <w:t>Odporúčame predkladateľovi slová „vykonáva podnikateľskú činnosť, ktorá je iná než podnikateľská činnosť“ nahradiť slovami „podniká v inom predmete podnikania, než je predmet podnikania“, a to z dôvodu terminologického zjednotenia s Obchodným zákonníkom.</w:t>
              <w:br/>
            </w:r>
            <w:r>
              <w:rPr>
                <w:b w:val="off"/>
                <w:color w:val="000000"/>
                <w:rFonts w:ascii="Times New Roman" w:hAnsi="Times New Roman" w:cs="Times New Roman" w:eastAsia="Times New Roman"/>
                <w:sz w:val="24"/>
              </w:rPr>
              <w:t>K § 15a písm. i) bod 6.</w:t>
              <w:br/>
            </w:r>
            <w:r>
              <w:rPr>
                <w:b w:val="off"/>
                <w:color w:val="000000"/>
                <w:rFonts w:ascii="Times New Roman" w:hAnsi="Times New Roman" w:cs="Times New Roman" w:eastAsia="Times New Roman"/>
                <w:sz w:val="24"/>
              </w:rPr>
              <w:t>Odporúčame predkladateľovi slovo „je zriadený“ nahradiť slovom „vznikol“.</w:t>
              <w:br/>
            </w:r>
            <w:r>
              <w:rPr>
                <w:b w:val="off"/>
                <w:color w:val="000000"/>
                <w:rFonts w:ascii="Times New Roman" w:hAnsi="Times New Roman" w:cs="Times New Roman" w:eastAsia="Times New Roman"/>
                <w:sz w:val="24"/>
              </w:rPr>
              <w:t>K § 15a písm. i) bod 6., podbod 6c.</w:t>
              <w:br/>
            </w:r>
            <w:r>
              <w:rPr>
                <w:b w:val="off"/>
                <w:color w:val="000000"/>
                <w:rFonts w:ascii="Times New Roman" w:hAnsi="Times New Roman" w:cs="Times New Roman" w:eastAsia="Times New Roman"/>
                <w:sz w:val="24"/>
              </w:rPr>
              <w:t>Odporúčame predkladateľovi slová „alebo členov“ nahradiť slovami „,členov, zakladateľov alebo zriaďovateľov“, a to vzhľadom na skutočnosť, že ustanovenie by malo okrem obchodných spoločností postihovať aj iné typy právnických osôb a „právnych usporiadaní bez právnej subjektivity“, vypustiť slovo „vlastnícky“. Zároveň odporúčame (v závislosti od cieľa sledovaného transponovaným ustanovením Smernice 2023/2226) slová „skutočnými vlastníkmi príjmu alebo majetku“ nahradiť slovami „konečnými užívateľmi výhod“ spolu so zavedením odkazu v poznámke pod čiarou odkazujúceho na príslušný osobitný právny predpis.</w:t>
              <w:br/>
            </w:r>
            <w:r>
              <w:rPr>
                <w:b w:val="off"/>
                <w:color w:val="000000"/>
                <w:rFonts w:ascii="Times New Roman" w:hAnsi="Times New Roman" w:cs="Times New Roman" w:eastAsia="Times New Roman"/>
                <w:sz w:val="24"/>
              </w:rPr>
              <w:t>K § 15a písm. i) bod 6., podbod 6d.</w:t>
              <w:br/>
            </w:r>
            <w:r>
              <w:rPr>
                <w:b w:val="off"/>
                <w:color w:val="000000"/>
                <w:rFonts w:ascii="Times New Roman" w:hAnsi="Times New Roman" w:cs="Times New Roman" w:eastAsia="Times New Roman"/>
                <w:sz w:val="24"/>
              </w:rPr>
              <w:t>Odporúčame predkladateľovi za slová „neumožňujú, aby sa“ vložiť slovo „zisk,“ a slovo „distribuovali“ nahradiť slovom „rozdelili“. Zároveň dávame predkladateľovi do pozornosti, že Obchodný zákonník používa pre popis situácie, ktorú v danom ustanovení obsahovo vyjadrujú slová „platba, ktorá predstavuje primeranú trhovú hodnotu majetku, ktorý subjekt nadobudol kúpou“ kategóriu plnenie v „bežnom obchodnom styku“.</w:t>
              <w:br/>
            </w:r>
            <w:r>
              <w:rPr>
                <w:b w:val="off"/>
                <w:color w:val="000000"/>
                <w:rFonts w:ascii="Times New Roman" w:hAnsi="Times New Roman" w:cs="Times New Roman" w:eastAsia="Times New Roman"/>
                <w:sz w:val="24"/>
              </w:rPr>
              <w:t>K § 15a písm. i) bod 6., podbod 6e.</w:t>
              <w:br/>
            </w:r>
            <w:r>
              <w:rPr>
                <w:b w:val="off"/>
                <w:color w:val="000000"/>
                <w:rFonts w:ascii="Times New Roman" w:hAnsi="Times New Roman" w:cs="Times New Roman" w:eastAsia="Times New Roman"/>
                <w:sz w:val="24"/>
              </w:rPr>
              <w:t>Odporúčame predkladateľovi za slová „zrušení subjektu“ vložiť slová „bez likvidácie“, slovo „distribuovali“ nahradiť slovom „rozdelili“, slová „verejnému organu“ nahradiť slovami „orgánu verejnej moci“ a za slovami „prepadol v prospech“ vypustiť slovo „štátu“.</w:t>
              <w:br/>
            </w:r>
            <w:r>
              <w:rPr>
                <w:b w:val="off"/>
                <w:color w:val="000000"/>
                <w:rFonts w:ascii="Times New Roman" w:hAnsi="Times New Roman" w:cs="Times New Roman" w:eastAsia="Times New Roman"/>
                <w:sz w:val="24"/>
              </w:rPr>
              <w:t>K § 15d ods. 3 písm. c)</w:t>
              <w:br/>
            </w:r>
            <w:r>
              <w:rPr>
                <w:b w:val="off"/>
                <w:color w:val="000000"/>
                <w:rFonts w:ascii="Times New Roman" w:hAnsi="Times New Roman" w:cs="Times New Roman" w:eastAsia="Times New Roman"/>
                <w:sz w:val="24"/>
              </w:rPr>
              <w:t>V súvislosti s navrhovanou legálnou definíciou pojmu „osoba z oznamovaného štátu“, kde sa v písmene c) pod uvedený pojem zahŕňa aj „dedičstvo po poručiteľovi, ktorý bol rezidentom na daňové účely v oznamovanom štáte“ rozumieme, že táto má svoj podklad v znení transponovanej Smernice 2023/2226, dovoľujeme si upozorniť, že takýto právny konštrukt nie je v slovenskom právnom poriadku výslovne pozitívno-právne upravený. Skutočnosť, že slovenský právny systém nedefinuje „pozostalosť“ ako samostatný subjekt práva, teda nepriznáva tejto majetkovej podstate (v slovenskom právnom poriadku tradične vnímanej ako objekt právnych vzťahov) jednotlivé prvky právnej subjektivity, môže pri reálnej aplikácii normy spôsobovať problémy napr. v otázke identifikácie konkrétnej osoby, ktorá je pri tomto type „osoby z oznamovaného štátu“ tou, o ktorej bude oznamujúci poskytovateľ služieb kryptoaktív povinný vykonávať preverovanie a oznámenie atď. Odporúčame preto predkladateľovi v tejto súvislosti v návrhu zákona rozviesť príslušnú úpravu najmä o úpravu otázok nadväzujúcich na vyššie uvedené skutočnosti. V tejto súvislosti podrobnejšia právna úprava nebude podľa nášho názoru predstavovať neopodstatnený goldplating, nakoľko ako taká je (z dôvodu absencie osobitnej úpravy zvereneckých majetkových štruktúr v slovenskom právnom poriadku) nevyhnutná pre vykonateľnosť dotknutých transpozičných ustanovení v praxi, a teda aj pre správnu a úplnú transpozíciu Smernice 2023/2226.</w:t>
              <w:br/>
            </w:r>
            <w:r>
              <w:rPr>
                <w:b w:val="off"/>
                <w:color w:val="000000"/>
                <w:rFonts w:ascii="Times New Roman" w:hAnsi="Times New Roman" w:cs="Times New Roman" w:eastAsia="Times New Roman"/>
                <w:sz w:val="24"/>
              </w:rPr>
              <w:t xml:space="preserve"> Všeobecne sa nám javí (bez bližšieho oboznámenia sa so znením Smernice 2023/2226), že v danom prípade ide najmä o situácie zriadenia osobitnej majetkovej podstaty pre prípad smrti, ktorej správa je zverená fyzickej osobe primárne nespojenej s jej tvorbou. Taká majetková podstata je v niektorých členských štátoch, resp. zmluvných štátoch zastrešená osobitnou právnou úpravou zvereneckých fondov alebo im obdobných právnych štruktúr. Ak je tento záver správny, zákon č. 359/2015 Z. z. už v súčasnosti pojem „zverenecký fond“ používa, odporúčame predkladateľovi preto zvážiť zavedenie jeho legálnej definície pre účely zákona a na tento odkazovať aj pri určení „osoby  z oznamovaného štátu“ v ustanovení § 15d ods. 3 písm. c).</w:t>
              <w:br/>
            </w:r>
            <w:r>
              <w:rPr>
                <w:b w:val="off"/>
                <w:color w:val="000000"/>
                <w:rFonts w:ascii="Times New Roman" w:hAnsi="Times New Roman" w:cs="Times New Roman" w:eastAsia="Times New Roman"/>
                <w:sz w:val="24"/>
              </w:rPr>
              <w:t>K § 15d ods. 4 písm. a)</w:t>
              <w:br/>
            </w:r>
            <w:r>
              <w:rPr>
                <w:b w:val="off"/>
                <w:color w:val="000000"/>
                <w:rFonts w:ascii="Times New Roman" w:hAnsi="Times New Roman" w:cs="Times New Roman" w:eastAsia="Times New Roman"/>
                <w:sz w:val="24"/>
              </w:rPr>
              <w:t>Odporúčame predkladateľovi slovo „subjekt“ nahradiť slovom „spoločnosť“ alebo slovami „akciová spoločnosť“.</w:t>
              <w:br/>
            </w:r>
            <w:r>
              <w:rPr>
                <w:b w:val="off"/>
                <w:color w:val="000000"/>
                <w:rFonts w:ascii="Times New Roman" w:hAnsi="Times New Roman" w:cs="Times New Roman" w:eastAsia="Times New Roman"/>
                <w:sz w:val="24"/>
              </w:rPr>
              <w:t>K § 15d ods. 4 písm. c)</w:t>
              <w:br/>
            </w:r>
            <w:r>
              <w:rPr>
                <w:b w:val="off"/>
                <w:color w:val="000000"/>
                <w:rFonts w:ascii="Times New Roman" w:hAnsi="Times New Roman" w:cs="Times New Roman" w:eastAsia="Times New Roman"/>
                <w:sz w:val="24"/>
              </w:rPr>
              <w:t>Odporúčame slová „verejný orgán“ nahradiť slovami „orgán verejnej moci“.</w:t>
              <w:br/>
            </w:r>
            <w:r>
              <w:rPr>
                <w:b w:val="off"/>
                <w:color w:val="000000"/>
                <w:rFonts w:ascii="Times New Roman" w:hAnsi="Times New Roman" w:cs="Times New Roman" w:eastAsia="Times New Roman"/>
                <w:sz w:val="24"/>
              </w:rPr>
              <w:t>K § 15g ods. 2 písm. a) bod 2. a 6.</w:t>
              <w:br/>
            </w:r>
            <w:r>
              <w:rPr>
                <w:b w:val="off"/>
                <w:color w:val="000000"/>
                <w:rFonts w:ascii="Times New Roman" w:hAnsi="Times New Roman" w:cs="Times New Roman" w:eastAsia="Times New Roman"/>
                <w:sz w:val="24"/>
              </w:rPr>
              <w:t>Odporúčame v bode 2. za slovo „adresa“ vložiť slovo „trvalého“, v bode  6. slová „informácia o postavení, na základe ktorého je ovládajúcou osobou subjektu“ nahradiť slovami „informácie o určení druhu kontroly, ktorú ovládajúca osoba vykonáva nad subjektom,“, a to v záujme terminologického priblíženia ustanovenia so znením § 6 ods. 2 písm. b) zákona. Akceptovanie pripomienky v rozsahu bodu 6. by si vyžiadalo aj primeranú zmenu v ustanovení § 15g ods. 3.</w:t>
              <w:br/>
            </w:r>
            <w:r>
              <w:rPr>
                <w:b w:val="off"/>
                <w:color w:val="000000"/>
                <w:rFonts w:ascii="Times New Roman" w:hAnsi="Times New Roman" w:cs="Times New Roman" w:eastAsia="Times New Roman"/>
                <w:sz w:val="24"/>
              </w:rPr>
              <w:t>K § 15h</w:t>
              <w:br/>
            </w:r>
            <w:r>
              <w:rPr>
                <w:b w:val="off"/>
                <w:color w:val="000000"/>
                <w:rFonts w:ascii="Times New Roman" w:hAnsi="Times New Roman" w:cs="Times New Roman" w:eastAsia="Times New Roman"/>
                <w:sz w:val="24"/>
              </w:rPr>
              <w:t xml:space="preserve">V rozsahu úpravy § 15h ods. 1 písm. b) bod 2. odporúčame predkladateľovi slovo „zaregistrovaný“ nahradiť slovami „zapísaný v registri právnických osôb, podnikateľov a orgánov verejnej moci podľa osobitného zákona“. Uvedená pripomienka sa primerane aplikuje aj na § 15h ods. 4, § 15i ods. 13. </w:t>
              <w:br/>
            </w:r>
            <w:r>
              <w:rPr>
                <w:b w:val="off"/>
                <w:color w:val="000000"/>
                <w:rFonts w:ascii="Times New Roman" w:hAnsi="Times New Roman" w:cs="Times New Roman" w:eastAsia="Times New Roman"/>
                <w:sz w:val="24"/>
              </w:rPr>
              <w:t>V rozsahu úpravy § 15h ods. 1 písm. b) bod 4. vnímame, že používanie pojmu „obvyklé miesto podnikania“ vyplýva z potreby transpozície Smernice 2023/2226 (táto používa pojem „pravidelné miesto podnikania“), avšak považujeme za potrebné upozorniť, že tento pojem nie je čo do jeho obsahu v slovenskom právnom poriadku známy. Zároveň „miesto podnikania“ je tradične spájané s podnikateľmi, ktorý sú fyzickými osobami, pričom v rozsahu úpravy § 15h ods. 1 písm. b) bod 4. môže ísť aj o právnické osoby, prípadne subjekty bez právnej subjektivity. V neposlednom rade je na zvážení predkladateľa, či obsahové vymedzenie pojmu „pravidelné miesto podnikania“ v zmysle Smernice 2023/2226 nenapĺňa definičné znaky pojmu „sídlo“ v zmysle slovenského právneho poriadku.</w:t>
              <w:br/>
            </w:r>
            <w:r>
              <w:rPr>
                <w:b w:val="off"/>
                <w:color w:val="000000"/>
                <w:rFonts w:ascii="Times New Roman" w:hAnsi="Times New Roman" w:cs="Times New Roman" w:eastAsia="Times New Roman"/>
                <w:sz w:val="24"/>
              </w:rPr>
              <w:t xml:space="preserve"> V rozsahu úpravy § 15d ods. 7 odporúčame slovo „kritériami“ nahradiť iným vhodným pojmom napr. „podmienkami“ alebo „povinnosťami“.</w:t>
              <w:br/>
            </w:r>
            <w:r>
              <w:rPr>
                <w:b w:val="off"/>
                <w:color w:val="000000"/>
                <w:rFonts w:ascii="Times New Roman" w:hAnsi="Times New Roman" w:cs="Times New Roman" w:eastAsia="Times New Roman"/>
                <w:sz w:val="24"/>
              </w:rPr>
              <w:t>V rozsahu § 15h ods. 9 písm. b) odporúčame predkladateľovi za slovo „adresa“ doplniť slová „trvalého bydliska, miesta podnikania alebo sídla“.</w:t>
              <w:br/>
            </w:r>
            <w:r>
              <w:rPr>
                <w:b w:val="off"/>
                <w:color w:val="000000"/>
                <w:rFonts w:ascii="Times New Roman" w:hAnsi="Times New Roman" w:cs="Times New Roman" w:eastAsia="Times New Roman"/>
                <w:sz w:val="24"/>
              </w:rPr>
              <w:t>V rozsahu § 15h ods. 16 odporúčame predkladateľovi za slová „podliehajúcich oznamovaniu“ vložiť slovo „trvalým“ a za slová „s bydliskom“ vložiť čiarku a slová „miestom podnikania“.</w:t>
              <w:br/>
            </w:r>
            <w:r>
              <w:rPr>
                <w:b w:val="off"/>
                <w:color w:val="000000"/>
                <w:rFonts w:ascii="Times New Roman" w:hAnsi="Times New Roman" w:cs="Times New Roman" w:eastAsia="Times New Roman"/>
                <w:sz w:val="24"/>
              </w:rPr>
              <w:t>V rozsahu § 15h ods. 16 odporúčame predkladateľovi za slová „podliehajúcich oznamovaniu“ vložiť slovo „trvalým“ a za slová „s bydliskom“ vložiť čiarku a slová „miestom podnikania“.</w:t>
              <w:br/>
            </w:r>
            <w:r>
              <w:rPr>
                <w:b w:val="off"/>
                <w:color w:val="000000"/>
                <w:rFonts w:ascii="Times New Roman" w:hAnsi="Times New Roman" w:cs="Times New Roman" w:eastAsia="Times New Roman"/>
                <w:sz w:val="24"/>
              </w:rPr>
              <w:t>V rozsahu úpravy § 15i ods. 8 upozorňujeme predkladateľa, že z pohľadu „všeobecnej“ úpravy doručovania elektronickými prostriedkami obsiahnutej v Daňovom poriadku ide o špeciálne ustanovenie, pri ktorom by mal byť vyriešený aj režim vzťahu oboch predpisov, rovnako aj v otázke úpravy doručovania mimo územia Slovenskej republiky, ide o prípad, kde by rovnako mali byť ustanovenia Daňového poriadku vylúčené z aplikácie na tieto osobitné situácie upravené v zákone     č. 359/2015 Z. 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Neakceptované časti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15a všeobecne - predloženú úpravu považujeme za systematickú a súladnú s už doteraz zavedenou úpravou pri iných druhoch automatickej výmeny,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15d ods. 4 písm. a) - Smernica (EÚ) 2023/2226 požaduje širší rozsah právnych foriem ako len obchodné spoločnosti,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15d ods. 4 písm. c) - pojem „verejný orgán“ je zadefinovaný v zákone č. 359/2015 Z. z. (§ 4 ods. 2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15h ods. 1 písm. b) bod 4. - pojem „obvyklé miesto podnikania“ je v zmysle komentára ku globálnemu štandardu CARF potrebné chápať širšie, zahŕňa pobočku, stálu prevádzkareň a akékoľvek iné miesto, z ktorého sa pravidelne vykonáva činnosť, pričom nemusí byť obmedzené na fixné/stále miesto podnikania.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Čiastočne akceptované časti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15a písm. i) bod 6., podbod 6e. - pojem „verejný orgán“ je zadefinovaný v zákone č. 359/2015 Z. z. (§ 4 ods. 2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15g ods. 2 písm. a) bod 2. a 6. - v súlade s existujúcim znením ponechávame pojem „adresa bydliska“, spresnenie ohľadom postavenia, na základe ktorého je ovládajúcou osobou je uvedené v dôvodovej správe,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 15h ods. 1 písm. b) bod 2. - v § 15h ods. 4 ide o zaregistrovanie v inom členskom štáte alebo zmluvnom štáte,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15i ods. 8 - v zákone č. 442/2012 Z. z. je doručovanie/oznamovanie písomností do zahraničia riešené (§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časti pripomienky sú akceptované, pričom: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15a písm. i) bod 4. je použitý pojem „premena alebo zmena právnej formy“ zo zákona o dani z príjmov,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15a písm. i) bod 6., podbod 6c. je upravený iným spôsobom, z dôvodu zosúladenia s terminológiou používanou v oblasti dane z príjmov,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15d ods. 3 písm. c) v je upravený iným spôsobom s cieľom určenia osoby, ktorej bola zverená správa dedičstva,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 15d ods. 7 je vykonaná v § 15h ods. 7,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spresnenie k § 15h ods. 9 písm. b,  § 15h ods. 16 a § 15h ods. 16  je uvedené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46. (§ 23 ods. 6)</w:t>
              <w:br/>
            </w:r>
            <w:r>
              <w:rPr>
                <w:b w:val="off"/>
                <w:color w:val="000000"/>
                <w:rFonts w:ascii="Times New Roman" w:hAnsi="Times New Roman" w:cs="Times New Roman" w:eastAsia="Times New Roman"/>
                <w:sz w:val="24"/>
              </w:rPr>
              <w:t>Odporúčame vypustiť duplicitný výskyt slov „príslušného orgánu“.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43. (§ 22 ods. 17)</w:t>
              <w:br/>
            </w:r>
            <w:r>
              <w:rPr>
                <w:b w:val="off"/>
                <w:color w:val="000000"/>
                <w:rFonts w:ascii="Times New Roman" w:hAnsi="Times New Roman" w:cs="Times New Roman" w:eastAsia="Times New Roman"/>
                <w:sz w:val="24"/>
              </w:rPr>
              <w:t>Odporúčame predkladateľovi za slovo „príslušný“ vložiť slovo „štátny“. Uvedenú pripomienku primerane uplatňujeme aj vo vzťahu k ostatným novelizačným bodom návrhu zákona, kde je z kontextu zrejmé, že v danom prípade sa „príslušným orgánom“ má rozumieť „príslušný štátny orgán“ a uvedené slovné spojenie jednotne používať v celom návrhu zákona. Zároveň odporúčame predkladateľovi slovo „nepresné“ nahradiť slovom „nepravdivé“, ktoré vnímame ako obsahovo širšie a vhodnejšie.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Časť pripomienky týkajúcej sa vloženia slova „štátny“ je neakceptovaná, pojem príslušný orgán je v rámci výmeny informácií dlhodobo používaný a definovaný v zákone č. 442/2012 Z. z. (§ 2 písm. c)), z ktorého je jasné, že ide o štátny orgán.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Nahradenie slova „nepresné“ je upravené iným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bod 8. (§ 7 ods. 4)</w:t>
              <w:br/>
            </w:r>
            <w:r>
              <w:rPr>
                <w:b w:val="off"/>
                <w:color w:val="000000"/>
                <w:rFonts w:ascii="Times New Roman" w:hAnsi="Times New Roman" w:cs="Times New Roman" w:eastAsia="Times New Roman"/>
                <w:sz w:val="24"/>
              </w:rPr>
              <w:t>Dávame predkladateľovi na zváženie používanie kategórie trvalého pobytu vo vzťahu k pojmu „subjekt“, nakoľko z predchádzajúceho znenia a zavedenej legálnej definície pojmu „subjekt“ v zákone je zrejmé, že v danom prípade ide o právnickú osobu alebo právne usporiadanie (majetku, resp. osôb) bez právnej subjektivity. O kategórii „trvalého pobytu“ je možné hovoriť len vo vzťahu k správcovi (fyzickej osobe) takéhoto právneho usporiadania.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všeobecnú formuláciu vzťahujúcu sa na fyzickú osobu a subjekt.</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bod 15. (§ 8 ods. 8 a 9)</w:t>
              <w:br/>
            </w:r>
            <w:r>
              <w:rPr>
                <w:b w:val="off"/>
                <w:color w:val="000000"/>
                <w:rFonts w:ascii="Times New Roman" w:hAnsi="Times New Roman" w:cs="Times New Roman" w:eastAsia="Times New Roman"/>
                <w:sz w:val="24"/>
              </w:rPr>
              <w:t>Odporúčame predkladateľovi vo formulácii novelizačného bodu slovo „až“ nahradiť slovom „a“. V rozsahu odseku 8 odporúčame časť vety za bodkočiarkou uviesť ako samostatnú vetu.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w:t>
              <w:br/>
            </w:r>
            <w:r>
              <w:rPr>
                <w:b w:val="off"/>
                <w:color w:val="000000"/>
                <w:rFonts w:ascii="Times New Roman" w:hAnsi="Times New Roman" w:cs="Times New Roman" w:eastAsia="Times New Roman"/>
                <w:sz w:val="24"/>
              </w:rPr>
              <w:t>K čl. I bodu 3: Znenie novelizačného bodu treba dať do súladu s bodom 14.1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w:t>
              <w:br/>
            </w:r>
            <w:r>
              <w:rPr>
                <w:b w:val="off"/>
                <w:color w:val="000000"/>
                <w:rFonts w:ascii="Times New Roman" w:hAnsi="Times New Roman" w:cs="Times New Roman" w:eastAsia="Times New Roman"/>
                <w:sz w:val="24"/>
              </w:rPr>
              <w:t>K čl. I bodu 8: Slová „uvedené v § 6 ods. 2 písm. c) body“ navrhujeme nahradiť slovami „uvedené v § 6 ods. 2 písm. c) bodoch“.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 gramatického hľadiska upravené „uvedených v § 6 ods. 2 písm. c) bodoch“.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bodu 25</w:t>
              <w:br/>
            </w:r>
            <w:r>
              <w:rPr>
                <w:b w:val="off"/>
                <w:color w:val="000000"/>
                <w:rFonts w:ascii="Times New Roman" w:hAnsi="Times New Roman" w:cs="Times New Roman" w:eastAsia="Times New Roman"/>
                <w:sz w:val="24"/>
              </w:rPr>
              <w:t>K čl. III bodu 25: V § 20 ods. 3 treba navrhovaný odkaz „21d“ nahradiť odkazom „12b“. V § 8a písm. a) piatom bode sa nachádza odkaz „12b“ s citáciou na  „Zákon č. 359/2015 Z. z. o automatickej výmene informácií o finančných účtoch na účely správy daní a o zmene a doplnení niektorých zákonov v znení zákona č. 300/2016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Odkaz „21d“ odkazuje na znenie zákona č. 359/2015 Z. z. v znení zákona č. 300/2016 Z. z., čo nie je vecne správne vo vzťahu k upravovanej oblasti.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bodu 34</w:t>
              <w:br/>
            </w:r>
            <w:r>
              <w:rPr>
                <w:b w:val="off"/>
                <w:color w:val="000000"/>
                <w:rFonts w:ascii="Times New Roman" w:hAnsi="Times New Roman" w:cs="Times New Roman" w:eastAsia="Times New Roman"/>
                <w:sz w:val="24"/>
              </w:rPr>
              <w:t>K čl. III bodu 34: Slová „začínajúce po 1. januári 2030“ odporúčame nahradiť slovami „začínajúce po 31. decembri 2029“ alebo slovami „začínajúce najskôr 1. januára 2030“.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Iným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w:t>
              <w:br/>
            </w:r>
            <w:r>
              <w:rPr>
                <w:b w:val="off"/>
                <w:color w:val="000000"/>
                <w:rFonts w:ascii="Times New Roman" w:hAnsi="Times New Roman" w:cs="Times New Roman" w:eastAsia="Times New Roman"/>
                <w:sz w:val="24"/>
              </w:rPr>
              <w:t>V bode 3 odporúčame na začiatku textu § 2 písm. h) uviesť označenie písmena 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w:t>
              <w:br/>
            </w:r>
            <w:r>
              <w:rPr>
                <w:b w:val="off"/>
                <w:color w:val="000000"/>
                <w:rFonts w:ascii="Times New Roman" w:hAnsi="Times New Roman" w:cs="Times New Roman" w:eastAsia="Times New Roman"/>
                <w:sz w:val="24"/>
              </w:rPr>
              <w:t>V § 5 ods. 2 písm a) odporúčame slová "pomyselný účet" nahradiť slovami "virtuálny účet.</w:t>
              <w:br/>
            </w:r>
            <w:r>
              <w:rPr>
                <w:b w:val="off"/>
                <w:color w:val="000000"/>
                <w:rFonts w:ascii="Times New Roman" w:hAnsi="Times New Roman" w:cs="Times New Roman" w:eastAsia="Times New Roman"/>
                <w:sz w:val="24"/>
              </w:rPr>
              <w:t>Obdobné odporúčanie sa týka aj čl. 1 bodov 14 a 15.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používať pojmy, ktoré sú súladné s pojmami používanými v smernici Rady (EÚ) 2023/2226 zo 17. októbra 2023, ktorou sa mení smernica 2011/16/EÚ o administratívnej spolupráci v oblasti daní. Použitie slovného spojenia"pomyselný účet" môže v praxi vyvolávať právnu neistotu.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 ohľadom na anglické znenie („notional account“), požadovaný význam v zmysle smernice, ako aj použitie slova „pomyselný“ v iných právnych predpisoch (napr. zákon č. 595/2003 Z. z. o dani z príjmov).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26</w:t>
              <w:br/>
            </w:r>
            <w:r>
              <w:rPr>
                <w:b w:val="off"/>
                <w:color w:val="000000"/>
                <w:rFonts w:ascii="Times New Roman" w:hAnsi="Times New Roman" w:cs="Times New Roman" w:eastAsia="Times New Roman"/>
                <w:sz w:val="24"/>
              </w:rPr>
              <w:t>V § 15d ods. 3 písm. a)  odporúčame slovo "ktoré" nahradiť slovom "ak".</w:t>
              <w:br/>
            </w:r>
            <w:r>
              <w:rPr>
                <w:b w:val="off"/>
                <w:color w:val="000000"/>
                <w:rFonts w:ascii="Times New Roman" w:hAnsi="Times New Roman" w:cs="Times New Roman" w:eastAsia="Times New Roman"/>
                <w:sz w:val="24"/>
              </w:rPr>
              <w:t>Obdobné odporúčanie sa týka aj iných ustanovení, v ktorých sa používa slovné spojenie "fyzická osoba alebo subjekt".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Formulačné spresnenie.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Obdobné formulácie sú už v zákone použité.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Čl.I, bod</w:t>
              <w:br/>
            </w:r>
            <w:r>
              <w:rPr>
                <w:b w:val="off"/>
                <w:color w:val="000000"/>
                <w:rFonts w:ascii="Times New Roman" w:hAnsi="Times New Roman" w:cs="Times New Roman" w:eastAsia="Times New Roman"/>
                <w:sz w:val="24"/>
              </w:rPr>
              <w:t>V § 23 ods. 3 odporúčame zvážiť, či by nebolo vhodné slová "právne usporiadanie majetku alebo právne usporiadanie osôb, ktoré nemajú právnu subjektivitu" nahradiť slovami "združenia fyzických alebo právnických osôb alebo účelové združenia majetku bez právnej subjektivity".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Terminologické spresenie s ohľadom na zavedené pojmoslovie, používané v Občianskom zákonníku.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špecifické znenie využívané v rámci výmeny informácií v zmysle smernice 2011/16/EÚ a jej novelizácií.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Z osobitnej časti dôvodovej správy k čl. II návrhu zákona vyplýva, že touto úpravou ide o zabezpečenie plnenia úloh vyplývajúcich zo smernice (EÚ) 2018/822. Je preto potrebné spolu s návrhom zákona predložiť čiastkovú tabuľku zhody so smernicou (EÚ) 2018/822 a doplniť transpozičnú prílohu  zákona č. 78/1992 Zb. v znení neskorších predpisov o túto smernicu Európskej únie.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 navrhovanej úprave nejde o transpozíciu smernice (EÚ) 2018/822, ide o úpravu súvisiacu s rozsudkami Súdneho dvora EÚ.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2 návrhu zákona</w:t>
              <w:br/>
            </w:r>
            <w:r>
              <w:rPr>
                <w:b w:val="off"/>
                <w:color w:val="000000"/>
                <w:rFonts w:ascii="Times New Roman" w:hAnsi="Times New Roman" w:cs="Times New Roman" w:eastAsia="Times New Roman"/>
                <w:sz w:val="24"/>
              </w:rPr>
              <w:t>V navrhovanom § 1 písm. c) bod 2 sa používa legislatívna skratka „zmluvných štátov“, pričom takáto skratka nebola zavedená. V prípade, že ide o rezidentov štátov, ktoré sú zmluvnou stranou medzinárodnej zmluvy, ktorou je Slovenská republika viazaná a teda Dohovorom o vzájomnej administratívnej pomoci v daňových záležitostiach v znení ustanovení Protokolu, ktorým sa mení Dohovor o vzájomnej administratívnej pomoci v daňových záležitostiach (Oznámenie Ministerstva zahraničných vecí a európskych záležitostí Slovenskej republiky č. 461/2013 Z. z.), je potrebné v zmysle Legislatívnych pravidiel vlády SR zaviesť takúto legislatívnu skratku na mieste, kde sa tento pojem použil prvýkrát a potom dôsledne používať v celom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definovaný pojem v platnom znení zákona (§ 2 písm. b)).</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15 návrhu zákona</w:t>
              <w:br/>
            </w:r>
            <w:r>
              <w:rPr>
                <w:b w:val="off"/>
                <w:color w:val="000000"/>
                <w:rFonts w:ascii="Times New Roman" w:hAnsi="Times New Roman" w:cs="Times New Roman" w:eastAsia="Times New Roman"/>
                <w:sz w:val="24"/>
              </w:rPr>
              <w:t>V § 5 ods. 5 návrhu zákona chýba pred slovami 1. januára predložka, žiadame uvedené doplniť.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26 návrhu zákona</w:t>
              <w:br/>
            </w:r>
            <w:r>
              <w:rPr>
                <w:b w:val="off"/>
                <w:color w:val="000000"/>
                <w:rFonts w:ascii="Times New Roman" w:hAnsi="Times New Roman" w:cs="Times New Roman" w:eastAsia="Times New Roman"/>
                <w:sz w:val="24"/>
              </w:rPr>
              <w:t>V § 15d ods. 8 písm. b) návrhu zákona sa používa pojem „kvalifikovaný zmluvný štát“ bez jeho bližšej špecifikácie o aký štát ide, pričom takýto pojem je zadefinovaný až v §15e v návrhu zákona, odporúčame až po zavedení pojmu v návrhu zákona, tieto pojmy používať v ďalších ustanoveniach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 15d ods. 8 písm. b) doplnený text „podľa § 15e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34 návrhu zákona</w:t>
              <w:br/>
            </w:r>
            <w:r>
              <w:rPr>
                <w:b w:val="off"/>
                <w:color w:val="000000"/>
                <w:rFonts w:ascii="Times New Roman" w:hAnsi="Times New Roman" w:cs="Times New Roman" w:eastAsia="Times New Roman"/>
                <w:sz w:val="24"/>
              </w:rPr>
              <w:t>V § 19 ods. 5 návrhu zákona sa používa pojem „slovenská oznamujúca inštitúcia“, dávame predkladateľovi na zváženie, či by nemalo ísť o pojem používaný v celom zákone a to „slovenská oznamujúca finančná inštitúcia“ a v zmysle uvedeného § 19 ods. 5 návrhu zákona upraviť.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Pojem „slovenská oznamujúca inštitúcia“ sa v zákone č. 359/2015 Z. z. používa špecificky len v súvislosti s automatickou výmenou informácií podľa Dohody FATCA.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48 návrhu zákona</w:t>
              <w:br/>
            </w:r>
            <w:r>
              <w:rPr>
                <w:b w:val="off"/>
                <w:color w:val="000000"/>
                <w:rFonts w:ascii="Times New Roman" w:hAnsi="Times New Roman" w:cs="Times New Roman" w:eastAsia="Times New Roman"/>
                <w:sz w:val="24"/>
              </w:rPr>
              <w:t>Publikačný zdroj smernice (EÚ) 2023/2226 žiadame uviesť nasledovne: „(Ú. v. EÚ L, 2023/2226, 24.10.2023)“. Upozorňujeme, že podľa bodu 62.10. prílohy č. 1 k Legislatívnym pravidlám vlády SR:  „publikačný zdroj nariadenia Európskej únie, smernice Európskej únie alebo rozhodnutia Európskej únie, ktoré boli uverejnené v Úradnom vestníku Európskej únie od 1. októbra 2023 sa uvádza takto: „(Ú. v. EÚ L, ....rok/....číslo, .. .. ....dátum publikácie)“.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bod 35 návrhu zákona</w:t>
              <w:br/>
            </w:r>
            <w:r>
              <w:rPr>
                <w:b w:val="off"/>
                <w:color w:val="000000"/>
                <w:rFonts w:ascii="Times New Roman" w:hAnsi="Times New Roman" w:cs="Times New Roman" w:eastAsia="Times New Roman"/>
                <w:sz w:val="24"/>
              </w:rPr>
              <w:t>Publikačný zdroj smernice (EÚ) 2023/2226 žiadame uviesť nasledovne: „(Ú. v. EÚ L, 2023/2226, 24.10.2023)“. Upozorňujeme, že podľa bodu 62.10. prílohy č. 1 k Legislatívnym pravidlám vlády SR:  „publikačný zdroj nariadenia Európskej únie, smernice Európskej únie alebo rozhodnutia Európskej únie, ktoré boli uverejnené v Úradnom vestníku Európskej únie od 1. októbra 2023 sa uvádza takto: „(Ú. v. EÚ L, ....rok/....číslo, .. .. ....dátum publikácie)“.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2023/2226</w:t>
              <w:br/>
            </w:r>
            <w:r>
              <w:rPr>
                <w:b w:val="off"/>
                <w:color w:val="000000"/>
                <w:rFonts w:ascii="Times New Roman" w:hAnsi="Times New Roman" w:cs="Times New Roman" w:eastAsia="Times New Roman"/>
                <w:sz w:val="24"/>
              </w:rPr>
              <w:t>1.	Pri preukazovaní transpozície čl. 3 ods. 3 písm. b) smernice (EÚ) 2023/2226, ktorá mení odsek 6 ii) písm. k) smernice 2011/16/EÚ v platnom znení, žiadame v tabuľke zhody preukázať slovenskými právnymi predpismi ustanovenie smernice (EÚ) 2023/2226 aj v časti : „alebo záväzným stanoviskom k stanoveniu ocenenia“. Prípadne je potrebné vysvetliť dané ustanovenia v stĺpci osem tabuľky zhody určenom na poznámky a vysvetlenia.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2023/2226</w:t>
              <w:br/>
            </w:r>
            <w:r>
              <w:rPr>
                <w:b w:val="off"/>
                <w:color w:val="000000"/>
                <w:rFonts w:ascii="Times New Roman" w:hAnsi="Times New Roman" w:cs="Times New Roman" w:eastAsia="Times New Roman"/>
                <w:sz w:val="24"/>
              </w:rPr>
              <w:t>2.	Ustanovenie čl. I ods. 6 smernice (EÚ) 2023/2226, ktorým sa dopĺňa článok 8ad ods. 12 do smernice 2011/16/EÚ v platnom znení sa v tabuľke zhody okrem iného preukazuje aj § 15h ods. 7 čl. I návrhu zákona, pričom text uvedený v šiestom stĺpci tabuľky zhody sa nezhoduje s textom návrhu zákona. Text návrhu zákona žiadame v tabuľke zhody upraviť podľa predloženého znenia návrhu zákona do pripomienkového konania. Uvedenú pripomienku uplatňujeme k celej tabuľke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2023/2226</w:t>
              <w:br/>
            </w:r>
            <w:r>
              <w:rPr>
                <w:b w:val="off"/>
                <w:color w:val="000000"/>
                <w:rFonts w:ascii="Times New Roman" w:hAnsi="Times New Roman" w:cs="Times New Roman" w:eastAsia="Times New Roman"/>
                <w:sz w:val="24"/>
              </w:rPr>
              <w:t>3.	Pri preukazovaní transpozície ustanovení smernice (EÚ) 2023/2226, ktoré majú byť podľa tabuľky zhody preukázané v budúcnosti vyhláškou, žiadame do 7. stĺpca tabuľky zhody uviesť poznámku – „Ž“ – žiadna zhoda, teda v zmysle Legislatívnych pravidiel vlády SR „nie je dosiahnutá ani úplná ani čiastočná zhoda alebo k prebratiu dôjde v budúcnosti“.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2023/2226</w:t>
              <w:br/>
            </w:r>
            <w:r>
              <w:rPr>
                <w:b w:val="off"/>
                <w:color w:val="000000"/>
                <w:rFonts w:ascii="Times New Roman" w:hAnsi="Times New Roman" w:cs="Times New Roman" w:eastAsia="Times New Roman"/>
                <w:sz w:val="24"/>
              </w:rPr>
              <w:t>4.	Pri preukazovaní prílohy III smernice (EÚ) 2023/2226, ktorou sa mení príloha VI oddiel IV smernice 2011/16/EÚ v platnom znení, kde sa definuje „transakcia retailových platieb podliehajúca oznamovaniu“ odporúčame preukázať uvedené ustanovenie v tabuľke zhody aj v časti : „alebo ekvivalentnú sumu v ktorejkoľvek inej mene“. Prípadne je potrebné vysvetliť dané ustanovenia v stĺpci osem tabuľky zhody určenom na poznámky a vysvetlenia.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Doplnenie v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2023/2226</w:t>
              <w:br/>
            </w:r>
            <w:r>
              <w:rPr>
                <w:b w:val="off"/>
                <w:color w:val="000000"/>
                <w:rFonts w:ascii="Times New Roman" w:hAnsi="Times New Roman" w:cs="Times New Roman" w:eastAsia="Times New Roman"/>
                <w:sz w:val="24"/>
              </w:rPr>
              <w:t>5.	Pri preukazovaní prílohy III smernice (EÚ) 2023/2226, ktorou sa mení príloha VI oddiel IV smernice 2011/16/EÚ v platnom znení, kde sa negatívne definuje pojem „používateľ kryptoaktív“, odporúčame preukázať uvedené ustanovenie v tabuľke zhody aj v časti: „subjektu ako zástupca, správca, poverenec, osoba s podpisovým právom, investičný poradca alebo sprostredkovateľ“. Prípadne je potrebné vysvetliť dané ustanovenia v stĺpci osem tabuľky zhody určenom na poznámky a vysvetlenia.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2021/514</w:t>
              <w:br/>
            </w:r>
            <w:r>
              <w:rPr>
                <w:b w:val="off"/>
                <w:color w:val="000000"/>
                <w:rFonts w:ascii="Times New Roman" w:hAnsi="Times New Roman" w:cs="Times New Roman" w:eastAsia="Times New Roman"/>
                <w:sz w:val="24"/>
              </w:rPr>
              <w:t>1.	V pravom hornom stĺpci tabuľky zhody, v ktorom sa uvádzajú slovenské právne predpisy, do ktorých sa smernica (EÚ) 2021/514 transponuje, žiadame uviesť názov návrhu zákona, a to: „Návrh zákona, ktorým sa mení a dopĺňa zákon č. 359/2015 Z. z. o automatickej výmene informácií o finančných účtoch na účely správy daní a o zmene a doplnení niektorých zákonov v znení neskorších predpisov a ktorým sa menia a dopĺňajú niektoré zákony“, z tabuľky zhody je ďalej zrejmé, že ide o jeho čl. III, ktorý novelizuje zákon č. 442/2012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2021/514</w:t>
              <w:br/>
            </w:r>
            <w:r>
              <w:rPr>
                <w:b w:val="off"/>
                <w:color w:val="000000"/>
                <w:rFonts w:ascii="Times New Roman" w:hAnsi="Times New Roman" w:cs="Times New Roman" w:eastAsia="Times New Roman"/>
                <w:sz w:val="24"/>
              </w:rPr>
              <w:t>2.	V čiastkovej tabuľke zhody je potrebné uvádzať len konkrétne ustanovenie smernice (EÚ) 2021/514, ktoré sa transponujú návrhom zákona. V tomto prípade bod 27 „porušenie ochrany údajov“, inak uvedené pôsobí tak, akoby transpozícia v ostatnej časti smernice Európskej únie, ktorej text je uvedený v druhom stĺpci tabuľky zhody nebola zabezpečená.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2021/514</w:t>
              <w:br/>
            </w:r>
            <w:r>
              <w:rPr>
                <w:b w:val="off"/>
                <w:color w:val="000000"/>
                <w:rFonts w:ascii="Times New Roman" w:hAnsi="Times New Roman" w:cs="Times New Roman" w:eastAsia="Times New Roman"/>
                <w:sz w:val="24"/>
              </w:rPr>
              <w:t>3.	Pri preukazovaní transpozície čl. 1 ods. 1 písm. d) smernice (EÚ) 2021/514 v ktorom sa dopĺňa do čl. 3 smernice 2011/16/EÚ v platnom znení bod 27, žiadame v tabuľke zhody preukázať slovenskými právnymi predpismi znenie smernice EÚ v časti „Porušenie ochrany údajov sa môže týkať dôvernosti, dostupnosti a integrity údajov.“ Prípadne je potrebné vysvetliť dané ustanovenia v stĺpci osem tabuľky zhody určenom na poznámky a vysvetlenia.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 návrhu zákona</w:t>
              <w:br/>
            </w:r>
            <w:r>
              <w:rPr>
                <w:b w:val="off"/>
                <w:color w:val="000000"/>
                <w:rFonts w:ascii="Times New Roman" w:hAnsi="Times New Roman" w:cs="Times New Roman" w:eastAsia="Times New Roman"/>
                <w:sz w:val="24"/>
              </w:rPr>
              <w:t>1.	V prvom odseku predkladacej správy návrhu zákona žiadame v súvislosti so smernicou (EÚ) 2023/2226 namiesto pojmu „implementuje“ použiť pojem „transponuje“. Zároveň smernicu Európskej únie žiadame citovať v súlade s Úradným vestníkom Európskej únie, nasledovne: „Smernica Rady (EÚ) 2023/2226 zo 17. októbra 2023, ktorou sa mení smernica 2011/16/EÚ o administratívnej spolupráci v oblasti daní  (Ú. v. EÚ L, 2023/2226, 24.10.2023)“.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 návrhu zákona</w:t>
              <w:br/>
            </w:r>
            <w:r>
              <w:rPr>
                <w:b w:val="off"/>
                <w:color w:val="000000"/>
                <w:rFonts w:ascii="Times New Roman" w:hAnsi="Times New Roman" w:cs="Times New Roman" w:eastAsia="Times New Roman"/>
                <w:sz w:val="24"/>
              </w:rPr>
              <w:t>2.	Nariadenie Európskej únie citované v prvom odseku predkladacej správy žiadame citovať v súlade s Úradným vestníkom Európskej únie nasledovne: „nariadenie Európskeho parlamentu a Rady (EÚ) 2023/1114 z 31. mája 2023 o trhoch s kryptoaktívami a o zmene nariadení (EÚ) č. 1093/2010 a (EÚ) č. 1095/2010 a smerníc 2013/36/EÚ a (EÚ) 2019/1937 (Ú. v. EÚ L 150, 9.6.2023).“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 návrhu zákona</w:t>
              <w:br/>
            </w:r>
            <w:r>
              <w:rPr>
                <w:b w:val="off"/>
                <w:color w:val="000000"/>
                <w:rFonts w:ascii="Times New Roman" w:hAnsi="Times New Roman" w:cs="Times New Roman" w:eastAsia="Times New Roman"/>
                <w:sz w:val="24"/>
              </w:rPr>
              <w:t>3.	V druhom odseku predkladacej správy žiadame špecifikovať o aké členské štáty a zmluvné štáty sa jedná, ak ide o členské štáty Európskej únie a zmluvné strany Dohody o Európskom hospodárskom priestore, je to potrebné uvedené takto špecifikovať.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Ide o zmluvné štáty podľa Dohovoru o vzájomnej pomoci v daňových záležitostiach.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 návrhu zákona</w:t>
              <w:br/>
            </w:r>
            <w:r>
              <w:rPr>
                <w:b w:val="off"/>
                <w:color w:val="000000"/>
                <w:rFonts w:ascii="Times New Roman" w:hAnsi="Times New Roman" w:cs="Times New Roman" w:eastAsia="Times New Roman"/>
                <w:sz w:val="24"/>
              </w:rPr>
              <w:t>4.	V treťom odseku predkladacej správy žiadame citovať smernicu Európskej únie v zmysle zavedenej skratky v prvom odseku predkladacej správy a to nasledovne: „smernica (EÚ) 2023/2226“.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1.	V treťom odseku všeobecnej časti dôvodovej správy k návrhu zákona žiadame smernicu Európskej únie citovať v súlade s Úradným vestníkom Európskej únie, nasledovne: „Smernica Rady (EÚ) 2023/2226 zo 17. októbra 2023, ktorou sa mení smernica 2011/16/EÚ o administratívnej spolupráci v oblasti daní  (Ú. v. EÚ L, 2023/2226, 24.10.2023)“.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2.	V piatej vete tretieho odseku všeobecnej časti dôvodovej správy žiadame namiesto slov „táto smernica“ použiť zavedenú skratku „smernica (EÚ) 2023/2226“ a uvedené jednotne používať v celej všeobecnej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3.	Nariadenie Európskej únie citované treťom odseku všeobecnej časti dôvodovej správy žiadame citovať v súlade s Úradným vestníkom Európskej únie nasledovne: „nariadenie Európskeho parlamentu a Rady (EÚ) 2023/1114 z 31. mája 2023 o trhoch s kryptoaktívami a o zmene nariadení (EÚ) č. 1093/2010 a (EÚ) č. 1095/2010 a smerníc 2013/36/EÚ a (EÚ) 2019/1937 (Ú. v. EÚ L 150, 9.6.2023).“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4.	V treťom odseku všeobecnej časti dôvodovej správy sa používa skratka „členské štáty EÚ“, uvedené odporúčame nahradiť pojmom „členské štáty Európskej únie“ a až následne, ak je to potrebné vytvoriť takúto skratku.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5.	V štvrtom odseku všeobecnej časti dôvodovej správy žiadame špecifikovať o aké členské štáty a zmluvné štáty sa jedná. Ak ide o členské štáty Európskej únie a zmluvné strany Dohody o Európskom hospodárskom priestore, je to potrebné uvedené takto špecifikovať.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Ide o zmluvné štáty podľa Dohovoru o vzájomnej pomoci v daňových záležitostiach.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6.	V piatom odseku všeobecnej časti dôvodovej správy k návrhu zákona žiadame v súvislosti so smernicou (EÚ) 2023/2226  namiesto pojmu „implementácia“ použiť pojem „transpozícia“.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7.	V šiestom odseku všeobecnej časti dôvodovej správy k návrhu zákona žiadame citovať smernicu Európskej únie v zmysle zavedenej skratky v treťom odseku všeobecnej časti dôvodovej správy a to nasledovne: „smernica (EÚ) 2023/2226“.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8.	V siedmom odseku všeobecnej časti dôvodovej správy k návrhu zákona žiadame smernicu Európskej únie citovať v súlade s Úradným vestníkom Európskej únie, nasledovne: „smernica Rady 2011/16/EÚ z 15. februára 2011 o administratívnej spolupráci v oblasti daní a zrušení smernice 77/799/EHS (Ú. v. EÚ L 64, 11.3.2011) v platnom znení“ a jej skratku zaviesť nasledovne: „smernica (EÚ) 2011/16/EÚ v platnom znení“ a následne túto skratku ďalej v texte používať.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9.	V poznámke pod čiarou odporúčame namiesto slova „iniciatívami“ použiť pojem „právne záväznými aktmi Európskej únie“. Zároveň v uvedenom zozname smerníc Európskej únie, ktoré novelizovali smernicu 2011/16/EÚ v platnom znení, chýba smernica Európskej únie, ktorá menila smernicu (EÚ) 2011/16/EÚ a to smernica (EÚ) 2020/876, zároveň uvedený zoznam žiadame citovať v súlade s Legislatívnymi pravidlami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Publikačný zdroj smernice (EÚ) 2023/2226 v časti „Charakter predkladaného materiálu“ žiadame uviesť nasledovne: „(Ú. v. EÚ L, 2023/2226, 24.10.2023)“. Upozorňujeme, že podľa bodu 62.10. prílohy č. 1 k Legislatívnym pravidlám vlády SR:  „publikačný zdroj nariadenia Európskej únie, smernice Európskej únie alebo rozhodnutia Európskej únie, ktoré boli uverejnené v Úradnom vestníku Európskej únie od 1. októbra 2023 sa uvádza takto: „(Ú. v. EÚ L, ....rok/....číslo, .. .. ....dátum publikácie)“. </w:t>
              <w:br/>
            </w:r>
            <w:r>
              <w:rPr>
                <w:b w:val="off"/>
                <w:color w:val="000000"/>
                <w:rFonts w:ascii="Times New Roman" w:hAnsi="Times New Roman" w:cs="Times New Roman" w:eastAsia="Times New Roman"/>
                <w:sz w:val="24"/>
              </w:rPr>
              <w:t>Zároveň žiadame v tejto časti uviesť všetky smernice Európskej únie a nariadenia Európskej únie, ktoré sa do návrhu zákona transponujú/implementujú.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Pri citovaní Zmluvy o fungovaní Európskej únie žiadame vypustiť dodatok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2, písm.a) bod 8 a k §15g ods. 2 písm. a) bod 6</w:t>
              <w:br/>
            </w:r>
            <w:r>
              <w:rPr>
                <w:b w:val="off"/>
                <w:color w:val="000000"/>
                <w:rFonts w:ascii="Times New Roman" w:hAnsi="Times New Roman" w:cs="Times New Roman" w:eastAsia="Times New Roman"/>
                <w:sz w:val="24"/>
              </w:rPr>
              <w:t xml:space="preserve">Navrhujeme zadefinovať obsah pre „informáciu o postavení“, ktorá sa má reportovať počnúc reportovacím obdobím začínajúcim 1.1.2026. </w:t>
              <w:br/>
            </w:r>
            <w:r>
              <w:rPr>
                <w:b w:val="off"/>
                <w:color w:val="000000"/>
                <w:rFonts w:ascii="Times New Roman" w:hAnsi="Times New Roman" w:cs="Times New Roman" w:eastAsia="Times New Roman"/>
                <w:sz w:val="24"/>
              </w:rPr>
              <w:t>Ak má mať uvedená hodnota „informácia o postavení“ jednoznačnú výpovednú hodnotu, mala by mať štandardizovaný formát a rovnaké možnosti pre všetky oznamujúce osoby. Predpokladáme, že nová xsd schéma bude pre uvedené pole požadovať presný typ informácie podľa prednastaveného číselníka. Z tohto dôvodu potrebujú banky pre účely správneho technického nastavenia tejto informácie vedieť v dostatočnom predstihu očakávané hodnoty reportované v tomto poli, aby ich vedeli korektne zbierať pre účely správneho reportovania.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Bližšia informácia doplnená do osobitnej časti dôvodovej správy, štruktúra „informácie o postavení“ bude špecifikovaná v rámci xsd schémy a príslušného číselníka, o ktorých bude Finančné riaditeľstvo SR včas informovať.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bod 1.</w:t>
              <w:br/>
            </w:r>
            <w:r>
              <w:rPr>
                <w:b w:val="off"/>
                <w:color w:val="000000"/>
                <w:rFonts w:ascii="Times New Roman" w:hAnsi="Times New Roman" w:cs="Times New Roman" w:eastAsia="Times New Roman"/>
                <w:sz w:val="24"/>
              </w:rPr>
              <w:t xml:space="preserve">Navrhujeme vypustiť navrhovaný text nového znenia § 18 ods. 2 zákona č. 78/1992 Zb.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nového § 18 ods. 1 písm. b) ide nad rámec právnej úpravy SMERNICE RADY (EÚ) 2023/2226 zo 17. októbra 2023, ktorou sa mení smernica 2011/16/EÚ o administratívnej spolupráci v oblasti daní (ďalej len „smernica“), nakoľko podľa navrhovaného ustanovenia by sa poskytnutie „súčinnosti finančnej správe pri správe daní“ fakticky vzťahovalo neobmedzene na akýkoľvek úkon pri správe daní, čim by zákonom uznaná povinnosť mlčanlivosti daňového poradcu ako taká stratila úplne význam. Povinnosť mlčanlivosti je jednou zo zákonom uznaných profesijných mlčanlivostí, ktorá sa spája s daňovým poradenstvom ako osobitnou formou právneho poradenstva v oblasti daní a poplatkov.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Navyše, navrhované znenie zavádza povinnosť „súčinnosti“, pričom smernica, ale aj iný predpis tento pojem jednoznačne v súvislosti s výmenou informácii nedefinuje a ustanovenie je z tohto dôvodu neurčité.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Poukazujeme na to, že aktuálne znenie smernice článku 17 ods. 4 naďalej upravuje, aby poskytnutie informácií mohlo byť odmietnuté, ak by viedlo k porušeniu obchodného, priemyselného či služobného tajomstva alebo obchodného postupu alebo prezradeniu informácií, ktorých zverejnenie by odporovalo verejnému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by sme radi poukázali na novšie rozhodnutie Súdneho dvora Európskej únie vo veci C 432/23 F SCS, Ordre des avocats du Barreau de Luxembourg proti Administration des contributions directes z 26.9.2024, podľa ktorého sa mlčanlivosť vzťahuje aj na poskytovanie poradenstva v daňovej oblasti a vnútroštátna úprava, ktorá u vedenému bráni, nie je v súlade s právom Európskej únie (napr. Článok 7 Charty základných práv Európskej únie). Uvedené rozhodnutie bolo vydané neskôr, ako rozhodnutie SD EU C-623/22 z 29.7.2024, na ktoré odkazuje aj dôvodová správa.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 18 tak, aby povinnosť mlčanlivosti zodpovedala postaveniu advokátov, nakoľko aj z judikatúry českých súdov vyplýva, že daňoví poradcovia a advokáti majú v tomto smere rovnaké postavenie.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 18 zákona č. 78/1992 Zb.: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18 ods. 1 znie:</w:t>
              <w:br/>
            </w:r>
            <w:r>
              <w:rPr>
                <w:b w:val="off"/>
                <w:color w:val="000000"/>
                <w:rFonts w:ascii="Times New Roman" w:hAnsi="Times New Roman" w:cs="Times New Roman" w:eastAsia="Times New Roman"/>
                <w:sz w:val="24"/>
              </w:rPr>
              <w:t>„(1) Daňový poradca je povinný zachovávať mlčanlivosť o všetkých skutočnostiach, o ktorých sa dozvedel v súvislosti s poskytovaním daňového poradenstva, ak osobitný predpis na úseku predchádzania a odhaľovania legalizácie príjmov z trestnej činnosti a financovania terorizmu neustanovuje inak. [5c] Od tejto povinnosti ho môže oslobodiť iba klient písomným vyhlásením. Po smrti či zániku klienta môže od povinnosti mlčanlivosti zbaviť daňového poradcu písomným vyhlásením iba právny nástupca klienta, pričom ak má klient viac právnych nástupcov, na účinné pozbavenie daňového poradcu povinnosti zachovávať mlčanlivosť sa vyžaduje súhlasné písomné vyhlásenie všetkých právnych nástupcov klienta; avšak aj po pozbavení mlčanlivosti klientom alebo jeho právnym nástupcom je daňový poradca povinný zachovávať mlčanlivosť, ak usúdi, že je to v záujme klienta alebo jeho právneho nástupcu.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5c): Zákon č. 297/2008 Z.z. o ochrane pred legalizáciou príjmov z trestnej činnosti a o ochrane pred financovaním terorizmu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18 ods. 2 sa vypúšťajú slová „a oznámiť“.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18 sa dopĺňajú nové odseky 3 a 4 a doterajšie odseky 3 a 4 sa označujú ako odseky 5 a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Daňový poradca nemá povinnosť zachovávať mlčanlivosť v konaní pred súdom alebo iným orgánom, ak predmetom konania je spor medzi ním a klientom alebo jeho právnym nástupcom.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Daňový poradca sa nemôže dovolávať povinnosti zachovávať mlčanlivosť v disciplinárnom konaní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18 ods. 5 sa za slovami „daňového poradcu a“ dopĺňajú slová “zamestnancov a členov orgánov“.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18 odseku 1 navrhujeme vypustiť možnosť pozbavenia mlčanlivosti súdom, nakoľko ide o zásah do privilegovaného právneho vzťahu medzi daňovým poradcom a klientom. Zbavenie mlčanlivosti súdom nie je možné ani pri iných priamo porovnateľných profesiách, napr. advokátoch (viď. ust. § 23 ods. 2 zákona č. 586/2003 Z.z. o advokácii a o zmene a doplnení zákona č. 455/1991 Zb. o živnostenskom podnikaní (živnostenský zákon) v znení neskorších predpisov (ďalej len „Zákon o advokácii“), resp. podľa českej právnej úpravy mlčanlivosti daňových poradcov alebo advokátov. Procesný postup zbavenia mlčanlivosti súdom pritom nie je ani jednoznačne upravený v slovenskom právnom poriadku.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štandardné oprávnenie daňového poradcu zachovávať mlčanlivosť aj v prípade písomného oslobodenia od tejto povinnosti, ak je to v záujme klienta. Rovnaké oprávnenie majú advokáti, alebo daňoví poradcovia podľa českej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záujme právnej istoty navrhujeme tiež doplniť výnimku z mlčanlivosti daňového poradcu vo vzťahu k povinnostiam na úseku predchádzania a odhaľovania legalizácie príjmov z tesnej činnosti, ktoré majú prednosť. Obdobne je táto výnimka riešená v Zákone o advokácii (§ 23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18 odseku 2 navrhujeme spresniť výnimky z povinnosti zachovávať mlčanlivosť. Z dôvodu právnej istoty navrhujeme vypustiť časť ustanovenia, ktorá vylučuje povinnosť mlčanlivosti vo vzťahu k neoznámeniu spáchania trestného činu. Ustanovenie § 340 ods. 3 Trestného zákona má v tomto prípade prednosť, keďže je v pomere špeciality k ustanoveniu § 18 ods. 2 zákona o DP. Znaky skutkovej podstaty trestného činu, ako aj okolnosti vylučujúce protiprávnosť tohto činu upravuje Trestný zákon. Podľa ust. § 340 ods. 3 Trestného zákona okolnosťou vylučujúcou protiprávnosť je (okrem iného) to, že trestným nie je ten (daňový poradca), kto by oznámením trestného činu porušil zákonom uloženú povinnosť mlčanlivosti. Daňový poradca teda nemôže spáchať trestný čin neoznámenia trestného činu podľa ust. § 340 ods. 1 Trestného zákona pri výkone daňového poradenstva poskytovaného v zmysle zákona o DP. Táto interpretácia a neexistencia povinnosti daňového poradcu oznámiť trestný čin za daných okolností je tiež podporená názormi odbornej obce (viď. napr. „K niektorým aspektom povinnosti mlčanlivosti daňového poradcu v trestnom konaní, JUDr. Peter Šamko sudca Krajského súdu v Bratislave“, publ. 21.02.2020, na www.pravnelisty.sk).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Taktiež navrhovanou úpravou dochádza k zosúladeniu režimu mlčanlivosti na strane daňového poradcu s ekvivalentným režimom mlčanlivosti advokátov v zmysle Zákona o advokácii. V tomto kontexte viď. ust. § 23 ods. 9 Zákona o advokácii, kde povinnosť oznámiť trestný čin nie je vyňatá z režimu mlčanlivosti.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odsekoch 3 a 4 v záujme právnej istoty navrhujeme legislatívne upraviť obmedzenie povinnosti mlčanlivosti vo vzťahu ku konaniu pred súdom alebo disciplinárnemu konaniu, v ktorom daňový poradca bráni svoje práva alebo povinnosti a dotknutý klient z podstaty veci nemusí udeliť písomné oslobodenie od povinnosti mlčanlivosti. Obdobná právna úprava vyplýva zo Zákona o advokácii, aj ako je upravená pri daňových poradcoch a advokátoch v českej právnej úprave.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Nad rámec povinnosti zamestnancov komory zachovávať mlčanlivosť, navrhujeme v záujme právnej istoty doplniť túto povinnosť aj pre členov orgánov komory, ktorí spravidla nie sú jej zamestnancami, ale pri výkone svojej funkcie môžu prichádzať do kontaktu so skutočnosťami chránenými povinnosťou mlčanlivosti, napr. v rámci disciplinárneho konania iniciovaného klientom daňového poradcu.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konzultácií so zástupcami SKDP bolo ustanovenie nového § 18 ods. 1 psím. b) preformulované.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bola prijatá navrhovaná úprava § 18 ods. 5 so spresnením resp. rozšírením mlčanlivosti aj pri zamestnancoch a členoch orgánov komory.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2.</w:t>
              <w:br/>
            </w:r>
            <w:r>
              <w:rPr>
                <w:b w:val="off"/>
                <w:color w:val="000000"/>
                <w:rFonts w:ascii="Times New Roman" w:hAnsi="Times New Roman" w:cs="Times New Roman" w:eastAsia="Times New Roman"/>
                <w:sz w:val="24"/>
              </w:rPr>
              <w:t>Navrhujeme zo znenia nového ustanovenia § 28 ods. 6 vypustiť slová „trestných činov proti republike podľa siedmej hlavy,“ a „trestných činov, ktoré sa považujú za obzvlášť závažný zločin podľa Trestného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definíciu bezúhonnosti s ohľadom na princípy restoratívnosť justície, ktorú chápeme ako podporu páchateľa na začlenenie do bežného života a nevyžadovanie absolútnej bezúhonnosti tam, kde to nie je nevyhnutné. Podobne, ako je podmienka bezúhonnosti stanovená len vo vzťahu k predmetu podnikania podľa všeobecnej právnej úpravy v živnostenskom zákone (napr. § 6 ods. 2), ale aj napríklad v českom zákone o daňových poradcoch (§ 5 ods. 2 zákona č. 523/1992 Sb. v znení neskorších predpisov). Aj v zmysle tzv. AML smernice sa bezúhonnosť vyžaduje len vo vybraných oblastiach konkrétnej povinnej osoby, napr. podľa článku 47 smernice Európskeho parlamentu a Rady (EU) 2015/849 z 20. mája 2015 sa vyžaduje prijať opatrenia voči odsúdeným páchateľom trestných činov (len) v príslušných oblastiach.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konzultácií so zástupcami SKDP bola časť navrhovanej úpravy v súvislosti s obzvlášť závažnými trestnými činmi vypustená, ponechané ostali trestné činy proti republike z dôvodu ich charakteru.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K zákonu č. 78/1992 Zb.</w:t>
              <w:br/>
            </w:r>
            <w:r>
              <w:rPr>
                <w:b w:val="off"/>
                <w:color w:val="000000"/>
                <w:rFonts w:ascii="Times New Roman" w:hAnsi="Times New Roman" w:cs="Times New Roman" w:eastAsia="Times New Roman"/>
                <w:sz w:val="24"/>
              </w:rPr>
              <w:t xml:space="preserve">V ustanovení § 1 navrhujeme doplniť nové znenie v písmene a)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podmienky poskytovania daňového poradenstva,“.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Písmená a) a b) navrhujeme označiť ako písm. b) a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nové znenie ustanovenia § 2 a doplnenie poznámky pod čiarou 2a):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„Daňové poradenstvo podľa § 3 tohto zákona fyzickým osobám a právnickým osobám (ďalej len “klient“) na území Slovenskej republiky poskytujú daňoví poradcovia za podmienok a spôsobom ustanoveným týmto zákonom. Iné osoby môžu poskytovať služby v oblasti daní len v rozsahu danom osobitnými predpismi. 2) Daňoví poradcovia poskytujú iné služby v súlade s osobitnými predpismi. 2a)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2a) Napríklad zákon č. 315/2016 Z. z. o registri partnerov verejného sektora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3 ods. 1 navrhujeme vypustiť poslednú vetu: „Tým nie je dotknuté poskytovanie poradenských služieb vo veciach daní podľa osobitných predpisov.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3 ods. 2 navrhujeme doplniť písm. c) v nasledovnom znení:  „ c) zastupovanie právnických osôb a fyzických osôb v konaniach v oblasti daní pred správnymi orgánmi.“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a úprava príslušných ustanovení týkajúcich sa predmetu úpravy a definície daňového poradenstva vychádza z potreby spresnenia okruhu osôb, ktoré sú oprávnené poskytovať daňové poradenstvo, a z neustále sa zvyšujúcich sa nárokov na výkon povolania daňových poradcov, ktorí sú povinní spĺňať množstvo povinností, ale iné osoby poskytujúce podobné služby nie sú podrobené prísnym pravidlám a požiadavkám v takom rozsahu. Na potrebu presnejšej definície z dôvodu vágnosti a nejednoznačnosti sa poukazuje už dlhodobo.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novom ustanovení § 8 ods. 7 a 8 (NZ bol prerokovaný na 23. schôdzi NR SR, uznesenie číslo 664 zo dňa 27. 11. 2024, zatiaľ nepublikované v Z.z.) navrhujeme nasledovné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Komora zapíše bezodkladne odo dňa, keď jej bola doručená žiadosť o zápis do zoznamu, právnickú osobu,</w:t>
              <w:br/>
            </w:r>
            <w:r>
              <w:rPr>
                <w:b w:val="off"/>
                <w:color w:val="000000"/>
                <w:rFonts w:ascii="Times New Roman" w:hAnsi="Times New Roman" w:cs="Times New Roman" w:eastAsia="Times New Roman"/>
                <w:sz w:val="24"/>
              </w:rPr>
              <w:t>a) ktorá má zakladateľskej listine, spoločenskej zmluve alebo stanovách uvedené v predmete činnosti daňové poradenstvo,</w:t>
              <w:br/>
            </w:r>
            <w:r>
              <w:rPr>
                <w:b w:val="off"/>
                <w:color w:val="000000"/>
                <w:rFonts w:ascii="Times New Roman" w:hAnsi="Times New Roman" w:cs="Times New Roman" w:eastAsia="Times New Roman"/>
                <w:sz w:val="24"/>
              </w:rPr>
              <w:t>b) v ktorej majú daňoví poradcovia zapísaní v zozname účasť na základnom imaní alebo hlasovacích právach spoločnosti najmenej 50 %,</w:t>
              <w:br/>
            </w:r>
            <w:r>
              <w:rPr>
                <w:b w:val="off"/>
                <w:color w:val="000000"/>
                <w:rFonts w:ascii="Times New Roman" w:hAnsi="Times New Roman" w:cs="Times New Roman" w:eastAsia="Times New Roman"/>
                <w:sz w:val="24"/>
              </w:rPr>
              <w:t xml:space="preserve">c) ktorá je bezúhonná, </w:t>
              <w:br/>
            </w:r>
            <w:r>
              <w:rPr>
                <w:b w:val="off"/>
                <w:color w:val="000000"/>
                <w:rFonts w:ascii="Times New Roman" w:hAnsi="Times New Roman" w:cs="Times New Roman" w:eastAsia="Times New Roman"/>
                <w:sz w:val="24"/>
              </w:rPr>
              <w:t>d) ktorej konečný užívateľ výhod podľa osobitného predpisu4) a člen štatutárneho orgánu je bezúhonný a ktorej konečný užívateľ výhod podľa osobitného predpisu a člen štatutárneho orgánu nie je v blízkom podnikateľskom vzťahu s osobou, ktorá nie je bezúhonná.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Ku dňu zápisu do zoznamu vydá komora právnickej osobe osvedčenie na výkon daňového poradenstva, ktoré je podkladom pre zápis daňového poradenstva ako predmetu činnosti do obchodného registra.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písm. a) navrhujeme doplniť, že v pred zápisom právnickej osoby do zoznamu daňových poradcov je postačujúce mať daňové poradenstvo uvedené v predmete činnosti v korporačných dokumentoch. Až následne po zápise do zoznamu a vydaní osvedčenia pre právnickú osobu si zapíše právnická osoba daňové poradenstvo do obchodného registra. Doterajšia prax registrových súdov nie je jednotná, často sa do obchodného registra zapisuje daňové poradenstvo bez toho, aby právnická osoba predložila osvedčenie vydané v jej mene. Ďalej navrhujeme, aby vo vzťahu k právnickej osobe boli podmienky pôvodne uvedené v písm. c) rozdelené na dva samostatné body, nakoľko pri kontrole plnenia podmienok pôjde o jednoznačnejšie vymedzenie.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vypustiť slovo písomne v nasledovných ustanoveniach: § 6 ods. 2, § 10 ods. 2 písm. b), § 11 ods. 2 písm. e), § 12 ods. 1 písm. c), § 15 ods. 1 písm. d), § 15 ods. 2 písm. d).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záujme zjednodušenia procesov a upustenia od administratívnej záťaže navrhujeme upustiť od písomnej formy, ktorá je v praxi nahradená elektronickou formou.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12 písm. f) navrhujeme doplniť nové písm.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 ak prestane spĺňať zákonom ustanovené podmienky na zápis do zoznamu.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ustanovenie dopĺňa oprávnenie vymazať právnickú osobu v prípadoch nesplnenia akýchkoľvek podmienok pre zápis do zoznamu uvedených zákone.“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20b ods. 1 navrhujeme za slovami „žiadosti žiadateľa“ dopĺňajú slová „alebo jeho zamestnávateľa“ a vypúšťa sa slovo „písomne“.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doplniť oprávnenie zamestnávateľa asistenta daňového poradcu podať žiadosť o zápis do zoznamu asistentov daňových poradcov, keďže v praxi túto administratívnu povinnosť často riešia personálne oddelenia zamestnávateľov. Rozšírenie oprávnenia aj na zamestnávateľov môže zefektívniť administratívny proces a poskytuje zamestnávateľovi aj kontrolu nad splnením podmienok zápisu.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20e navrhujeme v ods. 1 sa vypustiť písm. a) a doterajšie písm. b) až d) sa označujú ako a) až c).</w:t>
              <w:br/>
            </w:r>
            <w:r>
              <w:rPr>
                <w:b w:val="off"/>
                <w:color w:val="000000"/>
                <w:rFonts w:ascii="Times New Roman" w:hAnsi="Times New Roman" w:cs="Times New Roman" w:eastAsia="Times New Roman"/>
                <w:sz w:val="24"/>
              </w:rPr>
              <w:t xml:space="preserve">Odôvodnenie: Tento dôvod pre vyčiarknutie asistenta považujeme za nadbytočný a ťažko overiteľný v praxi.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ustanovení § 22 navrhujeme nasledovné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22 ods. 1 sa vypúšťa písm. d) a doterajšie písmená e) až g) sa nahrádzajú písm. d) až f). </w:t>
              <w:br/>
            </w:r>
            <w:r>
              <w:rPr>
                <w:b w:val="off"/>
                <w:color w:val="000000"/>
                <w:rFonts w:ascii="Times New Roman" w:hAnsi="Times New Roman" w:cs="Times New Roman" w:eastAsia="Times New Roman"/>
                <w:sz w:val="24"/>
              </w:rPr>
              <w:t>Odôvodnenie: Daňový poradca je nezávislý a nikto nesmie zasahovať do jeho činnosti podľa § 16 ods. 2 zákona o daňových poradcoch. Komora v praxi neusmerňuje činnosť daňového poradcu, nie je ústredným orgánom, ktorý by mohol záväzne riadiť daňových poradcov pri výkone ich slobodného a nezávislého povolania. Takúto právomoc nemajú ani iné samosprávne komory, napr. Slovenská advokátska komora. Daňový poradca za poskytovanie služieb zodpovedá klientovi a za plnenie povinností komore Komora dohliada na výkon daňové poradenstva a porušenia zákona alebo vnútorných predpisov sú posudzované v disciplinárnom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22 ods. 2 znie:</w:t>
              <w:br/>
            </w:r>
            <w:r>
              <w:rPr>
                <w:b w:val="off"/>
                <w:color w:val="000000"/>
                <w:rFonts w:ascii="Times New Roman" w:hAnsi="Times New Roman" w:cs="Times New Roman" w:eastAsia="Times New Roman"/>
                <w:sz w:val="24"/>
              </w:rPr>
              <w:t>„Podrobnosti o organizácii komory, jej orgánoch a ich pôsobnosti, voľbách, počte členov prezídia, dozornej rady a disciplinárnej komisie upraví štatút.“</w:t>
              <w:br/>
            </w:r>
            <w:r>
              <w:rPr>
                <w:b w:val="off"/>
                <w:color w:val="000000"/>
                <w:rFonts w:ascii="Times New Roman" w:hAnsi="Times New Roman" w:cs="Times New Roman" w:eastAsia="Times New Roman"/>
                <w:sz w:val="24"/>
              </w:rPr>
              <w:t>Odôvodnenie: Navrhujeme všetky náležitosti ohľadom orgánov komory, ich pôsobnosti, počte členov vrátane volieb upraviť v štatúte, nie vo volebnom poriadku.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základe konzultácií so zástupcami SKDP. Pripomienka je vo svojej podstate príliš komplexným návrhom s možnosťou zásahu do ďalších predpisov a kompetencií na to, aby sa zmena uskutočňovala takouto formou.</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ALS SR</w:t>
            </w:r>
            <w:r>
              <w:rPr>
                <w:b w:val="off"/>
                <w:color w:val="000000"/>
                <w:rFonts w:ascii="Times New Roman" w:hAnsi="Times New Roman" w:cs="Times New Roman" w:eastAsia="Times New Roman"/>
                <w:sz w:val="24"/>
              </w:rPr>
              <w:t xml:space="preserve"> – Asociácia leasingových spoločností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AOCP</w:t>
            </w:r>
            <w:r>
              <w:rPr>
                <w:b w:val="off"/>
                <w:color w:val="000000"/>
                <w:rFonts w:ascii="Times New Roman" w:hAnsi="Times New Roman" w:cs="Times New Roman" w:eastAsia="Times New Roman"/>
                <w:sz w:val="24"/>
              </w:rPr>
              <w:t xml:space="preserve"> – Asociácia obchodníkov s cennými papiermi</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KVOP</w:t>
            </w:r>
            <w:r>
              <w:rPr>
                <w:b w:val="off"/>
                <w:color w:val="000000"/>
                <w:rFonts w:ascii="Times New Roman" w:hAnsi="Times New Roman" w:cs="Times New Roman" w:eastAsia="Times New Roman"/>
                <w:sz w:val="24"/>
              </w:rPr>
              <w:t xml:space="preserve"> – Kancelária verejného ochrancu práv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15 (15o,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11 (11o,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Ministerstva školstva, výskumu, 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30 (30o,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SAF</w:t>
            </w:r>
            <w:r>
              <w:rPr>
                <w:b w:val="off"/>
                <w:color w:val="000000"/>
                <w:rFonts w:ascii="Times New Roman" w:hAnsi="Times New Roman" w:cs="Times New Roman" w:eastAsia="Times New Roman"/>
                <w:sz w:val="24"/>
              </w:rPr>
              <w:t xml:space="preserve"> – Slovenská asociácia podnikových finančníkov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SBA</w:t>
            </w:r>
            <w:r>
              <w:rPr>
                <w:b w:val="off"/>
                <w:color w:val="000000"/>
                <w:rFonts w:ascii="Times New Roman" w:hAnsi="Times New Roman" w:cs="Times New Roman" w:eastAsia="Times New Roman"/>
                <w:sz w:val="24"/>
              </w:rPr>
              <w:t xml:space="preserve"> – Slovenská banková asociácia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SKAU</w:t>
            </w:r>
            <w:r>
              <w:rPr>
                <w:b w:val="off"/>
                <w:color w:val="000000"/>
                <w:rFonts w:ascii="Times New Roman" w:hAnsi="Times New Roman" w:cs="Times New Roman" w:eastAsia="Times New Roman"/>
                <w:sz w:val="24"/>
              </w:rPr>
              <w:t xml:space="preserve"> – Slovenská komora audítorov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SKDP</w:t>
            </w:r>
            <w:r>
              <w:rPr>
                <w:b w:val="off"/>
                <w:color w:val="000000"/>
                <w:rFonts w:ascii="Times New Roman" w:hAnsi="Times New Roman" w:cs="Times New Roman" w:eastAsia="Times New Roman"/>
                <w:sz w:val="24"/>
              </w:rPr>
              <w:t xml:space="preserve"> – Slovenská komora daňových poradcov</w:t>
            </w:r>
          </w:p>
        </w:tc>
        <w:tc>
          <w:tcPr>
            <w:vAlign w:val="top"/>
          </w:tcPr>
          <w:p>
            <w:pPr>
              <w:spacing w:after="0"/>
              <w:jc w:val="center"/>
            </w:pPr>
            <w:r>
              <w:rPr>
                <w:b w:val="off"/>
                <w:color w:val="000000"/>
                <w:rFonts w:ascii="Times New Roman" w:hAnsi="Times New Roman" w:cs="Times New Roman" w:eastAsia="Times New Roman"/>
                <w:sz w:val="24"/>
              </w:rPr>
              <w:t>3 (2o,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SLASPO</w:t>
            </w:r>
            <w:r>
              <w:rPr>
                <w:b w:val="off"/>
                <w:color w:val="000000"/>
                <w:rFonts w:ascii="Times New Roman" w:hAnsi="Times New Roman" w:cs="Times New Roman" w:eastAsia="Times New Roman"/>
                <w:sz w:val="24"/>
              </w:rPr>
              <w:t xml:space="preserve"> – Slovenská asociácia poisťovní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SOPK</w:t>
            </w:r>
            <w:r>
              <w:rPr>
                <w:b w:val="off"/>
                <w:color w:val="000000"/>
                <w:rFonts w:ascii="Times New Roman" w:hAnsi="Times New Roman" w:cs="Times New Roman" w:eastAsia="Times New Roman"/>
                <w:sz w:val="24"/>
              </w:rPr>
              <w:t xml:space="preserve"> – Slovenská obchodná a priemyselná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UVSR - PVSR</w:t>
            </w:r>
            <w:r>
              <w:rPr>
                <w:b w:val="off"/>
                <w:color w:val="000000"/>
                <w:rFonts w:ascii="Times New Roman" w:hAnsi="Times New Roman" w:cs="Times New Roman" w:eastAsia="Times New Roman"/>
                <w:sz w:val="24"/>
              </w:rPr>
              <w:t xml:space="preserve"> – Úrad vlády Slovenskej republiky - podpredseda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ZPSR</w:t>
            </w:r>
            <w:r>
              <w:rPr>
                <w:b w:val="off"/>
                <w:color w:val="000000"/>
                <w:rFonts w:ascii="Times New Roman" w:hAnsi="Times New Roman" w:cs="Times New Roman" w:eastAsia="Times New Roman"/>
                <w:sz w:val="24"/>
              </w:rPr>
              <w:t xml:space="preserve"> – Združenie podnikateľov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87 (85o, 2z)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13</w:t>
            </w:r>
          </w:p>
        </w:tc>
        <w:tc>
          <w:tcPr>
            <w:vAlign w:val="center"/>
          </w:tcPr>
          <w:p>
            <w:pPr>
              <w:spacing w:after="0"/>
              <w:jc w:val="center"/>
            </w:pPr>
            <w:r>
              <w:rPr>
                <w:b w:val="on"/>
                <w:color w:val="000000"/>
                <w:rFonts w:ascii="Times New Roman" w:hAnsi="Times New Roman" w:cs="Times New Roman" w:eastAsia="Times New Roman"/>
                <w:sz w:val="24"/>
              </w:rPr>
              <w:t>40</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16F39" w14:textId="77777777" w:rsidR="00D40591" w:rsidRPr="00785E8D" w:rsidRDefault="00D40591" w:rsidP="00E66622">
      <w:pPr>
        <w:spacing w:after="0" w:line="240" w:lineRule="auto"/>
      </w:pPr>
      <w:r w:rsidRPr="00785E8D">
        <w:separator/>
      </w:r>
    </w:p>
  </w:endnote>
  <w:endnote w:type="continuationSeparator" w:id="0">
    <w:p w14:paraId="2BF78AE5" w14:textId="77777777" w:rsidR="00D40591" w:rsidRPr="00785E8D" w:rsidRDefault="00D40591"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DF75B" w14:textId="77777777" w:rsidR="00D40591" w:rsidRPr="00785E8D" w:rsidRDefault="00D40591" w:rsidP="00E66622">
      <w:pPr>
        <w:spacing w:after="0" w:line="240" w:lineRule="auto"/>
      </w:pPr>
      <w:r w:rsidRPr="00785E8D">
        <w:separator/>
      </w:r>
    </w:p>
  </w:footnote>
  <w:footnote w:type="continuationSeparator" w:id="0">
    <w:p w14:paraId="7BF7D23F" w14:textId="77777777" w:rsidR="00D40591" w:rsidRPr="00785E8D" w:rsidRDefault="00D40591"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D2B4E"/>
    <w:rsid w:val="001E50FA"/>
    <w:rsid w:val="001E6254"/>
    <w:rsid w:val="001F2C94"/>
    <w:rsid w:val="001F5D28"/>
    <w:rsid w:val="001F777F"/>
    <w:rsid w:val="00231554"/>
    <w:rsid w:val="00237490"/>
    <w:rsid w:val="00245F36"/>
    <w:rsid w:val="0026614F"/>
    <w:rsid w:val="002715E0"/>
    <w:rsid w:val="00273DAE"/>
    <w:rsid w:val="0029170C"/>
    <w:rsid w:val="00295E6A"/>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8545F"/>
    <w:rsid w:val="004A12EE"/>
    <w:rsid w:val="004A48F0"/>
    <w:rsid w:val="004A62B8"/>
    <w:rsid w:val="004B4188"/>
    <w:rsid w:val="004C6C3C"/>
    <w:rsid w:val="004E0BF7"/>
    <w:rsid w:val="004F10FF"/>
    <w:rsid w:val="004F4092"/>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34468"/>
    <w:rsid w:val="006371D1"/>
    <w:rsid w:val="00641DD8"/>
    <w:rsid w:val="006434AC"/>
    <w:rsid w:val="00664F3B"/>
    <w:rsid w:val="00677591"/>
    <w:rsid w:val="00695857"/>
    <w:rsid w:val="006C2D6E"/>
    <w:rsid w:val="0070694E"/>
    <w:rsid w:val="00707B3A"/>
    <w:rsid w:val="0072062B"/>
    <w:rsid w:val="00724A0E"/>
    <w:rsid w:val="00726A34"/>
    <w:rsid w:val="00727704"/>
    <w:rsid w:val="00754CB0"/>
    <w:rsid w:val="0077472A"/>
    <w:rsid w:val="00774ED8"/>
    <w:rsid w:val="00776E62"/>
    <w:rsid w:val="00784062"/>
    <w:rsid w:val="00785E8D"/>
    <w:rsid w:val="00796E02"/>
    <w:rsid w:val="00796EBE"/>
    <w:rsid w:val="007C1A93"/>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B0C1F"/>
    <w:rsid w:val="009B1491"/>
    <w:rsid w:val="009D152C"/>
    <w:rsid w:val="009D32B4"/>
    <w:rsid w:val="009D3FBE"/>
    <w:rsid w:val="009F35D2"/>
    <w:rsid w:val="00A070EB"/>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222</Words>
  <Characters>1267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2024-12-23T12:26:00Z</dcterms:modified>
  <cp:revision>77</cp:revision>
</cp:coreProperties>
</file>