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9D466" w14:textId="1D1D4DBD" w:rsidR="00F32E73" w:rsidRDefault="00442776" w:rsidP="00F32E73">
      <w:pPr>
        <w:widowControl/>
        <w:autoSpaceDE w:val="0"/>
        <w:autoSpaceDN w:val="0"/>
        <w:jc w:val="right"/>
        <w:rPr>
          <w:rFonts w:ascii="Verdana" w:hAnsi="Verdana"/>
          <w:b/>
          <w:bCs/>
          <w:color w:val="000000" w:themeColor="text1"/>
          <w:sz w:val="20"/>
          <w:szCs w:val="20"/>
        </w:rPr>
      </w:pPr>
      <w:r>
        <w:rPr>
          <w:rFonts w:ascii="Verdana" w:hAnsi="Verdana"/>
          <w:b/>
          <w:bCs/>
          <w:color w:val="000000" w:themeColor="text1"/>
          <w:sz w:val="20"/>
          <w:szCs w:val="20"/>
        </w:rPr>
        <w:t>5.</w:t>
      </w:r>
    </w:p>
    <w:p w14:paraId="3AD63DD3" w14:textId="7374273C" w:rsidR="00F32E73" w:rsidRPr="00BF0640" w:rsidRDefault="00F32E73" w:rsidP="00F32E73">
      <w:pPr>
        <w:widowControl/>
        <w:autoSpaceDE w:val="0"/>
        <w:autoSpaceDN w:val="0"/>
        <w:jc w:val="center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BF0640">
        <w:rPr>
          <w:rFonts w:ascii="Verdana" w:hAnsi="Verdana"/>
          <w:b/>
          <w:bCs/>
          <w:color w:val="000000" w:themeColor="text1"/>
          <w:sz w:val="20"/>
          <w:szCs w:val="20"/>
        </w:rPr>
        <w:t>DOLOŽKA ZLUČITEĽNOSTI</w:t>
      </w:r>
    </w:p>
    <w:p w14:paraId="480E895D" w14:textId="4C7078E0" w:rsidR="00F32E73" w:rsidRPr="00BF0640" w:rsidRDefault="00F32E73" w:rsidP="00F32E73">
      <w:pPr>
        <w:pStyle w:val="BasicParagraph"/>
        <w:spacing w:line="240" w:lineRule="auto"/>
        <w:jc w:val="center"/>
        <w:rPr>
          <w:rFonts w:ascii="Verdana" w:hAnsi="Verdana" w:cs="Times New Roman"/>
          <w:b/>
          <w:color w:val="000000" w:themeColor="text1"/>
          <w:sz w:val="20"/>
          <w:szCs w:val="20"/>
          <w:lang w:val="sk-SK"/>
        </w:rPr>
      </w:pPr>
      <w:r w:rsidRPr="00BF0640">
        <w:rPr>
          <w:rFonts w:ascii="Verdana" w:hAnsi="Verdana" w:cs="Times New Roman"/>
          <w:b/>
          <w:bCs/>
          <w:color w:val="000000" w:themeColor="text1"/>
          <w:sz w:val="20"/>
          <w:szCs w:val="20"/>
          <w:lang w:val="sk-SK"/>
        </w:rPr>
        <w:t xml:space="preserve">návrhu </w:t>
      </w:r>
      <w:r w:rsidRPr="00BF0640">
        <w:rPr>
          <w:rFonts w:ascii="Verdana" w:hAnsi="Verdana" w:cs="Times New Roman"/>
          <w:b/>
          <w:color w:val="000000" w:themeColor="text1"/>
          <w:sz w:val="20"/>
          <w:szCs w:val="20"/>
          <w:lang w:val="sk-SK"/>
        </w:rPr>
        <w:t>opatrenia Národnej banky Slovenska z ... 202</w:t>
      </w:r>
      <w:r w:rsidR="00350B08">
        <w:rPr>
          <w:rFonts w:ascii="Verdana" w:hAnsi="Verdana" w:cs="Times New Roman"/>
          <w:b/>
          <w:color w:val="000000" w:themeColor="text1"/>
          <w:sz w:val="20"/>
          <w:szCs w:val="20"/>
          <w:lang w:val="sk-SK"/>
        </w:rPr>
        <w:t>6</w:t>
      </w:r>
      <w:r w:rsidRPr="00BF0640">
        <w:rPr>
          <w:rFonts w:ascii="Verdana" w:hAnsi="Verdana" w:cs="Times New Roman"/>
          <w:b/>
          <w:color w:val="000000" w:themeColor="text1"/>
          <w:sz w:val="20"/>
          <w:szCs w:val="20"/>
          <w:lang w:val="sk-SK"/>
        </w:rPr>
        <w:t xml:space="preserve">, ktorým sa </w:t>
      </w:r>
      <w:r>
        <w:rPr>
          <w:rFonts w:ascii="Verdana" w:hAnsi="Verdana" w:cs="Times New Roman"/>
          <w:b/>
          <w:color w:val="000000" w:themeColor="text1"/>
          <w:sz w:val="20"/>
          <w:szCs w:val="20"/>
          <w:lang w:val="sk-SK"/>
        </w:rPr>
        <w:t>mení</w:t>
      </w:r>
      <w:r w:rsidRPr="00BF0640">
        <w:rPr>
          <w:rFonts w:ascii="Verdana" w:hAnsi="Verdana" w:cs="Times New Roman"/>
          <w:b/>
          <w:color w:val="000000" w:themeColor="text1"/>
          <w:sz w:val="20"/>
          <w:szCs w:val="20"/>
          <w:lang w:val="sk-SK"/>
        </w:rPr>
        <w:t xml:space="preserve"> opatrenie Národnej banky Slovenska z 12. decembra 2017 č. 13/2017 o predkladaní výkazov, hlásení a iných správ bankami a pobočkami zahraničných bánk na účely vykonávania dohľadu </w:t>
      </w:r>
      <w:r>
        <w:rPr>
          <w:rFonts w:ascii="Verdana" w:hAnsi="Verdana" w:cs="Times New Roman"/>
          <w:b/>
          <w:color w:val="000000" w:themeColor="text1"/>
          <w:sz w:val="20"/>
          <w:szCs w:val="20"/>
          <w:lang w:val="sk-SK"/>
        </w:rPr>
        <w:t xml:space="preserve">v znení neskorších predpisov </w:t>
      </w:r>
      <w:r w:rsidRPr="00BF0640">
        <w:rPr>
          <w:rFonts w:ascii="Verdana" w:hAnsi="Verdana" w:cs="Times New Roman"/>
          <w:b/>
          <w:color w:val="000000" w:themeColor="text1"/>
          <w:sz w:val="20"/>
          <w:szCs w:val="20"/>
          <w:lang w:val="sk-SK"/>
        </w:rPr>
        <w:t>s právom Európskej únie</w:t>
      </w:r>
    </w:p>
    <w:p w14:paraId="70B89A16" w14:textId="77777777" w:rsidR="00F32E73" w:rsidRPr="00442776" w:rsidRDefault="00F32E73" w:rsidP="00F32E73">
      <w:pPr>
        <w:widowControl/>
        <w:autoSpaceDE w:val="0"/>
        <w:autoSpaceDN w:val="0"/>
        <w:rPr>
          <w:rFonts w:ascii="Cambria" w:hAnsi="Cambria"/>
          <w:bCs/>
          <w:color w:val="000000" w:themeColor="text1"/>
          <w:sz w:val="22"/>
          <w:szCs w:val="22"/>
        </w:rPr>
      </w:pPr>
    </w:p>
    <w:p w14:paraId="74FC2E02" w14:textId="77777777" w:rsidR="00F32E73" w:rsidRPr="00BF0640" w:rsidRDefault="00F32E73" w:rsidP="00F32E73">
      <w:pPr>
        <w:widowControl/>
        <w:numPr>
          <w:ilvl w:val="0"/>
          <w:numId w:val="14"/>
        </w:numPr>
        <w:ind w:left="0" w:firstLine="0"/>
        <w:jc w:val="left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BF0640">
        <w:rPr>
          <w:rFonts w:ascii="Verdana" w:hAnsi="Verdana"/>
          <w:b/>
          <w:bCs/>
          <w:color w:val="000000" w:themeColor="text1"/>
          <w:sz w:val="20"/>
          <w:szCs w:val="20"/>
        </w:rPr>
        <w:t>Navrhovateľ opatrenia:</w:t>
      </w:r>
    </w:p>
    <w:p w14:paraId="097DF1D9" w14:textId="77777777" w:rsidR="00F32E73" w:rsidRPr="00BF0640" w:rsidRDefault="00F32E73" w:rsidP="00F32E73">
      <w:pPr>
        <w:rPr>
          <w:rFonts w:ascii="Cambria" w:hAnsi="Cambria"/>
          <w:color w:val="000000" w:themeColor="text1"/>
          <w:sz w:val="22"/>
          <w:szCs w:val="22"/>
        </w:rPr>
      </w:pPr>
    </w:p>
    <w:p w14:paraId="3FB3D3B2" w14:textId="57C6CAFA" w:rsidR="00F32E73" w:rsidRPr="00BF0640" w:rsidRDefault="00F32E73" w:rsidP="00F32E73">
      <w:pPr>
        <w:rPr>
          <w:rFonts w:ascii="Cambria" w:hAnsi="Cambria"/>
          <w:color w:val="000000" w:themeColor="text1"/>
          <w:sz w:val="22"/>
          <w:szCs w:val="22"/>
        </w:rPr>
      </w:pPr>
      <w:r w:rsidRPr="00BF0640">
        <w:rPr>
          <w:rFonts w:ascii="Cambria" w:hAnsi="Cambria"/>
          <w:color w:val="000000" w:themeColor="text1"/>
          <w:sz w:val="22"/>
          <w:szCs w:val="22"/>
        </w:rPr>
        <w:tab/>
        <w:t>Národná banka Slovenska</w:t>
      </w:r>
      <w:r w:rsidR="00442776">
        <w:rPr>
          <w:rFonts w:ascii="Cambria" w:hAnsi="Cambria"/>
          <w:color w:val="000000" w:themeColor="text1"/>
          <w:sz w:val="22"/>
          <w:szCs w:val="22"/>
        </w:rPr>
        <w:t>.</w:t>
      </w:r>
    </w:p>
    <w:p w14:paraId="70CD208A" w14:textId="77777777" w:rsidR="00F32E73" w:rsidRPr="00BF0640" w:rsidRDefault="00F32E73" w:rsidP="00F32E73">
      <w:pPr>
        <w:rPr>
          <w:rFonts w:ascii="Verdana" w:hAnsi="Verdana"/>
          <w:color w:val="000000" w:themeColor="text1"/>
          <w:sz w:val="20"/>
          <w:szCs w:val="20"/>
        </w:rPr>
      </w:pPr>
    </w:p>
    <w:p w14:paraId="086635EA" w14:textId="77777777" w:rsidR="00F32E73" w:rsidRPr="00BF0640" w:rsidRDefault="00F32E73" w:rsidP="00F32E73">
      <w:pPr>
        <w:widowControl/>
        <w:numPr>
          <w:ilvl w:val="0"/>
          <w:numId w:val="14"/>
        </w:numPr>
        <w:ind w:left="0" w:firstLine="0"/>
        <w:jc w:val="left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BF0640">
        <w:rPr>
          <w:rFonts w:ascii="Verdana" w:hAnsi="Verdana"/>
          <w:b/>
          <w:bCs/>
          <w:color w:val="000000" w:themeColor="text1"/>
          <w:sz w:val="20"/>
          <w:szCs w:val="20"/>
        </w:rPr>
        <w:t>Názov návrhu opatrenia:</w:t>
      </w:r>
    </w:p>
    <w:p w14:paraId="542EF526" w14:textId="77777777" w:rsidR="00F32E73" w:rsidRPr="00E949DE" w:rsidRDefault="00F32E73" w:rsidP="00F32E73">
      <w:pPr>
        <w:rPr>
          <w:color w:val="000000" w:themeColor="text1"/>
        </w:rPr>
      </w:pPr>
    </w:p>
    <w:p w14:paraId="287F93EA" w14:textId="75D96E35" w:rsidR="00F32E73" w:rsidRPr="00BF0640" w:rsidRDefault="00F32E73" w:rsidP="00F32E73">
      <w:pPr>
        <w:rPr>
          <w:rFonts w:ascii="Cambria" w:hAnsi="Cambria"/>
          <w:color w:val="000000" w:themeColor="text1"/>
          <w:sz w:val="22"/>
          <w:szCs w:val="22"/>
        </w:rPr>
      </w:pPr>
      <w:r w:rsidRPr="00BF0640">
        <w:rPr>
          <w:rFonts w:ascii="Cambria" w:hAnsi="Cambria"/>
          <w:color w:val="000000" w:themeColor="text1"/>
          <w:sz w:val="22"/>
          <w:szCs w:val="22"/>
        </w:rPr>
        <w:tab/>
        <w:t>Opatrenie Národnej banky Slovenska z ... 202</w:t>
      </w:r>
      <w:r w:rsidR="00350B08">
        <w:rPr>
          <w:rFonts w:ascii="Cambria" w:hAnsi="Cambria"/>
          <w:color w:val="000000" w:themeColor="text1"/>
          <w:sz w:val="22"/>
          <w:szCs w:val="22"/>
        </w:rPr>
        <w:t>6</w:t>
      </w:r>
      <w:r w:rsidRPr="00BF0640">
        <w:rPr>
          <w:rFonts w:ascii="Cambria" w:hAnsi="Cambria"/>
          <w:sz w:val="22"/>
          <w:szCs w:val="22"/>
        </w:rPr>
        <w:t xml:space="preserve">, ktorým sa </w:t>
      </w:r>
      <w:r>
        <w:rPr>
          <w:rFonts w:ascii="Cambria" w:hAnsi="Cambria"/>
          <w:sz w:val="22"/>
          <w:szCs w:val="22"/>
        </w:rPr>
        <w:t xml:space="preserve">mení </w:t>
      </w:r>
      <w:r w:rsidRPr="00BF0640">
        <w:rPr>
          <w:rFonts w:ascii="Cambria" w:hAnsi="Cambria"/>
          <w:sz w:val="22"/>
          <w:szCs w:val="22"/>
        </w:rPr>
        <w:t>opatrenie Národnej banky Slovenska z 12. decembra 2017 č. 13/2017 o predkladaní výkazov, hlásení a iných správ bankami a pobočkami zahraničných bánk na účely vykonávania dohľadu</w:t>
      </w:r>
      <w:r>
        <w:rPr>
          <w:rFonts w:ascii="Cambria" w:hAnsi="Cambria"/>
          <w:sz w:val="22"/>
          <w:szCs w:val="22"/>
        </w:rPr>
        <w:t xml:space="preserve"> v znení neskorších predpisov</w:t>
      </w:r>
      <w:r w:rsidR="00442776">
        <w:rPr>
          <w:rFonts w:ascii="Cambria" w:hAnsi="Cambria"/>
          <w:sz w:val="22"/>
          <w:szCs w:val="22"/>
        </w:rPr>
        <w:t>.</w:t>
      </w:r>
    </w:p>
    <w:p w14:paraId="415A3B12" w14:textId="77777777" w:rsidR="00F32E73" w:rsidRPr="00BF0640" w:rsidRDefault="00F32E73" w:rsidP="00F32E73">
      <w:pPr>
        <w:rPr>
          <w:rFonts w:ascii="Verdana" w:hAnsi="Verdana"/>
          <w:color w:val="000000" w:themeColor="text1"/>
          <w:sz w:val="20"/>
          <w:szCs w:val="20"/>
        </w:rPr>
      </w:pPr>
    </w:p>
    <w:p w14:paraId="3D98EAD2" w14:textId="77777777" w:rsidR="00F32E73" w:rsidRPr="00BF0640" w:rsidRDefault="00F32E73" w:rsidP="00F32E73">
      <w:pPr>
        <w:pStyle w:val="BodyText"/>
        <w:jc w:val="both"/>
        <w:rPr>
          <w:rFonts w:ascii="Verdana" w:hAnsi="Verdana"/>
          <w:sz w:val="20"/>
          <w:szCs w:val="20"/>
          <w:lang w:val="sk-SK"/>
        </w:rPr>
      </w:pPr>
      <w:r w:rsidRPr="00BF0640">
        <w:rPr>
          <w:rFonts w:ascii="Verdana" w:hAnsi="Verdana"/>
          <w:sz w:val="20"/>
          <w:szCs w:val="20"/>
          <w:lang w:val="sk-SK"/>
        </w:rPr>
        <w:t xml:space="preserve">3. </w:t>
      </w:r>
      <w:r w:rsidRPr="00BF0640">
        <w:rPr>
          <w:rFonts w:ascii="Verdana" w:hAnsi="Verdana"/>
          <w:sz w:val="20"/>
          <w:szCs w:val="20"/>
          <w:lang w:val="sk-SK"/>
        </w:rPr>
        <w:tab/>
        <w:t xml:space="preserve">Predmet návrhu opatrenia </w:t>
      </w:r>
      <w:r w:rsidRPr="00BF0640">
        <w:rPr>
          <w:rFonts w:ascii="Verdana" w:hAnsi="Verdana"/>
          <w:bCs w:val="0"/>
          <w:sz w:val="20"/>
          <w:szCs w:val="20"/>
          <w:lang w:val="sk-SK"/>
        </w:rPr>
        <w:t>je upravený v práve Európskej únie:</w:t>
      </w:r>
    </w:p>
    <w:p w14:paraId="2E75467E" w14:textId="77777777" w:rsidR="00F32E73" w:rsidRPr="00BF0640" w:rsidRDefault="00F32E73" w:rsidP="00F32E73">
      <w:pPr>
        <w:pStyle w:val="BodyText"/>
        <w:jc w:val="both"/>
        <w:rPr>
          <w:rFonts w:asciiTheme="majorHAnsi" w:hAnsiTheme="majorHAnsi"/>
          <w:b w:val="0"/>
          <w:sz w:val="22"/>
          <w:szCs w:val="22"/>
          <w:lang w:val="sk-SK"/>
        </w:rPr>
      </w:pPr>
      <w:r w:rsidRPr="00BF0640">
        <w:rPr>
          <w:rFonts w:asciiTheme="majorHAnsi" w:hAnsiTheme="majorHAnsi"/>
          <w:b w:val="0"/>
          <w:sz w:val="22"/>
          <w:szCs w:val="22"/>
          <w:lang w:val="sk-SK"/>
        </w:rPr>
        <w:t>a) v primárnom práve</w:t>
      </w:r>
    </w:p>
    <w:p w14:paraId="641E1F32" w14:textId="6B9E8A2E" w:rsidR="00F32E73" w:rsidRPr="00BF0640" w:rsidRDefault="00F32E73" w:rsidP="00F32E73">
      <w:pPr>
        <w:pStyle w:val="BodyText"/>
        <w:jc w:val="both"/>
        <w:rPr>
          <w:rFonts w:asciiTheme="majorHAnsi" w:hAnsiTheme="majorHAnsi"/>
          <w:b w:val="0"/>
          <w:noProof/>
          <w:sz w:val="22"/>
          <w:szCs w:val="22"/>
          <w:lang w:val="sk-SK"/>
        </w:rPr>
      </w:pPr>
      <w:r w:rsidRPr="00BF0640">
        <w:rPr>
          <w:rFonts w:asciiTheme="majorHAnsi" w:hAnsiTheme="majorHAnsi"/>
          <w:b w:val="0"/>
          <w:sz w:val="22"/>
          <w:szCs w:val="22"/>
          <w:lang w:val="sk-SK"/>
        </w:rPr>
        <w:t>- č</w:t>
      </w:r>
      <w:r w:rsidRPr="00BF0640">
        <w:rPr>
          <w:rFonts w:asciiTheme="majorHAnsi" w:hAnsiTheme="majorHAnsi"/>
          <w:b w:val="0"/>
          <w:noProof/>
          <w:sz w:val="22"/>
          <w:szCs w:val="22"/>
          <w:lang w:val="sk-SK"/>
        </w:rPr>
        <w:t>l. 53 ods. 1 a čl. 114 Zmluvy o fungovaní Európskej únie (Konsolidované znenie) (</w:t>
      </w:r>
      <w:r w:rsidRPr="00BF0640">
        <w:rPr>
          <w:rFonts w:asciiTheme="majorHAnsi" w:hAnsiTheme="majorHAnsi"/>
          <w:b w:val="0"/>
          <w:sz w:val="22"/>
          <w:szCs w:val="22"/>
          <w:lang w:val="sk-SK"/>
        </w:rPr>
        <w:t>Ú. v. EÚ C </w:t>
      </w:r>
      <w:r w:rsidRPr="00BF0640">
        <w:rPr>
          <w:rFonts w:asciiTheme="majorHAnsi" w:hAnsiTheme="majorHAnsi"/>
          <w:b w:val="0"/>
          <w:noProof/>
          <w:sz w:val="22"/>
          <w:szCs w:val="22"/>
          <w:lang w:val="sk-SK"/>
        </w:rPr>
        <w:t>202, 7</w:t>
      </w:r>
      <w:r w:rsidRPr="00BF0640">
        <w:rPr>
          <w:rFonts w:asciiTheme="majorHAnsi" w:hAnsiTheme="majorHAnsi"/>
          <w:b w:val="0"/>
          <w:sz w:val="22"/>
          <w:szCs w:val="22"/>
          <w:lang w:val="sk-SK"/>
        </w:rPr>
        <w:t>. </w:t>
      </w:r>
      <w:r w:rsidRPr="00BF0640">
        <w:rPr>
          <w:rFonts w:asciiTheme="majorHAnsi" w:hAnsiTheme="majorHAnsi"/>
          <w:b w:val="0"/>
          <w:noProof/>
          <w:sz w:val="22"/>
          <w:szCs w:val="22"/>
          <w:lang w:val="sk-SK"/>
        </w:rPr>
        <w:t>6</w:t>
      </w:r>
      <w:r w:rsidRPr="00BF0640">
        <w:rPr>
          <w:rFonts w:asciiTheme="majorHAnsi" w:hAnsiTheme="majorHAnsi"/>
          <w:b w:val="0"/>
          <w:sz w:val="22"/>
          <w:szCs w:val="22"/>
          <w:lang w:val="sk-SK"/>
        </w:rPr>
        <w:t>. </w:t>
      </w:r>
      <w:r w:rsidRPr="00BF0640">
        <w:rPr>
          <w:rFonts w:asciiTheme="majorHAnsi" w:hAnsiTheme="majorHAnsi"/>
          <w:b w:val="0"/>
          <w:noProof/>
          <w:sz w:val="22"/>
          <w:szCs w:val="22"/>
          <w:lang w:val="sk-SK"/>
        </w:rPr>
        <w:t>2016) v platnom znení,</w:t>
      </w:r>
    </w:p>
    <w:p w14:paraId="729FAFAE" w14:textId="77777777" w:rsidR="00F32E73" w:rsidRPr="00BF0640" w:rsidRDefault="00F32E73" w:rsidP="00F32E73">
      <w:pPr>
        <w:pStyle w:val="BodyText"/>
        <w:jc w:val="both"/>
        <w:rPr>
          <w:rFonts w:asciiTheme="majorHAnsi" w:hAnsiTheme="majorHAnsi"/>
          <w:b w:val="0"/>
          <w:sz w:val="22"/>
          <w:szCs w:val="22"/>
          <w:lang w:val="sk-SK"/>
        </w:rPr>
      </w:pPr>
      <w:r w:rsidRPr="00BF0640">
        <w:rPr>
          <w:rFonts w:asciiTheme="majorHAnsi" w:hAnsiTheme="majorHAnsi"/>
          <w:b w:val="0"/>
          <w:sz w:val="22"/>
          <w:szCs w:val="22"/>
          <w:lang w:val="sk-SK"/>
        </w:rPr>
        <w:t>b) v sekundárnom práve</w:t>
      </w:r>
    </w:p>
    <w:p w14:paraId="7323A357" w14:textId="3C27FCF3" w:rsidR="00F32E73" w:rsidRPr="00C739F6" w:rsidRDefault="00F32E73" w:rsidP="00F32E73">
      <w:pPr>
        <w:pStyle w:val="BodyText"/>
        <w:jc w:val="both"/>
        <w:rPr>
          <w:rFonts w:asciiTheme="majorHAnsi" w:hAnsiTheme="majorHAnsi"/>
          <w:b w:val="0"/>
          <w:color w:val="000000" w:themeColor="text1"/>
          <w:sz w:val="22"/>
          <w:szCs w:val="22"/>
          <w:lang w:val="sk-SK"/>
        </w:rPr>
      </w:pPr>
      <w:r w:rsidRPr="00BF0640">
        <w:rPr>
          <w:rFonts w:asciiTheme="majorHAnsi" w:hAnsiTheme="majorHAnsi"/>
          <w:b w:val="0"/>
          <w:bCs w:val="0"/>
          <w:sz w:val="22"/>
          <w:szCs w:val="22"/>
          <w:lang w:val="sk-SK"/>
        </w:rPr>
        <w:t xml:space="preserve">- </w:t>
      </w:r>
      <w:r w:rsidRPr="00BF0640">
        <w:rPr>
          <w:rFonts w:asciiTheme="majorHAnsi" w:hAnsiTheme="majorHAnsi"/>
          <w:b w:val="0"/>
          <w:sz w:val="22"/>
          <w:szCs w:val="22"/>
          <w:lang w:val="sk-SK"/>
        </w:rPr>
        <w:t xml:space="preserve">nariadenie Európskeho parlamentu a Rady (EÚ) č. 575/2013 z 26. júna 2013 o prudenciálnych </w:t>
      </w:r>
      <w:r w:rsidRPr="00C739F6">
        <w:rPr>
          <w:rFonts w:asciiTheme="majorHAnsi" w:hAnsiTheme="majorHAnsi"/>
          <w:b w:val="0"/>
          <w:color w:val="000000" w:themeColor="text1"/>
          <w:sz w:val="22"/>
          <w:szCs w:val="22"/>
          <w:lang w:val="sk-SK"/>
        </w:rPr>
        <w:t>požiadavkách na úverové inštitúcie a o zmene nariadenia (EÚ) č. 648/2012 (Ú. v. EÚ L 176, 27. 6. 2013) v platnom znení, gestor: MF SR, NBS,</w:t>
      </w:r>
    </w:p>
    <w:p w14:paraId="393E27A2" w14:textId="0E6378E3" w:rsidR="00F32E73" w:rsidRPr="00C739F6" w:rsidRDefault="00F32E73" w:rsidP="00F32E73">
      <w:pPr>
        <w:pStyle w:val="FootnoteText"/>
        <w:jc w:val="both"/>
        <w:rPr>
          <w:rFonts w:ascii="Cambria" w:hAnsi="Cambria"/>
          <w:color w:val="000000" w:themeColor="text1"/>
          <w:sz w:val="22"/>
          <w:szCs w:val="22"/>
          <w:lang w:val="sk-SK"/>
        </w:rPr>
      </w:pPr>
      <w:r w:rsidRPr="00C739F6">
        <w:rPr>
          <w:rFonts w:asciiTheme="majorHAnsi" w:hAnsiTheme="majorHAnsi"/>
          <w:sz w:val="22"/>
          <w:szCs w:val="22"/>
          <w:lang w:val="sk-SK"/>
        </w:rPr>
        <w:t xml:space="preserve">- </w:t>
      </w:r>
      <w:r>
        <w:rPr>
          <w:rFonts w:ascii="Cambria" w:hAnsi="Cambria"/>
          <w:color w:val="000000" w:themeColor="text1"/>
          <w:sz w:val="22"/>
          <w:szCs w:val="22"/>
          <w:lang w:val="sk-SK"/>
        </w:rPr>
        <w:t>v</w:t>
      </w:r>
      <w:r w:rsidRPr="00C739F6">
        <w:rPr>
          <w:rFonts w:ascii="Cambria" w:hAnsi="Cambria"/>
          <w:color w:val="000000" w:themeColor="text1"/>
          <w:sz w:val="22"/>
          <w:szCs w:val="22"/>
          <w:lang w:val="sk-SK"/>
        </w:rPr>
        <w:t xml:space="preserve">ykonávacie nariadenie Komisie (EÚ) 2021/451 </w:t>
      </w:r>
      <w:r>
        <w:rPr>
          <w:rFonts w:ascii="Cambria" w:hAnsi="Cambria"/>
          <w:color w:val="000000" w:themeColor="text1"/>
          <w:sz w:val="22"/>
          <w:szCs w:val="22"/>
          <w:lang w:val="sk-SK"/>
        </w:rPr>
        <w:br/>
      </w:r>
      <w:r w:rsidRPr="00C739F6">
        <w:rPr>
          <w:rFonts w:ascii="Cambria" w:hAnsi="Cambria"/>
          <w:color w:val="000000" w:themeColor="text1"/>
          <w:sz w:val="22"/>
          <w:szCs w:val="22"/>
          <w:lang w:val="sk-SK"/>
        </w:rPr>
        <w:t>zo 17. decembra 2020, ktorým sa stanovujú vykonávacie technické predpisy na uplatňovanie nariadenia Európskeho parlamentu a Rady (EÚ) č. 575/2013, pokiaľ ide o vykazovanie inštitúciami na účely dohľadu</w:t>
      </w:r>
      <w:r w:rsidR="00F94CD9">
        <w:rPr>
          <w:rFonts w:ascii="Cambria" w:hAnsi="Cambria"/>
          <w:color w:val="000000" w:themeColor="text1"/>
          <w:sz w:val="22"/>
          <w:szCs w:val="22"/>
          <w:lang w:val="sk-SK"/>
        </w:rPr>
        <w:t>,</w:t>
      </w:r>
      <w:r w:rsidRPr="00C739F6">
        <w:rPr>
          <w:rFonts w:ascii="Cambria" w:hAnsi="Cambria"/>
          <w:color w:val="000000" w:themeColor="text1"/>
          <w:sz w:val="22"/>
          <w:szCs w:val="22"/>
          <w:lang w:val="sk-SK"/>
        </w:rPr>
        <w:t xml:space="preserve"> a ktorým sa zrušuje vykonávacie nariadenie (EÚ) č. 680/2014</w:t>
      </w:r>
      <w:r>
        <w:rPr>
          <w:rFonts w:ascii="Cambria" w:hAnsi="Cambria"/>
          <w:color w:val="000000" w:themeColor="text1"/>
          <w:sz w:val="22"/>
          <w:szCs w:val="22"/>
          <w:lang w:val="sk-SK"/>
        </w:rPr>
        <w:t xml:space="preserve"> </w:t>
      </w:r>
      <w:r w:rsidRPr="004B7D57">
        <w:rPr>
          <w:rFonts w:ascii="Cambria" w:hAnsi="Cambria"/>
          <w:color w:val="000000" w:themeColor="text1"/>
          <w:sz w:val="22"/>
          <w:szCs w:val="22"/>
          <w:lang w:val="sk-SK"/>
        </w:rPr>
        <w:t>(Ú. v. EÚ L 97, 19.3.2021) v platnom znení</w:t>
      </w:r>
      <w:r w:rsidRPr="00C739F6">
        <w:rPr>
          <w:rFonts w:asciiTheme="majorHAnsi" w:hAnsiTheme="majorHAnsi"/>
          <w:sz w:val="22"/>
          <w:szCs w:val="22"/>
          <w:lang w:val="sk-SK"/>
        </w:rPr>
        <w:t>, gestor: MF SR, NBS,</w:t>
      </w:r>
    </w:p>
    <w:p w14:paraId="20834267" w14:textId="77777777" w:rsidR="00F32E73" w:rsidRPr="00BF0640" w:rsidRDefault="00F32E73" w:rsidP="00F32E73">
      <w:pPr>
        <w:pStyle w:val="BodyText"/>
        <w:jc w:val="both"/>
        <w:rPr>
          <w:rFonts w:asciiTheme="majorHAnsi" w:hAnsiTheme="majorHAnsi"/>
          <w:b w:val="0"/>
          <w:bCs w:val="0"/>
          <w:sz w:val="22"/>
          <w:szCs w:val="22"/>
          <w:lang w:val="sk-SK"/>
        </w:rPr>
      </w:pPr>
      <w:r w:rsidRPr="00C739F6">
        <w:rPr>
          <w:rFonts w:asciiTheme="majorHAnsi" w:hAnsiTheme="majorHAnsi"/>
          <w:b w:val="0"/>
          <w:sz w:val="22"/>
          <w:szCs w:val="22"/>
          <w:lang w:val="sk-SK"/>
        </w:rPr>
        <w:t xml:space="preserve">- vykonávacie nariadenie Komisie (EÚ) 2016/2070 zo 14. septembra 2016, ktorým sa stanovujú vykonávacie technické predpisy na vzory, vymedzenia pojmov a riešenia IT, ktoré majú inštitúcie používať pri vykazovaní Európskemu orgánu pre bankovníctvo a príslušným orgánom v súlade s článkom 78 ods. 2 </w:t>
      </w:r>
      <w:r>
        <w:rPr>
          <w:rFonts w:asciiTheme="majorHAnsi" w:hAnsiTheme="majorHAnsi"/>
          <w:b w:val="0"/>
          <w:sz w:val="22"/>
          <w:szCs w:val="22"/>
          <w:lang w:val="sk-SK"/>
        </w:rPr>
        <w:t>s</w:t>
      </w:r>
      <w:r w:rsidRPr="00C739F6">
        <w:rPr>
          <w:rFonts w:asciiTheme="majorHAnsi" w:hAnsiTheme="majorHAnsi"/>
          <w:b w:val="0"/>
          <w:sz w:val="22"/>
          <w:szCs w:val="22"/>
          <w:lang w:val="sk-SK"/>
        </w:rPr>
        <w:t xml:space="preserve">mernice Európskeho parlamentu a Rady 2013/36/EÚ (Ú. v. EÚ L 328, 2.12.2016) v platnom znení, </w:t>
      </w:r>
      <w:r w:rsidRPr="00C739F6">
        <w:rPr>
          <w:rFonts w:asciiTheme="majorHAnsi" w:hAnsiTheme="majorHAnsi"/>
          <w:b w:val="0"/>
          <w:bCs w:val="0"/>
          <w:sz w:val="22"/>
          <w:szCs w:val="22"/>
          <w:lang w:val="sk-SK"/>
        </w:rPr>
        <w:t>gestor: MF SR</w:t>
      </w:r>
      <w:r w:rsidRPr="00BF0640">
        <w:rPr>
          <w:rFonts w:asciiTheme="majorHAnsi" w:hAnsiTheme="majorHAnsi"/>
          <w:b w:val="0"/>
          <w:bCs w:val="0"/>
          <w:sz w:val="22"/>
          <w:szCs w:val="22"/>
          <w:lang w:val="sk-SK"/>
        </w:rPr>
        <w:t>, NBS,</w:t>
      </w:r>
    </w:p>
    <w:p w14:paraId="66972702" w14:textId="77777777" w:rsidR="00F32E73" w:rsidRPr="00BF0640" w:rsidRDefault="00F32E73" w:rsidP="00F32E73">
      <w:pPr>
        <w:pStyle w:val="FootnoteText"/>
        <w:jc w:val="both"/>
        <w:rPr>
          <w:rFonts w:asciiTheme="majorHAnsi" w:hAnsiTheme="majorHAnsi"/>
          <w:sz w:val="22"/>
          <w:szCs w:val="22"/>
          <w:lang w:val="sk-SK"/>
        </w:rPr>
      </w:pPr>
      <w:r w:rsidRPr="00BF0640">
        <w:rPr>
          <w:rFonts w:asciiTheme="majorHAnsi" w:hAnsiTheme="majorHAnsi"/>
          <w:sz w:val="22"/>
          <w:szCs w:val="22"/>
          <w:lang w:val="sk-SK"/>
        </w:rPr>
        <w:t xml:space="preserve">- nariadenie Európskej centrálnej banky (EÚ) 2015/534 zo 17. marca 2015 o vykazovaní finančných informácií na účely dohľadu (ECB/2015/13) (Ú. v. EÚ L 86, 31.3.2015) v platnom znení, gestor: </w:t>
      </w:r>
      <w:r w:rsidRPr="00BF0640">
        <w:rPr>
          <w:rFonts w:asciiTheme="majorHAnsi" w:hAnsiTheme="majorHAnsi"/>
          <w:bCs/>
          <w:sz w:val="22"/>
          <w:szCs w:val="22"/>
          <w:lang w:val="sk-SK"/>
        </w:rPr>
        <w:t xml:space="preserve">MF SR, </w:t>
      </w:r>
      <w:r w:rsidRPr="00BF0640">
        <w:rPr>
          <w:rFonts w:asciiTheme="majorHAnsi" w:hAnsiTheme="majorHAnsi"/>
          <w:sz w:val="22"/>
          <w:szCs w:val="22"/>
          <w:lang w:val="sk-SK"/>
        </w:rPr>
        <w:t>NBS,</w:t>
      </w:r>
    </w:p>
    <w:p w14:paraId="4FC05D67" w14:textId="192156FD" w:rsidR="00F32E73" w:rsidRPr="00BF0640" w:rsidRDefault="00F32E73" w:rsidP="00F32E73">
      <w:pPr>
        <w:pStyle w:val="BodyText"/>
        <w:jc w:val="both"/>
        <w:rPr>
          <w:rFonts w:asciiTheme="majorHAnsi" w:hAnsiTheme="majorHAnsi"/>
          <w:b w:val="0"/>
          <w:bCs w:val="0"/>
          <w:sz w:val="22"/>
          <w:szCs w:val="22"/>
          <w:lang w:val="sk-SK"/>
        </w:rPr>
      </w:pPr>
      <w:r w:rsidRPr="00BF0640">
        <w:rPr>
          <w:rFonts w:asciiTheme="majorHAnsi" w:hAnsiTheme="majorHAnsi"/>
          <w:b w:val="0"/>
          <w:bCs w:val="0"/>
          <w:sz w:val="22"/>
          <w:szCs w:val="22"/>
          <w:lang w:val="sk-SK"/>
        </w:rPr>
        <w:t>- nariadenie Európskeho parlamentu a Rady (EÚ) č. 909/2014 z 23. júla 2014 o zlepšení vyrovnania transakcií s cennými papiermi v Európskej únii, centrálnych depozitároch cenných papiero</w:t>
      </w:r>
      <w:r w:rsidR="00F94CD9">
        <w:rPr>
          <w:rFonts w:asciiTheme="majorHAnsi" w:hAnsiTheme="majorHAnsi"/>
          <w:b w:val="0"/>
          <w:bCs w:val="0"/>
          <w:sz w:val="22"/>
          <w:szCs w:val="22"/>
          <w:lang w:val="sk-SK"/>
        </w:rPr>
        <w:t>v</w:t>
      </w:r>
      <w:r w:rsidRPr="00BF0640">
        <w:rPr>
          <w:rFonts w:asciiTheme="majorHAnsi" w:hAnsiTheme="majorHAnsi"/>
          <w:b w:val="0"/>
          <w:bCs w:val="0"/>
          <w:sz w:val="22"/>
          <w:szCs w:val="22"/>
          <w:lang w:val="sk-SK"/>
        </w:rPr>
        <w:t xml:space="preserve"> a o zmene smerníc 98/26/ES a 2014/65/EÚ a nariadenia (EÚ) č. 236/2012 (Ú. v. EÚ L 257, 28.8.2014) v platnom znení, </w:t>
      </w:r>
      <w:r w:rsidRPr="00BF0640">
        <w:rPr>
          <w:rFonts w:asciiTheme="majorHAnsi" w:hAnsiTheme="majorHAnsi"/>
          <w:b w:val="0"/>
          <w:color w:val="000000" w:themeColor="text1"/>
          <w:sz w:val="22"/>
          <w:szCs w:val="22"/>
          <w:lang w:val="sk-SK"/>
        </w:rPr>
        <w:t>gestor: MF SR, NBS,</w:t>
      </w:r>
    </w:p>
    <w:p w14:paraId="21CC24EB" w14:textId="2F12D611" w:rsidR="00F32E73" w:rsidRDefault="00F32E73" w:rsidP="00F32E73">
      <w:pPr>
        <w:pStyle w:val="BodyText"/>
        <w:jc w:val="both"/>
        <w:rPr>
          <w:rFonts w:asciiTheme="majorHAnsi" w:hAnsiTheme="majorHAnsi"/>
          <w:b w:val="0"/>
          <w:color w:val="000000" w:themeColor="text1"/>
          <w:sz w:val="22"/>
          <w:szCs w:val="22"/>
          <w:lang w:val="sk-SK"/>
        </w:rPr>
      </w:pPr>
      <w:r w:rsidRPr="00BF0640">
        <w:rPr>
          <w:rFonts w:asciiTheme="majorHAnsi" w:hAnsiTheme="majorHAnsi"/>
          <w:b w:val="0"/>
          <w:bCs w:val="0"/>
          <w:sz w:val="22"/>
          <w:szCs w:val="22"/>
          <w:lang w:val="sk-SK"/>
        </w:rPr>
        <w:t>- vykonávacie nariadenie Komisie (EÚ) 2017/393 z 11. novembra 2016, ktorým sa stanovujú vykonávacie technické predpisy, pokiaľ ide o vzory a postupy pre podávanie správ a prenos informácií</w:t>
      </w:r>
      <w:r w:rsidR="000E1A1E">
        <w:rPr>
          <w:rFonts w:asciiTheme="majorHAnsi" w:hAnsiTheme="majorHAnsi"/>
          <w:b w:val="0"/>
          <w:bCs w:val="0"/>
          <w:sz w:val="22"/>
          <w:szCs w:val="22"/>
          <w:lang w:val="sk-SK"/>
        </w:rPr>
        <w:br/>
      </w:r>
      <w:r w:rsidRPr="00BF0640">
        <w:rPr>
          <w:rFonts w:asciiTheme="majorHAnsi" w:hAnsiTheme="majorHAnsi"/>
          <w:b w:val="0"/>
          <w:bCs w:val="0"/>
          <w:sz w:val="22"/>
          <w:szCs w:val="22"/>
          <w:lang w:val="sk-SK"/>
        </w:rPr>
        <w:t>o internalizovanom vyrovnaní v súlade s nariadením Európskeho parlamentu a Rady (EÚ) č. 909/2014</w:t>
      </w:r>
      <w:r w:rsidR="000E1A1E">
        <w:rPr>
          <w:rFonts w:asciiTheme="majorHAnsi" w:hAnsiTheme="majorHAnsi"/>
          <w:b w:val="0"/>
          <w:bCs w:val="0"/>
          <w:sz w:val="22"/>
          <w:szCs w:val="22"/>
          <w:lang w:val="sk-SK"/>
        </w:rPr>
        <w:br/>
      </w:r>
      <w:r w:rsidRPr="00BF0640">
        <w:rPr>
          <w:rFonts w:asciiTheme="majorHAnsi" w:hAnsiTheme="majorHAnsi"/>
          <w:b w:val="0"/>
          <w:bCs w:val="0"/>
          <w:sz w:val="22"/>
          <w:szCs w:val="22"/>
          <w:lang w:val="sk-SK"/>
        </w:rPr>
        <w:t xml:space="preserve">(Ú. v. EÚ L 65, 10.3.2017), </w:t>
      </w:r>
      <w:r w:rsidRPr="00BF0640">
        <w:rPr>
          <w:rFonts w:asciiTheme="majorHAnsi" w:hAnsiTheme="majorHAnsi"/>
          <w:b w:val="0"/>
          <w:color w:val="000000" w:themeColor="text1"/>
          <w:sz w:val="22"/>
          <w:szCs w:val="22"/>
          <w:lang w:val="sk-SK"/>
        </w:rPr>
        <w:t>gestor: MF SR, NBS</w:t>
      </w:r>
      <w:r w:rsidR="00F94CD9">
        <w:rPr>
          <w:rFonts w:asciiTheme="majorHAnsi" w:hAnsiTheme="majorHAnsi"/>
          <w:b w:val="0"/>
          <w:color w:val="000000" w:themeColor="text1"/>
          <w:sz w:val="22"/>
          <w:szCs w:val="22"/>
          <w:lang w:val="sk-SK"/>
        </w:rPr>
        <w:t>,</w:t>
      </w:r>
    </w:p>
    <w:p w14:paraId="68588013" w14:textId="525678AE" w:rsidR="00F94CD9" w:rsidRPr="00BF0640" w:rsidRDefault="00F94CD9" w:rsidP="00F32E73">
      <w:pPr>
        <w:pStyle w:val="BodyText"/>
        <w:jc w:val="both"/>
        <w:rPr>
          <w:rFonts w:asciiTheme="majorHAnsi" w:hAnsiTheme="majorHAnsi"/>
          <w:b w:val="0"/>
          <w:color w:val="000000" w:themeColor="text1"/>
          <w:sz w:val="22"/>
          <w:szCs w:val="22"/>
          <w:lang w:val="sk-SK"/>
        </w:rPr>
      </w:pPr>
      <w:r w:rsidRPr="00F94CD9">
        <w:rPr>
          <w:rFonts w:asciiTheme="majorHAnsi" w:hAnsiTheme="majorHAnsi"/>
          <w:b w:val="0"/>
          <w:color w:val="000000" w:themeColor="text1"/>
          <w:sz w:val="22"/>
          <w:szCs w:val="22"/>
          <w:lang w:val="sk-SK"/>
        </w:rPr>
        <w:t>c) v judikatúre Súdneho dvora Európskej únie nie je obsiahnutý.</w:t>
      </w:r>
    </w:p>
    <w:p w14:paraId="2FB0FF73" w14:textId="77777777" w:rsidR="00F32E73" w:rsidRPr="00E949DE" w:rsidRDefault="00F32E73" w:rsidP="00F32E73">
      <w:pPr>
        <w:pStyle w:val="BodyText"/>
        <w:jc w:val="both"/>
        <w:rPr>
          <w:b w:val="0"/>
          <w:bCs w:val="0"/>
          <w:color w:val="000000" w:themeColor="text1"/>
          <w:lang w:val="sk-SK"/>
        </w:rPr>
      </w:pPr>
    </w:p>
    <w:p w14:paraId="34449B78" w14:textId="77777777" w:rsidR="00F32E73" w:rsidRPr="00BF0640" w:rsidRDefault="00F32E73" w:rsidP="00F32E73">
      <w:pPr>
        <w:pStyle w:val="BodyText3"/>
        <w:rPr>
          <w:rFonts w:ascii="Verdana" w:hAnsi="Verdana"/>
          <w:b/>
          <w:bCs/>
          <w:color w:val="000000" w:themeColor="text1"/>
          <w:sz w:val="20"/>
          <w:szCs w:val="20"/>
        </w:rPr>
      </w:pPr>
      <w:bookmarkStart w:id="0" w:name="_Hlk10624650"/>
      <w:r w:rsidRPr="00BF0640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4. </w:t>
      </w:r>
      <w:r w:rsidRPr="00BF0640">
        <w:rPr>
          <w:rFonts w:ascii="Verdana" w:hAnsi="Verdana"/>
          <w:b/>
          <w:bCs/>
          <w:color w:val="000000" w:themeColor="text1"/>
          <w:sz w:val="20"/>
          <w:szCs w:val="20"/>
        </w:rPr>
        <w:tab/>
        <w:t>Záväzky Slovenskej republiky vo vzťahu k Európskej únii:</w:t>
      </w:r>
    </w:p>
    <w:p w14:paraId="470D2961" w14:textId="77777777" w:rsidR="00F32E73" w:rsidRPr="00BF0640" w:rsidRDefault="00F32E73" w:rsidP="00F32E73">
      <w:pPr>
        <w:rPr>
          <w:rFonts w:asciiTheme="majorHAnsi" w:hAnsiTheme="majorHAnsi"/>
          <w:color w:val="000000" w:themeColor="text1"/>
          <w:sz w:val="22"/>
          <w:szCs w:val="22"/>
        </w:rPr>
      </w:pPr>
      <w:r w:rsidRPr="00BF0640">
        <w:rPr>
          <w:rFonts w:asciiTheme="majorHAnsi" w:hAnsiTheme="majorHAnsi"/>
          <w:color w:val="000000" w:themeColor="text1"/>
          <w:sz w:val="22"/>
          <w:szCs w:val="22"/>
        </w:rPr>
        <w:t>a) Lehota na prebranie príslušného právneho aktu Európskej únie, prípadne aj osobitná lehota účinnosti jeho ustanovení</w:t>
      </w:r>
    </w:p>
    <w:p w14:paraId="5EF93F76" w14:textId="77777777" w:rsidR="00F32E73" w:rsidRPr="00BF0640" w:rsidRDefault="00F32E73" w:rsidP="00F32E73">
      <w:pPr>
        <w:rPr>
          <w:rFonts w:asciiTheme="majorHAnsi" w:hAnsiTheme="majorHAnsi"/>
          <w:color w:val="000000" w:themeColor="text1"/>
          <w:sz w:val="22"/>
          <w:szCs w:val="22"/>
        </w:rPr>
      </w:pPr>
      <w:r w:rsidRPr="00BF0640">
        <w:rPr>
          <w:rFonts w:asciiTheme="majorHAnsi" w:hAnsiTheme="majorHAnsi"/>
          <w:i/>
          <w:iCs/>
          <w:color w:val="000000" w:themeColor="text1"/>
          <w:sz w:val="22"/>
          <w:szCs w:val="22"/>
        </w:rPr>
        <w:tab/>
        <w:t>Bezpredmetné.</w:t>
      </w:r>
    </w:p>
    <w:p w14:paraId="1B0467D0" w14:textId="63D53B17" w:rsidR="00F32E73" w:rsidRPr="00BF0640" w:rsidRDefault="00F32E73" w:rsidP="00F32E73">
      <w:pPr>
        <w:autoSpaceDE w:val="0"/>
        <w:autoSpaceDN w:val="0"/>
        <w:rPr>
          <w:rFonts w:asciiTheme="majorHAnsi" w:hAnsiTheme="majorHAnsi"/>
          <w:color w:val="000000" w:themeColor="text1"/>
          <w:sz w:val="22"/>
          <w:szCs w:val="22"/>
        </w:rPr>
      </w:pPr>
      <w:r w:rsidRPr="00BF0640">
        <w:rPr>
          <w:rFonts w:asciiTheme="majorHAnsi" w:hAnsiTheme="majorHAnsi"/>
          <w:color w:val="000000" w:themeColor="text1"/>
          <w:sz w:val="22"/>
          <w:szCs w:val="22"/>
        </w:rPr>
        <w:t xml:space="preserve">b) Informácia o začatí konania v rámci „EÚ Pilot“ alebo o začatí postupu Európskej komisie, alebo o konaní Súdneho dvora Európskej únie proti Slovenskej republike podľa čl. 258 a 260 Zmluvy o fungovaní Európskej únie v jej platnom znení, spolu s uvedením konkrétnych vytýkaných nedostatkov a požiadaviek na </w:t>
      </w:r>
      <w:r w:rsidRPr="00BF0640">
        <w:rPr>
          <w:rFonts w:asciiTheme="majorHAnsi" w:hAnsiTheme="majorHAnsi"/>
          <w:color w:val="000000" w:themeColor="text1"/>
          <w:sz w:val="22"/>
          <w:szCs w:val="22"/>
        </w:rPr>
        <w:lastRenderedPageBreak/>
        <w:t>zabezpečenie nápravy so zreteľom na n</w:t>
      </w:r>
      <w:r w:rsidRPr="00BF0640">
        <w:rPr>
          <w:rFonts w:asciiTheme="majorHAnsi" w:hAnsiTheme="majorHAnsi"/>
          <w:bCs/>
          <w:color w:val="000000" w:themeColor="text1"/>
          <w:sz w:val="22"/>
          <w:szCs w:val="22"/>
        </w:rPr>
        <w:t>ariadenie Európskeho parlamentu a Rady (ES) č. 1049/2001</w:t>
      </w:r>
      <w:r w:rsidR="000E1A1E">
        <w:rPr>
          <w:rFonts w:asciiTheme="majorHAnsi" w:hAnsiTheme="majorHAnsi"/>
          <w:bCs/>
          <w:color w:val="000000" w:themeColor="text1"/>
          <w:sz w:val="22"/>
          <w:szCs w:val="22"/>
        </w:rPr>
        <w:br/>
      </w:r>
      <w:r w:rsidRPr="00BF0640">
        <w:rPr>
          <w:rFonts w:asciiTheme="majorHAnsi" w:hAnsiTheme="majorHAnsi"/>
          <w:bCs/>
          <w:color w:val="000000" w:themeColor="text1"/>
          <w:sz w:val="22"/>
          <w:szCs w:val="22"/>
        </w:rPr>
        <w:t xml:space="preserve"> z 30. mája 2001 o prístupe verejnosti k dokumentom Európskeho parlamentu, Rady a Komisie</w:t>
      </w:r>
    </w:p>
    <w:p w14:paraId="130F5727" w14:textId="77777777" w:rsidR="00F32E73" w:rsidRPr="00BF0640" w:rsidRDefault="00F32E73" w:rsidP="00F32E73">
      <w:pPr>
        <w:autoSpaceDE w:val="0"/>
        <w:autoSpaceDN w:val="0"/>
        <w:rPr>
          <w:rFonts w:asciiTheme="majorHAnsi" w:hAnsiTheme="majorHAnsi"/>
          <w:i/>
          <w:iCs/>
          <w:color w:val="000000" w:themeColor="text1"/>
          <w:sz w:val="22"/>
          <w:szCs w:val="22"/>
        </w:rPr>
      </w:pPr>
      <w:r w:rsidRPr="00BF0640">
        <w:rPr>
          <w:rFonts w:asciiTheme="majorHAnsi" w:hAnsiTheme="majorHAnsi"/>
          <w:i/>
          <w:iCs/>
          <w:color w:val="000000" w:themeColor="text1"/>
          <w:sz w:val="22"/>
          <w:szCs w:val="22"/>
        </w:rPr>
        <w:tab/>
        <w:t>Bezpredmetné. Proti SR nebolo začaté konanie o porušení Zmluvy o fungovaní Európskej únie podľa čl. 258 až 260.</w:t>
      </w:r>
    </w:p>
    <w:p w14:paraId="4E8F3CAC" w14:textId="77777777" w:rsidR="00F32E73" w:rsidRPr="00BF0640" w:rsidRDefault="00F32E73" w:rsidP="00F32E73">
      <w:pPr>
        <w:rPr>
          <w:rFonts w:asciiTheme="majorHAnsi" w:hAnsiTheme="majorHAnsi"/>
          <w:color w:val="000000" w:themeColor="text1"/>
          <w:sz w:val="22"/>
          <w:szCs w:val="22"/>
        </w:rPr>
      </w:pPr>
      <w:r w:rsidRPr="00BF0640">
        <w:rPr>
          <w:rFonts w:asciiTheme="majorHAnsi" w:hAnsiTheme="majorHAnsi"/>
          <w:color w:val="000000" w:themeColor="text1"/>
          <w:sz w:val="22"/>
          <w:szCs w:val="22"/>
        </w:rPr>
        <w:t>c) Informácia o právnych predpisoch, v ktorých sú uvádzané právne akty Európskej únie už prebrané, spolu s uvedením rozsahu ich prebrania, príp. potreby prijatia ďalších úprav</w:t>
      </w:r>
    </w:p>
    <w:p w14:paraId="68177397" w14:textId="77777777" w:rsidR="00F32E73" w:rsidRPr="00BF0640" w:rsidRDefault="00F32E73" w:rsidP="00F32E73">
      <w:pPr>
        <w:rPr>
          <w:rFonts w:asciiTheme="majorHAnsi" w:hAnsiTheme="majorHAnsi"/>
          <w:i/>
          <w:iCs/>
          <w:color w:val="000000" w:themeColor="text1"/>
          <w:sz w:val="22"/>
          <w:szCs w:val="22"/>
        </w:rPr>
      </w:pPr>
      <w:r w:rsidRPr="00BF0640">
        <w:rPr>
          <w:rFonts w:asciiTheme="majorHAnsi" w:hAnsiTheme="majorHAnsi"/>
          <w:i/>
          <w:iCs/>
          <w:color w:val="000000" w:themeColor="text1"/>
          <w:sz w:val="22"/>
          <w:szCs w:val="22"/>
        </w:rPr>
        <w:tab/>
        <w:t>Bezpredmetné.</w:t>
      </w:r>
    </w:p>
    <w:bookmarkEnd w:id="0"/>
    <w:p w14:paraId="66BA5147" w14:textId="77777777" w:rsidR="00F32E73" w:rsidRPr="00442776" w:rsidRDefault="00F32E73" w:rsidP="00F32E73">
      <w:pPr>
        <w:pStyle w:val="BodyText3"/>
        <w:rPr>
          <w:rFonts w:ascii="Cambria" w:hAnsi="Cambria"/>
          <w:sz w:val="22"/>
          <w:szCs w:val="22"/>
        </w:rPr>
      </w:pPr>
    </w:p>
    <w:p w14:paraId="14CD0070" w14:textId="77777777" w:rsidR="00F32E73" w:rsidRPr="00BF0640" w:rsidRDefault="00F32E73" w:rsidP="00F32E73">
      <w:pPr>
        <w:pStyle w:val="BodyText"/>
        <w:jc w:val="both"/>
        <w:rPr>
          <w:rFonts w:ascii="Verdana" w:hAnsi="Verdana"/>
          <w:b w:val="0"/>
          <w:sz w:val="20"/>
          <w:szCs w:val="20"/>
          <w:lang w:val="sk-SK"/>
        </w:rPr>
      </w:pPr>
      <w:r w:rsidRPr="00BF0640">
        <w:rPr>
          <w:rFonts w:ascii="Verdana" w:hAnsi="Verdana"/>
          <w:sz w:val="20"/>
          <w:szCs w:val="20"/>
          <w:lang w:val="sk-SK"/>
        </w:rPr>
        <w:t xml:space="preserve">5. </w:t>
      </w:r>
      <w:r w:rsidRPr="00BF0640">
        <w:rPr>
          <w:rFonts w:ascii="Verdana" w:hAnsi="Verdana"/>
          <w:sz w:val="20"/>
          <w:szCs w:val="20"/>
          <w:lang w:val="sk-SK"/>
        </w:rPr>
        <w:tab/>
        <w:t>Návrh opatrenia je zlučiteľný s právom Európskej únie</w:t>
      </w:r>
      <w:r w:rsidRPr="00BF0640">
        <w:rPr>
          <w:rFonts w:ascii="Verdana" w:hAnsi="Verdana"/>
          <w:b w:val="0"/>
          <w:sz w:val="20"/>
          <w:szCs w:val="20"/>
          <w:lang w:val="sk-SK"/>
        </w:rPr>
        <w:t>:</w:t>
      </w:r>
    </w:p>
    <w:p w14:paraId="179694E4" w14:textId="77777777" w:rsidR="00F32E73" w:rsidRPr="00BF0640" w:rsidRDefault="00F32E73" w:rsidP="00F32E73">
      <w:pPr>
        <w:pStyle w:val="BodyText"/>
        <w:jc w:val="both"/>
        <w:rPr>
          <w:rFonts w:asciiTheme="majorHAnsi" w:hAnsiTheme="majorHAnsi"/>
          <w:b w:val="0"/>
          <w:bCs w:val="0"/>
          <w:i/>
          <w:iCs/>
          <w:sz w:val="22"/>
          <w:szCs w:val="22"/>
          <w:lang w:val="sk-SK"/>
        </w:rPr>
      </w:pPr>
      <w:r w:rsidRPr="00BF0640">
        <w:rPr>
          <w:rFonts w:asciiTheme="majorHAnsi" w:hAnsiTheme="majorHAnsi"/>
          <w:bCs w:val="0"/>
          <w:i/>
          <w:iCs/>
          <w:sz w:val="22"/>
          <w:szCs w:val="22"/>
          <w:lang w:val="sk-SK"/>
        </w:rPr>
        <w:tab/>
      </w:r>
      <w:r w:rsidRPr="00BF0640">
        <w:rPr>
          <w:rFonts w:asciiTheme="majorHAnsi" w:hAnsiTheme="majorHAnsi"/>
          <w:b w:val="0"/>
          <w:bCs w:val="0"/>
          <w:i/>
          <w:iCs/>
          <w:sz w:val="22"/>
          <w:szCs w:val="22"/>
          <w:lang w:val="sk-SK"/>
        </w:rPr>
        <w:t>Úplne.</w:t>
      </w:r>
    </w:p>
    <w:p w14:paraId="2945D144" w14:textId="46795AE7" w:rsidR="00F32E73" w:rsidRDefault="00F32E73" w:rsidP="00442776">
      <w:pPr>
        <w:pStyle w:val="Default"/>
        <w:jc w:val="both"/>
        <w:rPr>
          <w:rFonts w:ascii="Cambria" w:hAnsi="Cambria"/>
          <w:bCs/>
          <w:color w:val="000000" w:themeColor="text1"/>
          <w:sz w:val="22"/>
          <w:szCs w:val="22"/>
        </w:rPr>
      </w:pPr>
    </w:p>
    <w:sectPr w:rsidR="00F32E73" w:rsidSect="00CB0969">
      <w:footerReference w:type="default" r:id="rId10"/>
      <w:pgSz w:w="12240" w:h="15840"/>
      <w:pgMar w:top="851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4078A6" w14:textId="77777777" w:rsidR="00096638" w:rsidRDefault="00096638">
      <w:r>
        <w:separator/>
      </w:r>
    </w:p>
  </w:endnote>
  <w:endnote w:type="continuationSeparator" w:id="0">
    <w:p w14:paraId="031A166C" w14:textId="77777777" w:rsidR="00096638" w:rsidRDefault="000966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085AB" w14:textId="77777777" w:rsidR="001F23D5" w:rsidRDefault="001F23D5" w:rsidP="00A43D09">
    <w:pPr>
      <w:pStyle w:val="Foot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70F17">
      <w:rPr>
        <w:rStyle w:val="PageNumber"/>
        <w:noProof/>
      </w:rPr>
      <w:t>1</w:t>
    </w:r>
    <w:r>
      <w:rPr>
        <w:rStyle w:val="PageNumber"/>
      </w:rPr>
      <w:fldChar w:fldCharType="end"/>
    </w:r>
  </w:p>
  <w:p w14:paraId="21E4E51D" w14:textId="77777777" w:rsidR="001F23D5" w:rsidRDefault="001F23D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2FF9B9" w14:textId="77777777" w:rsidR="00096638" w:rsidRDefault="00096638">
      <w:r>
        <w:separator/>
      </w:r>
    </w:p>
  </w:footnote>
  <w:footnote w:type="continuationSeparator" w:id="0">
    <w:p w14:paraId="16BEAA4D" w14:textId="77777777" w:rsidR="00096638" w:rsidRDefault="000966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44A4"/>
    <w:multiLevelType w:val="hybridMultilevel"/>
    <w:tmpl w:val="E3C45A7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C06767"/>
    <w:multiLevelType w:val="hybridMultilevel"/>
    <w:tmpl w:val="A4CA898A"/>
    <w:lvl w:ilvl="0" w:tplc="00DC77A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0D175C17"/>
    <w:multiLevelType w:val="hybridMultilevel"/>
    <w:tmpl w:val="A1E44E90"/>
    <w:lvl w:ilvl="0" w:tplc="C5A2628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0F281981"/>
    <w:multiLevelType w:val="hybridMultilevel"/>
    <w:tmpl w:val="26841500"/>
    <w:lvl w:ilvl="0" w:tplc="ACB66AD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15825C80"/>
    <w:multiLevelType w:val="hybridMultilevel"/>
    <w:tmpl w:val="377CEC1E"/>
    <w:lvl w:ilvl="0" w:tplc="041B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14096E"/>
    <w:multiLevelType w:val="hybridMultilevel"/>
    <w:tmpl w:val="034E01F8"/>
    <w:lvl w:ilvl="0" w:tplc="CFAEFD6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A4BAF64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  <w:sz w:val="24"/>
      </w:rPr>
    </w:lvl>
    <w:lvl w:ilvl="2" w:tplc="EA66FF3E"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Times New Roman" w:eastAsia="Times New Roman" w:hAnsi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17374419"/>
    <w:multiLevelType w:val="hybridMultilevel"/>
    <w:tmpl w:val="EA3CA3A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7" w15:restartNumberingAfterBreak="0">
    <w:nsid w:val="215E558C"/>
    <w:multiLevelType w:val="hybridMultilevel"/>
    <w:tmpl w:val="2A32194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CA636D"/>
    <w:multiLevelType w:val="hybridMultilevel"/>
    <w:tmpl w:val="E8EAEDCC"/>
    <w:lvl w:ilvl="0" w:tplc="1A685B7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29C6408F"/>
    <w:multiLevelType w:val="hybridMultilevel"/>
    <w:tmpl w:val="CAA008C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097A9A"/>
    <w:multiLevelType w:val="hybridMultilevel"/>
    <w:tmpl w:val="B868DEFA"/>
    <w:lvl w:ilvl="0" w:tplc="077EA60C">
      <w:start w:val="1"/>
      <w:numFmt w:val="decimal"/>
      <w:lvlText w:val="(%1)"/>
      <w:lvlJc w:val="left"/>
      <w:pPr>
        <w:ind w:left="108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3E9F0A35"/>
    <w:multiLevelType w:val="hybridMultilevel"/>
    <w:tmpl w:val="A8CC3BAA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45E63C9F"/>
    <w:multiLevelType w:val="hybridMultilevel"/>
    <w:tmpl w:val="9466873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3" w15:restartNumberingAfterBreak="0">
    <w:nsid w:val="4AA73FD7"/>
    <w:multiLevelType w:val="hybridMultilevel"/>
    <w:tmpl w:val="AB1248C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4" w15:restartNumberingAfterBreak="0">
    <w:nsid w:val="4E5C5A2B"/>
    <w:multiLevelType w:val="hybridMultilevel"/>
    <w:tmpl w:val="576AFC66"/>
    <w:lvl w:ilvl="0" w:tplc="4F7E17B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59EF7E67"/>
    <w:multiLevelType w:val="hybridMultilevel"/>
    <w:tmpl w:val="419C7968"/>
    <w:lvl w:ilvl="0" w:tplc="FFFFFFFF">
      <w:start w:val="1"/>
      <w:numFmt w:val="decimal"/>
      <w:lvlText w:val="%1."/>
      <w:lvlJc w:val="left"/>
      <w:pPr>
        <w:ind w:left="862" w:hanging="360"/>
      </w:pPr>
    </w:lvl>
    <w:lvl w:ilvl="1" w:tplc="FFFFFFFF" w:tentative="1">
      <w:start w:val="1"/>
      <w:numFmt w:val="lowerLetter"/>
      <w:lvlText w:val="%2."/>
      <w:lvlJc w:val="left"/>
      <w:pPr>
        <w:ind w:left="1582" w:hanging="360"/>
      </w:pPr>
    </w:lvl>
    <w:lvl w:ilvl="2" w:tplc="FFFFFFFF" w:tentative="1">
      <w:start w:val="1"/>
      <w:numFmt w:val="lowerRoman"/>
      <w:lvlText w:val="%3."/>
      <w:lvlJc w:val="right"/>
      <w:pPr>
        <w:ind w:left="2302" w:hanging="180"/>
      </w:pPr>
    </w:lvl>
    <w:lvl w:ilvl="3" w:tplc="FFFFFFFF" w:tentative="1">
      <w:start w:val="1"/>
      <w:numFmt w:val="decimal"/>
      <w:lvlText w:val="%4."/>
      <w:lvlJc w:val="left"/>
      <w:pPr>
        <w:ind w:left="3022" w:hanging="360"/>
      </w:p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 w15:restartNumberingAfterBreak="0">
    <w:nsid w:val="718E13F8"/>
    <w:multiLevelType w:val="hybridMultilevel"/>
    <w:tmpl w:val="EB5A999E"/>
    <w:lvl w:ilvl="0" w:tplc="66C4F7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7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69952839">
    <w:abstractNumId w:val="3"/>
  </w:num>
  <w:num w:numId="2" w16cid:durableId="922765253">
    <w:abstractNumId w:val="16"/>
  </w:num>
  <w:num w:numId="3" w16cid:durableId="250356009">
    <w:abstractNumId w:val="12"/>
  </w:num>
  <w:num w:numId="4" w16cid:durableId="1034380485">
    <w:abstractNumId w:val="6"/>
  </w:num>
  <w:num w:numId="5" w16cid:durableId="96483394">
    <w:abstractNumId w:val="13"/>
  </w:num>
  <w:num w:numId="6" w16cid:durableId="1053315772">
    <w:abstractNumId w:val="9"/>
  </w:num>
  <w:num w:numId="7" w16cid:durableId="1521551779">
    <w:abstractNumId w:val="5"/>
  </w:num>
  <w:num w:numId="8" w16cid:durableId="129711204">
    <w:abstractNumId w:val="14"/>
  </w:num>
  <w:num w:numId="9" w16cid:durableId="385301800">
    <w:abstractNumId w:val="11"/>
  </w:num>
  <w:num w:numId="10" w16cid:durableId="2088922150">
    <w:abstractNumId w:val="10"/>
  </w:num>
  <w:num w:numId="11" w16cid:durableId="1819107744">
    <w:abstractNumId w:val="1"/>
  </w:num>
  <w:num w:numId="12" w16cid:durableId="724764962">
    <w:abstractNumId w:val="8"/>
  </w:num>
  <w:num w:numId="13" w16cid:durableId="922376381">
    <w:abstractNumId w:val="2"/>
  </w:num>
  <w:num w:numId="14" w16cid:durableId="1167670460">
    <w:abstractNumId w:val="0"/>
  </w:num>
  <w:num w:numId="15" w16cid:durableId="2118452149">
    <w:abstractNumId w:val="4"/>
  </w:num>
  <w:num w:numId="16" w16cid:durableId="1117338716">
    <w:abstractNumId w:val="17"/>
  </w:num>
  <w:num w:numId="17" w16cid:durableId="1180967318">
    <w:abstractNumId w:val="15"/>
  </w:num>
  <w:num w:numId="18" w16cid:durableId="9401439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3D5"/>
    <w:rsid w:val="00007DF1"/>
    <w:rsid w:val="000110AF"/>
    <w:rsid w:val="0001204F"/>
    <w:rsid w:val="0001420C"/>
    <w:rsid w:val="000155B0"/>
    <w:rsid w:val="0002318E"/>
    <w:rsid w:val="00025DB2"/>
    <w:rsid w:val="000308AE"/>
    <w:rsid w:val="00030BF9"/>
    <w:rsid w:val="00031AB7"/>
    <w:rsid w:val="0003278F"/>
    <w:rsid w:val="000327E0"/>
    <w:rsid w:val="000334F8"/>
    <w:rsid w:val="000413D8"/>
    <w:rsid w:val="00041739"/>
    <w:rsid w:val="0004750E"/>
    <w:rsid w:val="00054064"/>
    <w:rsid w:val="00057784"/>
    <w:rsid w:val="00063060"/>
    <w:rsid w:val="000731F9"/>
    <w:rsid w:val="00073436"/>
    <w:rsid w:val="000747EB"/>
    <w:rsid w:val="0008344F"/>
    <w:rsid w:val="0009089D"/>
    <w:rsid w:val="00090BA9"/>
    <w:rsid w:val="00094CF3"/>
    <w:rsid w:val="00096638"/>
    <w:rsid w:val="000A1854"/>
    <w:rsid w:val="000A1BE9"/>
    <w:rsid w:val="000A22C4"/>
    <w:rsid w:val="000A56E0"/>
    <w:rsid w:val="000B27EA"/>
    <w:rsid w:val="000B395D"/>
    <w:rsid w:val="000C351D"/>
    <w:rsid w:val="000C7097"/>
    <w:rsid w:val="000D6199"/>
    <w:rsid w:val="000E13A9"/>
    <w:rsid w:val="000E1A1E"/>
    <w:rsid w:val="000E6098"/>
    <w:rsid w:val="000F1789"/>
    <w:rsid w:val="000F1FE5"/>
    <w:rsid w:val="000F4416"/>
    <w:rsid w:val="00100D0C"/>
    <w:rsid w:val="00101537"/>
    <w:rsid w:val="00102664"/>
    <w:rsid w:val="00103D48"/>
    <w:rsid w:val="00103E17"/>
    <w:rsid w:val="001049B8"/>
    <w:rsid w:val="00105C3B"/>
    <w:rsid w:val="00111A4F"/>
    <w:rsid w:val="00115CB7"/>
    <w:rsid w:val="001216C3"/>
    <w:rsid w:val="00122889"/>
    <w:rsid w:val="001228B0"/>
    <w:rsid w:val="00125EF7"/>
    <w:rsid w:val="001402A0"/>
    <w:rsid w:val="00141C02"/>
    <w:rsid w:val="00153BDD"/>
    <w:rsid w:val="001543F0"/>
    <w:rsid w:val="00157871"/>
    <w:rsid w:val="001614EF"/>
    <w:rsid w:val="00164E76"/>
    <w:rsid w:val="00170C8A"/>
    <w:rsid w:val="00171817"/>
    <w:rsid w:val="001771C4"/>
    <w:rsid w:val="0018483A"/>
    <w:rsid w:val="00185270"/>
    <w:rsid w:val="00187967"/>
    <w:rsid w:val="001943C8"/>
    <w:rsid w:val="00195AC1"/>
    <w:rsid w:val="001A14F2"/>
    <w:rsid w:val="001A5436"/>
    <w:rsid w:val="001A671D"/>
    <w:rsid w:val="001B0805"/>
    <w:rsid w:val="001B0BFB"/>
    <w:rsid w:val="001B5149"/>
    <w:rsid w:val="001B626C"/>
    <w:rsid w:val="001B6F5F"/>
    <w:rsid w:val="001B7E10"/>
    <w:rsid w:val="001C0D00"/>
    <w:rsid w:val="001C1266"/>
    <w:rsid w:val="001C147F"/>
    <w:rsid w:val="001C4A88"/>
    <w:rsid w:val="001D09D6"/>
    <w:rsid w:val="001D1DA1"/>
    <w:rsid w:val="001D39F5"/>
    <w:rsid w:val="001D4B09"/>
    <w:rsid w:val="001D73C7"/>
    <w:rsid w:val="001E4031"/>
    <w:rsid w:val="001F05EF"/>
    <w:rsid w:val="001F1FC7"/>
    <w:rsid w:val="001F23D5"/>
    <w:rsid w:val="001F30BB"/>
    <w:rsid w:val="00204F04"/>
    <w:rsid w:val="002120D9"/>
    <w:rsid w:val="002138F5"/>
    <w:rsid w:val="00215558"/>
    <w:rsid w:val="00221510"/>
    <w:rsid w:val="00225581"/>
    <w:rsid w:val="00230790"/>
    <w:rsid w:val="0023141A"/>
    <w:rsid w:val="002329D5"/>
    <w:rsid w:val="002428D6"/>
    <w:rsid w:val="00253A05"/>
    <w:rsid w:val="002632F6"/>
    <w:rsid w:val="00265046"/>
    <w:rsid w:val="002651E5"/>
    <w:rsid w:val="00265500"/>
    <w:rsid w:val="00265784"/>
    <w:rsid w:val="002664A6"/>
    <w:rsid w:val="002703B3"/>
    <w:rsid w:val="002715EA"/>
    <w:rsid w:val="00276CDF"/>
    <w:rsid w:val="00287123"/>
    <w:rsid w:val="00290090"/>
    <w:rsid w:val="002920DC"/>
    <w:rsid w:val="00292781"/>
    <w:rsid w:val="00293257"/>
    <w:rsid w:val="00293EB6"/>
    <w:rsid w:val="00294BFE"/>
    <w:rsid w:val="00297433"/>
    <w:rsid w:val="002A04BA"/>
    <w:rsid w:val="002A5891"/>
    <w:rsid w:val="002A67C8"/>
    <w:rsid w:val="002C3F70"/>
    <w:rsid w:val="002D0810"/>
    <w:rsid w:val="002D25E8"/>
    <w:rsid w:val="002D2D3D"/>
    <w:rsid w:val="002E15FB"/>
    <w:rsid w:val="002E78FE"/>
    <w:rsid w:val="002F3BBB"/>
    <w:rsid w:val="002F4980"/>
    <w:rsid w:val="003008B0"/>
    <w:rsid w:val="00303F34"/>
    <w:rsid w:val="00304D82"/>
    <w:rsid w:val="00305219"/>
    <w:rsid w:val="00306B6B"/>
    <w:rsid w:val="00306CB4"/>
    <w:rsid w:val="0031690B"/>
    <w:rsid w:val="0032759A"/>
    <w:rsid w:val="00333D85"/>
    <w:rsid w:val="00350B08"/>
    <w:rsid w:val="00352E42"/>
    <w:rsid w:val="00355D6C"/>
    <w:rsid w:val="0035733A"/>
    <w:rsid w:val="0036203D"/>
    <w:rsid w:val="00362513"/>
    <w:rsid w:val="00362C3D"/>
    <w:rsid w:val="0036352F"/>
    <w:rsid w:val="0036459D"/>
    <w:rsid w:val="00377DC5"/>
    <w:rsid w:val="00381BD2"/>
    <w:rsid w:val="003851AB"/>
    <w:rsid w:val="00386521"/>
    <w:rsid w:val="00386B4B"/>
    <w:rsid w:val="00391E8D"/>
    <w:rsid w:val="00392EAB"/>
    <w:rsid w:val="003965A9"/>
    <w:rsid w:val="003A16C3"/>
    <w:rsid w:val="003A4419"/>
    <w:rsid w:val="003A4FF5"/>
    <w:rsid w:val="003A6CB2"/>
    <w:rsid w:val="003B373A"/>
    <w:rsid w:val="003C7490"/>
    <w:rsid w:val="003D24A6"/>
    <w:rsid w:val="003D5431"/>
    <w:rsid w:val="003D5FC6"/>
    <w:rsid w:val="003D6854"/>
    <w:rsid w:val="003E15CB"/>
    <w:rsid w:val="003E24BD"/>
    <w:rsid w:val="003E4C8D"/>
    <w:rsid w:val="003F077F"/>
    <w:rsid w:val="003F415C"/>
    <w:rsid w:val="004206F4"/>
    <w:rsid w:val="0042398E"/>
    <w:rsid w:val="004337CE"/>
    <w:rsid w:val="00442263"/>
    <w:rsid w:val="00442776"/>
    <w:rsid w:val="00447B32"/>
    <w:rsid w:val="00453C11"/>
    <w:rsid w:val="004552DE"/>
    <w:rsid w:val="00455F27"/>
    <w:rsid w:val="00456202"/>
    <w:rsid w:val="00462AA5"/>
    <w:rsid w:val="00464EBA"/>
    <w:rsid w:val="00475ED7"/>
    <w:rsid w:val="004822FF"/>
    <w:rsid w:val="00483C6A"/>
    <w:rsid w:val="00491B5D"/>
    <w:rsid w:val="00491FE4"/>
    <w:rsid w:val="00492708"/>
    <w:rsid w:val="0049613D"/>
    <w:rsid w:val="0049712C"/>
    <w:rsid w:val="004A1D33"/>
    <w:rsid w:val="004A4521"/>
    <w:rsid w:val="004A5F3F"/>
    <w:rsid w:val="004B2E59"/>
    <w:rsid w:val="004B3292"/>
    <w:rsid w:val="004B32D5"/>
    <w:rsid w:val="004B34FD"/>
    <w:rsid w:val="004B478B"/>
    <w:rsid w:val="004B4844"/>
    <w:rsid w:val="004B5C01"/>
    <w:rsid w:val="004B6A46"/>
    <w:rsid w:val="004B7FB5"/>
    <w:rsid w:val="004C0F85"/>
    <w:rsid w:val="004C127E"/>
    <w:rsid w:val="004C5554"/>
    <w:rsid w:val="004C586A"/>
    <w:rsid w:val="004D1BEE"/>
    <w:rsid w:val="004D2008"/>
    <w:rsid w:val="004D7BE3"/>
    <w:rsid w:val="004D7E0F"/>
    <w:rsid w:val="004E038B"/>
    <w:rsid w:val="004E0F1E"/>
    <w:rsid w:val="004E26EC"/>
    <w:rsid w:val="004E7E50"/>
    <w:rsid w:val="004F56AC"/>
    <w:rsid w:val="00500D4F"/>
    <w:rsid w:val="005037F5"/>
    <w:rsid w:val="00504FF2"/>
    <w:rsid w:val="00505D75"/>
    <w:rsid w:val="0050677A"/>
    <w:rsid w:val="00511F58"/>
    <w:rsid w:val="00514E87"/>
    <w:rsid w:val="00520083"/>
    <w:rsid w:val="00522BCA"/>
    <w:rsid w:val="00524515"/>
    <w:rsid w:val="0054657F"/>
    <w:rsid w:val="005519B6"/>
    <w:rsid w:val="00563FF8"/>
    <w:rsid w:val="005662F6"/>
    <w:rsid w:val="00570F17"/>
    <w:rsid w:val="00571110"/>
    <w:rsid w:val="00571DC8"/>
    <w:rsid w:val="00593D57"/>
    <w:rsid w:val="0059417C"/>
    <w:rsid w:val="005A534A"/>
    <w:rsid w:val="005B2F8D"/>
    <w:rsid w:val="005C4CE5"/>
    <w:rsid w:val="005C5832"/>
    <w:rsid w:val="005C61DB"/>
    <w:rsid w:val="005C6799"/>
    <w:rsid w:val="005C7415"/>
    <w:rsid w:val="005C79EC"/>
    <w:rsid w:val="005D4271"/>
    <w:rsid w:val="005D6431"/>
    <w:rsid w:val="005D7CE0"/>
    <w:rsid w:val="005D7D76"/>
    <w:rsid w:val="005E10A3"/>
    <w:rsid w:val="005E441F"/>
    <w:rsid w:val="005E6A90"/>
    <w:rsid w:val="005F1677"/>
    <w:rsid w:val="005F33DF"/>
    <w:rsid w:val="005F3AE1"/>
    <w:rsid w:val="005F70E4"/>
    <w:rsid w:val="005F773F"/>
    <w:rsid w:val="006005BA"/>
    <w:rsid w:val="00605EC0"/>
    <w:rsid w:val="006163F6"/>
    <w:rsid w:val="00620609"/>
    <w:rsid w:val="00621077"/>
    <w:rsid w:val="00621A98"/>
    <w:rsid w:val="006252ED"/>
    <w:rsid w:val="00625FF2"/>
    <w:rsid w:val="00634149"/>
    <w:rsid w:val="006374F7"/>
    <w:rsid w:val="00640CEB"/>
    <w:rsid w:val="00642A64"/>
    <w:rsid w:val="00644342"/>
    <w:rsid w:val="006462AA"/>
    <w:rsid w:val="00651896"/>
    <w:rsid w:val="00651BA4"/>
    <w:rsid w:val="00655675"/>
    <w:rsid w:val="00655798"/>
    <w:rsid w:val="006612AD"/>
    <w:rsid w:val="00662DC6"/>
    <w:rsid w:val="006739A9"/>
    <w:rsid w:val="00673A71"/>
    <w:rsid w:val="0067459F"/>
    <w:rsid w:val="00675AA3"/>
    <w:rsid w:val="0067608A"/>
    <w:rsid w:val="006773D4"/>
    <w:rsid w:val="00683305"/>
    <w:rsid w:val="00687FC7"/>
    <w:rsid w:val="006A1E70"/>
    <w:rsid w:val="006A1FB3"/>
    <w:rsid w:val="006A4BC0"/>
    <w:rsid w:val="006B2A1D"/>
    <w:rsid w:val="006C02EA"/>
    <w:rsid w:val="006C290E"/>
    <w:rsid w:val="006C3D06"/>
    <w:rsid w:val="006C58B0"/>
    <w:rsid w:val="006C623B"/>
    <w:rsid w:val="006D2E79"/>
    <w:rsid w:val="006D5844"/>
    <w:rsid w:val="006D5BA4"/>
    <w:rsid w:val="006D642E"/>
    <w:rsid w:val="006E22CD"/>
    <w:rsid w:val="006E515B"/>
    <w:rsid w:val="006E6B73"/>
    <w:rsid w:val="00703CBE"/>
    <w:rsid w:val="007050AA"/>
    <w:rsid w:val="00705FD3"/>
    <w:rsid w:val="00707B19"/>
    <w:rsid w:val="00710CCE"/>
    <w:rsid w:val="00711F16"/>
    <w:rsid w:val="00711FD2"/>
    <w:rsid w:val="00715B44"/>
    <w:rsid w:val="0072063E"/>
    <w:rsid w:val="00721F6A"/>
    <w:rsid w:val="007230C8"/>
    <w:rsid w:val="00723147"/>
    <w:rsid w:val="00734CDA"/>
    <w:rsid w:val="0074005F"/>
    <w:rsid w:val="007408C5"/>
    <w:rsid w:val="00742710"/>
    <w:rsid w:val="00744B45"/>
    <w:rsid w:val="00745CA5"/>
    <w:rsid w:val="00747345"/>
    <w:rsid w:val="00747479"/>
    <w:rsid w:val="007475F3"/>
    <w:rsid w:val="007652E3"/>
    <w:rsid w:val="007702DB"/>
    <w:rsid w:val="00773DD6"/>
    <w:rsid w:val="007742FC"/>
    <w:rsid w:val="00777CBD"/>
    <w:rsid w:val="00781BFA"/>
    <w:rsid w:val="00784114"/>
    <w:rsid w:val="00784CB7"/>
    <w:rsid w:val="007854D6"/>
    <w:rsid w:val="00797F78"/>
    <w:rsid w:val="007A0FA9"/>
    <w:rsid w:val="007A26A7"/>
    <w:rsid w:val="007A2C08"/>
    <w:rsid w:val="007A522A"/>
    <w:rsid w:val="007A6C09"/>
    <w:rsid w:val="007B12F0"/>
    <w:rsid w:val="007B3CF3"/>
    <w:rsid w:val="007B4205"/>
    <w:rsid w:val="007C2815"/>
    <w:rsid w:val="007C2C6C"/>
    <w:rsid w:val="007C2FC3"/>
    <w:rsid w:val="007C6671"/>
    <w:rsid w:val="007D2872"/>
    <w:rsid w:val="007D6020"/>
    <w:rsid w:val="007E443B"/>
    <w:rsid w:val="007F06C4"/>
    <w:rsid w:val="007F5D82"/>
    <w:rsid w:val="0080481F"/>
    <w:rsid w:val="00807369"/>
    <w:rsid w:val="008114F2"/>
    <w:rsid w:val="00811CC8"/>
    <w:rsid w:val="00814FD9"/>
    <w:rsid w:val="0082618E"/>
    <w:rsid w:val="00827057"/>
    <w:rsid w:val="00827DD9"/>
    <w:rsid w:val="00841562"/>
    <w:rsid w:val="00846602"/>
    <w:rsid w:val="008471A3"/>
    <w:rsid w:val="00852CB7"/>
    <w:rsid w:val="00861715"/>
    <w:rsid w:val="00864247"/>
    <w:rsid w:val="00865186"/>
    <w:rsid w:val="008659B1"/>
    <w:rsid w:val="00873A2F"/>
    <w:rsid w:val="0087425F"/>
    <w:rsid w:val="00874290"/>
    <w:rsid w:val="00874A20"/>
    <w:rsid w:val="00874D33"/>
    <w:rsid w:val="008757BE"/>
    <w:rsid w:val="008827EE"/>
    <w:rsid w:val="00885BE2"/>
    <w:rsid w:val="00887D43"/>
    <w:rsid w:val="0089688B"/>
    <w:rsid w:val="008A0197"/>
    <w:rsid w:val="008A094B"/>
    <w:rsid w:val="008A15EF"/>
    <w:rsid w:val="008A1A4F"/>
    <w:rsid w:val="008A4CA2"/>
    <w:rsid w:val="008A6D31"/>
    <w:rsid w:val="008B1193"/>
    <w:rsid w:val="008B4C4F"/>
    <w:rsid w:val="008B4C7D"/>
    <w:rsid w:val="008B60D0"/>
    <w:rsid w:val="008C0359"/>
    <w:rsid w:val="008C0416"/>
    <w:rsid w:val="008C36A3"/>
    <w:rsid w:val="008D07B1"/>
    <w:rsid w:val="008D4616"/>
    <w:rsid w:val="008D4B2C"/>
    <w:rsid w:val="008D7167"/>
    <w:rsid w:val="008E043F"/>
    <w:rsid w:val="008E0503"/>
    <w:rsid w:val="008E179F"/>
    <w:rsid w:val="008E381A"/>
    <w:rsid w:val="008E7372"/>
    <w:rsid w:val="008E7CF7"/>
    <w:rsid w:val="00900FF3"/>
    <w:rsid w:val="0090344E"/>
    <w:rsid w:val="0091114B"/>
    <w:rsid w:val="0091180C"/>
    <w:rsid w:val="0091194F"/>
    <w:rsid w:val="00913E58"/>
    <w:rsid w:val="0091624C"/>
    <w:rsid w:val="00916335"/>
    <w:rsid w:val="00917982"/>
    <w:rsid w:val="00917AB8"/>
    <w:rsid w:val="0092065A"/>
    <w:rsid w:val="009206EA"/>
    <w:rsid w:val="009235CF"/>
    <w:rsid w:val="009246F4"/>
    <w:rsid w:val="00924B95"/>
    <w:rsid w:val="0092503F"/>
    <w:rsid w:val="00935A5A"/>
    <w:rsid w:val="0094172A"/>
    <w:rsid w:val="009429E9"/>
    <w:rsid w:val="00942E9B"/>
    <w:rsid w:val="00960816"/>
    <w:rsid w:val="0096084B"/>
    <w:rsid w:val="009618F1"/>
    <w:rsid w:val="0096323C"/>
    <w:rsid w:val="00964F0A"/>
    <w:rsid w:val="0098102F"/>
    <w:rsid w:val="00981A67"/>
    <w:rsid w:val="00983FB4"/>
    <w:rsid w:val="00986488"/>
    <w:rsid w:val="00986C95"/>
    <w:rsid w:val="009900DA"/>
    <w:rsid w:val="0099558D"/>
    <w:rsid w:val="009A7BB1"/>
    <w:rsid w:val="009B26D3"/>
    <w:rsid w:val="009B3515"/>
    <w:rsid w:val="009B729B"/>
    <w:rsid w:val="009B75FF"/>
    <w:rsid w:val="009C2719"/>
    <w:rsid w:val="009C5973"/>
    <w:rsid w:val="009C61C0"/>
    <w:rsid w:val="009C670B"/>
    <w:rsid w:val="009C76DF"/>
    <w:rsid w:val="009D0185"/>
    <w:rsid w:val="009D177E"/>
    <w:rsid w:val="009D5C1D"/>
    <w:rsid w:val="009E0F44"/>
    <w:rsid w:val="009E184B"/>
    <w:rsid w:val="009E1C08"/>
    <w:rsid w:val="009E290E"/>
    <w:rsid w:val="009E2F05"/>
    <w:rsid w:val="009F0923"/>
    <w:rsid w:val="009F3961"/>
    <w:rsid w:val="009F498B"/>
    <w:rsid w:val="009F5C7C"/>
    <w:rsid w:val="009F6463"/>
    <w:rsid w:val="00A00BCE"/>
    <w:rsid w:val="00A01A5E"/>
    <w:rsid w:val="00A14C34"/>
    <w:rsid w:val="00A163F2"/>
    <w:rsid w:val="00A17281"/>
    <w:rsid w:val="00A202B0"/>
    <w:rsid w:val="00A214C2"/>
    <w:rsid w:val="00A253B3"/>
    <w:rsid w:val="00A27DF0"/>
    <w:rsid w:val="00A368AD"/>
    <w:rsid w:val="00A379DF"/>
    <w:rsid w:val="00A40F8F"/>
    <w:rsid w:val="00A41FA0"/>
    <w:rsid w:val="00A43D09"/>
    <w:rsid w:val="00A446E1"/>
    <w:rsid w:val="00A44E8B"/>
    <w:rsid w:val="00A46B73"/>
    <w:rsid w:val="00A5061C"/>
    <w:rsid w:val="00A511AB"/>
    <w:rsid w:val="00A526D0"/>
    <w:rsid w:val="00A55BAC"/>
    <w:rsid w:val="00A576C1"/>
    <w:rsid w:val="00A65E11"/>
    <w:rsid w:val="00A66B55"/>
    <w:rsid w:val="00A74DD1"/>
    <w:rsid w:val="00A75551"/>
    <w:rsid w:val="00A80C16"/>
    <w:rsid w:val="00A80EA1"/>
    <w:rsid w:val="00A81615"/>
    <w:rsid w:val="00A82C84"/>
    <w:rsid w:val="00A8588E"/>
    <w:rsid w:val="00A85BFC"/>
    <w:rsid w:val="00A85F55"/>
    <w:rsid w:val="00A87174"/>
    <w:rsid w:val="00A90BFE"/>
    <w:rsid w:val="00A92C4F"/>
    <w:rsid w:val="00A92F04"/>
    <w:rsid w:val="00A9630D"/>
    <w:rsid w:val="00A96E6E"/>
    <w:rsid w:val="00A972C9"/>
    <w:rsid w:val="00AA0849"/>
    <w:rsid w:val="00AA7956"/>
    <w:rsid w:val="00AB5272"/>
    <w:rsid w:val="00AC00F6"/>
    <w:rsid w:val="00AC3696"/>
    <w:rsid w:val="00AC37FA"/>
    <w:rsid w:val="00AD0730"/>
    <w:rsid w:val="00AD2D38"/>
    <w:rsid w:val="00AD2F5D"/>
    <w:rsid w:val="00AD4AE9"/>
    <w:rsid w:val="00AD4C74"/>
    <w:rsid w:val="00AD4CD7"/>
    <w:rsid w:val="00AE130B"/>
    <w:rsid w:val="00AE170A"/>
    <w:rsid w:val="00AE1A47"/>
    <w:rsid w:val="00AE311E"/>
    <w:rsid w:val="00AF1785"/>
    <w:rsid w:val="00AF1E08"/>
    <w:rsid w:val="00AF3DAA"/>
    <w:rsid w:val="00AF3F85"/>
    <w:rsid w:val="00B014EE"/>
    <w:rsid w:val="00B06B0C"/>
    <w:rsid w:val="00B1036D"/>
    <w:rsid w:val="00B131FF"/>
    <w:rsid w:val="00B13604"/>
    <w:rsid w:val="00B20133"/>
    <w:rsid w:val="00B210C0"/>
    <w:rsid w:val="00B21940"/>
    <w:rsid w:val="00B21D85"/>
    <w:rsid w:val="00B22E3F"/>
    <w:rsid w:val="00B257B2"/>
    <w:rsid w:val="00B3091B"/>
    <w:rsid w:val="00B340B7"/>
    <w:rsid w:val="00B37ED4"/>
    <w:rsid w:val="00B42C1A"/>
    <w:rsid w:val="00B43271"/>
    <w:rsid w:val="00B45F60"/>
    <w:rsid w:val="00B479EE"/>
    <w:rsid w:val="00B51817"/>
    <w:rsid w:val="00B5707E"/>
    <w:rsid w:val="00B60BF9"/>
    <w:rsid w:val="00B62836"/>
    <w:rsid w:val="00B64ED1"/>
    <w:rsid w:val="00B72C08"/>
    <w:rsid w:val="00B72ECF"/>
    <w:rsid w:val="00B749DB"/>
    <w:rsid w:val="00B83A15"/>
    <w:rsid w:val="00B84389"/>
    <w:rsid w:val="00B9164B"/>
    <w:rsid w:val="00B91777"/>
    <w:rsid w:val="00B91AA4"/>
    <w:rsid w:val="00B94739"/>
    <w:rsid w:val="00B95178"/>
    <w:rsid w:val="00BA20AD"/>
    <w:rsid w:val="00BA2644"/>
    <w:rsid w:val="00BA7169"/>
    <w:rsid w:val="00BB329C"/>
    <w:rsid w:val="00BB4C10"/>
    <w:rsid w:val="00BB52BD"/>
    <w:rsid w:val="00BB5909"/>
    <w:rsid w:val="00BB6CE1"/>
    <w:rsid w:val="00BC0681"/>
    <w:rsid w:val="00BC533E"/>
    <w:rsid w:val="00BD18DA"/>
    <w:rsid w:val="00BD53E1"/>
    <w:rsid w:val="00BD7F6F"/>
    <w:rsid w:val="00BE199A"/>
    <w:rsid w:val="00BE2179"/>
    <w:rsid w:val="00BE4CD6"/>
    <w:rsid w:val="00BE7479"/>
    <w:rsid w:val="00BF0640"/>
    <w:rsid w:val="00BF5886"/>
    <w:rsid w:val="00BF6C17"/>
    <w:rsid w:val="00BF70CC"/>
    <w:rsid w:val="00C0015B"/>
    <w:rsid w:val="00C00459"/>
    <w:rsid w:val="00C02A8E"/>
    <w:rsid w:val="00C13AF7"/>
    <w:rsid w:val="00C1669B"/>
    <w:rsid w:val="00C17719"/>
    <w:rsid w:val="00C20FF0"/>
    <w:rsid w:val="00C234BE"/>
    <w:rsid w:val="00C23A7B"/>
    <w:rsid w:val="00C23D99"/>
    <w:rsid w:val="00C24D24"/>
    <w:rsid w:val="00C26F8D"/>
    <w:rsid w:val="00C35903"/>
    <w:rsid w:val="00C41E56"/>
    <w:rsid w:val="00C430FC"/>
    <w:rsid w:val="00C44B9C"/>
    <w:rsid w:val="00C472DB"/>
    <w:rsid w:val="00C477C2"/>
    <w:rsid w:val="00C531A5"/>
    <w:rsid w:val="00C53299"/>
    <w:rsid w:val="00C5659D"/>
    <w:rsid w:val="00C62433"/>
    <w:rsid w:val="00C630C5"/>
    <w:rsid w:val="00C63330"/>
    <w:rsid w:val="00C67919"/>
    <w:rsid w:val="00C70B03"/>
    <w:rsid w:val="00C739F6"/>
    <w:rsid w:val="00C74251"/>
    <w:rsid w:val="00C7512A"/>
    <w:rsid w:val="00C757C7"/>
    <w:rsid w:val="00C81E2E"/>
    <w:rsid w:val="00C82C2E"/>
    <w:rsid w:val="00C8311A"/>
    <w:rsid w:val="00C83C3B"/>
    <w:rsid w:val="00C83EC5"/>
    <w:rsid w:val="00C8633D"/>
    <w:rsid w:val="00C8796E"/>
    <w:rsid w:val="00C925CA"/>
    <w:rsid w:val="00C93E47"/>
    <w:rsid w:val="00C96D91"/>
    <w:rsid w:val="00C97127"/>
    <w:rsid w:val="00CA2CC6"/>
    <w:rsid w:val="00CA350D"/>
    <w:rsid w:val="00CB0969"/>
    <w:rsid w:val="00CB16CA"/>
    <w:rsid w:val="00CB1E1A"/>
    <w:rsid w:val="00CB3E28"/>
    <w:rsid w:val="00CB459D"/>
    <w:rsid w:val="00CB59EB"/>
    <w:rsid w:val="00CB5C6B"/>
    <w:rsid w:val="00CC1CEF"/>
    <w:rsid w:val="00CC7ABE"/>
    <w:rsid w:val="00CD4F28"/>
    <w:rsid w:val="00CD540A"/>
    <w:rsid w:val="00CE11EE"/>
    <w:rsid w:val="00CE39EB"/>
    <w:rsid w:val="00CE3FF6"/>
    <w:rsid w:val="00CE57A9"/>
    <w:rsid w:val="00CE6967"/>
    <w:rsid w:val="00CF292A"/>
    <w:rsid w:val="00CF41AC"/>
    <w:rsid w:val="00CF48A2"/>
    <w:rsid w:val="00CF50A6"/>
    <w:rsid w:val="00D0160A"/>
    <w:rsid w:val="00D03E7B"/>
    <w:rsid w:val="00D077A5"/>
    <w:rsid w:val="00D13D42"/>
    <w:rsid w:val="00D16DE8"/>
    <w:rsid w:val="00D17619"/>
    <w:rsid w:val="00D27BEC"/>
    <w:rsid w:val="00D30516"/>
    <w:rsid w:val="00D31021"/>
    <w:rsid w:val="00D33FC7"/>
    <w:rsid w:val="00D35AAE"/>
    <w:rsid w:val="00D407D0"/>
    <w:rsid w:val="00D40908"/>
    <w:rsid w:val="00D40E76"/>
    <w:rsid w:val="00D41DA1"/>
    <w:rsid w:val="00D4376E"/>
    <w:rsid w:val="00D4576D"/>
    <w:rsid w:val="00D47354"/>
    <w:rsid w:val="00D55B6D"/>
    <w:rsid w:val="00D579A0"/>
    <w:rsid w:val="00D57BE4"/>
    <w:rsid w:val="00D609BC"/>
    <w:rsid w:val="00D6174B"/>
    <w:rsid w:val="00D62200"/>
    <w:rsid w:val="00D65D6B"/>
    <w:rsid w:val="00D72BA3"/>
    <w:rsid w:val="00D739C9"/>
    <w:rsid w:val="00D7646C"/>
    <w:rsid w:val="00D76D7A"/>
    <w:rsid w:val="00D80452"/>
    <w:rsid w:val="00D83CD8"/>
    <w:rsid w:val="00D85455"/>
    <w:rsid w:val="00D86001"/>
    <w:rsid w:val="00D87F0C"/>
    <w:rsid w:val="00D958C6"/>
    <w:rsid w:val="00DA0E36"/>
    <w:rsid w:val="00DA3E5F"/>
    <w:rsid w:val="00DB277C"/>
    <w:rsid w:val="00DB43A0"/>
    <w:rsid w:val="00DB464D"/>
    <w:rsid w:val="00DB5EE4"/>
    <w:rsid w:val="00DB68FE"/>
    <w:rsid w:val="00DB6B2F"/>
    <w:rsid w:val="00DC0988"/>
    <w:rsid w:val="00DC0C42"/>
    <w:rsid w:val="00DC1D11"/>
    <w:rsid w:val="00DC5D6B"/>
    <w:rsid w:val="00DD0EDA"/>
    <w:rsid w:val="00DD2CA5"/>
    <w:rsid w:val="00DD47DA"/>
    <w:rsid w:val="00DD6796"/>
    <w:rsid w:val="00DE6C65"/>
    <w:rsid w:val="00DE7979"/>
    <w:rsid w:val="00DF0066"/>
    <w:rsid w:val="00E0712E"/>
    <w:rsid w:val="00E0786E"/>
    <w:rsid w:val="00E07F90"/>
    <w:rsid w:val="00E11F0A"/>
    <w:rsid w:val="00E1409C"/>
    <w:rsid w:val="00E1521B"/>
    <w:rsid w:val="00E152C7"/>
    <w:rsid w:val="00E15A7C"/>
    <w:rsid w:val="00E24DC9"/>
    <w:rsid w:val="00E31669"/>
    <w:rsid w:val="00E326B6"/>
    <w:rsid w:val="00E33F84"/>
    <w:rsid w:val="00E35FEA"/>
    <w:rsid w:val="00E36028"/>
    <w:rsid w:val="00E36AE7"/>
    <w:rsid w:val="00E36DDE"/>
    <w:rsid w:val="00E4050A"/>
    <w:rsid w:val="00E41846"/>
    <w:rsid w:val="00E430F2"/>
    <w:rsid w:val="00E43C9C"/>
    <w:rsid w:val="00E44A8A"/>
    <w:rsid w:val="00E460B9"/>
    <w:rsid w:val="00E53655"/>
    <w:rsid w:val="00E5504D"/>
    <w:rsid w:val="00E6465C"/>
    <w:rsid w:val="00E70592"/>
    <w:rsid w:val="00E713EB"/>
    <w:rsid w:val="00E80679"/>
    <w:rsid w:val="00E83ADA"/>
    <w:rsid w:val="00E87BBE"/>
    <w:rsid w:val="00E9003D"/>
    <w:rsid w:val="00E902E5"/>
    <w:rsid w:val="00E949DE"/>
    <w:rsid w:val="00EA3F16"/>
    <w:rsid w:val="00EB1EBF"/>
    <w:rsid w:val="00EC324E"/>
    <w:rsid w:val="00EC4C30"/>
    <w:rsid w:val="00EC533E"/>
    <w:rsid w:val="00EC5D79"/>
    <w:rsid w:val="00EC6115"/>
    <w:rsid w:val="00EC7CC9"/>
    <w:rsid w:val="00ED0CB8"/>
    <w:rsid w:val="00ED42E2"/>
    <w:rsid w:val="00ED4EE6"/>
    <w:rsid w:val="00ED503F"/>
    <w:rsid w:val="00EE0900"/>
    <w:rsid w:val="00EE2E74"/>
    <w:rsid w:val="00EE31A4"/>
    <w:rsid w:val="00EE39B0"/>
    <w:rsid w:val="00EF2D36"/>
    <w:rsid w:val="00EF42E4"/>
    <w:rsid w:val="00EF7863"/>
    <w:rsid w:val="00F02870"/>
    <w:rsid w:val="00F10548"/>
    <w:rsid w:val="00F11478"/>
    <w:rsid w:val="00F12DCC"/>
    <w:rsid w:val="00F1673E"/>
    <w:rsid w:val="00F1748E"/>
    <w:rsid w:val="00F22EA3"/>
    <w:rsid w:val="00F25C72"/>
    <w:rsid w:val="00F25CFD"/>
    <w:rsid w:val="00F27F6F"/>
    <w:rsid w:val="00F3072A"/>
    <w:rsid w:val="00F316C3"/>
    <w:rsid w:val="00F32313"/>
    <w:rsid w:val="00F32E73"/>
    <w:rsid w:val="00F35A47"/>
    <w:rsid w:val="00F40355"/>
    <w:rsid w:val="00F4084A"/>
    <w:rsid w:val="00F45E8E"/>
    <w:rsid w:val="00F468FE"/>
    <w:rsid w:val="00F46A65"/>
    <w:rsid w:val="00F50399"/>
    <w:rsid w:val="00F52B9B"/>
    <w:rsid w:val="00F53984"/>
    <w:rsid w:val="00F5590D"/>
    <w:rsid w:val="00F56033"/>
    <w:rsid w:val="00F57657"/>
    <w:rsid w:val="00F578EC"/>
    <w:rsid w:val="00F61792"/>
    <w:rsid w:val="00F65915"/>
    <w:rsid w:val="00F65EE9"/>
    <w:rsid w:val="00F67B8B"/>
    <w:rsid w:val="00F702D6"/>
    <w:rsid w:val="00F74CFE"/>
    <w:rsid w:val="00F7668C"/>
    <w:rsid w:val="00F8094E"/>
    <w:rsid w:val="00F83B3A"/>
    <w:rsid w:val="00F84995"/>
    <w:rsid w:val="00F90D79"/>
    <w:rsid w:val="00F94CD9"/>
    <w:rsid w:val="00F94CFE"/>
    <w:rsid w:val="00FA0F00"/>
    <w:rsid w:val="00FB655A"/>
    <w:rsid w:val="00FC17B7"/>
    <w:rsid w:val="00FC1946"/>
    <w:rsid w:val="00FC22FA"/>
    <w:rsid w:val="00FC27BE"/>
    <w:rsid w:val="00FD02E4"/>
    <w:rsid w:val="00FD0BC5"/>
    <w:rsid w:val="00FD1D47"/>
    <w:rsid w:val="00FD6920"/>
    <w:rsid w:val="00FE028C"/>
    <w:rsid w:val="00FE3FEE"/>
    <w:rsid w:val="00FF0159"/>
    <w:rsid w:val="00FF0A3B"/>
    <w:rsid w:val="00FF4638"/>
    <w:rsid w:val="00FF5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CCC9763"/>
  <w14:defaultImageDpi w14:val="96"/>
  <w15:docId w15:val="{D23967DC-2E33-4FA4-8E5D-20979ED43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pacing w:after="0" w:line="240" w:lineRule="auto"/>
      <w:jc w:val="both"/>
    </w:pPr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outlineLvl w:val="2"/>
    </w:pPr>
    <w:rPr>
      <w:b/>
      <w:bCs/>
      <w:color w:val="FF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en-US"/>
    </w:rPr>
  </w:style>
  <w:style w:type="character" w:customStyle="1" w:styleId="Heading2Char">
    <w:name w:val="Heading 2 Char"/>
    <w:basedOn w:val="DefaultParagraphFont"/>
    <w:link w:val="Heading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en-US"/>
    </w:rPr>
  </w:style>
  <w:style w:type="paragraph" w:styleId="BodyText">
    <w:name w:val="Body Text"/>
    <w:basedOn w:val="Normal"/>
    <w:link w:val="BodyTextChar"/>
    <w:uiPriority w:val="99"/>
    <w:pPr>
      <w:widowControl/>
      <w:jc w:val="left"/>
    </w:pPr>
    <w:rPr>
      <w:b/>
      <w:bCs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val="x-none" w:eastAsia="en-US"/>
    </w:rPr>
  </w:style>
  <w:style w:type="paragraph" w:styleId="BalloonText">
    <w:name w:val="Balloon Text"/>
    <w:basedOn w:val="Normal"/>
    <w:link w:val="BalloonTextChar"/>
    <w:uiPriority w:val="99"/>
    <w:semiHidden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  <w:lang w:val="x-none" w:eastAsia="en-US"/>
    </w:rPr>
  </w:style>
  <w:style w:type="paragraph" w:styleId="BodyText2">
    <w:name w:val="Body Text 2"/>
    <w:basedOn w:val="Normal"/>
    <w:link w:val="BodyText2Char"/>
    <w:uiPriority w:val="99"/>
    <w:pPr>
      <w:widowControl/>
      <w:overflowPunct w:val="0"/>
      <w:autoSpaceDE w:val="0"/>
      <w:autoSpaceDN w:val="0"/>
      <w:adjustRightInd w:val="0"/>
      <w:textAlignment w:val="baseline"/>
    </w:pPr>
    <w:rPr>
      <w:color w:val="FF0000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cs="Times New Roman"/>
      <w:sz w:val="24"/>
      <w:szCs w:val="24"/>
      <w:lang w:val="x-none" w:eastAsia="en-US"/>
    </w:rPr>
  </w:style>
  <w:style w:type="paragraph" w:styleId="BodyText3">
    <w:name w:val="Body Text 3"/>
    <w:basedOn w:val="Normal"/>
    <w:link w:val="BodyText3Char"/>
    <w:uiPriority w:val="99"/>
    <w:pPr>
      <w:widowControl/>
      <w:overflowPunct w:val="0"/>
      <w:autoSpaceDE w:val="0"/>
      <w:autoSpaceDN w:val="0"/>
      <w:adjustRightInd w:val="0"/>
      <w:textAlignment w:val="baseline"/>
    </w:p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rFonts w:cs="Times New Roman"/>
      <w:sz w:val="16"/>
      <w:szCs w:val="16"/>
      <w:lang w:val="x-none" w:eastAsia="en-US"/>
    </w:rPr>
  </w:style>
  <w:style w:type="paragraph" w:styleId="Footer">
    <w:name w:val="footer"/>
    <w:basedOn w:val="Normal"/>
    <w:link w:val="FooterChar"/>
    <w:uiPriority w:val="9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x-none" w:eastAsia="en-US"/>
    </w:rPr>
  </w:style>
  <w:style w:type="character" w:styleId="PageNumber">
    <w:name w:val="page number"/>
    <w:basedOn w:val="DefaultParagraphFont"/>
    <w:uiPriority w:val="99"/>
    <w:rPr>
      <w:rFonts w:ascii="Times New Roman" w:hAnsi="Times New Roman" w:cs="Times New Roman"/>
    </w:rPr>
  </w:style>
  <w:style w:type="paragraph" w:styleId="FootnoteText">
    <w:name w:val="footnote text"/>
    <w:basedOn w:val="Normal"/>
    <w:link w:val="FootnoteTextChar"/>
    <w:uiPriority w:val="99"/>
    <w:rsid w:val="0091180C"/>
    <w:pPr>
      <w:widowControl/>
      <w:jc w:val="left"/>
    </w:pPr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Pr>
      <w:rFonts w:cs="Times New Roman"/>
      <w:sz w:val="20"/>
      <w:szCs w:val="20"/>
      <w:lang w:val="x-none" w:eastAsia="en-US"/>
    </w:rPr>
  </w:style>
  <w:style w:type="paragraph" w:customStyle="1" w:styleId="Default">
    <w:name w:val="Default"/>
    <w:rsid w:val="0072063E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83305"/>
    <w:pPr>
      <w:widowControl/>
      <w:spacing w:after="120"/>
      <w:ind w:left="283"/>
      <w:jc w:val="left"/>
    </w:pPr>
    <w:rPr>
      <w:lang w:val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rFonts w:cs="Times New Roman"/>
      <w:sz w:val="24"/>
      <w:szCs w:val="24"/>
      <w:lang w:val="x-none" w:eastAsia="en-US"/>
    </w:rPr>
  </w:style>
  <w:style w:type="table" w:styleId="TableGrid">
    <w:name w:val="Table Grid"/>
    <w:basedOn w:val="TableNormal"/>
    <w:uiPriority w:val="59"/>
    <w:rsid w:val="00A368AD"/>
    <w:pPr>
      <w:widowControl w:val="0"/>
      <w:spacing w:after="0" w:line="240" w:lineRule="auto"/>
      <w:jc w:val="both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laceholderText1">
    <w:name w:val="Placeholder Text1"/>
    <w:basedOn w:val="DefaultParagraphFont"/>
    <w:semiHidden/>
    <w:rsid w:val="00E11F0A"/>
    <w:rPr>
      <w:rFonts w:cs="Times New Roman"/>
      <w:color w:val="808080"/>
    </w:rPr>
  </w:style>
  <w:style w:type="paragraph" w:styleId="NormalWeb">
    <w:name w:val="Normal (Web)"/>
    <w:basedOn w:val="Normal"/>
    <w:uiPriority w:val="99"/>
    <w:rsid w:val="00A44E8B"/>
    <w:pPr>
      <w:widowControl/>
      <w:spacing w:before="100" w:beforeAutospacing="1" w:after="100" w:afterAutospacing="1"/>
      <w:jc w:val="left"/>
    </w:pPr>
    <w:rPr>
      <w:lang w:eastAsia="sk-SK"/>
    </w:rPr>
  </w:style>
  <w:style w:type="character" w:styleId="Hyperlink">
    <w:name w:val="Hyperlink"/>
    <w:basedOn w:val="DefaultParagraphFont"/>
    <w:uiPriority w:val="99"/>
    <w:unhideWhenUsed/>
    <w:rsid w:val="00C96D91"/>
    <w:rPr>
      <w:color w:val="0000FF" w:themeColor="hyperlink"/>
      <w:u w:val="single"/>
    </w:rPr>
  </w:style>
  <w:style w:type="paragraph" w:customStyle="1" w:styleId="BasicParagraph">
    <w:name w:val="[Basic Paragraph]"/>
    <w:basedOn w:val="Normal"/>
    <w:uiPriority w:val="99"/>
    <w:rsid w:val="00620609"/>
    <w:pPr>
      <w:widowControl/>
      <w:autoSpaceDE w:val="0"/>
      <w:autoSpaceDN w:val="0"/>
      <w:adjustRightInd w:val="0"/>
      <w:spacing w:line="288" w:lineRule="auto"/>
      <w:jc w:val="left"/>
      <w:textAlignment w:val="center"/>
    </w:pPr>
    <w:rPr>
      <w:rFonts w:ascii="Minion Pro" w:eastAsia="Calibri" w:hAnsi="Minion Pro" w:cs="Minion Pro"/>
      <w:color w:val="000000"/>
      <w:lang w:val="en-US"/>
    </w:rPr>
  </w:style>
  <w:style w:type="table" w:customStyle="1" w:styleId="Mriekatabuky1">
    <w:name w:val="Mriežka tabuľky1"/>
    <w:basedOn w:val="TableNormal"/>
    <w:next w:val="TableGrid"/>
    <w:uiPriority w:val="59"/>
    <w:rsid w:val="00FF5E33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lelevel4">
    <w:name w:val="Title level 4"/>
    <w:next w:val="Normal"/>
    <w:qFormat/>
    <w:rsid w:val="00A163F2"/>
    <w:pPr>
      <w:spacing w:before="240" w:after="240" w:line="240" w:lineRule="auto"/>
    </w:pPr>
    <w:rPr>
      <w:rFonts w:asciiTheme="minorHAnsi" w:eastAsiaTheme="minorEastAsia" w:hAnsiTheme="minorHAnsi" w:cstheme="minorBidi"/>
      <w:color w:val="EEECE1" w:themeColor="background2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A163F2"/>
    <w:pPr>
      <w:widowControl/>
      <w:spacing w:after="120" w:line="276" w:lineRule="auto"/>
      <w:ind w:left="720"/>
      <w:contextualSpacing/>
      <w:jc w:val="left"/>
    </w:pPr>
    <w:rPr>
      <w:rFonts w:ascii="Cambria" w:eastAsiaTheme="minorHAnsi" w:hAnsi="Cambria" w:cstheme="minorBidi"/>
      <w:sz w:val="22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C24D2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24D2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24D24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24D2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24D24"/>
    <w:rPr>
      <w:b/>
      <w:bCs/>
      <w:sz w:val="20"/>
      <w:szCs w:val="20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5C6799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326B6"/>
    <w:pPr>
      <w:spacing w:after="0" w:line="240" w:lineRule="auto"/>
    </w:pPr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 (DMS)" ma:contentTypeID="0x010100F5CEA94C78EB42B7A3BD7D634CEE81BF008269D4AC4752234280C291A15150F7BC" ma:contentTypeVersion="" ma:contentTypeDescription="" ma:contentTypeScope="" ma:versionID="085a00ad825df777437edb6eec8e7f16">
  <xsd:schema xmlns:xsd="http://www.w3.org/2001/XMLSchema" xmlns:xs="http://www.w3.org/2001/XMLSchema" xmlns:p="http://schemas.microsoft.com/office/2006/metadata/properties" xmlns:ns1="http://schemas.microsoft.com/sharepoint/v3" xmlns:ns3="A3AFB97D-24AE-4980-B6D7-F85BF3DBE447" targetNamespace="http://schemas.microsoft.com/office/2006/metadata/properties" ma:root="true" ma:fieldsID="9ae387adfbfab607cf1398070bdfc8b7" ns1:_="" ns3:_="">
    <xsd:import namespace="http://schemas.microsoft.com/sharepoint/v3"/>
    <xsd:import namespace="A3AFB97D-24AE-4980-B6D7-F85BF3DBE447"/>
    <xsd:element name="properties">
      <xsd:complexType>
        <xsd:sequence>
          <xsd:element name="documentManagement">
            <xsd:complexType>
              <xsd:all>
                <xsd:element ref="ns1:TemplateUrl" minOccurs="0"/>
                <xsd:element ref="ns1:xd_ProgID" minOccurs="0"/>
                <xsd:element ref="ns1:xd_Signature" minOccurs="0"/>
                <xsd:element ref="ns3: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TemplateUrl" ma:index="1" nillable="true" ma:displayName="Prepojenie šablóny" ma:hidden="true" ma:internalName="TemplateUrl">
      <xsd:simpleType>
        <xsd:restriction base="dms:Text"/>
      </xsd:simpleType>
    </xsd:element>
    <xsd:element name="xd_ProgID" ma:index="2" nillable="true" ma:displayName="Prepojenie na súbor HTML" ma:hidden="true" ma:internalName="xd_ProgID">
      <xsd:simpleType>
        <xsd:restriction base="dms:Text"/>
      </xsd:simpleType>
    </xsd:element>
    <xsd:element name="xd_Signature" ma:index="3" nillable="true" ma:displayName="Je podpísané" ma:description="" ma:hidden="true" ma:indexed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AFB97D-24AE-4980-B6D7-F85BF3DBE447" elementFormDefault="qualified">
    <xsd:import namespace="http://schemas.microsoft.com/office/2006/documentManagement/types"/>
    <xsd:import namespace="http://schemas.microsoft.com/office/infopath/2007/PartnerControls"/>
    <xsd:element name="Metadata" ma:index="7" nillable="true" ma:displayName="Metadata" ma:internalName="Metadata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Nadpis"/>
        <xsd:element ref="dc:subject" minOccurs="0" maxOccurs="1" ma:index="6" ma:displayName="Predme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Metadata xmlns="A3AFB97D-24AE-4980-B6D7-F85BF3DBE447" xsi:nil="true"/>
    <xd_ProgID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610124CF-C918-46BA-81A3-562819D560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4702228-8385-4D50-A785-436213560F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3AFB97D-24AE-4980-B6D7-F85BF3DBE4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DF7FE09-30A1-4288-B314-43A47620B40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A3AFB97D-24AE-4980-B6D7-F85BF3DBE44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583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4</vt:lpstr>
    </vt:vector>
  </TitlesOfParts>
  <Company>nbs</Company>
  <LinksUpToDate>false</LinksUpToDate>
  <CharactersWithSpaces>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</dc:title>
  <dc:creator>Miloš Vacula</dc:creator>
  <cp:lastModifiedBy>Mačuga Martin</cp:lastModifiedBy>
  <cp:revision>5</cp:revision>
  <cp:lastPrinted>2022-12-28T14:31:00Z</cp:lastPrinted>
  <dcterms:created xsi:type="dcterms:W3CDTF">2026-06-26T08:03:00Z</dcterms:created>
  <dcterms:modified xsi:type="dcterms:W3CDTF">2026-07-01T08:55:00Z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0x010100F5CEA94C78EB42B7A3BD7D634CEE81BF008269D4AC4752234280C291A15150F7BC</vt:lpwstr>
  </property>
</Properties>
</file>