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2CBE4" w14:textId="77777777" w:rsidR="000B607E" w:rsidRPr="00667F6A" w:rsidRDefault="006A6BBA" w:rsidP="006A6BB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67F6A">
        <w:rPr>
          <w:rFonts w:ascii="Times New Roman" w:hAnsi="Times New Roman" w:cs="Times New Roman"/>
          <w:b/>
          <w:bCs/>
          <w:sz w:val="22"/>
          <w:szCs w:val="22"/>
        </w:rPr>
        <w:t>TABUĽKA ZHODY</w:t>
      </w:r>
    </w:p>
    <w:p w14:paraId="263A2371" w14:textId="20EB54D9" w:rsidR="006A6BBA" w:rsidRPr="00667F6A" w:rsidRDefault="006A6BBA" w:rsidP="006A6BB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67F6A">
        <w:rPr>
          <w:rFonts w:ascii="Times New Roman" w:hAnsi="Times New Roman" w:cs="Times New Roman"/>
          <w:b/>
          <w:bCs/>
          <w:sz w:val="22"/>
          <w:szCs w:val="22"/>
        </w:rPr>
        <w:t>právneho predpisu s právom Európskej únie</w:t>
      </w:r>
    </w:p>
    <w:p w14:paraId="51E8E49D" w14:textId="77777777" w:rsidR="006A6BBA" w:rsidRDefault="006A6BBA" w:rsidP="006A6BBA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824"/>
        <w:gridCol w:w="2509"/>
        <w:gridCol w:w="1086"/>
        <w:gridCol w:w="954"/>
        <w:gridCol w:w="1487"/>
        <w:gridCol w:w="2435"/>
        <w:gridCol w:w="676"/>
        <w:gridCol w:w="2178"/>
        <w:gridCol w:w="1126"/>
        <w:gridCol w:w="2113"/>
      </w:tblGrid>
      <w:tr w:rsidR="00974BDD" w14:paraId="352438DF" w14:textId="77777777" w:rsidTr="00A6728C">
        <w:tc>
          <w:tcPr>
            <w:tcW w:w="4248" w:type="dxa"/>
            <w:gridSpan w:val="3"/>
          </w:tcPr>
          <w:p w14:paraId="09F34DB2" w14:textId="3E5DA609" w:rsidR="00974BDD" w:rsidRPr="00667F6A" w:rsidRDefault="00974BDD" w:rsidP="00667F6A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F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Smernica</w:t>
            </w:r>
            <w:r w:rsidR="00667F6A" w:rsidRPr="00667F6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667F6A" w:rsidRPr="00667F6A">
              <w:rPr>
                <w:rFonts w:ascii="Times New Roman" w:hAnsi="Times New Roman" w:cs="Times New Roman"/>
                <w:b/>
                <w:sz w:val="20"/>
                <w:szCs w:val="20"/>
              </w:rPr>
              <w:t>Európskeho parlamentu a Rady 2012/18/EÚ zo 4. júla 2012 o kontrole nebezpečenstiev závažných havárií s prítomnosťou nebezpečných látok a o zmene a následnom zrušení smernice Rady 96/82/ES</w:t>
            </w:r>
          </w:p>
        </w:tc>
        <w:tc>
          <w:tcPr>
            <w:tcW w:w="11140" w:type="dxa"/>
            <w:gridSpan w:val="7"/>
          </w:tcPr>
          <w:p w14:paraId="55C9146D" w14:textId="77777777" w:rsidR="00A6728C" w:rsidRPr="00CE193A" w:rsidRDefault="00A6728C" w:rsidP="00A6728C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Právne predpisy Slovenskej republiky</w:t>
            </w:r>
          </w:p>
          <w:p w14:paraId="1E21704B" w14:textId="77777777" w:rsidR="00A6728C" w:rsidRPr="00CE193A" w:rsidRDefault="00A6728C" w:rsidP="00A6728C">
            <w:pPr>
              <w:pStyle w:val="Nadpis1"/>
              <w:spacing w:before="0" w:after="0"/>
              <w:jc w:val="both"/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  <w:r w:rsidRPr="00CE193A">
              <w:rPr>
                <w:rFonts w:ascii="Times New Roman" w:eastAsiaTheme="minorHAnsi" w:hAnsi="Times New Roman" w:cs="Times New Roman"/>
                <w:b/>
                <w:bCs/>
                <w:color w:val="auto"/>
                <w:sz w:val="20"/>
                <w:szCs w:val="20"/>
              </w:rPr>
              <w:t>. Návrh zákona, ktorým sa mení a dopĺňa zákon Národnej rady Slovenskej republiky č. 42/1994 Z. z. o civilnej ochrane obyvateľstva v znení neskorších predpisov a ktorým sa menia a dopĺňajú niektoré zákony</w:t>
            </w:r>
          </w:p>
          <w:p w14:paraId="55F86414" w14:textId="31889B58" w:rsidR="00974BDD" w:rsidRPr="00667F6A" w:rsidRDefault="00A6728C" w:rsidP="00A6728C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</w:t>
            </w:r>
            <w:r w:rsidRPr="00CE193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ákon Národnej rady Slovenskej republiky č. 42/1994 Z. z. o civilnej ochrane obyvateľstva v znení neskorších predpisov</w:t>
            </w:r>
            <w:r w:rsidRPr="00CE193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v znení neskorších predpisov</w:t>
            </w:r>
          </w:p>
        </w:tc>
      </w:tr>
      <w:tr w:rsidR="00974BDD" w14:paraId="2CE4C811" w14:textId="77777777" w:rsidTr="00A6728C">
        <w:tc>
          <w:tcPr>
            <w:tcW w:w="846" w:type="dxa"/>
          </w:tcPr>
          <w:p w14:paraId="49A6822D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</w:tcPr>
          <w:p w14:paraId="13DCD6E9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</w:tcPr>
          <w:p w14:paraId="1A2D64F7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5A8713AC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0B0A9351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694" w:type="dxa"/>
          </w:tcPr>
          <w:p w14:paraId="2FC23822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</w:tcPr>
          <w:p w14:paraId="48F0428C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409" w:type="dxa"/>
          </w:tcPr>
          <w:p w14:paraId="4435D8AA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9" w:type="dxa"/>
          </w:tcPr>
          <w:p w14:paraId="60C5C97F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210" w:type="dxa"/>
          </w:tcPr>
          <w:p w14:paraId="1ED001E1" w14:textId="77777777" w:rsidR="00974BDD" w:rsidRPr="00A6728C" w:rsidRDefault="00974BDD" w:rsidP="000B607E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A6728C" w14:paraId="5A52A9C9" w14:textId="77777777" w:rsidTr="00A6728C">
        <w:trPr>
          <w:trHeight w:val="532"/>
        </w:trPr>
        <w:tc>
          <w:tcPr>
            <w:tcW w:w="846" w:type="dxa"/>
          </w:tcPr>
          <w:p w14:paraId="5B668994" w14:textId="7F17ABEB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Článok (Č, O, V, P)</w:t>
            </w:r>
          </w:p>
        </w:tc>
        <w:tc>
          <w:tcPr>
            <w:tcW w:w="2835" w:type="dxa"/>
          </w:tcPr>
          <w:p w14:paraId="07B8CCD5" w14:textId="4A2B65C9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Text</w:t>
            </w:r>
          </w:p>
        </w:tc>
        <w:tc>
          <w:tcPr>
            <w:tcW w:w="567" w:type="dxa"/>
          </w:tcPr>
          <w:p w14:paraId="5796C797" w14:textId="7DEC9CF8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Spôsob transpozície</w:t>
            </w:r>
          </w:p>
        </w:tc>
        <w:tc>
          <w:tcPr>
            <w:tcW w:w="992" w:type="dxa"/>
          </w:tcPr>
          <w:p w14:paraId="4E73DF3F" w14:textId="794EC4D6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Číslo</w:t>
            </w:r>
          </w:p>
        </w:tc>
        <w:tc>
          <w:tcPr>
            <w:tcW w:w="1559" w:type="dxa"/>
          </w:tcPr>
          <w:p w14:paraId="4E48433C" w14:textId="5DE23190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Článok (Č, §, O, V, P)</w:t>
            </w:r>
          </w:p>
        </w:tc>
        <w:tc>
          <w:tcPr>
            <w:tcW w:w="2694" w:type="dxa"/>
          </w:tcPr>
          <w:p w14:paraId="45483C59" w14:textId="499449D6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Text</w:t>
            </w:r>
          </w:p>
        </w:tc>
        <w:tc>
          <w:tcPr>
            <w:tcW w:w="567" w:type="dxa"/>
          </w:tcPr>
          <w:p w14:paraId="7F3FFD37" w14:textId="58E17F7E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Zhoda</w:t>
            </w:r>
          </w:p>
        </w:tc>
        <w:tc>
          <w:tcPr>
            <w:tcW w:w="2409" w:type="dxa"/>
          </w:tcPr>
          <w:p w14:paraId="54E233D8" w14:textId="5DE4DC10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Poznámky</w:t>
            </w:r>
          </w:p>
        </w:tc>
        <w:tc>
          <w:tcPr>
            <w:tcW w:w="709" w:type="dxa"/>
          </w:tcPr>
          <w:p w14:paraId="04EBD1E5" w14:textId="2FDB431B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Identifikácia </w:t>
            </w:r>
            <w:proofErr w:type="spellStart"/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goldplatingu</w:t>
            </w:r>
            <w:proofErr w:type="spellEnd"/>
          </w:p>
        </w:tc>
        <w:tc>
          <w:tcPr>
            <w:tcW w:w="2210" w:type="dxa"/>
          </w:tcPr>
          <w:p w14:paraId="65DFEB4C" w14:textId="09AA2EDD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Identifikácia oblasti </w:t>
            </w:r>
            <w:proofErr w:type="spellStart"/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goldplatingu</w:t>
            </w:r>
            <w:proofErr w:type="spellEnd"/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 a vyjadrenie k opodstatnenosti </w:t>
            </w:r>
            <w:proofErr w:type="spellStart"/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goldplatingu</w:t>
            </w:r>
            <w:proofErr w:type="spellEnd"/>
          </w:p>
        </w:tc>
      </w:tr>
      <w:tr w:rsidR="00412358" w14:paraId="49560227" w14:textId="77777777" w:rsidTr="00873315">
        <w:trPr>
          <w:trHeight w:val="2672"/>
        </w:trPr>
        <w:tc>
          <w:tcPr>
            <w:tcW w:w="846" w:type="dxa"/>
          </w:tcPr>
          <w:p w14:paraId="67F64DA2" w14:textId="6273194E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</w:t>
            </w:r>
            <w:r w:rsidR="00A6728C" w:rsidRPr="00A67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 12</w:t>
            </w:r>
          </w:p>
          <w:p w14:paraId="05CC7C46" w14:textId="796F1AE0" w:rsidR="00412358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O:</w:t>
            </w:r>
            <w:r w:rsidR="00412358"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 8</w:t>
            </w:r>
          </w:p>
        </w:tc>
        <w:tc>
          <w:tcPr>
            <w:tcW w:w="2835" w:type="dxa"/>
          </w:tcPr>
          <w:p w14:paraId="10C835DE" w14:textId="7FFAE959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Príslušný orgán môže na základe informácií uvedených v bezpečnostnej správe rozhodnúť, a to s uvedením dôvodov svojho rozhodnutia, že sa neuplatní požiadavka na vypracovanie vonkajšieho havarijného plánu podľa odseku 1.</w:t>
            </w:r>
          </w:p>
        </w:tc>
        <w:tc>
          <w:tcPr>
            <w:tcW w:w="567" w:type="dxa"/>
          </w:tcPr>
          <w:p w14:paraId="6BC72E1B" w14:textId="6EEF57C1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D</w:t>
            </w:r>
          </w:p>
        </w:tc>
        <w:tc>
          <w:tcPr>
            <w:tcW w:w="992" w:type="dxa"/>
          </w:tcPr>
          <w:p w14:paraId="5340C54F" w14:textId="69429795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Zákon č. 42/1994 Z. z. v znení návrhu zákona</w:t>
            </w:r>
          </w:p>
        </w:tc>
        <w:tc>
          <w:tcPr>
            <w:tcW w:w="1559" w:type="dxa"/>
          </w:tcPr>
          <w:p w14:paraId="624AFAEC" w14:textId="3152BE4B" w:rsidR="00A6728C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§ 13</w:t>
            </w:r>
          </w:p>
          <w:p w14:paraId="1CC2D27F" w14:textId="77777777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O: 1</w:t>
            </w:r>
          </w:p>
          <w:p w14:paraId="3A42D784" w14:textId="4E5B06D5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P: a</w:t>
            </w:r>
          </w:p>
          <w:p w14:paraId="46432B4A" w14:textId="7885A61E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časť pred bodkočiarkou</w:t>
            </w:r>
          </w:p>
        </w:tc>
        <w:tc>
          <w:tcPr>
            <w:tcW w:w="2694" w:type="dxa"/>
          </w:tcPr>
          <w:p w14:paraId="19E090A0" w14:textId="7858B6AF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Okresný úrad v sídle kraja vypracúva analýzy územia kraja z hľadiska možných mimoriadnych udalostí a v záveroch uvádza, pre ktorý podnik sa nevypracúva dokumentácia protichemických opatrení s uvedením dôvodu.</w:t>
            </w:r>
          </w:p>
        </w:tc>
        <w:tc>
          <w:tcPr>
            <w:tcW w:w="567" w:type="dxa"/>
          </w:tcPr>
          <w:p w14:paraId="5718FC53" w14:textId="0F0254C5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Ú</w:t>
            </w:r>
          </w:p>
        </w:tc>
        <w:tc>
          <w:tcPr>
            <w:tcW w:w="2409" w:type="dxa"/>
          </w:tcPr>
          <w:p w14:paraId="7494F0D0" w14:textId="6BF5122E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Návrh zachováva vecný obsah doterajšej transpozície a mení príslušný orgán. Priamy odkaz na smernicu sa do poznámky pod čiarou nevkladá; vzťah ustanovenia k smernici sa preukazuje touto čiastočnou tabuľkou zhody.</w:t>
            </w:r>
          </w:p>
        </w:tc>
        <w:tc>
          <w:tcPr>
            <w:tcW w:w="709" w:type="dxa"/>
          </w:tcPr>
          <w:p w14:paraId="10E754A6" w14:textId="04B79B9B" w:rsidR="00412358" w:rsidRPr="00A6728C" w:rsidRDefault="00412358" w:rsidP="00665CF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GP-N</w:t>
            </w:r>
          </w:p>
        </w:tc>
        <w:tc>
          <w:tcPr>
            <w:tcW w:w="2210" w:type="dxa"/>
          </w:tcPr>
          <w:p w14:paraId="15A72C2A" w14:textId="304EBB9A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Návrh nezavádza požiadavku nad rámec smernice.</w:t>
            </w:r>
          </w:p>
        </w:tc>
      </w:tr>
      <w:tr w:rsidR="00412358" w14:paraId="73E74402" w14:textId="77777777" w:rsidTr="00A6728C">
        <w:tc>
          <w:tcPr>
            <w:tcW w:w="846" w:type="dxa"/>
          </w:tcPr>
          <w:p w14:paraId="7CF5A5DF" w14:textId="55B4E80A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</w:t>
            </w:r>
            <w:r w:rsidR="00A6728C" w:rsidRPr="00A6728C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 14</w:t>
            </w:r>
          </w:p>
          <w:p w14:paraId="0691A83B" w14:textId="487D3813" w:rsidR="00412358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O: </w:t>
            </w:r>
            <w:r w:rsidR="00412358"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 4</w:t>
            </w:r>
          </w:p>
        </w:tc>
        <w:tc>
          <w:tcPr>
            <w:tcW w:w="2835" w:type="dxa"/>
          </w:tcPr>
          <w:p w14:paraId="1CEFA651" w14:textId="728BEFD4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Keď príslušný členský štát rozhodne, že podnik v blízkosti územia iného členského štátu nemôže hroziť vznikom závažnej havárie za jeho hranicou na účely článku 12 ods. 8, a preto sa od neho nevyžaduje, aby vypracoval vonkajší havarijný plán podľa článku 12 ods. 1, informuje o svojom zdôvodnenom rozhodnutí iný členský štát.</w:t>
            </w:r>
          </w:p>
        </w:tc>
        <w:tc>
          <w:tcPr>
            <w:tcW w:w="567" w:type="dxa"/>
          </w:tcPr>
          <w:p w14:paraId="30CC44D2" w14:textId="7D7C7CF1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N</w:t>
            </w:r>
          </w:p>
        </w:tc>
        <w:tc>
          <w:tcPr>
            <w:tcW w:w="992" w:type="dxa"/>
          </w:tcPr>
          <w:p w14:paraId="27790C80" w14:textId="2BD21D2B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Zákon č. 42/1994 Z. z. v znení návrhu zákona</w:t>
            </w:r>
          </w:p>
        </w:tc>
        <w:tc>
          <w:tcPr>
            <w:tcW w:w="1559" w:type="dxa"/>
          </w:tcPr>
          <w:p w14:paraId="5190C79F" w14:textId="142EA95C" w:rsidR="00A6728C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§ 13</w:t>
            </w:r>
          </w:p>
          <w:p w14:paraId="18C2054F" w14:textId="77777777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O: 1</w:t>
            </w:r>
          </w:p>
          <w:p w14:paraId="03E3AC23" w14:textId="5D23F9A6" w:rsidR="00A6728C" w:rsidRPr="00A6728C" w:rsidRDefault="00A6728C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P: a</w:t>
            </w:r>
          </w:p>
          <w:p w14:paraId="69E146AA" w14:textId="504F7B01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časť za bodkočiarkou</w:t>
            </w:r>
          </w:p>
        </w:tc>
        <w:tc>
          <w:tcPr>
            <w:tcW w:w="2694" w:type="dxa"/>
          </w:tcPr>
          <w:p w14:paraId="0260E27F" w14:textId="1C2B9C33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Ak ide o podnik, na ktorý sa vzťahuje osobitný predpis o prevencii závažných priemyselných havárií a ktorý sa nachádza v blízkosti územia iného štátu, okresný úrad v sídle kraja informuje o svojom zdôvodnenom rozhodnutí o povinnosti nevypracovať dokumentáciu protichemických opatrení aj príslušný štát, ak oblasť ohrozenia zasahuje územie dotknutého štátu.</w:t>
            </w:r>
          </w:p>
        </w:tc>
        <w:tc>
          <w:tcPr>
            <w:tcW w:w="567" w:type="dxa"/>
          </w:tcPr>
          <w:p w14:paraId="59DDC37B" w14:textId="5014068D" w:rsidR="00412358" w:rsidRPr="00A6728C" w:rsidRDefault="00412358" w:rsidP="00A6728C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Ú</w:t>
            </w:r>
          </w:p>
        </w:tc>
        <w:tc>
          <w:tcPr>
            <w:tcW w:w="2409" w:type="dxa"/>
          </w:tcPr>
          <w:p w14:paraId="2BA11902" w14:textId="2B4C27A4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Návrh zachováva doterajšiu oznamovaciu povinnosť a mení iba príslušný orgán. Použitie pojmu „iný štát“ zachováva doterajší širší územný rozsah informačnej povinnosti a zohľadňuje záväzky Slovenskej republiky podľa Dohovoru o cezhraničných účinkoch priemyselných havárií, vyhláseného oznámením Ministerstva zahraničných vecí Slovenskej republiky č. 506/2003 Z. z.</w:t>
            </w:r>
          </w:p>
        </w:tc>
        <w:tc>
          <w:tcPr>
            <w:tcW w:w="709" w:type="dxa"/>
          </w:tcPr>
          <w:p w14:paraId="5E492B9B" w14:textId="23997EF2" w:rsidR="00412358" w:rsidRPr="00A6728C" w:rsidRDefault="00412358" w:rsidP="00665CFA">
            <w:pPr>
              <w:spacing w:line="276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GP-N</w:t>
            </w:r>
          </w:p>
        </w:tc>
        <w:tc>
          <w:tcPr>
            <w:tcW w:w="2210" w:type="dxa"/>
          </w:tcPr>
          <w:p w14:paraId="381AB6E5" w14:textId="52A7BE83" w:rsidR="00412358" w:rsidRPr="00A6728C" w:rsidRDefault="00412358" w:rsidP="00A6728C">
            <w:pPr>
              <w:spacing w:line="276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Použitie pojmu „iný štát“ nepredstavuje neopodstatnené rozšírenie transpozície smernice. Zachováva existujúcu vnútroštátnu úpravu a súčasne zohľadňuje samostatné medzinárodnoprávne záväzky Slovenskej republiky voči zmluvným stranám Dohovoru; </w:t>
            </w:r>
            <w:proofErr w:type="spellStart"/>
            <w:r w:rsidRPr="00A6728C">
              <w:rPr>
                <w:rFonts w:ascii="Times New Roman" w:hAnsi="Times New Roman" w:cs="Times New Roman"/>
                <w:sz w:val="18"/>
                <w:szCs w:val="18"/>
              </w:rPr>
              <w:t>goldplating</w:t>
            </w:r>
            <w:proofErr w:type="spellEnd"/>
            <w:r w:rsidRPr="00A6728C">
              <w:rPr>
                <w:rFonts w:ascii="Times New Roman" w:hAnsi="Times New Roman" w:cs="Times New Roman"/>
                <w:sz w:val="18"/>
                <w:szCs w:val="18"/>
              </w:rPr>
              <w:t xml:space="preserve"> sa neidentifikuje.</w:t>
            </w:r>
          </w:p>
        </w:tc>
      </w:tr>
    </w:tbl>
    <w:p w14:paraId="04FB9A71" w14:textId="77777777" w:rsidR="00DA61BD" w:rsidRDefault="00DA61BD" w:rsidP="006A6BBA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sectPr w:rsidR="00DA61BD" w:rsidSect="00D12D4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8A54C0"/>
    <w:multiLevelType w:val="hybridMultilevel"/>
    <w:tmpl w:val="332A41DA"/>
    <w:lvl w:ilvl="0" w:tplc="F53238C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4964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BBA"/>
    <w:rsid w:val="000B607E"/>
    <w:rsid w:val="00161D71"/>
    <w:rsid w:val="0027353B"/>
    <w:rsid w:val="002942B4"/>
    <w:rsid w:val="002B53A6"/>
    <w:rsid w:val="002E71D0"/>
    <w:rsid w:val="00311890"/>
    <w:rsid w:val="003A4F66"/>
    <w:rsid w:val="003E4186"/>
    <w:rsid w:val="00412358"/>
    <w:rsid w:val="00470ED3"/>
    <w:rsid w:val="005D1C0E"/>
    <w:rsid w:val="00620DB6"/>
    <w:rsid w:val="00627D5B"/>
    <w:rsid w:val="00640A02"/>
    <w:rsid w:val="00665CFA"/>
    <w:rsid w:val="00667F6A"/>
    <w:rsid w:val="006A6BBA"/>
    <w:rsid w:val="006E52A4"/>
    <w:rsid w:val="007061CC"/>
    <w:rsid w:val="00710BBA"/>
    <w:rsid w:val="0077454B"/>
    <w:rsid w:val="007918FF"/>
    <w:rsid w:val="00797B17"/>
    <w:rsid w:val="007A67F6"/>
    <w:rsid w:val="007C0978"/>
    <w:rsid w:val="00822C16"/>
    <w:rsid w:val="00873315"/>
    <w:rsid w:val="008D0AC0"/>
    <w:rsid w:val="008F369E"/>
    <w:rsid w:val="0096776E"/>
    <w:rsid w:val="00974BDD"/>
    <w:rsid w:val="009A15F9"/>
    <w:rsid w:val="009A2E21"/>
    <w:rsid w:val="00A6728C"/>
    <w:rsid w:val="00B32EDB"/>
    <w:rsid w:val="00C03DA7"/>
    <w:rsid w:val="00C20041"/>
    <w:rsid w:val="00D12D4C"/>
    <w:rsid w:val="00D32020"/>
    <w:rsid w:val="00D417F2"/>
    <w:rsid w:val="00DA61BD"/>
    <w:rsid w:val="00E75973"/>
    <w:rsid w:val="00EF45B1"/>
    <w:rsid w:val="00EF6518"/>
    <w:rsid w:val="00F63F64"/>
    <w:rsid w:val="00FD4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D14D9"/>
  <w15:chartTrackingRefBased/>
  <w15:docId w15:val="{110227D7-334C-4A23-AF11-401AEC0C8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6A6B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A6B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A6B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A6B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A6B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A6B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A6B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A6B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A6B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A6B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A6B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A6B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A6BB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A6BB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A6BB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A6BB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A6BB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A6BBA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A6B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A6B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A6B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A6B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A6B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A6BBA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A6BBA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A6BBA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A6B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A6BBA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A6BBA"/>
    <w:rPr>
      <w:b/>
      <w:bCs/>
      <w:smallCaps/>
      <w:color w:val="0F4761" w:themeColor="accent1" w:themeShade="BF"/>
      <w:spacing w:val="5"/>
    </w:rPr>
  </w:style>
  <w:style w:type="table" w:styleId="Mriekatabuky">
    <w:name w:val="Table Grid"/>
    <w:basedOn w:val="Normlnatabuka"/>
    <w:uiPriority w:val="39"/>
    <w:rsid w:val="006A6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25a61c73-d7b8-40f5-af68-029b27d4ee74}" enabled="0" method="" siteId="{25a61c73-d7b8-40f5-af68-029b27d4ee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Mário Banič</dc:creator>
  <cp:keywords/>
  <dc:description/>
  <cp:lastModifiedBy>Slavomír Petrulák</cp:lastModifiedBy>
  <cp:revision>2</cp:revision>
  <dcterms:created xsi:type="dcterms:W3CDTF">2026-08-26T08:00:00Z</dcterms:created>
  <dcterms:modified xsi:type="dcterms:W3CDTF">2026-08-26T08:00:00Z</dcterms:modified>
</cp:coreProperties>
</file>