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D8E80" w14:textId="77777777" w:rsidR="00735090" w:rsidRPr="00735090" w:rsidRDefault="00735090" w:rsidP="00735090">
      <w:pPr>
        <w:jc w:val="both"/>
        <w:rPr>
          <w:rFonts w:ascii="Times New Roman" w:hAnsi="Times New Roman" w:cs="Times New Roman"/>
          <w:b/>
          <w:bCs/>
          <w:sz w:val="24"/>
          <w:szCs w:val="24"/>
        </w:rPr>
      </w:pPr>
      <w:r w:rsidRPr="00735090">
        <w:rPr>
          <w:rFonts w:ascii="Times New Roman" w:hAnsi="Times New Roman" w:cs="Times New Roman"/>
          <w:b/>
          <w:bCs/>
          <w:sz w:val="24"/>
          <w:szCs w:val="24"/>
        </w:rPr>
        <w:t>DÔVODOVÁ SPRÁVA</w:t>
      </w:r>
    </w:p>
    <w:p w14:paraId="10CC1E7B" w14:textId="77777777" w:rsidR="000B1F7F" w:rsidRDefault="000B1F7F" w:rsidP="000B1F7F">
      <w:pPr>
        <w:jc w:val="both"/>
        <w:rPr>
          <w:rFonts w:ascii="Times New Roman" w:hAnsi="Times New Roman" w:cs="Times New Roman"/>
          <w:b/>
          <w:bCs/>
          <w:sz w:val="24"/>
          <w:szCs w:val="24"/>
        </w:rPr>
      </w:pPr>
      <w:r w:rsidRPr="00735090">
        <w:rPr>
          <w:rFonts w:ascii="Times New Roman" w:hAnsi="Times New Roman" w:cs="Times New Roman"/>
          <w:b/>
          <w:bCs/>
          <w:sz w:val="24"/>
          <w:szCs w:val="24"/>
        </w:rPr>
        <w:t>A. Všeobecná časť</w:t>
      </w:r>
    </w:p>
    <w:p w14:paraId="01BA01A5" w14:textId="77777777" w:rsidR="000B1F7F" w:rsidRPr="00F517B3" w:rsidRDefault="000B1F7F" w:rsidP="000B1F7F">
      <w:pPr>
        <w:jc w:val="both"/>
        <w:rPr>
          <w:rFonts w:ascii="Times New Roman" w:hAnsi="Times New Roman" w:cs="Times New Roman"/>
          <w:sz w:val="24"/>
          <w:szCs w:val="24"/>
        </w:rPr>
      </w:pPr>
      <w:r>
        <w:rPr>
          <w:rFonts w:ascii="Times New Roman" w:hAnsi="Times New Roman" w:cs="Times New Roman"/>
          <w:sz w:val="24"/>
          <w:szCs w:val="24"/>
        </w:rPr>
        <w:t>Ministerstvo zdravotníctva Slovenskej republiky (ďalej len „</w:t>
      </w:r>
      <w:r w:rsidRPr="00BC2DDD">
        <w:rPr>
          <w:rFonts w:ascii="Times New Roman" w:hAnsi="Times New Roman" w:cs="Times New Roman"/>
          <w:b/>
          <w:bCs/>
          <w:i/>
          <w:iCs/>
          <w:sz w:val="24"/>
          <w:szCs w:val="24"/>
        </w:rPr>
        <w:t>ministerstvo</w:t>
      </w:r>
      <w:r>
        <w:rPr>
          <w:rFonts w:ascii="Times New Roman" w:hAnsi="Times New Roman" w:cs="Times New Roman"/>
          <w:sz w:val="24"/>
          <w:szCs w:val="24"/>
        </w:rPr>
        <w:t>“) predkladá návrh vyhlášky Ministerstva zdravotníctva Slovenskej republiky, ktorou sa ustanovujú podrobnosti o povoľovaní terapeutického použitia hromadne vyrábaných humánnych liekov, ktoré nepodliehajú registrácii (ďalej len „</w:t>
      </w:r>
      <w:r w:rsidRPr="00BC2DDD">
        <w:rPr>
          <w:rFonts w:ascii="Times New Roman" w:hAnsi="Times New Roman" w:cs="Times New Roman"/>
          <w:b/>
          <w:bCs/>
          <w:i/>
          <w:iCs/>
          <w:sz w:val="24"/>
          <w:szCs w:val="24"/>
        </w:rPr>
        <w:t>návrh vyhlášky</w:t>
      </w:r>
      <w:r>
        <w:rPr>
          <w:rFonts w:ascii="Times New Roman" w:hAnsi="Times New Roman" w:cs="Times New Roman"/>
          <w:sz w:val="24"/>
          <w:szCs w:val="24"/>
        </w:rPr>
        <w:t>“).</w:t>
      </w:r>
    </w:p>
    <w:p w14:paraId="57DDD82F" w14:textId="77777777" w:rsidR="000B1F7F" w:rsidRPr="00F517B3" w:rsidRDefault="000B1F7F" w:rsidP="000B1F7F">
      <w:pPr>
        <w:jc w:val="both"/>
        <w:rPr>
          <w:rFonts w:ascii="Times New Roman" w:hAnsi="Times New Roman" w:cs="Times New Roman"/>
          <w:sz w:val="24"/>
          <w:szCs w:val="24"/>
        </w:rPr>
      </w:pPr>
      <w:r>
        <w:rPr>
          <w:rFonts w:ascii="Times New Roman" w:hAnsi="Times New Roman" w:cs="Times New Roman"/>
          <w:sz w:val="24"/>
          <w:szCs w:val="24"/>
        </w:rPr>
        <w:t>Návrh vyhlášky sa predkladá v nadväznosti na novelizáciu zákona č. 362/2011 Z. z. o liekoch a zdravotníckych pomôckach a o zmene a doplnení niektorých zákonov (ďalej len „</w:t>
      </w:r>
      <w:r w:rsidRPr="00BC2DDD">
        <w:rPr>
          <w:rFonts w:ascii="Times New Roman" w:hAnsi="Times New Roman" w:cs="Times New Roman"/>
          <w:b/>
          <w:bCs/>
          <w:i/>
          <w:iCs/>
          <w:sz w:val="24"/>
          <w:szCs w:val="24"/>
        </w:rPr>
        <w:t>zákon č. 362/2011 Z. z</w:t>
      </w:r>
      <w:r>
        <w:rPr>
          <w:rFonts w:ascii="Times New Roman" w:hAnsi="Times New Roman" w:cs="Times New Roman"/>
          <w:sz w:val="24"/>
          <w:szCs w:val="24"/>
        </w:rPr>
        <w:t>.“) a na splnomocňovacie ustanovenie § 141 ods. 1 písm. p) zákona č. 362/2011 Z. z. Jeho účelom je zabezpečiť vykonanie zákonnej úpravy povoľovania terapeutického použitia humánnych liekov, ktoré nepodliehajú registrácii, a vytvoriť zodpovedajúci vykonávací rámec pre rozhodovaciu činnosť ministerstva.</w:t>
      </w:r>
    </w:p>
    <w:p w14:paraId="74BB6CC7" w14:textId="77777777" w:rsidR="000B1F7F" w:rsidRPr="00F517B3" w:rsidRDefault="000B1F7F" w:rsidP="000B1F7F">
      <w:pPr>
        <w:jc w:val="both"/>
        <w:rPr>
          <w:rFonts w:ascii="Times New Roman" w:hAnsi="Times New Roman" w:cs="Times New Roman"/>
          <w:sz w:val="24"/>
          <w:szCs w:val="24"/>
        </w:rPr>
      </w:pPr>
      <w:r w:rsidRPr="00F517B3">
        <w:rPr>
          <w:rFonts w:ascii="Times New Roman" w:hAnsi="Times New Roman" w:cs="Times New Roman"/>
          <w:sz w:val="24"/>
          <w:szCs w:val="24"/>
        </w:rPr>
        <w:t>Súčasná vykonávacia právna úprava je obsiahnutá vo vyhláške Ministerstva zdravotníctva Slovenskej republiky č. 507/2005 Z. z., ktorou sa upravujú podrobnosti o povoľovaní terapeutického použitia hromadne vyrábaných liekov, ktoré nepodliehajú registrácii, a podrobnosti o ich úhrade na základe verejného zdravotného poistenia (ďalej len „</w:t>
      </w:r>
      <w:r w:rsidRPr="006C3D2A">
        <w:rPr>
          <w:rFonts w:ascii="Times New Roman" w:hAnsi="Times New Roman" w:cs="Times New Roman"/>
          <w:b/>
          <w:bCs/>
          <w:i/>
          <w:iCs/>
          <w:sz w:val="24"/>
          <w:szCs w:val="24"/>
        </w:rPr>
        <w:t xml:space="preserve">vyhláška č. 507/2005 Z. z.“). </w:t>
      </w:r>
      <w:r w:rsidRPr="00F517B3">
        <w:rPr>
          <w:rFonts w:ascii="Times New Roman" w:hAnsi="Times New Roman" w:cs="Times New Roman"/>
          <w:sz w:val="24"/>
          <w:szCs w:val="24"/>
        </w:rPr>
        <w:t>Vyhláška č. 507/2005 Z. z. bola prijatá v podmienkach predchádzajúceho právneho rámca a vzhľadom na následný vývoj právnej úpravy v oblasti humánnych liekov, zmeny procesného a organizačného prostredia, ako aj skúsenosti z aplikačnej praxe už nezodpovedá v potrebnom rozsahu súčasným požiadavkám na povoľovanie použitia neregistrovaných humánnych liekov.</w:t>
      </w:r>
    </w:p>
    <w:p w14:paraId="55491251" w14:textId="4E54C2F3" w:rsidR="000B1F7F" w:rsidRPr="00F517B3" w:rsidRDefault="00F1707F" w:rsidP="000B1F7F">
      <w:pPr>
        <w:jc w:val="both"/>
        <w:rPr>
          <w:rFonts w:ascii="Times New Roman" w:hAnsi="Times New Roman" w:cs="Times New Roman"/>
          <w:sz w:val="24"/>
          <w:szCs w:val="24"/>
        </w:rPr>
      </w:pPr>
      <w:r w:rsidRPr="00F517B3">
        <w:rPr>
          <w:rFonts w:ascii="Times New Roman" w:hAnsi="Times New Roman" w:cs="Times New Roman"/>
          <w:sz w:val="24"/>
          <w:szCs w:val="24"/>
        </w:rPr>
        <w:t>P</w:t>
      </w:r>
      <w:r w:rsidR="000B1F7F" w:rsidRPr="00F517B3">
        <w:rPr>
          <w:rFonts w:ascii="Times New Roman" w:hAnsi="Times New Roman" w:cs="Times New Roman"/>
          <w:sz w:val="24"/>
          <w:szCs w:val="24"/>
        </w:rPr>
        <w:t>rijati</w:t>
      </w:r>
      <w:r>
        <w:rPr>
          <w:rFonts w:ascii="Times New Roman" w:hAnsi="Times New Roman" w:cs="Times New Roman"/>
          <w:sz w:val="24"/>
          <w:szCs w:val="24"/>
        </w:rPr>
        <w:t xml:space="preserve">e </w:t>
      </w:r>
      <w:r w:rsidR="000B1F7F" w:rsidRPr="00F517B3">
        <w:rPr>
          <w:rFonts w:ascii="Times New Roman" w:hAnsi="Times New Roman" w:cs="Times New Roman"/>
          <w:sz w:val="24"/>
          <w:szCs w:val="24"/>
        </w:rPr>
        <w:t>nového vykonávacieho právneho predpisu umožňuje vytvoriť systematicky ucelenú a prehľadnú právnu úpravu zodpovedajúcu novelizovanému zákonu č. 362/2011 Z. z., aktuálnemu rozsahu zákonného splnomocnenia a súčasnej aplikačnej praxi ministerstva.</w:t>
      </w:r>
    </w:p>
    <w:p w14:paraId="6F50895C" w14:textId="77777777" w:rsidR="000B1F7F" w:rsidRPr="00F517B3" w:rsidRDefault="000B1F7F" w:rsidP="000B1F7F">
      <w:pPr>
        <w:jc w:val="both"/>
        <w:rPr>
          <w:rFonts w:ascii="Times New Roman" w:hAnsi="Times New Roman" w:cs="Times New Roman"/>
          <w:sz w:val="24"/>
          <w:szCs w:val="24"/>
        </w:rPr>
      </w:pPr>
      <w:r>
        <w:rPr>
          <w:rFonts w:ascii="Times New Roman" w:hAnsi="Times New Roman" w:cs="Times New Roman"/>
          <w:sz w:val="24"/>
          <w:szCs w:val="24"/>
        </w:rPr>
        <w:t>Základným cieľom návrhu vyhlášky je zabezpečiť, aby rozsah údajov a podkladov predkladaných v rámci povoľovania terapeutického použitia neregistrovaného humánneho lieku bol primeraný účelu povoľovacieho procesu a poskytoval ministerstvu dostatočný odborný podklad na posúdenie opodstatnenosti požadovaného použitia lieku. Návrh vyhlášky zároveň sleduje racionalizáciu administratívnych požiadaviek a odstránenie tých náležitostí a procesných prvkov doterajšej právnej úpravy, ktoré vzhľadom na súčasný právny rámec alebo aplikačnú prax stratili svoje opodstatnenie.</w:t>
      </w:r>
    </w:p>
    <w:p w14:paraId="7FB289C0" w14:textId="77777777" w:rsidR="000B1F7F" w:rsidRPr="00F517B3" w:rsidRDefault="000B1F7F" w:rsidP="000B1F7F">
      <w:pPr>
        <w:jc w:val="both"/>
        <w:rPr>
          <w:rFonts w:ascii="Times New Roman" w:hAnsi="Times New Roman" w:cs="Times New Roman"/>
          <w:sz w:val="24"/>
          <w:szCs w:val="24"/>
        </w:rPr>
      </w:pPr>
      <w:r>
        <w:rPr>
          <w:rFonts w:ascii="Times New Roman" w:hAnsi="Times New Roman" w:cs="Times New Roman"/>
          <w:sz w:val="24"/>
          <w:szCs w:val="24"/>
        </w:rPr>
        <w:t>Koncepcia návrhu vychádza z potreby zachovať primeranú rovnováhu medzi zabezpečením dostupnosti terapeutických možností pre pacientov, pri ktorých nemožno použiť dostupné registrované humánne lieky alebo štandardné terapeutické postupy, a požiadavkou na riadne odborné posúdenie použitia humánneho lieku mimo štandardného registračného režimu. Súčasne sa zabezpečuje jednotný vykonávací rámec pre terapeutické použitie v nadväznosti na novelizáciu zákona č. 362/2011 Z. z.</w:t>
      </w:r>
    </w:p>
    <w:p w14:paraId="7F5B8A59" w14:textId="77777777" w:rsidR="000B1F7F" w:rsidRDefault="000B1F7F" w:rsidP="000B1F7F">
      <w:pPr>
        <w:jc w:val="both"/>
        <w:rPr>
          <w:rFonts w:ascii="Times New Roman" w:hAnsi="Times New Roman" w:cs="Times New Roman"/>
          <w:sz w:val="24"/>
          <w:szCs w:val="24"/>
        </w:rPr>
      </w:pPr>
      <w:r>
        <w:rPr>
          <w:rFonts w:ascii="Times New Roman" w:hAnsi="Times New Roman" w:cs="Times New Roman"/>
          <w:sz w:val="24"/>
          <w:szCs w:val="24"/>
        </w:rPr>
        <w:t>Návrh vyhlášky vychádza z doterajšej aplikačnej praxe ministerstva a zachováva odborné požiadavky, ktoré sú relevantné pre posúdenie odôvodnenosti terapeutického použitia neregistrovaného humánneho lieku. Súčasne sa právna úprava racionalizuje tak, aby administratívne požiadavky kladené na poskytovateľov zdravotnej starostlivosti boli primerané, jednoznačné a bezprostredne súviseli s účelom povoľovacieho procesu.</w:t>
      </w:r>
    </w:p>
    <w:p w14:paraId="48CC23BD" w14:textId="69100EFC" w:rsidR="00BC2DDD" w:rsidRPr="00F517B3" w:rsidRDefault="00BC2DDD" w:rsidP="000B1F7F">
      <w:pPr>
        <w:jc w:val="both"/>
        <w:rPr>
          <w:rFonts w:ascii="Times New Roman" w:hAnsi="Times New Roman" w:cs="Times New Roman"/>
          <w:sz w:val="24"/>
          <w:szCs w:val="24"/>
        </w:rPr>
      </w:pPr>
      <w:r>
        <w:rPr>
          <w:rFonts w:ascii="Times New Roman" w:hAnsi="Times New Roman" w:cs="Times New Roman"/>
          <w:sz w:val="24"/>
          <w:szCs w:val="24"/>
        </w:rPr>
        <w:lastRenderedPageBreak/>
        <w:t>V rámci povoľovacieho procesu dochádza k spracúvaniu osobných údajov pacientov vrátane údajov týkajúcich sa zdravia, ako aj kontaktných údajov ošetrujúcich lekárov. Rozsah požadovaných osobných údajov je obmedzený na údaje nevyhnutné na jednoznačnú identifikáciu pacienta, odborné posúdenie žiadosti a zabezpečenie efektívnej komunikácie v povoľovacom konaní, v súlade so zásadami obmedzenia účelu a minimalizácie údajov podľa čl. 5 ods. 1 písm. b) a c) nariadenia Európskeho parlamentu a Rady (EÚ) 2016/679. Pri individuálnom povolení sa ponecháva rodné číslo pacienta, keďže rozhodnutie sa viaže na konkrétneho pacienta a je potrebné zabezpečiť jeho jednoznačnú identifikáciu aj pri zhodnosti mena a priezviska a pri nadväzujúcich alebo opakovaných žiadostiach. Adresa trvalého pobytu sa na tento účel nevyžaduje, keďže nepredstavuje nevyhnutný ďalší identifikačný údaj.</w:t>
      </w:r>
    </w:p>
    <w:p w14:paraId="75D7856B" w14:textId="62575577" w:rsidR="000B1F7F" w:rsidRDefault="000B1F7F" w:rsidP="000B1F7F">
      <w:pPr>
        <w:jc w:val="both"/>
        <w:rPr>
          <w:rFonts w:ascii="Times New Roman" w:hAnsi="Times New Roman" w:cs="Times New Roman"/>
          <w:sz w:val="24"/>
          <w:szCs w:val="24"/>
        </w:rPr>
      </w:pPr>
      <w:r>
        <w:rPr>
          <w:rFonts w:ascii="Times New Roman" w:hAnsi="Times New Roman" w:cs="Times New Roman"/>
          <w:sz w:val="24"/>
          <w:szCs w:val="24"/>
        </w:rPr>
        <w:t>Návrh vyhlášky rozlišuje individuálne povolenie pre jedného pacienta a skupinové povolenie pre skupinu pacientov. Individuálne povolenie možno vydať najviac na 12 mesiacov. Skupinové povolenie možno vydať najviac na šesť mesiacov</w:t>
      </w:r>
      <w:r w:rsidR="00BC2DDD">
        <w:rPr>
          <w:rFonts w:ascii="Times New Roman" w:hAnsi="Times New Roman" w:cs="Times New Roman"/>
          <w:sz w:val="24"/>
          <w:szCs w:val="24"/>
        </w:rPr>
        <w:t>,</w:t>
      </w:r>
      <w:r>
        <w:rPr>
          <w:rFonts w:ascii="Times New Roman" w:hAnsi="Times New Roman" w:cs="Times New Roman"/>
          <w:sz w:val="24"/>
          <w:szCs w:val="24"/>
        </w:rPr>
        <w:t xml:space="preserve"> pri antidotách najviac na 12 mesiacov.</w:t>
      </w:r>
    </w:p>
    <w:p w14:paraId="68265B45" w14:textId="77777777" w:rsidR="000B1F7F" w:rsidRPr="00F517B3" w:rsidRDefault="000B1F7F" w:rsidP="000B1F7F">
      <w:pPr>
        <w:jc w:val="both"/>
        <w:rPr>
          <w:rFonts w:ascii="Times New Roman" w:hAnsi="Times New Roman" w:cs="Times New Roman"/>
          <w:sz w:val="24"/>
          <w:szCs w:val="24"/>
        </w:rPr>
      </w:pPr>
      <w:r>
        <w:rPr>
          <w:rFonts w:ascii="Times New Roman" w:hAnsi="Times New Roman" w:cs="Times New Roman"/>
          <w:sz w:val="24"/>
          <w:szCs w:val="24"/>
        </w:rPr>
        <w:t>Oproti vyhláške č. 507/2005 Z. z. sa do návrhu vyhlášky nepreberá právna úprava obsiahnutá v § 4 až 7 vyhlášky č. 507/2005 Z. z., ktorá upravuje postup súvisiaci s úhradou povoleného lieku z verejného zdravotného poistenia, postup zdravotnej poisťovne, spôsob zabezpečenia a výdaja povoleného lieku, spôsob jeho úhrady a vyhodnocovanie úhrad. Uvedená právna úprava sa vypúšťa v nadväznosti na novelizáciu zákona č. 363/2011 Z. z. o rozsahu a podmienkach úhrady liekov, zdravotníckych pomôcok a dietetických potravín na základe verejného zdravotného poistenia a o zmene a doplnení niektorých zákonov (ďalej len „zákon č. 363/2011 Z. z.“), v ktorom je proces úhrady neregistrovaných humánnych liekov z verejného zdravotného poistenia upravený priamo na zákonnej úrovni. Predmet návrhu vyhlášky sa preto sústreďuje výlučne na podrobnosti povoľovania terapeutického použitia neregistrovaných humánnych liekov. Tým sa zároveň odstraňuje duplicita právnej úpravy a zabezpečuje sa jednoznačné systémové oddelenie povoľovania použitia neregistrovaného humánneho lieku podľa zákona č. 362/2011 Z. z. od rozhodovania o jeho úhrade z verejného zdravotného poistenia podľa zákona č. 363/2011 Z. z.</w:t>
      </w:r>
    </w:p>
    <w:p w14:paraId="22885A95" w14:textId="77777777" w:rsidR="000B1F7F" w:rsidRDefault="000B1F7F" w:rsidP="000B1F7F">
      <w:pPr>
        <w:jc w:val="both"/>
        <w:rPr>
          <w:rFonts w:ascii="Times New Roman" w:hAnsi="Times New Roman" w:cs="Times New Roman"/>
          <w:sz w:val="24"/>
          <w:szCs w:val="24"/>
        </w:rPr>
      </w:pPr>
      <w:r>
        <w:rPr>
          <w:rFonts w:ascii="Times New Roman" w:hAnsi="Times New Roman" w:cs="Times New Roman"/>
          <w:sz w:val="24"/>
          <w:szCs w:val="24"/>
        </w:rPr>
        <w:t>Prijatím návrhu vyhlášky sa vytvorí právne jednoznačný, systematicky ucelený, odborne primeraný a administratívne efektívny vykonávací rámec pre povoľovanie terapeutického použitia neregistrovaných humánnych liekov, ktorý bude zodpovedať novelizovanému zákonu č. 362/2011 Z. z. a súčasnej aplikačnej praxi ministerstva.</w:t>
      </w:r>
    </w:p>
    <w:p w14:paraId="3643F37E" w14:textId="77777777" w:rsidR="00B114F9" w:rsidRPr="000B1F7F" w:rsidRDefault="00B114F9" w:rsidP="00B114F9">
      <w:pPr>
        <w:jc w:val="both"/>
        <w:rPr>
          <w:rFonts w:ascii="Times New Roman" w:hAnsi="Times New Roman" w:cs="Times New Roman"/>
          <w:sz w:val="24"/>
          <w:szCs w:val="24"/>
        </w:rPr>
      </w:pPr>
      <w:r w:rsidRPr="000B1F7F">
        <w:rPr>
          <w:rFonts w:ascii="Times New Roman" w:hAnsi="Times New Roman" w:cs="Times New Roman"/>
          <w:sz w:val="24"/>
          <w:szCs w:val="24"/>
        </w:rPr>
        <w:t>Návrh vyhlášky je v súlade s Ústavou Slovenskej republiky, ústavnými zákonmi a nálezmi Ústavného súdu Slovenskej republiky, inými zákonmi a ostatnými všeobecne záväznými právnymi predpismi Slovenskej republiky, s právom Európskej únie a s medzinárodnými zmluvami, ktorými je Slovenská republika viazaná.</w:t>
      </w:r>
    </w:p>
    <w:p w14:paraId="67E0EE3B" w14:textId="1B380474" w:rsidR="00B114F9" w:rsidRPr="000B1F7F" w:rsidRDefault="00B114F9" w:rsidP="00B114F9">
      <w:pPr>
        <w:jc w:val="both"/>
        <w:rPr>
          <w:rFonts w:ascii="Times New Roman" w:hAnsi="Times New Roman" w:cs="Times New Roman"/>
          <w:sz w:val="24"/>
          <w:szCs w:val="24"/>
        </w:rPr>
      </w:pPr>
      <w:r w:rsidRPr="000B1F7F">
        <w:rPr>
          <w:rFonts w:ascii="Times New Roman" w:hAnsi="Times New Roman" w:cs="Times New Roman"/>
          <w:sz w:val="24"/>
          <w:szCs w:val="24"/>
        </w:rPr>
        <w:t>Návrh vyhlášky nemá vplyv</w:t>
      </w:r>
      <w:r w:rsidR="001E3648">
        <w:rPr>
          <w:rFonts w:ascii="Times New Roman" w:hAnsi="Times New Roman" w:cs="Times New Roman"/>
          <w:sz w:val="24"/>
          <w:szCs w:val="24"/>
        </w:rPr>
        <w:t>y</w:t>
      </w:r>
      <w:r w:rsidRPr="000B1F7F">
        <w:rPr>
          <w:rFonts w:ascii="Times New Roman" w:hAnsi="Times New Roman" w:cs="Times New Roman"/>
          <w:sz w:val="24"/>
          <w:szCs w:val="24"/>
        </w:rPr>
        <w:t xml:space="preserve"> na podnikateľské prostredie, nemá vplyvy na rozpočet verejnej správy, životné prostredie, informatizáciu spoločnosti, služby verejnej správy pre občana, manželstvo, rodičovstvo a rodinu, ani žiadne sociálne vplyvy.</w:t>
      </w:r>
    </w:p>
    <w:p w14:paraId="69F34FA9" w14:textId="77777777" w:rsidR="00B114F9" w:rsidRDefault="00B114F9" w:rsidP="000B1F7F">
      <w:pPr>
        <w:jc w:val="both"/>
        <w:rPr>
          <w:rFonts w:ascii="Times New Roman" w:hAnsi="Times New Roman" w:cs="Times New Roman"/>
          <w:sz w:val="24"/>
          <w:szCs w:val="24"/>
        </w:rPr>
      </w:pPr>
    </w:p>
    <w:p w14:paraId="5DC000E2" w14:textId="77777777" w:rsidR="00B114F9" w:rsidRDefault="00B114F9" w:rsidP="000B1F7F">
      <w:pPr>
        <w:jc w:val="both"/>
        <w:rPr>
          <w:rFonts w:ascii="Times New Roman" w:hAnsi="Times New Roman" w:cs="Times New Roman"/>
          <w:sz w:val="24"/>
          <w:szCs w:val="24"/>
        </w:rPr>
      </w:pPr>
    </w:p>
    <w:p w14:paraId="464FC782" w14:textId="77777777" w:rsidR="00B114F9" w:rsidRPr="00F517B3" w:rsidRDefault="00B114F9" w:rsidP="000B1F7F">
      <w:pPr>
        <w:jc w:val="both"/>
        <w:rPr>
          <w:rFonts w:ascii="Times New Roman" w:hAnsi="Times New Roman" w:cs="Times New Roman"/>
          <w:sz w:val="24"/>
          <w:szCs w:val="24"/>
        </w:rPr>
      </w:pPr>
    </w:p>
    <w:p w14:paraId="171B4352" w14:textId="77777777" w:rsidR="000B1F7F" w:rsidRPr="00735090" w:rsidRDefault="000B1F7F" w:rsidP="000B1F7F">
      <w:pPr>
        <w:jc w:val="both"/>
        <w:rPr>
          <w:rFonts w:ascii="Times New Roman" w:hAnsi="Times New Roman" w:cs="Times New Roman"/>
          <w:b/>
          <w:bCs/>
          <w:sz w:val="24"/>
          <w:szCs w:val="24"/>
        </w:rPr>
      </w:pPr>
      <w:r w:rsidRPr="00735090">
        <w:rPr>
          <w:rFonts w:ascii="Times New Roman" w:hAnsi="Times New Roman" w:cs="Times New Roman"/>
          <w:b/>
          <w:bCs/>
          <w:sz w:val="24"/>
          <w:szCs w:val="24"/>
        </w:rPr>
        <w:lastRenderedPageBreak/>
        <w:t>B. Osobitná časť</w:t>
      </w:r>
    </w:p>
    <w:p w14:paraId="0BF25278" w14:textId="77777777" w:rsidR="000B1F7F" w:rsidRPr="00735090" w:rsidRDefault="000B1F7F" w:rsidP="000B1F7F">
      <w:pPr>
        <w:jc w:val="both"/>
        <w:rPr>
          <w:rFonts w:ascii="Times New Roman" w:hAnsi="Times New Roman" w:cs="Times New Roman"/>
          <w:b/>
          <w:bCs/>
          <w:sz w:val="24"/>
          <w:szCs w:val="24"/>
        </w:rPr>
      </w:pPr>
      <w:r w:rsidRPr="00735090">
        <w:rPr>
          <w:rFonts w:ascii="Times New Roman" w:hAnsi="Times New Roman" w:cs="Times New Roman"/>
          <w:b/>
          <w:bCs/>
          <w:sz w:val="24"/>
          <w:szCs w:val="24"/>
        </w:rPr>
        <w:t>K § 1</w:t>
      </w:r>
    </w:p>
    <w:p w14:paraId="6A52897A"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Ustanovuje sa predmet návrhu vyhlášky, ktorým sú podrobnosti o povoľovaní terapeutického použitia hromadne vyrábaných humánnych liekov, ktoré nepodliehajú registrácii.</w:t>
      </w:r>
    </w:p>
    <w:p w14:paraId="7B70FCE3"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Ustanovenie nadväzuje na novelizáciu zákona č. 362/2011 Z. z. a na splnomocňovacie ustanovenie § 141 ods. 1 písm. p) zákona č. 362/2011 Z. z.</w:t>
      </w:r>
    </w:p>
    <w:p w14:paraId="38A27C10"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Oproti vyhláške č. 507/2005 Z. z. sa z predmetu právnej úpravy vypúšťajú podrobnosti týkajúce sa úhrady lieku na základe verejného zdravotného poistenia.</w:t>
      </w:r>
    </w:p>
    <w:p w14:paraId="4C7E455B" w14:textId="77777777" w:rsidR="000B1F7F" w:rsidRPr="00735090" w:rsidRDefault="000B1F7F" w:rsidP="000B1F7F">
      <w:pPr>
        <w:jc w:val="both"/>
        <w:rPr>
          <w:rFonts w:ascii="Times New Roman" w:hAnsi="Times New Roman" w:cs="Times New Roman"/>
          <w:b/>
          <w:bCs/>
          <w:sz w:val="24"/>
          <w:szCs w:val="24"/>
        </w:rPr>
      </w:pPr>
      <w:r w:rsidRPr="00735090">
        <w:rPr>
          <w:rFonts w:ascii="Times New Roman" w:hAnsi="Times New Roman" w:cs="Times New Roman"/>
          <w:b/>
          <w:bCs/>
          <w:sz w:val="24"/>
          <w:szCs w:val="24"/>
        </w:rPr>
        <w:t>K § 2</w:t>
      </w:r>
    </w:p>
    <w:p w14:paraId="2337A235"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Ustanovujú sa podrobnosti o žiadosti o povolenie terapeutického použitia neregistrovaného humánneho lieku pre jedného pacienta.</w:t>
      </w:r>
    </w:p>
    <w:p w14:paraId="28567F2E"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V odseku 1 sa vymedzuje individuálne povolenie a žiadateľ o individuálne povolenie.</w:t>
      </w:r>
    </w:p>
    <w:p w14:paraId="1959DCD5"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V odseku 2 sa ustanovujú náležitosti žiadosti o individuálne povolenie.</w:t>
      </w:r>
    </w:p>
    <w:p w14:paraId="2779980B" w14:textId="779BA6E2"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Pri údajoch o žiadateľovi o individuálne povolenie sa aktualizujú kontaktné údaje. Pri ošetrujúcom lekárovi sa vyžaduje jeho meno a priezvisko, telefónne číslo a e-mailová adresa, čo zodpovedá súčasným spôsobom komunikácie a umožňuje ministerstvu v prípade potr</w:t>
      </w:r>
      <w:r w:rsidR="00BC2DDD">
        <w:rPr>
          <w:rFonts w:ascii="Times New Roman" w:hAnsi="Times New Roman" w:cs="Times New Roman"/>
          <w:sz w:val="24"/>
          <w:szCs w:val="24"/>
        </w:rPr>
        <w:t>eby</w:t>
      </w:r>
      <w:r w:rsidRPr="00735090">
        <w:rPr>
          <w:rFonts w:ascii="Times New Roman" w:hAnsi="Times New Roman" w:cs="Times New Roman"/>
          <w:sz w:val="24"/>
          <w:szCs w:val="24"/>
        </w:rPr>
        <w:t xml:space="preserve"> </w:t>
      </w:r>
      <w:r w:rsidR="00BC2DDD">
        <w:rPr>
          <w:rFonts w:ascii="Times New Roman" w:hAnsi="Times New Roman" w:cs="Times New Roman"/>
          <w:sz w:val="24"/>
          <w:szCs w:val="24"/>
        </w:rPr>
        <w:t>operatívne doplnenie alebo odborné objasnenie údajov uvedených v žiadosti. Navrhované znenie zámerne nerozlišuje medzi služobným a iným telefónnym číslom alebo e-mailovou adresou. V aplikačnej praxi môže byť ošetrujúci lekár prostredníctvom všeobecných alebo služobných kontaktov zdravotníckeho zariadenia ťažšie alebo s časovým odstupom zastihnuteľný a nie každý lekár má pridelený individuálny služobný telefón alebo individuálnu služobnú e-mailovú adresu. Pri povoľovaní neregistrovaného humánneho lieku pritom môže byť vzhľadom na zdravotný stav pacienta a potrebu zabezpečiť včasné rozhodnutie potrebné bezodkladne overiť odborné skutočnosti uvedené v žiadosti. Vyžaduje sa preto kontaktný údaj, na ktorom je možné ošetrujúceho lekára na účely povoľovacieho konania reálne a efektívne zastihnúť. Ustanovenie zároveň neukladá povinnosť uvádzať súkromné kontaktné údaje lekára.</w:t>
      </w:r>
    </w:p>
    <w:p w14:paraId="7ECAAE77"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Pri údajoch o lieku sa dopĺňa sila lieku a počet jeho balení. Ide o údaje potrebné na jednoznačnú identifikáciu lieku a na presné vymedzenie rozsahu požadovaného povolenia. Zachováva sa požiadavka na uvedenie liekovej formy, cesty podania, veľkosti balenia, kvalitatívneho a kvantitatívneho zloženia, indikácie a dávkovania lieku.</w:t>
      </w:r>
    </w:p>
    <w:p w14:paraId="40940E94"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Vypúšťajú sa údaje o cene lieku a vyčíslení nákladov na liečbu, keďže tieto údaje nie sú nevyhnutné na odborné posúdenie a rozhodnutie o povolení terapeutického použitia neregistrovaného humánneho lieku.</w:t>
      </w:r>
    </w:p>
    <w:p w14:paraId="0B002DA5" w14:textId="3FAAB84C"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Pri údajoch o pacientovi sa spresňuje požiadavka na uvedenie diagnózy. Žiadateľ uvedie diagnózu s uvedením kódu podľa Medzinárodnej klasifikácie chorôb. Uvedenie štandardizovaného kódu umožňuje jednoznačnejšiu identifikáciu zdravotného dôvodu požadovaného použitia lieku, znižuje riziko nejednotného označovania diagnóz a uľahčuje odborné posudzovanie žiadostí.</w:t>
      </w:r>
      <w:r w:rsidR="00BC2DDD">
        <w:rPr>
          <w:rFonts w:ascii="Times New Roman" w:hAnsi="Times New Roman" w:cs="Times New Roman"/>
          <w:sz w:val="24"/>
          <w:szCs w:val="24"/>
        </w:rPr>
        <w:t xml:space="preserve"> Z identifikačných údajov pacienta sa vyžaduje meno, priezvisko a rodné číslo. Rodné číslo sa ponecháva z dôvodu potreby jednoznačne identifikovať pacienta, na ktorého sa individuálne povolenie vzťahuje, najmä pri možnej zhodnosti mena a </w:t>
      </w:r>
      <w:r w:rsidR="00BC2DDD">
        <w:rPr>
          <w:rFonts w:ascii="Times New Roman" w:hAnsi="Times New Roman" w:cs="Times New Roman"/>
          <w:sz w:val="24"/>
          <w:szCs w:val="24"/>
        </w:rPr>
        <w:lastRenderedPageBreak/>
        <w:t>priezviska a pri nadväzujúcich alebo opakovaných žiadostiach. Adresa miesta trvalého pobytu sa nevyžaduje, keďže na účel rozhodovania ministerstva nie je nevyhnutná a jednoznačnú identifikáciu pacienta možno zabezpečiť uvedenými údajmi.</w:t>
      </w:r>
    </w:p>
    <w:p w14:paraId="3BB47939" w14:textId="6AE6C727" w:rsidR="00BC2DDD" w:rsidRPr="00735090" w:rsidRDefault="00BC2DDD" w:rsidP="00BC2DDD">
      <w:pPr>
        <w:jc w:val="both"/>
        <w:rPr>
          <w:rFonts w:ascii="Times New Roman" w:hAnsi="Times New Roman" w:cs="Times New Roman"/>
          <w:sz w:val="24"/>
          <w:szCs w:val="24"/>
        </w:rPr>
      </w:pPr>
      <w:r>
        <w:rPr>
          <w:rFonts w:ascii="Times New Roman" w:hAnsi="Times New Roman" w:cs="Times New Roman"/>
          <w:sz w:val="24"/>
          <w:szCs w:val="24"/>
        </w:rPr>
        <w:t>Na preukázanie splnenia požiadavky predchádzajúceho písomného súhlasu pacienta alebo jeho zákonného zástupcu sa nevyžaduje predloženie samotného písomného súhlasu ani jeho kópie ministerstvu. Žiadateľ potvrdí, že príslušný písomný súhlas bol získaný a že je uchovávaný v zdravotnej dokumentácii pacienta. Uvedené riešenie umožňuje ministerstvu overiť splnenie zákonnej podmienky bez ďalšieho prenášania a uchovávania dokumentu obsahujúceho osobné údaje pacienta a zodpovedá zásade minimalizácie osobných údajov.</w:t>
      </w:r>
    </w:p>
    <w:p w14:paraId="5B48BF2C"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Zachováva sa požiadavka na uvedenie údajov o doterajšej liečbe a na odborné odôvodnenie nemožnosti použitia štandardného terapeutického postupu s použitím dostupných registrovaných porovnateľných humánnych liekov. Z tohto dôvodu sa už samostatne nevyžaduje údaj o porovnateľných registrovaných liekoch, keďže relevantné posúdenie dostupných alternatív je súčasťou odborného odôvodnenia žiadosti.</w:t>
      </w:r>
    </w:p>
    <w:p w14:paraId="10DAF306"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Vypúšťa sa údaj o predpoklade opakovania žiadosti, keďže táto skutočnosť nie je rozhodujúca pre posúdenie konkrétnej žiadosti. Pri opakovanej žiadosti sa potreba pokračovania použitia lieku posudzuje na základe výsledkov jeho doterajšieho použitia.</w:t>
      </w:r>
    </w:p>
    <w:p w14:paraId="3AA9E035"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V odsekoch 3 a 4 sa upravuje okruh osôb, ktoré sa vyjadrujú k individuálnej žiadosti. Cieľom je zjednodušiť proces posudzovania žiadosti a odstrániť administratívne úkony, ktoré nie sú nevyhnutné na rozhodnutie o povolení použitia lieku, pri zachovaní potrebného odborného a etického posúdenia.</w:t>
      </w:r>
    </w:p>
    <w:p w14:paraId="220B1F7B"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Ak liek indikuje ošetrujúci lekár, ktorý nie je zamestnancom zdravotníckeho zariadenia ústavnej zdravotnej starostlivosti, umožňuje sa, aby sa k žiadosti vyjadril krajský odborník ministerstva alebo hlavný odborník ministerstva pre príslušný špecializačný odbor. Úprava umožňuje zabezpečiť relevantné odborné stanovisko aj v prípade, ak nie je možné alebo účelné zabezpečiť stanovisko krajského odborníka.</w:t>
      </w:r>
    </w:p>
    <w:p w14:paraId="1FC37D70" w14:textId="3C36F251"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V odseku 5 sa upravuje postup pri opakovanej žiadosti. Pri opakovanom povolení sa vyžadujú údaje o výsledkoch doterajšieho terapeutického použitia lieku u pacienta, jeho znášanlivosti, výskyte a vyhodnotení nežiaducich účinkov a odôvodnenie ďalšieho pokračovania v jeho použití. Cieľom je umožniť pri opakovanom rozhodovaní zohľadniť údaje získané pri reálnom použití lieku.</w:t>
      </w:r>
    </w:p>
    <w:p w14:paraId="29AFFDAB" w14:textId="77777777" w:rsidR="000B1F7F" w:rsidRDefault="000B1F7F" w:rsidP="000B1F7F">
      <w:pPr>
        <w:jc w:val="both"/>
        <w:rPr>
          <w:rFonts w:ascii="Times New Roman" w:hAnsi="Times New Roman" w:cs="Times New Roman"/>
          <w:sz w:val="24"/>
          <w:szCs w:val="24"/>
        </w:rPr>
      </w:pPr>
      <w:r>
        <w:rPr>
          <w:rFonts w:ascii="Times New Roman" w:hAnsi="Times New Roman" w:cs="Times New Roman"/>
          <w:sz w:val="24"/>
          <w:szCs w:val="24"/>
        </w:rPr>
        <w:t>V odseku 6 sa ustanovuje maximálna doba platnosti individuálneho povolenia 12 mesiacov. Časové obmedzenie umožňuje pri prípadnej opakovanej žiadosti prehodnotiť opodstatnenosť ďalšieho použitia lieku so zohľadnením výsledkov jeho doterajšieho použitia u pacienta.</w:t>
      </w:r>
    </w:p>
    <w:p w14:paraId="5FA343A3" w14:textId="77777777" w:rsidR="000B1F7F" w:rsidRPr="00735090" w:rsidRDefault="000B1F7F" w:rsidP="000B1F7F">
      <w:pPr>
        <w:jc w:val="both"/>
        <w:rPr>
          <w:rFonts w:ascii="Times New Roman" w:hAnsi="Times New Roman" w:cs="Times New Roman"/>
          <w:b/>
          <w:bCs/>
          <w:sz w:val="24"/>
          <w:szCs w:val="24"/>
        </w:rPr>
      </w:pPr>
      <w:r w:rsidRPr="00735090">
        <w:rPr>
          <w:rFonts w:ascii="Times New Roman" w:hAnsi="Times New Roman" w:cs="Times New Roman"/>
          <w:b/>
          <w:bCs/>
          <w:sz w:val="24"/>
          <w:szCs w:val="24"/>
        </w:rPr>
        <w:t>K § 3</w:t>
      </w:r>
    </w:p>
    <w:p w14:paraId="1566BF1A"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Ustanovujú sa podrobnosti o žiadosti o povolenie terapeutického použitia neregistrovaného humánneho lieku pre skupinu pacientov.</w:t>
      </w:r>
    </w:p>
    <w:p w14:paraId="21BDF7BA"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 xml:space="preserve">V odseku 1 sa vymedzuje skupinové povolenie a žiadateľ o skupinové povolenie. Zachováva sa požiadavka na stanovisko hlavného odborníka ministerstva pre príslušný špecializačný odbor. Vzhľadom na to, že skupinové povolenie sa vzťahuje na skupinu pacientov, stanovisko </w:t>
      </w:r>
      <w:r w:rsidRPr="00735090">
        <w:rPr>
          <w:rFonts w:ascii="Times New Roman" w:hAnsi="Times New Roman" w:cs="Times New Roman"/>
          <w:sz w:val="24"/>
          <w:szCs w:val="24"/>
        </w:rPr>
        <w:lastRenderedPageBreak/>
        <w:t>hlavného odborníka predstavuje odborný podklad na posúdenie opodstatnenosti požadovaného použitia lieku.</w:t>
      </w:r>
    </w:p>
    <w:p w14:paraId="0FD565A7"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V odseku 2 sa ustanovujú osobitné náležitosti žiadosti o skupinové povolenie.</w:t>
      </w:r>
    </w:p>
    <w:p w14:paraId="08A96B4C"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Uvedenie aspoň jedného štátu, v ktorom je liek registrovaný, poskytuje informáciu o registračnom statuse lieku v inom štáte a predstavuje relevantný podklad na odborné posúdenie žiadosti.</w:t>
      </w:r>
    </w:p>
    <w:p w14:paraId="6685FBDA"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Pod údajom o terapeutickom postavení lieku sa rozumie opis jeho miesta v príslušnom terapeutickom postupe. Žiadateľ uvedie najmä, pre akú skupinu pacientov a v akej klinickej situácii sa má liek používať, v akej fáze terapeutického postupu sa jeho použitie predpokladá a aký je jeho vzťah k dostupným štandardným terapeutickým možnostiam.</w:t>
      </w:r>
    </w:p>
    <w:p w14:paraId="3D1BD1B5"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Pri terapeutickom použití môže ísť napríklad o zaradenie lieku po zlyhaní predchádzajúcej liečby, pri jej kontraindikácii alebo neznášanlivosti, pri nedostupnosti vhodnej registrovanej terapeutickej alternatívy alebo o jeho použitie u osobitne vymedzenej skupiny pacientov.</w:t>
      </w:r>
    </w:p>
    <w:p w14:paraId="6F48DBBA"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Údaje o prínose lieku pre terapeutickú prax vyjadrujú konkrétnu odbornú pridanú hodnotu jeho použitia. Pri terapeutickom použití môže ísť najmä o prínos z hľadiska účinnosti, bezpečnosti, znášanlivosti, spôsobu podania, možnosti liečby osobitnej skupiny pacientov alebo zabezpečenia terapeutickej možnosti v prípade, keď vhodná registrovaná terapeutická alternatíva nie je dostupná alebo ju nemožno použiť.</w:t>
      </w:r>
    </w:p>
    <w:p w14:paraId="592259A4"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Požiadavky na terapeutické postavenie lieku a údaje o jeho prínose nadväzujú na požiadavky uplatňované podľa vyhlášky č. 507/2005 Z. z. a na aplikačnú prax ministerstva pri posudzovaní skupinových žiadostí. Ich účelom nie je ekonomické hodnotenie lieku ani hodnotenie zdravotníckej technológie, ale získanie primeraného odborného podkladu na posúdenie, či má požadovaný liek pre vymedzenú skupinu pacientov odôvodnené miesto v terapeutickej praxi.</w:t>
      </w:r>
    </w:p>
    <w:p w14:paraId="15D5D826"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Terapeutické postavenie lieku tak vyjadruje najmä kde, pre koho a za akých okolností sa má liek používať, zatiaľ čo údaje o jeho prínose vyjadrujú akú odbornú pridanú hodnotu jeho použitie v danej situácii prináša.</w:t>
      </w:r>
    </w:p>
    <w:p w14:paraId="47D1EF0A"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Oproti vyhláške č. 507/2005 Z. z. sa nevyžaduje cena lieku od výrobcu, návrh preskripčných alebo indikačných obmedzení ani písomné stanovisko výrobcu k zabezpečeniu registrácie lieku v Slovenskej republike. Uvedené údaje nie sú nevyhnutné na odborné posúdenie samotného povolenia terapeutického použitia neregistrovaného humánneho lieku.</w:t>
      </w:r>
    </w:p>
    <w:p w14:paraId="5BCC262D"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V odsekoch 3 a 4 sa jednoznačne odlišuje povinné stanovisko hlavného odborníka ministerstva podľa odseku 1 od ďalších vyjadrení k žiadosti. Ak liek indikuje ošetrujúci lekár zamestnaný v zdravotníckom zariadení ústavnej zdravotnej starostlivosti, vyjadruje sa aj primár oddelenia a etická komisia tohto zdravotníckeho zariadenia. Ak liek indikuje ošetrujúci lekár mimo zdravotníckeho zariadenia ústavnej zdravotnej starostlivosti, vyjadruje sa príslušná etická komisia. Vzhľadom na povinné stanovisko hlavného odborníka ministerstva sa pri skupinovom povolení nevyžaduje duplicitné odborné vyjadrenie podľa § 2 ods. 4 písm. a).</w:t>
      </w:r>
    </w:p>
    <w:p w14:paraId="41E17A7E" w14:textId="0AED6999"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V odseku 5 sa pri opakovanej žiadosti o skupinové povolenie požadujú údaje o výsledkoch doterajšieho použitia lieku u pacientov, jeho znášanlivosti, výskyte a vyhodnotení nežiaducich účinkov a odôvodnenie ďalšieho pokračovania jeho použitia. Uvedené údaje umožnia pri opakovanom povoľovaní zohľadniť skúsenosti získané pri používaní lieku v klinickej praxi.</w:t>
      </w:r>
      <w:r w:rsidR="00BC2DDD">
        <w:rPr>
          <w:rFonts w:ascii="Times New Roman" w:hAnsi="Times New Roman" w:cs="Times New Roman"/>
          <w:sz w:val="24"/>
          <w:szCs w:val="24"/>
        </w:rPr>
        <w:t xml:space="preserve"> </w:t>
      </w:r>
      <w:r w:rsidR="00BC2DDD">
        <w:rPr>
          <w:rFonts w:ascii="Times New Roman" w:hAnsi="Times New Roman" w:cs="Times New Roman"/>
          <w:sz w:val="24"/>
          <w:szCs w:val="24"/>
        </w:rPr>
        <w:lastRenderedPageBreak/>
        <w:t>Keďže pri skupinovom povolení je predmetom posúdenia použitie lieku pre skupinu pacientov, údaje sa predkladajú v agregovanej alebo anonymizovanej podobe, ak na účel odborného posúdenia žiadosti nie je nevyhnutná identifikácia jednotlivých pacientov. Tým sa obmedzuje spracúvanie údajov o zdraví na rozsah potrebný na rozhodnutie o žiadosti.</w:t>
      </w:r>
    </w:p>
    <w:p w14:paraId="02250E11"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V odseku 6 sa zachováva všeobecná maximálna doba platnosti skupinového povolenia šesť mesiacov. Pri antidotách sa ustanovuje maximálna doba platnosti skupinového povolenia jeden rok.</w:t>
      </w:r>
    </w:p>
    <w:p w14:paraId="629950EE"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Osobitná úprava pre antidotá zohľadňuje charakter ich používania a potrebu zabezpečiť ich dostupnosť pre nepredvídateľné urgentné stavy. Potrebu použitia antidota spravidla nemožno vopred presne časovo predvídať ani viazať na konkrétneho pacienta. Ročná platnosť skupinového povolenia umožňuje zabezpečiť primeranú kontinuitu ich dostupnosti a zároveň znižuje administratívnu záťaž spojenú s opakovaným podávaním žiadostí v šesťmesačných intervaloch.</w:t>
      </w:r>
    </w:p>
    <w:p w14:paraId="2EC2A17E" w14:textId="77777777" w:rsidR="000B1F7F" w:rsidRPr="00735090" w:rsidRDefault="000B1F7F" w:rsidP="000B1F7F">
      <w:pPr>
        <w:jc w:val="both"/>
        <w:rPr>
          <w:rFonts w:ascii="Times New Roman" w:hAnsi="Times New Roman" w:cs="Times New Roman"/>
          <w:b/>
          <w:bCs/>
          <w:sz w:val="24"/>
          <w:szCs w:val="24"/>
        </w:rPr>
      </w:pPr>
      <w:r w:rsidRPr="00735090">
        <w:rPr>
          <w:rFonts w:ascii="Times New Roman" w:hAnsi="Times New Roman" w:cs="Times New Roman"/>
          <w:b/>
          <w:bCs/>
          <w:sz w:val="24"/>
          <w:szCs w:val="24"/>
        </w:rPr>
        <w:t>K § 4</w:t>
      </w:r>
    </w:p>
    <w:p w14:paraId="7BBA1FE2" w14:textId="77777777" w:rsidR="000B1F7F" w:rsidRPr="00735090"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Zrušuje sa vyhláška č. 507/2005 Z. z., ktorú návrh vyhlášky nahrádza.</w:t>
      </w:r>
    </w:p>
    <w:p w14:paraId="2E661B63" w14:textId="77777777" w:rsidR="000B1F7F" w:rsidRPr="00735090" w:rsidRDefault="000B1F7F" w:rsidP="000B1F7F">
      <w:pPr>
        <w:jc w:val="both"/>
        <w:rPr>
          <w:rFonts w:ascii="Times New Roman" w:hAnsi="Times New Roman" w:cs="Times New Roman"/>
          <w:sz w:val="24"/>
          <w:szCs w:val="24"/>
        </w:rPr>
      </w:pPr>
      <w:r>
        <w:rPr>
          <w:rFonts w:ascii="Times New Roman" w:hAnsi="Times New Roman" w:cs="Times New Roman"/>
          <w:sz w:val="24"/>
          <w:szCs w:val="24"/>
        </w:rPr>
        <w:t>Zrušenie vyhlášky č. 507/2005 Z. z. je potrebné vzhľadom na prijatie novej vykonávacej právnej úpravy nadväzujúcej na novelizáciu zákona č. 362/2011 Z. z. a zohľadňujúcej súčasnú aplikačnú prax pri povoľovaní terapeutického použitia neregistrovaných humánnych liekov.</w:t>
      </w:r>
    </w:p>
    <w:p w14:paraId="1E35693A" w14:textId="77777777" w:rsidR="000B1F7F" w:rsidRPr="00735090" w:rsidRDefault="000B1F7F" w:rsidP="000B1F7F">
      <w:pPr>
        <w:jc w:val="both"/>
        <w:rPr>
          <w:rFonts w:ascii="Times New Roman" w:hAnsi="Times New Roman" w:cs="Times New Roman"/>
          <w:b/>
          <w:bCs/>
          <w:sz w:val="24"/>
          <w:szCs w:val="24"/>
        </w:rPr>
      </w:pPr>
      <w:r w:rsidRPr="00735090">
        <w:rPr>
          <w:rFonts w:ascii="Times New Roman" w:hAnsi="Times New Roman" w:cs="Times New Roman"/>
          <w:b/>
          <w:bCs/>
          <w:sz w:val="24"/>
          <w:szCs w:val="24"/>
        </w:rPr>
        <w:t>K § 5</w:t>
      </w:r>
    </w:p>
    <w:p w14:paraId="54205447" w14:textId="615848F9" w:rsidR="000B1F7F" w:rsidRDefault="000B1F7F" w:rsidP="000B1F7F">
      <w:pPr>
        <w:jc w:val="both"/>
        <w:rPr>
          <w:rFonts w:ascii="Times New Roman" w:hAnsi="Times New Roman" w:cs="Times New Roman"/>
          <w:sz w:val="24"/>
          <w:szCs w:val="24"/>
        </w:rPr>
      </w:pPr>
      <w:r w:rsidRPr="00735090">
        <w:rPr>
          <w:rFonts w:ascii="Times New Roman" w:hAnsi="Times New Roman" w:cs="Times New Roman"/>
          <w:sz w:val="24"/>
          <w:szCs w:val="24"/>
        </w:rPr>
        <w:t>Ustanovuje sa dátum nadobudnutia účinnosti vyhlášky.</w:t>
      </w:r>
    </w:p>
    <w:p w14:paraId="3E59AA92" w14:textId="77777777" w:rsidR="000B1F7F" w:rsidRPr="00735090" w:rsidRDefault="000B1F7F" w:rsidP="000B1F7F">
      <w:pPr>
        <w:jc w:val="both"/>
        <w:rPr>
          <w:rFonts w:ascii="Times New Roman" w:hAnsi="Times New Roman" w:cs="Times New Roman"/>
          <w:sz w:val="24"/>
          <w:szCs w:val="24"/>
        </w:rPr>
      </w:pPr>
    </w:p>
    <w:sectPr w:rsidR="000B1F7F" w:rsidRPr="007350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090"/>
    <w:rsid w:val="000B1F7F"/>
    <w:rsid w:val="000C7C15"/>
    <w:rsid w:val="00140A5C"/>
    <w:rsid w:val="001E3648"/>
    <w:rsid w:val="0025043A"/>
    <w:rsid w:val="00262447"/>
    <w:rsid w:val="002E6581"/>
    <w:rsid w:val="003718CB"/>
    <w:rsid w:val="00461362"/>
    <w:rsid w:val="004A764C"/>
    <w:rsid w:val="00521AE1"/>
    <w:rsid w:val="005A4655"/>
    <w:rsid w:val="006A2323"/>
    <w:rsid w:val="006C3D2A"/>
    <w:rsid w:val="00735090"/>
    <w:rsid w:val="00737F64"/>
    <w:rsid w:val="007E1857"/>
    <w:rsid w:val="009125F9"/>
    <w:rsid w:val="009D1041"/>
    <w:rsid w:val="00B114F9"/>
    <w:rsid w:val="00BC2DDD"/>
    <w:rsid w:val="00C65DFD"/>
    <w:rsid w:val="00D55542"/>
    <w:rsid w:val="00E03304"/>
    <w:rsid w:val="00F1707F"/>
    <w:rsid w:val="00F517B3"/>
    <w:rsid w:val="00FA60E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96CEF2"/>
  <w15:chartTrackingRefBased/>
  <w15:docId w15:val="{E742BAF5-2FFB-4098-AEC1-CAAA616CD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style>
  <w:style w:type="paragraph" w:styleId="Nadpis1">
    <w:name w:val="heading 1"/>
    <w:basedOn w:val="Normlny"/>
    <w:next w:val="Normlny"/>
    <w:link w:val="Nadpis1Char"/>
    <w:uiPriority w:val="9"/>
    <w:qFormat/>
    <w:rsid w:val="00735090"/>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Nadpis2">
    <w:name w:val="heading 2"/>
    <w:basedOn w:val="Normlny"/>
    <w:next w:val="Normlny"/>
    <w:link w:val="Nadpis2Char"/>
    <w:uiPriority w:val="9"/>
    <w:semiHidden/>
    <w:unhideWhenUsed/>
    <w:qFormat/>
    <w:rsid w:val="00735090"/>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Nadpis3">
    <w:name w:val="heading 3"/>
    <w:basedOn w:val="Normlny"/>
    <w:next w:val="Normlny"/>
    <w:link w:val="Nadpis3Char"/>
    <w:uiPriority w:val="9"/>
    <w:semiHidden/>
    <w:unhideWhenUsed/>
    <w:qFormat/>
    <w:rsid w:val="00735090"/>
    <w:pPr>
      <w:keepNext/>
      <w:keepLines/>
      <w:spacing w:before="160" w:after="80"/>
      <w:outlineLvl w:val="2"/>
    </w:pPr>
    <w:rPr>
      <w:rFonts w:eastAsiaTheme="majorEastAsia" w:cstheme="majorBidi"/>
      <w:color w:val="2E74B5" w:themeColor="accent1" w:themeShade="BF"/>
      <w:sz w:val="28"/>
      <w:szCs w:val="28"/>
    </w:rPr>
  </w:style>
  <w:style w:type="paragraph" w:styleId="Nadpis4">
    <w:name w:val="heading 4"/>
    <w:basedOn w:val="Normlny"/>
    <w:next w:val="Normlny"/>
    <w:link w:val="Nadpis4Char"/>
    <w:uiPriority w:val="9"/>
    <w:semiHidden/>
    <w:unhideWhenUsed/>
    <w:qFormat/>
    <w:rsid w:val="00735090"/>
    <w:pPr>
      <w:keepNext/>
      <w:keepLines/>
      <w:spacing w:before="80" w:after="40"/>
      <w:outlineLvl w:val="3"/>
    </w:pPr>
    <w:rPr>
      <w:rFonts w:eastAsiaTheme="majorEastAsia" w:cstheme="majorBidi"/>
      <w:i/>
      <w:iCs/>
      <w:color w:val="2E74B5" w:themeColor="accent1" w:themeShade="BF"/>
    </w:rPr>
  </w:style>
  <w:style w:type="paragraph" w:styleId="Nadpis5">
    <w:name w:val="heading 5"/>
    <w:basedOn w:val="Normlny"/>
    <w:next w:val="Normlny"/>
    <w:link w:val="Nadpis5Char"/>
    <w:uiPriority w:val="9"/>
    <w:semiHidden/>
    <w:unhideWhenUsed/>
    <w:qFormat/>
    <w:rsid w:val="00735090"/>
    <w:pPr>
      <w:keepNext/>
      <w:keepLines/>
      <w:spacing w:before="80" w:after="40"/>
      <w:outlineLvl w:val="4"/>
    </w:pPr>
    <w:rPr>
      <w:rFonts w:eastAsiaTheme="majorEastAsia" w:cstheme="majorBidi"/>
      <w:color w:val="2E74B5" w:themeColor="accent1" w:themeShade="BF"/>
    </w:rPr>
  </w:style>
  <w:style w:type="paragraph" w:styleId="Nadpis6">
    <w:name w:val="heading 6"/>
    <w:basedOn w:val="Normlny"/>
    <w:next w:val="Normlny"/>
    <w:link w:val="Nadpis6Char"/>
    <w:uiPriority w:val="9"/>
    <w:semiHidden/>
    <w:unhideWhenUsed/>
    <w:qFormat/>
    <w:rsid w:val="00735090"/>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735090"/>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735090"/>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735090"/>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735090"/>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Predvolenpsmoodseku"/>
    <w:link w:val="Nadpis2"/>
    <w:uiPriority w:val="9"/>
    <w:semiHidden/>
    <w:rsid w:val="00735090"/>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Predvolenpsmoodseku"/>
    <w:link w:val="Nadpis3"/>
    <w:uiPriority w:val="9"/>
    <w:semiHidden/>
    <w:rsid w:val="00735090"/>
    <w:rPr>
      <w:rFonts w:eastAsiaTheme="majorEastAsia" w:cstheme="majorBidi"/>
      <w:color w:val="2E74B5" w:themeColor="accent1" w:themeShade="BF"/>
      <w:sz w:val="28"/>
      <w:szCs w:val="28"/>
    </w:rPr>
  </w:style>
  <w:style w:type="character" w:customStyle="1" w:styleId="Nadpis4Char">
    <w:name w:val="Nadpis 4 Char"/>
    <w:basedOn w:val="Predvolenpsmoodseku"/>
    <w:link w:val="Nadpis4"/>
    <w:uiPriority w:val="9"/>
    <w:semiHidden/>
    <w:rsid w:val="00735090"/>
    <w:rPr>
      <w:rFonts w:eastAsiaTheme="majorEastAsia" w:cstheme="majorBidi"/>
      <w:i/>
      <w:iCs/>
      <w:color w:val="2E74B5" w:themeColor="accent1" w:themeShade="BF"/>
    </w:rPr>
  </w:style>
  <w:style w:type="character" w:customStyle="1" w:styleId="Nadpis5Char">
    <w:name w:val="Nadpis 5 Char"/>
    <w:basedOn w:val="Predvolenpsmoodseku"/>
    <w:link w:val="Nadpis5"/>
    <w:uiPriority w:val="9"/>
    <w:semiHidden/>
    <w:rsid w:val="00735090"/>
    <w:rPr>
      <w:rFonts w:eastAsiaTheme="majorEastAsia" w:cstheme="majorBidi"/>
      <w:color w:val="2E74B5" w:themeColor="accent1" w:themeShade="BF"/>
    </w:rPr>
  </w:style>
  <w:style w:type="character" w:customStyle="1" w:styleId="Nadpis6Char">
    <w:name w:val="Nadpis 6 Char"/>
    <w:basedOn w:val="Predvolenpsmoodseku"/>
    <w:link w:val="Nadpis6"/>
    <w:uiPriority w:val="9"/>
    <w:semiHidden/>
    <w:rsid w:val="00735090"/>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735090"/>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735090"/>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735090"/>
    <w:rPr>
      <w:rFonts w:eastAsiaTheme="majorEastAsia" w:cstheme="majorBidi"/>
      <w:color w:val="272727" w:themeColor="text1" w:themeTint="D8"/>
    </w:rPr>
  </w:style>
  <w:style w:type="paragraph" w:styleId="Nzov">
    <w:name w:val="Title"/>
    <w:basedOn w:val="Normlny"/>
    <w:next w:val="Normlny"/>
    <w:link w:val="NzovChar"/>
    <w:uiPriority w:val="10"/>
    <w:qFormat/>
    <w:rsid w:val="0073509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735090"/>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735090"/>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735090"/>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735090"/>
    <w:pPr>
      <w:spacing w:before="160"/>
      <w:jc w:val="center"/>
    </w:pPr>
    <w:rPr>
      <w:i/>
      <w:iCs/>
      <w:color w:val="404040" w:themeColor="text1" w:themeTint="BF"/>
    </w:rPr>
  </w:style>
  <w:style w:type="character" w:customStyle="1" w:styleId="CitciaChar">
    <w:name w:val="Citácia Char"/>
    <w:basedOn w:val="Predvolenpsmoodseku"/>
    <w:link w:val="Citcia"/>
    <w:uiPriority w:val="29"/>
    <w:rsid w:val="00735090"/>
    <w:rPr>
      <w:i/>
      <w:iCs/>
      <w:color w:val="404040" w:themeColor="text1" w:themeTint="BF"/>
    </w:rPr>
  </w:style>
  <w:style w:type="paragraph" w:styleId="Odsekzoznamu">
    <w:name w:val="List Paragraph"/>
    <w:basedOn w:val="Normlny"/>
    <w:uiPriority w:val="34"/>
    <w:qFormat/>
    <w:rsid w:val="00735090"/>
    <w:pPr>
      <w:ind w:left="720"/>
      <w:contextualSpacing/>
    </w:pPr>
  </w:style>
  <w:style w:type="character" w:styleId="Intenzvnezvraznenie">
    <w:name w:val="Intense Emphasis"/>
    <w:basedOn w:val="Predvolenpsmoodseku"/>
    <w:uiPriority w:val="21"/>
    <w:qFormat/>
    <w:rsid w:val="00735090"/>
    <w:rPr>
      <w:i/>
      <w:iCs/>
      <w:color w:val="2E74B5" w:themeColor="accent1" w:themeShade="BF"/>
    </w:rPr>
  </w:style>
  <w:style w:type="paragraph" w:styleId="Zvraznencitcia">
    <w:name w:val="Intense Quote"/>
    <w:basedOn w:val="Normlny"/>
    <w:next w:val="Normlny"/>
    <w:link w:val="ZvraznencitciaChar"/>
    <w:uiPriority w:val="30"/>
    <w:qFormat/>
    <w:rsid w:val="00735090"/>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ZvraznencitciaChar">
    <w:name w:val="Zvýraznená citácia Char"/>
    <w:basedOn w:val="Predvolenpsmoodseku"/>
    <w:link w:val="Zvraznencitcia"/>
    <w:uiPriority w:val="30"/>
    <w:rsid w:val="00735090"/>
    <w:rPr>
      <w:i/>
      <w:iCs/>
      <w:color w:val="2E74B5" w:themeColor="accent1" w:themeShade="BF"/>
    </w:rPr>
  </w:style>
  <w:style w:type="character" w:styleId="Zvraznenodkaz">
    <w:name w:val="Intense Reference"/>
    <w:basedOn w:val="Predvolenpsmoodseku"/>
    <w:uiPriority w:val="32"/>
    <w:qFormat/>
    <w:rsid w:val="00735090"/>
    <w:rPr>
      <w:b/>
      <w:bCs/>
      <w:smallCaps/>
      <w:color w:val="2E74B5" w:themeColor="accent1" w:themeShade="BF"/>
      <w:spacing w:val="5"/>
    </w:rPr>
  </w:style>
  <w:style w:type="paragraph" w:styleId="Revzia">
    <w:name w:val="Revision"/>
    <w:hidden/>
    <w:uiPriority w:val="99"/>
    <w:semiHidden/>
    <w:rsid w:val="00BC2DD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Pages>
  <Words>2601</Words>
  <Characters>14827</Characters>
  <Application>Microsoft Office Word</Application>
  <DocSecurity>0</DocSecurity>
  <Lines>123</Lines>
  <Paragraphs>34</Paragraphs>
  <ScaleCrop>false</ScaleCrop>
  <HeadingPairs>
    <vt:vector size="2" baseType="variant">
      <vt:variant>
        <vt:lpstr>Názov</vt:lpstr>
      </vt:variant>
      <vt:variant>
        <vt:i4>1</vt:i4>
      </vt:variant>
    </vt:vector>
  </HeadingPairs>
  <TitlesOfParts>
    <vt:vector size="1" baseType="lpstr">
      <vt:lpstr/>
    </vt:vector>
  </TitlesOfParts>
  <Company>MZSR</Company>
  <LinksUpToDate>false</LinksUpToDate>
  <CharactersWithSpaces>17394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Dôvodová správa k návrhu vyhlášky</dc:title>
  <dc:subject>Povoľovanie terapeutického alebo diagnostického použitia humánnych liekov, ktoré nepodliehajú registrácii</dc:subject>
  <dc:creator>Švecová Cveková Gabriela</dc:creator>
  <cp:keywords/>
  <dc:description/>
  <cp:lastModifiedBy>Gálová Kristína</cp:lastModifiedBy>
  <cp:revision>10</cp:revision>
  <dcterms:created xsi:type="dcterms:W3CDTF">2026-09-18T10:26:00Z</dcterms:created>
  <dcterms:modified xsi:type="dcterms:W3CDTF">2026-10-20T14:27:00Z</dcterms:modified>
</cp:coreProperties>
</file>