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2025E" w14:textId="77777777" w:rsidR="00EB2B58" w:rsidRDefault="000E4F56">
      <w:pPr>
        <w:spacing w:after="400"/>
        <w:jc w:val="center"/>
      </w:pPr>
      <w:r>
        <w:rPr>
          <w:b/>
          <w:bCs/>
          <w:caps/>
          <w:sz w:val="28"/>
          <w:szCs w:val="28"/>
        </w:rPr>
        <w:t>PREDKLADACIA SPRÁVA</w:t>
      </w:r>
    </w:p>
    <w:p w14:paraId="6A71A351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Návrh vyhlášky Ministerstva zdravotníctva Slovenskej republiky, ktorou sa mení a dopĺňa vyhláška Ministerstva zdravotníctva Slovenskej republiky č. 422/2011 Z. z. o podrobnostiach </w:t>
      </w:r>
      <w:proofErr w:type="spellStart"/>
      <w:r>
        <w:t>farmako</w:t>
      </w:r>
      <w:proofErr w:type="spellEnd"/>
      <w:r>
        <w:t>-ekonomického rozboru lieku v znení vyhlášky č. 177/2021 Z. z. (ďalej len „návrh vyhlášky“) sa predkladá ako iniciatívny materiál v súvislosti so zmenami v zákone č. 363/2011 Z. z. o rozsahu a podmienkach úhrady liekov, zdravotníckych pomôcok a dietetických potravín na základe verejného zdravotného poistenia a o zmene a doplnení niektorých zákonov v znení neskorších predpisov (ďalej len „zákon č. 363/2011 Z. z.“) a so skúsenosťami z aplikačnej praxe po vzniku Národného inštitútu pre hodnotu a technológie v zdravotníctve (ďalej len „NIHO“).</w:t>
      </w:r>
    </w:p>
    <w:p w14:paraId="24934C18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Vyhláška Ministerstva zdravotníctva Slovenskej republiky č. 422/2011 Z. z. o podrobnostiach </w:t>
      </w:r>
      <w:proofErr w:type="spellStart"/>
      <w:r>
        <w:t>farmako</w:t>
      </w:r>
      <w:proofErr w:type="spellEnd"/>
      <w:r>
        <w:t xml:space="preserve">-ekonomického rozboru lieku v znení vyhlášky č. 177/2021 Z. z. je vykonávacím predpisom zákona č. 363/2011 Z. z. a upravuje obsahové a metodické náležitosti </w:t>
      </w:r>
      <w:proofErr w:type="spellStart"/>
      <w:r>
        <w:t>farmako</w:t>
      </w:r>
      <w:proofErr w:type="spellEnd"/>
      <w:r>
        <w:t>-ekonomického rozboru lieku predkladaného v procese kategorizácie liekov.</w:t>
      </w:r>
    </w:p>
    <w:p w14:paraId="41DAFD40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Cieľom predloženého návrhu vyhlášky je zosúladenie vyhlášky s pripravovanou a prijatou úpravou zákona č. 363/2011 Z. z., najmä so zavedením zákonnej definície relevantného </w:t>
      </w:r>
      <w:proofErr w:type="spellStart"/>
      <w:r>
        <w:t>komparátora</w:t>
      </w:r>
      <w:proofErr w:type="spellEnd"/>
      <w:r>
        <w:t xml:space="preserve"> a so spôsobmi preukázania nákladovej efektívnosti podľa § 7 ods. 2 zákona č. 363/2011 Z. z. Návrh zároveň reaguje na vývoj hodnotenia zdravotníckych technológií, na hodnotiacu a rozhodovaciu prax NIHO a na potrebu aktualizácie metodických požiadaviek na </w:t>
      </w:r>
      <w:proofErr w:type="spellStart"/>
      <w:r>
        <w:t>farmako</w:t>
      </w:r>
      <w:proofErr w:type="spellEnd"/>
      <w:r>
        <w:t>-ekonomické hodnotenie.</w:t>
      </w:r>
    </w:p>
    <w:p w14:paraId="09325380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Predmetom návrhu vyhlášky je najmä úprava preukazovania klinického prínosu liečby, zosúladenie úpravy porovnania nákladov s pojmom relevantný </w:t>
      </w:r>
      <w:proofErr w:type="spellStart"/>
      <w:r>
        <w:t>komparátor</w:t>
      </w:r>
      <w:proofErr w:type="spellEnd"/>
      <w:r>
        <w:t>, zníženie diskontnej sadzby pre náklady verejného zdravotného poistenia a prínosy spojené s použitím lieku z 5 % na 3,5 % ročne, zavedenie povinnosti vykonať analýzu scenárov, spresnenie požiadaviek na analýzu citlivosti vrátane pravdepodobnostnej analýzy citlivosti, umožnenie preukázania účinnosti a bezpečnosti aj na základe nepriamych porovnaní a vypustenie požiadavky na uvádzanie výšky úhrady lieku v iných členských štátoch Európskej únie.</w:t>
      </w:r>
    </w:p>
    <w:p w14:paraId="6ABA0168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Návrh vyhlášky bližšie upravuje postup pri stanovení relevantného </w:t>
      </w:r>
      <w:proofErr w:type="spellStart"/>
      <w:r>
        <w:t>komparátora</w:t>
      </w:r>
      <w:proofErr w:type="spellEnd"/>
      <w:r>
        <w:t xml:space="preserve">, vrátane pravidiel pre použitie lieku hradeného na základe výnimky, lieku kategorizovaného podľa § 7 ods. 5 zákona č. 363/2011 Z. z. a tzv. očakávaného relevantného </w:t>
      </w:r>
      <w:proofErr w:type="spellStart"/>
      <w:r>
        <w:t>komparátora</w:t>
      </w:r>
      <w:proofErr w:type="spellEnd"/>
      <w:r>
        <w:t xml:space="preserve"> v analýze scenárov. Upravuje sa aj spôsob vykonania </w:t>
      </w:r>
      <w:proofErr w:type="spellStart"/>
      <w:r>
        <w:t>farmako</w:t>
      </w:r>
      <w:proofErr w:type="spellEnd"/>
      <w:r>
        <w:t xml:space="preserve">-ekonomickej analýzy pri viacerých relevantných </w:t>
      </w:r>
      <w:proofErr w:type="spellStart"/>
      <w:r>
        <w:t>komparátoroch</w:t>
      </w:r>
      <w:proofErr w:type="spellEnd"/>
      <w:r>
        <w:t xml:space="preserve"> a podmienky použitia váženého terapeutického mixu. Súčasťou návrhu je zaradenie metodickej príručky a šablóny </w:t>
      </w:r>
      <w:proofErr w:type="spellStart"/>
      <w:r>
        <w:t>farmako</w:t>
      </w:r>
      <w:proofErr w:type="spellEnd"/>
      <w:r>
        <w:t>-ekonomického rozboru ako príloh vyhlášky.</w:t>
      </w:r>
    </w:p>
    <w:p w14:paraId="7CD4DD8D" w14:textId="77777777" w:rsidR="00EB2B58" w:rsidRDefault="000E4F56" w:rsidP="00283D59">
      <w:pPr>
        <w:spacing w:after="240" w:line="276" w:lineRule="auto"/>
        <w:ind w:firstLine="708"/>
        <w:jc w:val="both"/>
      </w:pPr>
      <w:r>
        <w:t xml:space="preserve">Navrhované zmeny majú prispieť k vyššej transparentnosti a predvídateľnosti požiadaviek na </w:t>
      </w:r>
      <w:proofErr w:type="spellStart"/>
      <w:r>
        <w:t>farmako</w:t>
      </w:r>
      <w:proofErr w:type="spellEnd"/>
      <w:r>
        <w:t xml:space="preserve">-ekonomické hodnotenie, k zvýšeniu kvality predkladaných </w:t>
      </w:r>
      <w:proofErr w:type="spellStart"/>
      <w:r>
        <w:t>farmako</w:t>
      </w:r>
      <w:proofErr w:type="spellEnd"/>
      <w:r>
        <w:t>-ekonomických rozborov a k jednotnejšiemu uplatňovaniu metodických požiadaviek v procese hodnotenia liekov.</w:t>
      </w:r>
    </w:p>
    <w:p w14:paraId="0D446436" w14:textId="77777777" w:rsidR="00EB2B58" w:rsidRDefault="000E4F56" w:rsidP="00283D59">
      <w:pPr>
        <w:spacing w:after="240" w:line="276" w:lineRule="auto"/>
        <w:ind w:firstLine="708"/>
        <w:jc w:val="both"/>
      </w:pPr>
      <w:r>
        <w:lastRenderedPageBreak/>
        <w:t xml:space="preserve">Návrh vyhlášky nie je predmetom </w:t>
      </w:r>
      <w:proofErr w:type="spellStart"/>
      <w:r>
        <w:t>vnútrokomunitárneho</w:t>
      </w:r>
      <w:proofErr w:type="spellEnd"/>
      <w:r>
        <w:t xml:space="preserve"> pripomienkového konania.</w:t>
      </w:r>
    </w:p>
    <w:p w14:paraId="13C51402" w14:textId="77777777" w:rsidR="00EB2B58" w:rsidRDefault="000E4F56" w:rsidP="00283D59">
      <w:pPr>
        <w:spacing w:after="240" w:line="276" w:lineRule="auto"/>
        <w:ind w:firstLine="708"/>
        <w:jc w:val="both"/>
      </w:pPr>
      <w:r>
        <w:t>Návrh vyhlášky je v súlade s Ústavou Slovenskej republiky, ústavnými zákonmi, nálezmi Ústavného súdu Slovenskej republiky, zákonmi, medzinárodnými zmluvami, ktorými je Slovenská republika viazaná, a s právom Európskej únie. Návrh vyhlášky je v súlade s Európskou chartou miestnej samosprávy.</w:t>
      </w:r>
    </w:p>
    <w:p w14:paraId="0A9D4089" w14:textId="4DB8C04F" w:rsidR="00EB2B58" w:rsidRDefault="000E4F56" w:rsidP="00283D59">
      <w:pPr>
        <w:spacing w:after="240" w:line="276" w:lineRule="auto"/>
        <w:ind w:firstLine="708"/>
        <w:jc w:val="both"/>
      </w:pPr>
      <w:r>
        <w:t xml:space="preserve">Dátum nadobudnutia účinnosti vyhlášky sa navrhuje od 1. </w:t>
      </w:r>
      <w:r w:rsidR="00EE69EC">
        <w:t>decembra</w:t>
      </w:r>
      <w:r>
        <w:t xml:space="preserve"> 2026.</w:t>
      </w:r>
    </w:p>
    <w:sectPr w:rsidR="00EB2B58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E79BD"/>
    <w:multiLevelType w:val="hybridMultilevel"/>
    <w:tmpl w:val="19760A5A"/>
    <w:lvl w:ilvl="0" w:tplc="81E0FF80">
      <w:start w:val="1"/>
      <w:numFmt w:val="bullet"/>
      <w:lvlText w:val="●"/>
      <w:lvlJc w:val="left"/>
      <w:pPr>
        <w:ind w:left="720" w:hanging="360"/>
      </w:pPr>
    </w:lvl>
    <w:lvl w:ilvl="1" w:tplc="63727A28">
      <w:start w:val="1"/>
      <w:numFmt w:val="bullet"/>
      <w:lvlText w:val="○"/>
      <w:lvlJc w:val="left"/>
      <w:pPr>
        <w:ind w:left="1440" w:hanging="360"/>
      </w:pPr>
    </w:lvl>
    <w:lvl w:ilvl="2" w:tplc="CE60B8A4">
      <w:start w:val="1"/>
      <w:numFmt w:val="bullet"/>
      <w:lvlText w:val="■"/>
      <w:lvlJc w:val="left"/>
      <w:pPr>
        <w:ind w:left="2160" w:hanging="360"/>
      </w:pPr>
    </w:lvl>
    <w:lvl w:ilvl="3" w:tplc="02C8FD5C">
      <w:start w:val="1"/>
      <w:numFmt w:val="bullet"/>
      <w:lvlText w:val="●"/>
      <w:lvlJc w:val="left"/>
      <w:pPr>
        <w:ind w:left="2880" w:hanging="360"/>
      </w:pPr>
    </w:lvl>
    <w:lvl w:ilvl="4" w:tplc="6574B104">
      <w:start w:val="1"/>
      <w:numFmt w:val="bullet"/>
      <w:lvlText w:val="○"/>
      <w:lvlJc w:val="left"/>
      <w:pPr>
        <w:ind w:left="3600" w:hanging="360"/>
      </w:pPr>
    </w:lvl>
    <w:lvl w:ilvl="5" w:tplc="94062F42">
      <w:start w:val="1"/>
      <w:numFmt w:val="bullet"/>
      <w:lvlText w:val="■"/>
      <w:lvlJc w:val="left"/>
      <w:pPr>
        <w:ind w:left="4320" w:hanging="360"/>
      </w:pPr>
    </w:lvl>
    <w:lvl w:ilvl="6" w:tplc="7CECEB04">
      <w:start w:val="1"/>
      <w:numFmt w:val="bullet"/>
      <w:lvlText w:val="●"/>
      <w:lvlJc w:val="left"/>
      <w:pPr>
        <w:ind w:left="5040" w:hanging="360"/>
      </w:pPr>
    </w:lvl>
    <w:lvl w:ilvl="7" w:tplc="84D0C28E">
      <w:start w:val="1"/>
      <w:numFmt w:val="bullet"/>
      <w:lvlText w:val="●"/>
      <w:lvlJc w:val="left"/>
      <w:pPr>
        <w:ind w:left="5760" w:hanging="360"/>
      </w:pPr>
    </w:lvl>
    <w:lvl w:ilvl="8" w:tplc="4A20FD78">
      <w:start w:val="1"/>
      <w:numFmt w:val="bullet"/>
      <w:lvlText w:val="●"/>
      <w:lvlJc w:val="left"/>
      <w:pPr>
        <w:ind w:left="6480" w:hanging="360"/>
      </w:pPr>
    </w:lvl>
  </w:abstractNum>
  <w:num w:numId="1" w16cid:durableId="1491052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B58"/>
    <w:rsid w:val="000E4F56"/>
    <w:rsid w:val="00141EDF"/>
    <w:rsid w:val="001636A7"/>
    <w:rsid w:val="00283D59"/>
    <w:rsid w:val="00EB2B58"/>
    <w:rsid w:val="00EE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0B012"/>
  <w15:docId w15:val="{40E8A808-373E-4E40-ADB2-2FF30D88F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Nadpi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uiPriority w:val="10"/>
    <w:qFormat/>
    <w:rPr>
      <w:sz w:val="56"/>
      <w:szCs w:val="56"/>
    </w:rPr>
  </w:style>
  <w:style w:type="paragraph" w:customStyle="1" w:styleId="Vrazn1">
    <w:name w:val="Výrazný1"/>
    <w:qFormat/>
    <w:rPr>
      <w:b/>
      <w:bCs/>
    </w:rPr>
  </w:style>
  <w:style w:type="paragraph" w:styleId="Odsekzoznamu">
    <w:name w:val="List Paragraph"/>
    <w:qFormat/>
  </w:style>
  <w:style w:type="character" w:styleId="Hypertextovprepojenie">
    <w:name w:val="Hyperlink"/>
    <w:uiPriority w:val="99"/>
    <w:unhideWhenUsed/>
    <w:rPr>
      <w:color w:val="0563C1"/>
      <w:u w:val="single"/>
    </w:rPr>
  </w:style>
  <w:style w:type="character" w:styleId="Odkaznapoznmkupodiarou">
    <w:name w:val="footnote reference"/>
    <w:uiPriority w:val="99"/>
    <w:semiHidden/>
    <w:unhideWhenUsed/>
    <w:rPr>
      <w:vertAlign w:val="superscript"/>
    </w:rPr>
  </w:style>
  <w:style w:type="paragraph" w:styleId="Textpoznmkypodiarou">
    <w:name w:val="footnote text"/>
    <w:link w:val="TextpoznmkypodiarouChar"/>
    <w:uiPriority w:val="99"/>
    <w:semiHidden/>
    <w:unhideWhenUsed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unhideWhenUsed/>
    <w:rPr>
      <w:sz w:val="20"/>
      <w:szCs w:val="20"/>
    </w:rPr>
  </w:style>
  <w:style w:type="character" w:styleId="Odkaznavysvetlivku">
    <w:name w:val="endnote reference"/>
    <w:uiPriority w:val="99"/>
    <w:semiHidden/>
    <w:unhideWhenUsed/>
    <w:rPr>
      <w:vertAlign w:val="superscript"/>
    </w:rPr>
  </w:style>
  <w:style w:type="paragraph" w:styleId="Textvysvetlivky">
    <w:name w:val="endnote text"/>
    <w:link w:val="TextvysvetlivkyChar"/>
    <w:uiPriority w:val="99"/>
    <w:semiHidden/>
    <w:unhideWhenUsed/>
    <w:rPr>
      <w:sz w:val="20"/>
      <w:szCs w:val="20"/>
    </w:rPr>
  </w:style>
  <w:style w:type="character" w:customStyle="1" w:styleId="TextvysvetlivkyChar">
    <w:name w:val="Text vysvetlivky Char"/>
    <w:link w:val="Textvysvetlivky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1_Predkladacia_sprava_422_2011"/>
    <f:field ref="objname" text="01_Predkladacia_sprava_422_2011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508</Words>
  <Characters>2897</Characters>
  <Application>Microsoft Office Word</Application>
  <DocSecurity>0</DocSecurity>
  <Lines>24</Lines>
  <Paragraphs>6</Paragraphs>
  <ScaleCrop>false</ScaleCrop>
  <Company>MZSR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Melich</dc:creator>
  <cp:lastModifiedBy>Melich Michal</cp:lastModifiedBy>
  <cp:revision>3</cp:revision>
  <dcterms:created xsi:type="dcterms:W3CDTF">2026-09-15T09:51:00Z</dcterms:created>
  <dcterms:modified xsi:type="dcterms:W3CDTF">2026-09-15T12:25:00Z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Mário Fraňo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7. 10. 2026, 12:54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Mário Fraňo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07.10.2026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*COO.2289.100.3.5085936*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7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COO.2289.100.3.5085936</vt:lpwstr>
  </property>
  <property name="FSC#FSCFOLIO@1.1001:docpropproject" pid="402" fmtid="{D5CDD505-2E9C-101B-9397-08002B2CF9AE}">
    <vt:lpwstr/>
  </property>
</Properties>
</file>