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C6934" w14:textId="3520F14D" w:rsidR="00E266D6" w:rsidRPr="00F9528E" w:rsidRDefault="00E266D6" w:rsidP="00E266D6">
      <w:pPr>
        <w:widowControl/>
        <w:jc w:val="center"/>
        <w:rPr>
          <w:b/>
          <w:caps/>
          <w:color w:val="000000"/>
          <w:spacing w:val="30"/>
        </w:rPr>
      </w:pPr>
      <w:r w:rsidRPr="00F9528E">
        <w:rPr>
          <w:b/>
          <w:caps/>
          <w:color w:val="000000"/>
          <w:spacing w:val="30"/>
        </w:rPr>
        <w:t>Predkladacia správa</w:t>
      </w:r>
    </w:p>
    <w:p w14:paraId="3C2A64AF" w14:textId="77777777" w:rsidR="007B03CA" w:rsidRDefault="007B03CA" w:rsidP="000F7EFC">
      <w:pPr>
        <w:jc w:val="both"/>
      </w:pPr>
    </w:p>
    <w:p w14:paraId="3C63304C" w14:textId="77777777" w:rsidR="000F7EFC" w:rsidRDefault="000F7EFC" w:rsidP="000F7EFC">
      <w:pPr>
        <w:widowControl/>
        <w:jc w:val="both"/>
      </w:pPr>
    </w:p>
    <w:p w14:paraId="6C79D076" w14:textId="5E830FA7" w:rsidR="00E86075" w:rsidRDefault="00E86075" w:rsidP="00E86075">
      <w:pPr>
        <w:widowControl/>
        <w:spacing w:after="280" w:afterAutospacing="1"/>
        <w:jc w:val="both"/>
      </w:pPr>
      <w:r>
        <w:t xml:space="preserve">Úrad pre reguláciu sieťových odvetví predkladá </w:t>
      </w:r>
      <w:r w:rsidR="001D5002" w:rsidRPr="001D5002">
        <w:t xml:space="preserve">do medzirezortného pripomienkového konania </w:t>
      </w:r>
      <w:r>
        <w:t>návrh vyhlášky</w:t>
      </w:r>
      <w:r w:rsidR="00E12334" w:rsidRPr="00E12334">
        <w:t xml:space="preserve"> Úradu pre reguláciu sieťových odvetví</w:t>
      </w:r>
      <w:r>
        <w:t xml:space="preserve">, ktorou sa mení a dopĺňa vyhláška Úradu pre reguláciu sieťových odvetví </w:t>
      </w:r>
      <w:bookmarkStart w:id="0" w:name="_GoBack"/>
      <w:bookmarkEnd w:id="0"/>
      <w:r>
        <w:t>č. 328/2005 Z. z., ktorou sa určuje spôsob overovania hospodárnosti prevádzky sústavy tepelných zariadení, ukazovatele energetickej účinnosti zariadení na výrobu tepla a distribúciu tepla, normatívne ukazovatele spotreby tepla, rozsah ekonomicky oprávnených nákladov na overenie hospodárnosti prevádzky sústavy tepelných zariadení a spôsob úhrady týchto nákladov v znení vyhlášky č. 59/2008 Z. z. (ďalej len „návrh vyhlášky).</w:t>
      </w:r>
    </w:p>
    <w:p w14:paraId="183F406C" w14:textId="50481C5A" w:rsidR="00E86075" w:rsidRDefault="00E86075" w:rsidP="00E86075">
      <w:pPr>
        <w:widowControl/>
        <w:spacing w:after="280" w:afterAutospacing="1"/>
        <w:jc w:val="both"/>
      </w:pPr>
      <w:r>
        <w:t xml:space="preserve">Návrh vyhlášky bol vypracovaný ako iniciatívny materiál v súlade so splnomocňovacím ustanovením podľa § 25 ods. 6 zákona č. 657/2004 Z. z. o tepelnej energetike v znení zákona </w:t>
      </w:r>
      <w:r>
        <w:br/>
        <w:t xml:space="preserve">č. 321/2014 Z. z. </w:t>
      </w:r>
    </w:p>
    <w:p w14:paraId="4D9724F5" w14:textId="77777777" w:rsidR="00E86075" w:rsidRDefault="00E86075" w:rsidP="00E86075">
      <w:pPr>
        <w:widowControl/>
        <w:spacing w:after="280" w:afterAutospacing="1"/>
        <w:jc w:val="both"/>
      </w:pPr>
      <w:r>
        <w:t xml:space="preserve">Potreba vypracovania návrhu vyhlášky vyplynula z aplikačnej praxe a konaní o cenovej regulácii pri použití ukazovateľov energetickej účinnosti určených pri overovaní hospodárnosti prevádzky sústav tepelných zariadení pri výpočte primeranej výšky nákladov na zabezpečenie potrebného množstva priameho materiálu, ktorý slúži na výrobu tepla a distribúciu tepla. </w:t>
      </w:r>
    </w:p>
    <w:p w14:paraId="74327F3C" w14:textId="77777777" w:rsidR="00E86075" w:rsidRDefault="00E86075" w:rsidP="00E86075">
      <w:pPr>
        <w:widowControl/>
        <w:spacing w:after="280" w:afterAutospacing="1"/>
        <w:jc w:val="both"/>
      </w:pPr>
      <w:r>
        <w:t xml:space="preserve">Cieľom návrhu vyhlášky je doplnenie a aktualizovanie doterajšej úpravy v nadväznosti na zmeny na trhu s teplom, a to doplnenie ukazovateľov energetickej účinnosti vybraných zariadení na výrobu tepla, ktoré sa začali používať na výrobu tepla, a to </w:t>
      </w:r>
      <w:proofErr w:type="spellStart"/>
      <w:r>
        <w:t>elektrokotlov</w:t>
      </w:r>
      <w:proofErr w:type="spellEnd"/>
      <w:r>
        <w:t xml:space="preserve"> a tepelných čerpadiel, doplnenie úpravy postupu pri overení hospodárnosti týchto zariadení na výrobu tepla, aktualizácia a precizovanie spôsobu a rozsahu overenia hospodárnosti výroby, distribúcie tepla ako aj aktualizácia normatívnych ukazovateľov spotreby tepla. Návrh vyhlášky zásadne nemení spôsob overovania hospodárnosti prevádzky sústavy tepelných zariadení, ani ukazovatele energetickej účinnosti zariadení na výrobu tepla a distribúciu tepla, ani normatívne ukazovatele spotreby tepla. </w:t>
      </w:r>
    </w:p>
    <w:p w14:paraId="3B5959E6" w14:textId="3629947E" w:rsidR="004043EB" w:rsidRPr="004043EB" w:rsidRDefault="004043EB" w:rsidP="00E86075">
      <w:pPr>
        <w:widowControl/>
        <w:spacing w:after="280" w:afterAutospacing="1"/>
        <w:jc w:val="both"/>
        <w:rPr>
          <w:rStyle w:val="Zstupntext"/>
          <w:rFonts w:cs="Calibri"/>
          <w:color w:val="000000"/>
        </w:rPr>
      </w:pPr>
      <w:r w:rsidRPr="004043EB">
        <w:rPr>
          <w:rStyle w:val="Zstupntext"/>
          <w:rFonts w:cs="Calibri"/>
          <w:color w:val="000000"/>
        </w:rPr>
        <w:t xml:space="preserve">Návrh vyhlášky je v súlade s Európskou chartou miestnej samosprávy. </w:t>
      </w:r>
    </w:p>
    <w:p w14:paraId="226A8EB5" w14:textId="27E5FE3C" w:rsidR="004043EB" w:rsidRDefault="004043EB" w:rsidP="004043EB">
      <w:pPr>
        <w:widowControl/>
        <w:spacing w:after="280" w:afterAutospacing="1"/>
        <w:jc w:val="both"/>
        <w:rPr>
          <w:rStyle w:val="Zstupntext"/>
          <w:rFonts w:cs="Calibri"/>
          <w:color w:val="000000"/>
        </w:rPr>
      </w:pPr>
      <w:r w:rsidRPr="004043EB">
        <w:rPr>
          <w:rStyle w:val="Zstupntext"/>
          <w:rFonts w:cs="Calibri"/>
          <w:color w:val="000000"/>
        </w:rPr>
        <w:t>Účinnosť návrhu vyhlášky sa navrhuje od 1. januára 202</w:t>
      </w:r>
      <w:r>
        <w:rPr>
          <w:rStyle w:val="Zstupntext"/>
          <w:rFonts w:cs="Calibri"/>
          <w:color w:val="000000"/>
        </w:rPr>
        <w:t>7,</w:t>
      </w:r>
      <w:r w:rsidRPr="004043EB">
        <w:rPr>
          <w:rStyle w:val="Zstupntext"/>
          <w:rFonts w:cs="Calibri"/>
          <w:color w:val="000000"/>
        </w:rPr>
        <w:t xml:space="preserve"> aby bola zabezpečená primeraná lehota na </w:t>
      </w:r>
      <w:r>
        <w:rPr>
          <w:rStyle w:val="Zstupntext"/>
          <w:rFonts w:cs="Calibri"/>
          <w:color w:val="000000"/>
        </w:rPr>
        <w:t>oboznámenie sa účastníkov trhu s teplom s navrhovanou úpravou</w:t>
      </w:r>
      <w:r w:rsidRPr="004043EB">
        <w:t xml:space="preserve"> </w:t>
      </w:r>
      <w:r w:rsidRPr="004043EB">
        <w:rPr>
          <w:rStyle w:val="Zstupntext"/>
          <w:rFonts w:cs="Calibri"/>
          <w:color w:val="000000"/>
        </w:rPr>
        <w:t>overovania hospodárnosti prevádzky sústavy tepelných zariadení</w:t>
      </w:r>
      <w:r>
        <w:rPr>
          <w:rStyle w:val="Zstupntext"/>
          <w:rFonts w:cs="Calibri"/>
          <w:color w:val="000000"/>
        </w:rPr>
        <w:t>.</w:t>
      </w:r>
    </w:p>
    <w:p w14:paraId="5FE8A65C" w14:textId="77777777" w:rsidR="004043EB" w:rsidRDefault="004043EB" w:rsidP="006F4654">
      <w:pPr>
        <w:widowControl/>
        <w:spacing w:after="280" w:afterAutospacing="1"/>
        <w:jc w:val="both"/>
        <w:rPr>
          <w:rStyle w:val="Zstupntext"/>
          <w:rFonts w:cs="Calibri"/>
          <w:color w:val="000000"/>
        </w:rPr>
      </w:pPr>
    </w:p>
    <w:sectPr w:rsidR="004043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hyphenationZone w:val="425"/>
  <w:characterSpacingControl w:val="doNotCompress"/>
  <w:doNotValidateAgainstSchema/>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E7D"/>
    <w:rsid w:val="00094916"/>
    <w:rsid w:val="000A1D00"/>
    <w:rsid w:val="000F7EFC"/>
    <w:rsid w:val="001363B1"/>
    <w:rsid w:val="00181754"/>
    <w:rsid w:val="001D5002"/>
    <w:rsid w:val="00205AEF"/>
    <w:rsid w:val="002422A5"/>
    <w:rsid w:val="002B19F7"/>
    <w:rsid w:val="003517F2"/>
    <w:rsid w:val="003711F7"/>
    <w:rsid w:val="0039640F"/>
    <w:rsid w:val="004043EB"/>
    <w:rsid w:val="00446754"/>
    <w:rsid w:val="004A1788"/>
    <w:rsid w:val="00500ADB"/>
    <w:rsid w:val="00502E72"/>
    <w:rsid w:val="0051038D"/>
    <w:rsid w:val="0051564A"/>
    <w:rsid w:val="006026A4"/>
    <w:rsid w:val="00636B8A"/>
    <w:rsid w:val="00650FAD"/>
    <w:rsid w:val="006C5DD0"/>
    <w:rsid w:val="006E5283"/>
    <w:rsid w:val="006F3E2D"/>
    <w:rsid w:val="006F4654"/>
    <w:rsid w:val="006F4ACE"/>
    <w:rsid w:val="0075134A"/>
    <w:rsid w:val="007B03CA"/>
    <w:rsid w:val="008360FD"/>
    <w:rsid w:val="00856250"/>
    <w:rsid w:val="008610A3"/>
    <w:rsid w:val="00864B3F"/>
    <w:rsid w:val="008762C8"/>
    <w:rsid w:val="008D6BEC"/>
    <w:rsid w:val="008D73E3"/>
    <w:rsid w:val="00981E09"/>
    <w:rsid w:val="00A86E62"/>
    <w:rsid w:val="00B31B5C"/>
    <w:rsid w:val="00C53108"/>
    <w:rsid w:val="00C555EE"/>
    <w:rsid w:val="00CB3157"/>
    <w:rsid w:val="00D367F7"/>
    <w:rsid w:val="00D557C6"/>
    <w:rsid w:val="00DD3F99"/>
    <w:rsid w:val="00E12334"/>
    <w:rsid w:val="00E266D6"/>
    <w:rsid w:val="00E521AA"/>
    <w:rsid w:val="00E61124"/>
    <w:rsid w:val="00E86075"/>
    <w:rsid w:val="00F17C81"/>
    <w:rsid w:val="00F66A38"/>
    <w:rsid w:val="00F85190"/>
    <w:rsid w:val="00F87DFE"/>
    <w:rsid w:val="00F9528E"/>
    <w:rsid w:val="00FA5E7D"/>
    <w:rsid w:val="00FF572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F6F89F"/>
  <w14:defaultImageDpi w14:val="0"/>
  <w15:docId w15:val="{C0AFC300-B9C0-4B5E-9D32-9F01E0F71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sz w:val="22"/>
        <w:szCs w:val="22"/>
        <w:lang w:val="sk-SK" w:eastAsia="sk-SK" w:bidi="ar-SA"/>
      </w:rPr>
    </w:rPrDefault>
    <w:pPrDefault>
      <w:pPr>
        <w:spacing w:after="160" w:line="259" w:lineRule="auto"/>
      </w:pPr>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caption" w:locked="1" w:semiHidden="1" w:uiPriority="35" w:unhideWhenUsed="1" w:qFormat="1"/>
    <w:lsdException w:name="table of authorities" w:semiHidden="1" w:unhideWhenUsed="1"/>
    <w:lsdException w:name="List" w:semiHidden="1" w:unhideWhenUsed="1"/>
    <w:lsdException w:name="List Bullet" w:semiHidden="1" w:unhideWhenUsed="1"/>
    <w:lsdException w:name="Title" w:locked="1" w:uiPriority="10" w:qFormat="1"/>
    <w:lsdException w:name="Default Paragraph Font" w:locked="1"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11" w:qFormat="1"/>
    <w:lsdException w:name="Strong" w:locked="1" w:uiPriority="22" w:qFormat="1"/>
    <w:lsdException w:name="Emphasis" w:locked="1"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E266D6"/>
    <w:pPr>
      <w:widowControl w:val="0"/>
      <w:adjustRightInd w:val="0"/>
      <w:spacing w:after="0" w:line="240" w:lineRule="auto"/>
    </w:pPr>
    <w:rPr>
      <w:rFonts w:ascii="Times New Roman" w:hAnsi="Times New Roman"/>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E266D6"/>
    <w:rPr>
      <w:rFonts w:ascii="Times New Roman" w:hAnsi="Times New Roman" w:cs="Times New Roman"/>
      <w:color w:val="808080"/>
    </w:rPr>
  </w:style>
  <w:style w:type="paragraph" w:styleId="Textbubliny">
    <w:name w:val="Balloon Text"/>
    <w:basedOn w:val="Normlny"/>
    <w:link w:val="TextbublinyChar"/>
    <w:uiPriority w:val="99"/>
    <w:semiHidden/>
    <w:unhideWhenUsed/>
    <w:rsid w:val="00E266D6"/>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E266D6"/>
    <w:rPr>
      <w:rFonts w:ascii="Tahoma" w:hAnsi="Tahoma" w:cs="Tahoma"/>
      <w:sz w:val="16"/>
      <w:szCs w:val="16"/>
      <w:lang w:val="sk-SK" w:eastAsia="sk-SK"/>
    </w:rPr>
  </w:style>
  <w:style w:type="paragraph" w:customStyle="1" w:styleId="TableMsoNormalTable">
    <w:name w:val="Table_MsoNormalTable"/>
    <w:basedOn w:val="Normlny"/>
    <w:pPr>
      <w:spacing w:line="276" w:lineRule="auto"/>
    </w:pPr>
    <w:rPr>
      <w:rFonts w:ascii="Calibri" w:hAnsi="Calibri"/>
      <w:sz w:val="22"/>
    </w:rPr>
  </w:style>
  <w:style w:type="paragraph" w:styleId="Revzia">
    <w:name w:val="Revision"/>
    <w:hidden/>
    <w:uiPriority w:val="99"/>
    <w:semiHidden/>
    <w:locked/>
    <w:rsid w:val="00650FAD"/>
    <w:pPr>
      <w:spacing w:after="0" w:line="240" w:lineRule="auto"/>
    </w:pPr>
    <w:rPr>
      <w:rFonts w:ascii="Times New Roman" w:hAnsi="Times New Roman"/>
      <w:sz w:val="24"/>
      <w:szCs w:val="24"/>
    </w:rPr>
  </w:style>
  <w:style w:type="character" w:styleId="Odkaznakomentr">
    <w:name w:val="annotation reference"/>
    <w:basedOn w:val="Predvolenpsmoodseku"/>
    <w:uiPriority w:val="99"/>
    <w:rsid w:val="00650FAD"/>
    <w:rPr>
      <w:sz w:val="16"/>
      <w:szCs w:val="16"/>
    </w:rPr>
  </w:style>
  <w:style w:type="paragraph" w:styleId="Textkomentra">
    <w:name w:val="annotation text"/>
    <w:basedOn w:val="Normlny"/>
    <w:link w:val="TextkomentraChar"/>
    <w:uiPriority w:val="99"/>
    <w:rsid w:val="00650FAD"/>
    <w:rPr>
      <w:sz w:val="20"/>
      <w:szCs w:val="20"/>
    </w:rPr>
  </w:style>
  <w:style w:type="character" w:customStyle="1" w:styleId="TextkomentraChar">
    <w:name w:val="Text komentára Char"/>
    <w:basedOn w:val="Predvolenpsmoodseku"/>
    <w:link w:val="Textkomentra"/>
    <w:uiPriority w:val="99"/>
    <w:rsid w:val="00650FAD"/>
    <w:rPr>
      <w:rFonts w:ascii="Times New Roman" w:hAnsi="Times New Roman"/>
      <w:sz w:val="20"/>
      <w:szCs w:val="20"/>
    </w:rPr>
  </w:style>
  <w:style w:type="paragraph" w:styleId="Predmetkomentra">
    <w:name w:val="annotation subject"/>
    <w:basedOn w:val="Textkomentra"/>
    <w:next w:val="Textkomentra"/>
    <w:link w:val="PredmetkomentraChar"/>
    <w:uiPriority w:val="99"/>
    <w:rsid w:val="00650FAD"/>
    <w:rPr>
      <w:b/>
      <w:bCs/>
    </w:rPr>
  </w:style>
  <w:style w:type="character" w:customStyle="1" w:styleId="PredmetkomentraChar">
    <w:name w:val="Predmet komentára Char"/>
    <w:basedOn w:val="TextkomentraChar"/>
    <w:link w:val="Predmetkomentra"/>
    <w:uiPriority w:val="99"/>
    <w:rsid w:val="00650FAD"/>
    <w:rPr>
      <w:rFonts w:ascii="Times New Roman" w:hAnsi="Times New Roman"/>
      <w:b/>
      <w:bCs/>
      <w:sz w:val="20"/>
      <w:szCs w:val="20"/>
    </w:rPr>
  </w:style>
  <w:style w:type="paragraph" w:styleId="Normlnywebov">
    <w:name w:val="Normal (Web)"/>
    <w:basedOn w:val="Normlny"/>
    <w:uiPriority w:val="99"/>
    <w:unhideWhenUsed/>
    <w:rsid w:val="001363B1"/>
    <w:pPr>
      <w:widowControl/>
      <w:adjustRightInd/>
      <w:spacing w:before="100" w:beforeAutospacing="1" w:after="100" w:afterAutospacing="1"/>
    </w:pPr>
    <w:rPr>
      <w:rFonts w:cs="Times New Roman"/>
    </w:rPr>
  </w:style>
  <w:style w:type="character" w:styleId="Vrazn">
    <w:name w:val="Strong"/>
    <w:basedOn w:val="Predvolenpsmoodseku"/>
    <w:uiPriority w:val="22"/>
    <w:qFormat/>
    <w:locked/>
    <w:rsid w:val="00F66A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338</Words>
  <Characters>1933</Characters>
  <Application>Microsoft Office Word</Application>
  <DocSecurity>0</DocSecurity>
  <Lines>16</Lines>
  <Paragraphs>4</Paragraphs>
  <ScaleCrop>false</ScaleCrop>
  <HeadingPairs>
    <vt:vector size="2" baseType="variant">
      <vt:variant>
        <vt:lpstr>Názov</vt:lpstr>
      </vt:variant>
      <vt:variant>
        <vt:i4>1</vt:i4>
      </vt:variant>
    </vt:vector>
  </HeadingPairs>
  <TitlesOfParts>
    <vt:vector size="1" baseType="lpstr">
      <vt:lpstr/>
    </vt:vector>
  </TitlesOfParts>
  <Company>Abyss</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Erik Jančík</cp:lastModifiedBy>
  <cp:revision>2</cp:revision>
  <dcterms:created xsi:type="dcterms:W3CDTF">2026-09-21T08:38:00Z</dcterms:created>
  <dcterms:modified xsi:type="dcterms:W3CDTF">2026-09-21T08:38:00Z</dcterms:modified>
</cp:coreProperties>
</file>