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317/2012 Z. z. o inteligentných dopravných systémoch v cestnej doprave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LP/2025/117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42/2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36</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 k § 6 ods. 5</w:t>
              <w:br/>
            </w:r>
            <w:r>
              <w:rPr>
                <w:b w:val="off"/>
                <w:color w:val="000000"/>
                <w:rFonts w:ascii="Times New Roman" w:hAnsi="Times New Roman" w:cs="Times New Roman" w:eastAsia="Times New Roman"/>
                <w:sz w:val="24"/>
              </w:rPr>
              <w:t>Navrhujeme v § 6 ods. 5 aktuálne účinného zákona nahradiť slovné spojenie „tridsiatich dní“ slovným spojením „štrnástich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6 ods. 5 je lehota na likvidáciu získaných informácií, ktoré neboli použité podľa § 6 ods. 1 ustanovená na 30 dní. Táto lehota je neprimerane dlhá. Zákon má za cieľ vďaka získaným informáciám cez jedno centrum zabezpečiť plynulosť a bezpečnosť cestnej premávky. Naplnenie týchto cieľov sa musí konať defacto online maximálne v lehote 24 hodín, nakoľko dopravná situácia sa mení každú chvíľu. Z uvedeného dôvodu navrhujeme túto lehotu skrátiť na 14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bode 1 slovo „slová“ nahradiť slovami „tieto slová:“, v poznámke pod čiarou k odkazu 1 slovo „Nariadenia“ nahradiť slovom „nariadenia“ a na konci vypustiť slová „v platnom znení“ ako nadbytočné, v bode 4 spresniť, ktoré slovo „a“ sa má nahradiť slovom „alebo“, v bode 6 § 3 ods. 1 vypustiť slová „podľa odseku 1“ ako nadbytočné, v poznámke pod čiarou k odkazu 1a slovo „Delegované“ nahradiť slovom „delegované“ (5x), slová „(Ú. v. EÚ L 91, 3.4.2013)“ nahradiť slovami „(Ú. v. EÚ L 91, 3.4.2013) v platnom znení“, slová „(Ú. v. EÚ L 247, 18.9.2013)“ nahradiť slovami „(Ú. v. EÚ L 247, 18.9.2013) v platnom znení“ a slová „(Ú. v. EÚ L 272, 21.10.2017)“ nahradiť slovami „(Ú. v. EÚ L 272, 21.10.2017) v platnom znení“, v bode 10 slovo „Doterajší“ nahradiť slovami „V § 5 ods. 3 sa doterajší“ a slovo „1aa“ nahradiť slovom „1b“ (2x), v bode 11 slovo „1aa“ nahradiť slovom „1b“ a za slovami „č. 317/2012 Z. z“ vypustiť bodku, v bode 12 § 5 ods. 4 slovo „Smernice“ nahradiť slovom „smernice“, v bode 19 za slová „ods. 1“ vložiť slová „prvej vete“, v bode 21 za slovami „č. 164/2008 Z. z“ vypustiť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Odporúčame predkladateľovi materiálu doplniť časť 8. Preskúmanie účelnosti aj napriek tomu, že sa jedná o transpozíciu. </w:t>
              <w:br/>
            </w:r>
            <w:r>
              <w:rPr>
                <w:b w:val="off"/>
                <w:color w:val="000000"/>
                <w:rFonts w:ascii="Times New Roman" w:hAnsi="Times New Roman" w:cs="Times New Roman" w:eastAsia="Times New Roman"/>
                <w:sz w:val="24"/>
              </w:rPr>
              <w:t>Odôvodnenie: Preskúmanie účelnosti má sledovať naplnenie cieľa návrhu zákona po určitom čase, najmenej po 1 roku. Cieľom nemá byť transpozícia ako taká, ale konkrétnou transpozíciou sa sleduje dosiahnutie nejakého cieľa, ktorý je potrebné po určitom čase skontrolovať. To má byť obsahom preskúmania pomocou navoleného merateľného ukazovateľa.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Predkladaný návrh zákona predstavuje transpozíciu smernice Európskeho parlamentu a Rady (EÚ) 2023/2661, ktorou sa mení smernica 2010/40/EÚ. Transpozičné ustanovenia vyplývajú priamo z právne záväzného aktu EÚ a členské štáty nemajú pri ich preberaní do vnútroštátneho práva priestor na úpravu cieľov alebo stanovovanie vlastných merateľných ukazovateľov nad rámec samotnej smernice. Účelnosť transpozície ako takej nie je predmetom národného hodnotenia, keďže cieľ a spôsob jeho naplnenia je definovaný európskym právnym aktom. Hodnotenie účelnosti implementácie týchto opatrení je v gescii Európskej komisie, ktorá vyhodnocuje transpozíciu a jej dopady na úrovni EÚ. Národné preskúmanie účelnosti sa preto v tomto prípade nepovažuje za opodstatnené.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Odporúčame tiež predkladateľovi materiálu doplniť v časti 13. Stanovisko komisie... chýbajúce číslo materiálu PPK a to č. 38. </w:t>
              <w:br/>
            </w:r>
            <w:r>
              <w:rPr>
                <w:b w:val="off"/>
                <w:color w:val="000000"/>
                <w:rFonts w:ascii="Times New Roman" w:hAnsi="Times New Roman" w:cs="Times New Roman" w:eastAsia="Times New Roman"/>
                <w:sz w:val="24"/>
              </w:rPr>
              <w:t>Odôvodnenie. Ide o potrebný údaj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w:t>
              <w:br/>
            </w:r>
            <w:r>
              <w:rPr>
                <w:b w:val="off"/>
                <w:color w:val="000000"/>
                <w:rFonts w:ascii="Times New Roman" w:hAnsi="Times New Roman" w:cs="Times New Roman" w:eastAsia="Times New Roman"/>
                <w:sz w:val="24"/>
              </w:rPr>
              <w:t>V čl. I bode 10 navrhujeme za slová „odkazu 1“ doplniť slovo „sa“ a slovo "1aa" nahradiť slovom "1b". Zároveň navrhujeme predmetný novelizačný bod zaradiť už do čl. I novelizačného bodu 1, keďže už tam sa má nový odkaz vložiť pred prvý odkaz v texte právneho predpisu.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upravené podľa inej pripomienky, úprava odkazu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Žiadame vyznačiť v doložke vplyvov pozitívne vplyvy na informatizáciu spoločnosti a vypracovať analýzu vplyvov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sa nesprávne vysporiadal s pripomienkou v rámci PPK. Úprava API rozhraní predstavuje technickú úpravu interných systémov Národnej diaľničnej spoločnosti, a. s. a subjektov poskytujúcich dopravné informácie, vrátane vytvorenia rozhraní API na výmenu údajov v štruktúrovanej elektronickej podobe. Ide o technické opatrenia v rámci existujúcich systémov. Tvorba API rozhraní predstavuje interný nástroj na zabezpečenie interoperability medzi subjektmi, pričom tieto úpravy predstavujú zmenu informačných systémov verejnej správy podľa zákona č. 95/2019 Z. z. o informačných technológiách vo verejnej správe a o zmene a doplnení niektorých zákonov v znení neskorších predpisov, keďže Národná diaľničná spoločnosť, a. s. je síce právnickou osobou, ale v zriaďovateľskej pôsobnosti povinnej osoby - Ministerstva dopravy Slovenskej republiky. Tieto úpravy budú kryté z vlastných zdrojov Národnej diaľničnej spoločnosti, a. s. v rámci schváleného návrhu rozpočtu verejnej správy na príslušný rok a schváleného limitu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časť B. Osobitná časť.</w:t>
              <w:br/>
            </w:r>
            <w:r>
              <w:rPr>
                <w:b w:val="off"/>
                <w:color w:val="000000"/>
                <w:rFonts w:ascii="Times New Roman" w:hAnsi="Times New Roman" w:cs="Times New Roman" w:eastAsia="Times New Roman"/>
                <w:sz w:val="24"/>
              </w:rPr>
              <w:t>Odporúčame v časti K bodu 9 slová „Na vypúšťa“ nahradiť slovami „ Vypúšťa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časť B. Osobitná časť.</w:t>
              <w:br/>
            </w:r>
            <w:r>
              <w:rPr>
                <w:b w:val="off"/>
                <w:color w:val="000000"/>
                <w:rFonts w:ascii="Times New Roman" w:hAnsi="Times New Roman" w:cs="Times New Roman" w:eastAsia="Times New Roman"/>
                <w:sz w:val="24"/>
              </w:rPr>
              <w:t>Odporúčame v časti K bodu 17 slovo „anonimizácie“ nahradiť slovom „anonymizácie“.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k bodu 3 a 20.</w:t>
              <w:br/>
            </w:r>
            <w:r>
              <w:rPr>
                <w:b w:val="off"/>
                <w:color w:val="000000"/>
                <w:rFonts w:ascii="Times New Roman" w:hAnsi="Times New Roman" w:cs="Times New Roman" w:eastAsia="Times New Roman"/>
                <w:sz w:val="24"/>
              </w:rPr>
              <w:t>Odporúčame, aby sa do dôvodovej správy doplnila nasledovná veta: „Dotknuté dáta budú môcť byť sprístupňované (v rozsahu, v akom nie sú chránené inými právnymi predpismi alebo prípadnými záväzkovými vzťahmi) aj formou otvorených dát.“. Cieľom úpravy je zabezpečiť jednoduchý a nediskriminačný prístup k týmto dátam pre všetky oprávnené subjekty, vrátane verejnej správy a tretích strán, bez potreby individuálnej integrácie na konkrétne systémy. Súčasne bude možné sprístupniť tieto dáta na vyžiadanie, a to bez zbytočných administratívnych alebo technických prekážok, najmä pre subjekty, ktoré tieto dáta môžu využívať pri výkone svojich zákonom zverených kompetencií. Zároveň budú tieto dáta zverejňované v štandardizovanom formáte, v súlade s relevantnými národnými a európskymi štandardmi pre interoperabilitu a výmenu dát, tak aby bola zabezpečená ich ďalšia použiteľnosť a kompatibilita naprieč systémami a sektormi.“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Prístup k dátam generovaným inteligentnými dopravnými systémami je kľúčový pre zabezpečenie efektívneho plánovania, tvorby politík a ďalšieho rozvoja digitálnych služieb v oblasti dopravy a mobility. Otvorené a štandardizované zverejňovanie týchto dát podporuje transparentnosť, opakované použitie informácií verejného sektora a znižuje bariéry pre zapojenie rôznych subjektov, vrátane verejnej správy, akademickej sféry a súkromného sektora. S prihliadnutím na zákon č. 95/2019 Z. z. o informačných technológiách vo verejnej správe a o zmene a doplnení niektorých zákonov v znení neskorších predpisov, ako aj zákon č. 211/2000 Z. z. o slobodnom prístupe k informáciám a o zmene a doplnení niektorých zákonov v znení neskorších predpisov (zákon o slobode informácií) je žiaduce zabezpečiť, aby boli dáta poskytované v čo najotvorenejšej forme a rovnako spĺňali relevantné národné a európske štandardy. V prípadoch, v ktorých zverejnenie formou otvorených dát nie je možné (napr. z dôvodu ochrany osobných údajov, bezpečnosti alebo iných výnimiek), je potrebné umožniť oprávneným subjektom prístup k týmto dátam aspoň na základe žiadosti, bez zbytočných obštrukcií. Zabezpečenie takéhoto prístupu je v súlade s princípmi otvoreného vládnutia, efektívnej verejnej správy a podporuje digitalizáciu verejného sektora.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S cieľom spresnenia návrhu odporúčame bod 4 upraviť tak, aby bolo jednoznačné, v ktorej časti ustanovenia sa má slovo „a“ nahradiť slovom „alebo“, keďže sa slovo „a“ v tomto odseku vyskytuje 3-krát, príp. uviesť úplné znenie tohto odseku v súlade s bodom 30.3.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w:t>
              <w:br/>
            </w:r>
            <w:r>
              <w:rPr>
                <w:b w:val="off"/>
                <w:color w:val="000000"/>
                <w:rFonts w:ascii="Times New Roman" w:hAnsi="Times New Roman" w:cs="Times New Roman" w:eastAsia="Times New Roman"/>
                <w:sz w:val="24"/>
              </w:rPr>
              <w:t>V poznámke pod čiarou k odkazu 1a odporúčame za slovami „(Ú. v. EÚ L 91, 3.4.2013)“ a slovami „(Ú. v. EÚ L 272, 21.10.2017)“ vložiť slová „v platnom znení“ v súlade s bodom 62.11 prílohy č. 1 k Legislatívnym pravidlám vlády Slovenskej republiky. Zároveň odporúčame pri citácii druhého až piateho právne záväzného aktu Európskej únie vložiť za slová „Delegované nariadenie“ slovo „Komisie“ s cieľom uviesť ich úplné názvy v súlade s bodmi 62.6 a 62.9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21</w:t>
              <w:br/>
            </w:r>
            <w:r>
              <w:rPr>
                <w:b w:val="off"/>
                <w:color w:val="000000"/>
                <w:rFonts w:ascii="Times New Roman" w:hAnsi="Times New Roman" w:cs="Times New Roman" w:eastAsia="Times New Roman"/>
                <w:sz w:val="24"/>
              </w:rPr>
              <w:t>S cieľom chronologického zoradenia novelizačných bodov v čl. I návrhu odporúčame novelizačný bod 21 presunúť pred novelizačný bod 20 (§ 10 ods. 1), keďže odkaz 8, ktorý je predmetom novelizácie v bode 21, je umiestnený nad slovom „kontroly“ v § 9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čl. I bod 10 navrhujeme za slová „k odkazu 1“ vložiť slovo „sa“.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novelizačného bodu upravené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nadpise k odôvodneniu k bodu 3 a 20 navrhujeme vypustiť odkaz na bod 20. Odôvodnenie: Bod 20 sa zaoberá úpravou správnych deliktov a nie definíciou kooperatívneho dopravného systému. Dôvodová správa nižšie obsahuje aj samostatné odôvodnenie k bodu 20.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Navrhujeme opraviť odôvodnenie k bodu 9. Odôvodnenie: Vypustenie cestovného údaju upravuje čl. I bod 8 a nie 9. Bod 9 vypúšťa možnosť ministerstva dopravy ustanoviť vyhláškou špecifikácie podľa odseku 1 na poskytovanie služieb inteligentných dopravných systémov. Odôvodnenie obsahuje taktiež gramatické nedostatky.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odôvodnení k bodu 12 druhej vete navrhujeme vypustiť slovo „povinnosť“, ktoré sa v nej nachádza duplicitne.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Vo vlastnom materiáli čl. I bode 10 odporúčame pred slovo „označujú“ vložiť slovo „sa“.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Novelizačný bod upravený podľa inej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novelizačnému bodu 5. (§ 2 ods. 7)</w:t>
              <w:br/>
            </w:r>
            <w:r>
              <w:rPr>
                <w:b w:val="off"/>
                <w:color w:val="000000"/>
                <w:rFonts w:ascii="Times New Roman" w:hAnsi="Times New Roman" w:cs="Times New Roman" w:eastAsia="Times New Roman"/>
                <w:sz w:val="24"/>
              </w:rPr>
              <w:t xml:space="preserve">V odseku 7 odporúčame nad slová „osobitných predpisov“ umiestniť nový odkaz a v poznámke pod čiarou uviesť citácie právnych predpisov, podľa ktorých je povinný prevádzkovateľ služieb postupovať pri navrhovaní, realizácii, prevádzke, modernizácii a oprave inteligentných dopravných systémov, a to aspoň demonštratívnym výpočtom.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Neurčitý odkaz na všeobecne záväzné právne predpisy alebo osobitné predpisy v určitej oblasti vytvára právnu neistotu pri aplikácii tohto ustanovenia. Prevádzkovateľ služieb by mal mať uvedené čo najpresnejšie konkrétne osobitné predpisy, ktoré je v zmysle tohto ustanovenia povinný dodržiavať pod hrozbou uloženia sankcie za neplnenie povinnosti podľa § 10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novelizačnému bodu 6. (§ 3 ods. 1)</w:t>
              <w:br/>
            </w:r>
            <w:r>
              <w:rPr>
                <w:b w:val="off"/>
                <w:color w:val="000000"/>
                <w:rFonts w:ascii="Times New Roman" w:hAnsi="Times New Roman" w:cs="Times New Roman" w:eastAsia="Times New Roman"/>
                <w:sz w:val="24"/>
              </w:rPr>
              <w:t>V navrhovanej novej poslednej vete odseku 1 odporúčame vypustiť slová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Špecifikácie sa uvádzajú v predchádzajúcej vete odseku 1, do ktorého sa dopĺňa nová veta. Odkaz na ten istý odsek nedáva zmysel.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novelizačnému bodu 8. (§ 3 ods. 5 a 6)</w:t>
              <w:br/>
            </w:r>
            <w:r>
              <w:rPr>
                <w:b w:val="off"/>
                <w:color w:val="000000"/>
                <w:rFonts w:ascii="Times New Roman" w:hAnsi="Times New Roman" w:cs="Times New Roman" w:eastAsia="Times New Roman"/>
                <w:sz w:val="24"/>
              </w:rPr>
              <w:t>V odseku 6 odporúčame na konci pripojiť slová „(Ú. v. EÚ L 2023/2661, 30.11.2023)“.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 technická pripomienka. Citácia právne záväzného aktu EÚ v úplnom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novelizačnému bodu 12. (§ 5 ods. 4)</w:t>
              <w:br/>
            </w:r>
            <w:r>
              <w:rPr>
                <w:b w:val="off"/>
                <w:color w:val="000000"/>
                <w:rFonts w:ascii="Times New Roman" w:hAnsi="Times New Roman" w:cs="Times New Roman" w:eastAsia="Times New Roman"/>
                <w:sz w:val="24"/>
              </w:rPr>
              <w:t>V odseku 4 odporúčame slová „Smernice Európskeho parlamentu a Rady (EÚ) 2023/2661 z 22. novembra 2023, ktorou sa mení smernica 2010/40/EÚ o rámci na zavedenie inteligentných dopravných systémov v oblasti cestnej dopravy a na rozhrania s inými druhmi dopravy“ nahradiť slovami „smernice (EÚ) 2023/2661“.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 – technická pripomienka. Odporúčame použiť skrátenú verziu citovaného právneho aktu EÚ, keďže v texte sa už celý názov cituje v §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 6: V poznámke pod čiarou k odkazu 1a žiadame delegované nariadenie (EÚ) č.305/2013 citovať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 6: V poznámke pod čiarou k odkazu 1a žiadame delegované nariadenie (EÚ) 2017/1926 citovať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 8: Žiadame prepracovať navrhovaný § 3 ods. 6. Prílohu I smernice (EÚ) 2023/2661 je potrebné do navrhovaného zákona transponovať ako prílohu tohto zákona a následne v navrhovanom ustanovení odkazovať na danú prílohu, keďže doteraz bola zákonom č. 317/2012 Z. z. v znení neskorších predpisov transponovaná. Ak sa predkladateľ rozhodne využiť výnimku z bodu 62.4 prílohy I k Legislatívnym pravidlám vlády SR, je potrebné túto skutočnosť odôvodniť v osobitnej časti dôvodovej správy. Zároveň upozorňujeme, že ak bude využitá táto výnimka, je potrebné v navrhovanom § 3 ods. 6 odkazovať na prílohu I k smernici Európskeho parlamentu a Rady 2010/40/EÚ zo 7. júla 2010 o rámci na zavedenie inteligentných dopravných systémov v oblasti cestnej dopravy a na rozhrania s inými druhmi dopravy (Ú. v. EÚ L 207, 6.8.2010) v platnom znení.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Transpozícia smernice je dostačujúca prostredníctvom § 3 ods. 5 a 6, odkaz upravený podľa odporúčania.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 12: Upozorňujeme predkladateľa, že smernice Európskej únie sa v právnom texte necitujú a ak sa predkladateľ rozhodne využiť výnimku z bodu 62.4 prílohy I k Legislatívnym pravidlám vlády SR, je potrebné túto skutočnosť odôvodniť v osobitnej časti dôvodovej správy. Zároveň upozorňujeme, že ak bude využitá táto výnimka, je potrebné v navrhovanom § 5 ods. 4 odkazovať na prílohu III a IV k smernici Európskeho parlamentu a Rady 2010/40/EÚ zo 7. júla 2010 o rámci na zavedenie inteligentných dopravných systémov v oblasti cestnej dopravy a na rozhrania s inými druhmi dopravy (Ú. v. EÚ L 207, 6.8.2010)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1.	V ľavom záhlaví tabuľky zhody žiadame smernicu (EÚ) 2023/2661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2.	V celej tabuľke zhody so smernicou (EÚ) 2023/2661 žiadame zo stĺpca 8 vypustiť poznámku ,,MD SR“ a zo stĺpca 10 poznámku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3.	Žiadame preukázať transpozíciu čl. 1 ods. 3 písm. c) smernice (EÚ) 2023/2661. Z transpozičných opatrení nie je zrejmé ako predkladateľ zabezpečil transpozíciu doplnenia definície ,,údajov o cestnej sieti“ o infraštruktúry na nabíjanie a dopĺňanie paliva alternatívnymi palivami. V prípade, že tieto údaje spadajú pod evidenciu technických informácií a údajov v zmysle zákona č. 135/1961 Zb. v znení neskorších predpisov žiadame v stĺpci 8 – Poznámky doplniť vysvetlenie.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zákona sa ako poskytovateľ dopravných informácii do Národného dopravného informačného centra dopĺňa Úrad pre reguláciu sieťových odvetví, ktorému je podľa § 4 ods. 9 zákona č. 251/2012  o energetike a o zmene a doplnení niektorých zákonov každá osoba, ktorá prevádzkuje verejne prístupnú nabíjaciu stanicu, povinná do 30 dní oznámiť začiatok, ukončenie a zmenu tejto činnosti. Úrad pre reguláciu sieťových odvetví teda disponuje týmito údajmi, ktoré ako poskytovateľ dopravných informácii bude poskytovať Národnému dopravnému informačného centru.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4.	Žiadame preukázať transpozíciu čl. I ods. 3  písm. e) bod 25 smernice (EÚ) 2023/2661.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5.	Žiadame preukázať transpozíciu čl. I ods. 3  písm. e) bod 26 smernice (EÚ) 2023/2661.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6.	Pri preukazovaní transpozície čl. I ods. 5 smernice (EÚ) 2023/2661 žiadame v stĺpci 6  tabuľky zhody uviesť § 2 ods. 6 a ods. 7 návrhu zákona a celý § 7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7.	Pri preukazovaní transpozície čl. I ods. 6 smernice (EÚ) 2023/2661 žiadame v stĺpci 3 vyznačiť, či sa jedná o ustanovenia s bežnou transpozíciou, dobrovoľnou transpozíciou alebo ustanovenia, ktoré nie je nutné transponovať. Zároveň žiadame preukázať transpozíciu čl. I ods. 6 smernice (EÚ) 2023/2661 celým § 3 ods. 1, nie len návrhom novelizačného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8.	Transpozíciu čl. 1 ods. 15 bod 1 smernice (EÚ) 2023/2661 žiadame preukázať § 35 ods. 7 zákona 575/2001 Z. z. v znení neskorších predpisov. Pri bodoch 2 až 4 žiadame v stĺpci 3 uviesť poznámku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9.	Transpozíciu čl. II ods. 2 smernice (EÚ) 2023/2661 žiadame preukázať § 35 ods. 7 zákona 575/2001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so smernicou (EÚ) 2023/2661:</w:t>
              <w:br/>
            </w:r>
            <w:r>
              <w:rPr>
                <w:b w:val="off"/>
                <w:color w:val="000000"/>
                <w:rFonts w:ascii="Times New Roman" w:hAnsi="Times New Roman" w:cs="Times New Roman" w:eastAsia="Times New Roman"/>
                <w:sz w:val="24"/>
              </w:rPr>
              <w:t>10.	Žiadame preukázať transpozíciu všetkých príloh smernice (EÚ) 2023/2661.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Žiadame smernicu (EÚ) 2023/2661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2.	Žiadame skrátenú citáciu smernice používať nasledovne: smernica (EÚ) 2023/2661.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Žiadame Zmluvu o fungovaní Európskej únie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Žiadame smernicu 2010/40/EÚ citovať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Žiadame delegované nariadenie (EÚ) č. 305/2013 citovať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Žiadame delegované nariadenie (EÚ) 2017/1926 citovať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vlastného materiálu v MPK</w:t>
              <w:br/>
            </w:r>
            <w:r>
              <w:rPr>
                <w:b w:val="off"/>
                <w:color w:val="000000"/>
                <w:rFonts w:ascii="Times New Roman" w:hAnsi="Times New Roman" w:cs="Times New Roman" w:eastAsia="Times New Roman"/>
                <w:sz w:val="24"/>
              </w:rPr>
              <w:t>ÚNMS SR uplatňuje zásadnú pripomienku k zákonu č. 317/2012 Z. z. o inteligentných dopravných systémoch v cestnej doprave a o zmene a doplnení niektorých zákonov (ďalej ako "zákon") nad rámec materiálu v MPK. V § 2 ods. 6, v § 8 ods. 1 a v § 9 ods. 2 zákona žiadame preformulovať text odkazujúci sa na technické normy tak, aby použitie technickej normy na splnenie základných požiadaviek zákona nebolo jediným možným riešením, teda aby nedochádzalo k zozáväzneniu technickej normy.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Dosiahnutie súladu s priamo účinným nariadením Európskeho parlamentu a Rady (EÚ) č. 1025/2012 o európskej normalizácii v platnom znení (ďalej ako „nariadenie“); v ktorom sa norma definuje ako technická špecifikácia prijatá uznaným normalizačným orgánom na opakované alebo nepretržité používanie, s ktorou súlad nie je povinný. Podľa § 3 ods. 11 zákona č. 60/2018 Z. z. o technickej normalizácii v znení neskorších predpisov (ďalej len „zákon o technickej normalizácii“) je dodržiavanie slovenskej technickej normy alebo technickej normalizačnej informácie dobrovoľné. Napriek tomu, že slovenské technické normy sú vo všeobecnosti dobrovoľné, môže sa predkladateľ všeobecne záväzného právneho predpisu rozhodnúť, že dodržiavanie STN uvedenej vo všeobecne záväznom právnom predpise je záväzné. V prípade zozáväznenia slovenskej technickej normy upozorňujeme na ustanovenie § 12 ods. 2 zákona o technickej normalizácii, podľa ktorého „Výdavky na spracovanie slovenskej technickej normy v štátnom jazyku, ktorá sa uvádza priamo v texte všeobecne záväzného právneho predpisu a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Výška úhrady za poskytovanie technickej normy je uvedená vo vyhláške ÚNMS SR č. 76/2019 Z. z. o výške úhrady za poskytovanie technickej normy. V prípade zozáväznenia slovenskej technickej normy, môžu fyzické alebo právnické osoby požiadať o poskytnutie slovenskej technickej normy podľa § 15 ods. 3 zákona o technickej normalizácii, ktorý upravuje bezodplatné poskytnutie slovenskej technickej normy podľa § 12 ods. 2 zákona o technickej normalizácii.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20 (20o,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42 (40o, 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