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02F92" w14:textId="6F2DB42D" w:rsidR="00492DAB" w:rsidRPr="00492DAB" w:rsidRDefault="00054C41" w:rsidP="00492DAB">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22F51549" w14:textId="2FEE5CE7" w:rsidR="00366239" w:rsidRPr="007D7623" w:rsidRDefault="00054C41" w:rsidP="00366239">
      <w:pPr>
        <w:jc w:val="both"/>
        <w:rPr>
          <w:rFonts w:ascii="Times New Roman" w:hAnsi="Times New Roman" w:cs="Times New Roman"/>
        </w:rPr>
      </w:pPr>
      <w:r w:rsidRPr="001F1B43">
        <w:rPr>
          <w:rFonts w:ascii="Times New Roman" w:eastAsia="Calibri" w:hAnsi="Times New Roman" w:cs="Times New Roman"/>
          <w:b/>
          <w:sz w:val="24"/>
          <w:szCs w:val="24"/>
        </w:rPr>
        <w:t>Názov materiálu:</w:t>
      </w:r>
      <w:r w:rsidR="007F60A0" w:rsidRPr="007F60A0">
        <w:t xml:space="preserve"> </w:t>
      </w:r>
      <w:r w:rsidR="00366239" w:rsidRPr="007D7623">
        <w:rPr>
          <w:rFonts w:ascii="Times New Roman" w:hAnsi="Times New Roman" w:cs="Times New Roman"/>
        </w:rPr>
        <w:t xml:space="preserve">Návrh zákona, </w:t>
      </w:r>
      <w:r w:rsidR="00480E06" w:rsidRPr="00480E06">
        <w:rPr>
          <w:rFonts w:ascii="Times New Roman" w:hAnsi="Times New Roman" w:cs="Times New Roman"/>
        </w:rPr>
        <w:t>ktorým sa mení a dopĺňa zákon č. 139/1998 Z. z. o omamných látkach, psychotropných látkach a prípravkoch v znení neskorších predpisov</w:t>
      </w:r>
    </w:p>
    <w:p w14:paraId="2711DC2C" w14:textId="74C05343" w:rsidR="00054C41" w:rsidRPr="007F60A0" w:rsidRDefault="00054C41" w:rsidP="00054C41">
      <w:pPr>
        <w:jc w:val="both"/>
        <w:rPr>
          <w:rFonts w:ascii="Times New Roman" w:eastAsia="Calibri" w:hAnsi="Times New Roman" w:cs="Times New Roman"/>
          <w:bCs/>
          <w:sz w:val="24"/>
          <w:szCs w:val="24"/>
        </w:rPr>
      </w:pPr>
      <w:r w:rsidRPr="001F1B43">
        <w:rPr>
          <w:rFonts w:ascii="Times New Roman" w:eastAsia="Calibri" w:hAnsi="Times New Roman" w:cs="Times New Roman"/>
          <w:b/>
          <w:sz w:val="24"/>
          <w:szCs w:val="24"/>
        </w:rPr>
        <w:t>Predkladateľ:</w:t>
      </w:r>
      <w:r w:rsidR="007F60A0">
        <w:rPr>
          <w:rFonts w:ascii="Times New Roman" w:eastAsia="Calibri" w:hAnsi="Times New Roman" w:cs="Times New Roman"/>
          <w:b/>
          <w:sz w:val="24"/>
          <w:szCs w:val="24"/>
        </w:rPr>
        <w:t xml:space="preserve"> </w:t>
      </w:r>
      <w:r w:rsidR="00480E06">
        <w:rPr>
          <w:rFonts w:ascii="Times New Roman" w:eastAsia="Calibri" w:hAnsi="Times New Roman" w:cs="Times New Roman"/>
          <w:bCs/>
          <w:sz w:val="24"/>
          <w:szCs w:val="24"/>
        </w:rPr>
        <w:t>Ministerstvo zdravotníctva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EA2A5E" w:rsidRPr="00C929AE" w14:paraId="7BEF3D83" w14:textId="77777777" w:rsidTr="00230916">
        <w:trPr>
          <w:gridAfter w:val="2"/>
          <w:wAfter w:w="583" w:type="dxa"/>
          <w:trHeight w:val="451"/>
        </w:trPr>
        <w:tc>
          <w:tcPr>
            <w:tcW w:w="146" w:type="dxa"/>
            <w:tcBorders>
              <w:top w:val="nil"/>
              <w:left w:val="nil"/>
              <w:bottom w:val="nil"/>
              <w:right w:val="nil"/>
            </w:tcBorders>
            <w:noWrap/>
            <w:vAlign w:val="bottom"/>
            <w:hideMark/>
          </w:tcPr>
          <w:p w14:paraId="5BA7F0AC" w14:textId="77777777" w:rsidR="00EA2A5E" w:rsidRPr="00C929AE"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8" w:space="0" w:color="auto"/>
              <w:right w:val="single" w:sz="4" w:space="0" w:color="auto"/>
            </w:tcBorders>
            <w:vAlign w:val="center"/>
          </w:tcPr>
          <w:p w14:paraId="54C8CD7A" w14:textId="70FAAB41" w:rsidR="00EA2A5E" w:rsidRPr="00492DAB" w:rsidRDefault="00EA2A5E" w:rsidP="00EA2A5E">
            <w:pPr>
              <w:spacing w:after="0" w:line="240" w:lineRule="auto"/>
              <w:jc w:val="center"/>
              <w:rPr>
                <w:rFonts w:ascii="Times New Roman" w:eastAsia="Times New Roman" w:hAnsi="Times New Roman" w:cs="Times New Roman"/>
                <w:b/>
                <w:bCs/>
                <w:i/>
                <w:iCs/>
                <w:color w:val="000000"/>
                <w:sz w:val="20"/>
                <w:szCs w:val="20"/>
                <w:lang w:eastAsia="sk-SK"/>
              </w:rPr>
            </w:pPr>
            <w:r>
              <w:rPr>
                <w:b/>
                <w:bCs/>
                <w:i/>
                <w:iCs/>
                <w:color w:val="000000"/>
                <w:sz w:val="20"/>
                <w:szCs w:val="20"/>
              </w:rPr>
              <w:t>TYP NÁKLADOV</w:t>
            </w:r>
          </w:p>
        </w:tc>
        <w:tc>
          <w:tcPr>
            <w:tcW w:w="2623" w:type="dxa"/>
            <w:tcBorders>
              <w:top w:val="single" w:sz="8" w:space="0" w:color="auto"/>
              <w:left w:val="nil"/>
              <w:bottom w:val="single" w:sz="8" w:space="0" w:color="auto"/>
              <w:right w:val="single" w:sz="4" w:space="0" w:color="auto"/>
            </w:tcBorders>
            <w:shd w:val="clear" w:color="000000" w:fill="FFC000"/>
            <w:vAlign w:val="center"/>
          </w:tcPr>
          <w:p w14:paraId="367F96BD" w14:textId="5B88C3B7"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Zvýšenie nákladov v € na PP</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tcPr>
          <w:p w14:paraId="57C6AD32" w14:textId="28C91AEC"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Zníženie nákladov v € na PP</w:t>
            </w:r>
          </w:p>
        </w:tc>
      </w:tr>
      <w:tr w:rsidR="00EA2A5E" w:rsidRPr="00C929AE" w14:paraId="0F790483" w14:textId="77777777" w:rsidTr="00230916">
        <w:trPr>
          <w:gridAfter w:val="2"/>
          <w:wAfter w:w="583" w:type="dxa"/>
          <w:trHeight w:val="600"/>
        </w:trPr>
        <w:tc>
          <w:tcPr>
            <w:tcW w:w="146" w:type="dxa"/>
            <w:tcBorders>
              <w:top w:val="nil"/>
              <w:left w:val="nil"/>
              <w:bottom w:val="nil"/>
              <w:right w:val="nil"/>
            </w:tcBorders>
            <w:noWrap/>
            <w:vAlign w:val="bottom"/>
            <w:hideMark/>
          </w:tcPr>
          <w:p w14:paraId="2417CF71" w14:textId="77777777" w:rsidR="00EA2A5E" w:rsidRPr="00C929AE"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407DD77A" w14:textId="461AA899" w:rsidR="00EA2A5E" w:rsidRPr="00492DAB" w:rsidRDefault="00EA2A5E" w:rsidP="00EA2A5E">
            <w:pPr>
              <w:spacing w:after="0" w:line="240" w:lineRule="auto"/>
              <w:rPr>
                <w:rFonts w:ascii="Times New Roman" w:eastAsia="Times New Roman" w:hAnsi="Times New Roman" w:cs="Times New Roman"/>
                <w:b/>
                <w:bCs/>
                <w:i/>
                <w:iCs/>
                <w:color w:val="000000"/>
                <w:sz w:val="20"/>
                <w:szCs w:val="20"/>
                <w:lang w:eastAsia="sk-SK"/>
              </w:rPr>
            </w:pPr>
            <w:proofErr w:type="spellStart"/>
            <w:r>
              <w:rPr>
                <w:b/>
                <w:bCs/>
                <w:i/>
                <w:iCs/>
                <w:color w:val="000000"/>
                <w:sz w:val="20"/>
                <w:szCs w:val="20"/>
              </w:rPr>
              <w:t>A.Dane</w:t>
            </w:r>
            <w:proofErr w:type="spellEnd"/>
            <w:r>
              <w:rPr>
                <w:b/>
                <w:bCs/>
                <w:i/>
                <w:iCs/>
                <w:color w:val="000000"/>
                <w:sz w:val="20"/>
                <w:szCs w:val="20"/>
              </w:rPr>
              <w:t xml:space="preserve">, odvody, clá a poplatky, ktorých cieľom je znižovať negatívne </w:t>
            </w:r>
            <w:proofErr w:type="spellStart"/>
            <w:r>
              <w:rPr>
                <w:b/>
                <w:bCs/>
                <w:i/>
                <w:iCs/>
                <w:color w:val="000000"/>
                <w:sz w:val="20"/>
                <w:szCs w:val="20"/>
              </w:rPr>
              <w:t>externality</w:t>
            </w:r>
            <w:proofErr w:type="spellEnd"/>
          </w:p>
        </w:tc>
        <w:tc>
          <w:tcPr>
            <w:tcW w:w="2623" w:type="dxa"/>
            <w:tcBorders>
              <w:top w:val="nil"/>
              <w:left w:val="nil"/>
              <w:bottom w:val="single" w:sz="4" w:space="0" w:color="auto"/>
              <w:right w:val="single" w:sz="4" w:space="0" w:color="auto"/>
            </w:tcBorders>
            <w:shd w:val="clear" w:color="000000" w:fill="FFC000"/>
            <w:vAlign w:val="center"/>
          </w:tcPr>
          <w:p w14:paraId="36C02A5A" w14:textId="07C2DFC2"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tcPr>
          <w:p w14:paraId="0525A008" w14:textId="5A0ED7B6"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EA2A5E" w:rsidRPr="00C929AE" w14:paraId="37B64D12" w14:textId="77777777" w:rsidTr="00230916">
        <w:trPr>
          <w:gridAfter w:val="2"/>
          <w:wAfter w:w="583" w:type="dxa"/>
          <w:trHeight w:val="420"/>
        </w:trPr>
        <w:tc>
          <w:tcPr>
            <w:tcW w:w="146" w:type="dxa"/>
            <w:tcBorders>
              <w:top w:val="nil"/>
              <w:left w:val="nil"/>
              <w:bottom w:val="nil"/>
              <w:right w:val="nil"/>
            </w:tcBorders>
            <w:noWrap/>
            <w:vAlign w:val="bottom"/>
            <w:hideMark/>
          </w:tcPr>
          <w:p w14:paraId="30AED282" w14:textId="77777777" w:rsidR="00EA2A5E" w:rsidRPr="00C929AE"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3DCE928E" w14:textId="067650D7" w:rsidR="00EA2A5E" w:rsidRPr="00492DAB" w:rsidRDefault="00EA2A5E" w:rsidP="00EA2A5E">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B. Iné poplatky</w:t>
            </w:r>
          </w:p>
        </w:tc>
        <w:tc>
          <w:tcPr>
            <w:tcW w:w="2623" w:type="dxa"/>
            <w:tcBorders>
              <w:top w:val="nil"/>
              <w:left w:val="nil"/>
              <w:bottom w:val="single" w:sz="4" w:space="0" w:color="auto"/>
              <w:right w:val="single" w:sz="4" w:space="0" w:color="auto"/>
            </w:tcBorders>
            <w:shd w:val="clear" w:color="000000" w:fill="FFC000"/>
            <w:vAlign w:val="center"/>
          </w:tcPr>
          <w:p w14:paraId="38D91672" w14:textId="0407F4EB" w:rsidR="00EA2A5E" w:rsidRPr="00492DAB" w:rsidRDefault="00EA2A5E" w:rsidP="00EA2A5E">
            <w:pPr>
              <w:spacing w:after="0" w:line="240" w:lineRule="auto"/>
              <w:jc w:val="center"/>
              <w:rPr>
                <w:rFonts w:ascii="Times New Roman" w:eastAsia="Times New Roman" w:hAnsi="Times New Roman" w:cs="Times New Roman"/>
                <w:color w:val="000000"/>
                <w:sz w:val="20"/>
                <w:szCs w:val="20"/>
                <w:lang w:eastAsia="sk-SK"/>
              </w:rPr>
            </w:pPr>
            <w:r>
              <w:rPr>
                <w:b/>
                <w:bCs/>
                <w:color w:val="000000"/>
                <w:sz w:val="20"/>
                <w:szCs w:val="20"/>
              </w:rPr>
              <w:t>135</w:t>
            </w:r>
          </w:p>
        </w:tc>
        <w:tc>
          <w:tcPr>
            <w:tcW w:w="2622" w:type="dxa"/>
            <w:gridSpan w:val="3"/>
            <w:tcBorders>
              <w:top w:val="nil"/>
              <w:left w:val="nil"/>
              <w:bottom w:val="single" w:sz="4" w:space="0" w:color="auto"/>
              <w:right w:val="single" w:sz="8" w:space="0" w:color="auto"/>
            </w:tcBorders>
            <w:shd w:val="clear" w:color="000000" w:fill="92D050"/>
            <w:vAlign w:val="center"/>
          </w:tcPr>
          <w:p w14:paraId="7B3EEA7A" w14:textId="404B8050"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EA2A5E" w:rsidRPr="00C929AE" w14:paraId="21231540" w14:textId="77777777" w:rsidTr="00230916">
        <w:trPr>
          <w:gridAfter w:val="2"/>
          <w:wAfter w:w="583" w:type="dxa"/>
          <w:trHeight w:val="435"/>
        </w:trPr>
        <w:tc>
          <w:tcPr>
            <w:tcW w:w="146" w:type="dxa"/>
            <w:tcBorders>
              <w:top w:val="nil"/>
              <w:left w:val="nil"/>
              <w:bottom w:val="nil"/>
              <w:right w:val="nil"/>
            </w:tcBorders>
            <w:noWrap/>
            <w:vAlign w:val="bottom"/>
            <w:hideMark/>
          </w:tcPr>
          <w:p w14:paraId="67B78407" w14:textId="77777777" w:rsidR="00EA2A5E" w:rsidRPr="00C929AE"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0650EE3E" w14:textId="2B864598" w:rsidR="00EA2A5E" w:rsidRPr="00492DAB" w:rsidRDefault="00EA2A5E" w:rsidP="00EA2A5E">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C. Sankcie a pokuty</w:t>
            </w:r>
          </w:p>
        </w:tc>
        <w:tc>
          <w:tcPr>
            <w:tcW w:w="2623" w:type="dxa"/>
            <w:tcBorders>
              <w:top w:val="nil"/>
              <w:left w:val="nil"/>
              <w:bottom w:val="single" w:sz="4" w:space="0" w:color="auto"/>
              <w:right w:val="single" w:sz="4" w:space="0" w:color="auto"/>
            </w:tcBorders>
            <w:shd w:val="clear" w:color="000000" w:fill="FFC000"/>
            <w:vAlign w:val="center"/>
          </w:tcPr>
          <w:p w14:paraId="69D07100" w14:textId="5928AB76"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16 596</w:t>
            </w:r>
          </w:p>
        </w:tc>
        <w:tc>
          <w:tcPr>
            <w:tcW w:w="2622" w:type="dxa"/>
            <w:gridSpan w:val="3"/>
            <w:tcBorders>
              <w:top w:val="nil"/>
              <w:left w:val="nil"/>
              <w:bottom w:val="single" w:sz="4" w:space="0" w:color="auto"/>
              <w:right w:val="single" w:sz="8" w:space="0" w:color="auto"/>
            </w:tcBorders>
            <w:shd w:val="clear" w:color="000000" w:fill="92D050"/>
            <w:vAlign w:val="center"/>
          </w:tcPr>
          <w:p w14:paraId="7C8BFAD7" w14:textId="0846C681"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EA2A5E" w:rsidRPr="00C929AE" w14:paraId="280383DA" w14:textId="77777777" w:rsidTr="00230916">
        <w:trPr>
          <w:gridAfter w:val="2"/>
          <w:wAfter w:w="583" w:type="dxa"/>
          <w:trHeight w:val="480"/>
        </w:trPr>
        <w:tc>
          <w:tcPr>
            <w:tcW w:w="146" w:type="dxa"/>
            <w:tcBorders>
              <w:top w:val="nil"/>
              <w:left w:val="nil"/>
              <w:bottom w:val="nil"/>
              <w:right w:val="nil"/>
            </w:tcBorders>
            <w:noWrap/>
            <w:vAlign w:val="bottom"/>
            <w:hideMark/>
          </w:tcPr>
          <w:p w14:paraId="59F2F790" w14:textId="77777777" w:rsidR="00EA2A5E" w:rsidRPr="00C929AE"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59103BCF" w14:textId="1E3A0746" w:rsidR="00EA2A5E" w:rsidRPr="00492DAB" w:rsidRDefault="00EA2A5E" w:rsidP="00EA2A5E">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D. Nepriame finančné náklady</w:t>
            </w:r>
          </w:p>
        </w:tc>
        <w:tc>
          <w:tcPr>
            <w:tcW w:w="2623" w:type="dxa"/>
            <w:tcBorders>
              <w:top w:val="nil"/>
              <w:left w:val="nil"/>
              <w:bottom w:val="single" w:sz="4" w:space="0" w:color="auto"/>
              <w:right w:val="single" w:sz="4" w:space="0" w:color="auto"/>
            </w:tcBorders>
            <w:shd w:val="clear" w:color="000000" w:fill="FFC000"/>
            <w:vAlign w:val="center"/>
          </w:tcPr>
          <w:p w14:paraId="5ED34EA3" w14:textId="3335DC0D"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tcPr>
          <w:p w14:paraId="6B7CA645" w14:textId="3447AD79"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EA2A5E" w:rsidRPr="00C929AE" w14:paraId="547BC8DA" w14:textId="77777777" w:rsidTr="00230916">
        <w:trPr>
          <w:gridAfter w:val="2"/>
          <w:wAfter w:w="583" w:type="dxa"/>
          <w:trHeight w:val="480"/>
        </w:trPr>
        <w:tc>
          <w:tcPr>
            <w:tcW w:w="146" w:type="dxa"/>
            <w:tcBorders>
              <w:top w:val="nil"/>
              <w:left w:val="nil"/>
              <w:bottom w:val="nil"/>
              <w:right w:val="nil"/>
            </w:tcBorders>
            <w:noWrap/>
            <w:vAlign w:val="bottom"/>
          </w:tcPr>
          <w:p w14:paraId="29E6137F" w14:textId="77777777" w:rsidR="00EA2A5E" w:rsidRPr="00C929AE"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nil"/>
              <w:right w:val="single" w:sz="4" w:space="0" w:color="auto"/>
            </w:tcBorders>
            <w:vAlign w:val="center"/>
          </w:tcPr>
          <w:p w14:paraId="7A86A5AE" w14:textId="3CD6D120" w:rsidR="00EA2A5E" w:rsidRPr="00492DAB" w:rsidRDefault="00EA2A5E" w:rsidP="00EA2A5E">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E. Administratívne náklady</w:t>
            </w:r>
          </w:p>
        </w:tc>
        <w:tc>
          <w:tcPr>
            <w:tcW w:w="2623" w:type="dxa"/>
            <w:tcBorders>
              <w:top w:val="nil"/>
              <w:left w:val="nil"/>
              <w:bottom w:val="nil"/>
              <w:right w:val="single" w:sz="4" w:space="0" w:color="auto"/>
            </w:tcBorders>
            <w:shd w:val="clear" w:color="000000" w:fill="FFC000"/>
            <w:vAlign w:val="center"/>
          </w:tcPr>
          <w:p w14:paraId="1A8F0D68" w14:textId="18218E1F"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248</w:t>
            </w:r>
          </w:p>
        </w:tc>
        <w:tc>
          <w:tcPr>
            <w:tcW w:w="2622" w:type="dxa"/>
            <w:gridSpan w:val="3"/>
            <w:tcBorders>
              <w:top w:val="nil"/>
              <w:left w:val="nil"/>
              <w:bottom w:val="nil"/>
              <w:right w:val="single" w:sz="8" w:space="0" w:color="auto"/>
            </w:tcBorders>
            <w:shd w:val="clear" w:color="000000" w:fill="92D050"/>
            <w:vAlign w:val="center"/>
          </w:tcPr>
          <w:p w14:paraId="7D0218BB" w14:textId="5A55F867"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EA2A5E" w:rsidRPr="00C929AE" w14:paraId="10B7BDC5" w14:textId="77777777" w:rsidTr="00230916">
        <w:trPr>
          <w:gridAfter w:val="2"/>
          <w:wAfter w:w="583" w:type="dxa"/>
          <w:trHeight w:val="600"/>
        </w:trPr>
        <w:tc>
          <w:tcPr>
            <w:tcW w:w="146" w:type="dxa"/>
            <w:tcBorders>
              <w:top w:val="nil"/>
              <w:left w:val="nil"/>
              <w:bottom w:val="nil"/>
              <w:right w:val="nil"/>
            </w:tcBorders>
            <w:noWrap/>
            <w:vAlign w:val="bottom"/>
            <w:hideMark/>
          </w:tcPr>
          <w:p w14:paraId="2BD5240B" w14:textId="77777777" w:rsidR="00EA2A5E" w:rsidRPr="00C929AE"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8" w:space="0" w:color="auto"/>
              <w:right w:val="single" w:sz="4" w:space="0" w:color="auto"/>
            </w:tcBorders>
            <w:vAlign w:val="center"/>
          </w:tcPr>
          <w:p w14:paraId="2AD49376" w14:textId="2F2769A6" w:rsidR="00EA2A5E" w:rsidRPr="00492DAB" w:rsidRDefault="00EA2A5E" w:rsidP="00EA2A5E">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Spolu = A+B+C+D+E</w:t>
            </w:r>
          </w:p>
        </w:tc>
        <w:tc>
          <w:tcPr>
            <w:tcW w:w="2623" w:type="dxa"/>
            <w:tcBorders>
              <w:top w:val="single" w:sz="8" w:space="0" w:color="auto"/>
              <w:left w:val="nil"/>
              <w:bottom w:val="single" w:sz="8" w:space="0" w:color="auto"/>
              <w:right w:val="single" w:sz="4" w:space="0" w:color="auto"/>
            </w:tcBorders>
            <w:shd w:val="clear" w:color="000000" w:fill="FFC000"/>
            <w:vAlign w:val="center"/>
          </w:tcPr>
          <w:p w14:paraId="3829EB10" w14:textId="160CE42B"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16 979</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tcPr>
          <w:p w14:paraId="3B2B8C72" w14:textId="0799F774"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EA2A5E" w:rsidRPr="00C929AE" w14:paraId="3B916623" w14:textId="77777777" w:rsidTr="00230916">
        <w:trPr>
          <w:trHeight w:val="270"/>
        </w:trPr>
        <w:tc>
          <w:tcPr>
            <w:tcW w:w="146" w:type="dxa"/>
            <w:tcBorders>
              <w:top w:val="nil"/>
              <w:left w:val="nil"/>
              <w:bottom w:val="nil"/>
              <w:right w:val="nil"/>
            </w:tcBorders>
            <w:noWrap/>
            <w:vAlign w:val="bottom"/>
            <w:hideMark/>
          </w:tcPr>
          <w:p w14:paraId="73F7E590" w14:textId="77777777" w:rsidR="00EA2A5E" w:rsidRPr="00C929AE"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center"/>
          </w:tcPr>
          <w:p w14:paraId="082EAB98" w14:textId="77777777" w:rsidR="00EA2A5E" w:rsidRPr="00492DAB"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tcPr>
          <w:p w14:paraId="01799773" w14:textId="77777777" w:rsidR="00EA2A5E" w:rsidRPr="00492DAB" w:rsidRDefault="00EA2A5E" w:rsidP="00EA2A5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tcPr>
          <w:p w14:paraId="30B3D738" w14:textId="77777777" w:rsidR="00EA2A5E" w:rsidRPr="00492DAB" w:rsidRDefault="00EA2A5E" w:rsidP="00EA2A5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tcPr>
          <w:p w14:paraId="7E543AE9" w14:textId="77777777" w:rsidR="00EA2A5E" w:rsidRPr="00492DAB" w:rsidRDefault="00EA2A5E" w:rsidP="00EA2A5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064F180" w14:textId="77777777" w:rsidR="00EA2A5E" w:rsidRPr="00C929AE" w:rsidRDefault="00EA2A5E" w:rsidP="00EA2A5E">
            <w:pPr>
              <w:spacing w:after="0" w:line="240" w:lineRule="auto"/>
              <w:rPr>
                <w:rFonts w:ascii="Times New Roman" w:eastAsia="Times New Roman" w:hAnsi="Times New Roman" w:cs="Times New Roman"/>
                <w:i/>
                <w:iCs/>
                <w:color w:val="000000"/>
                <w:sz w:val="20"/>
                <w:szCs w:val="20"/>
                <w:lang w:eastAsia="sk-SK"/>
              </w:rPr>
            </w:pPr>
          </w:p>
        </w:tc>
      </w:tr>
      <w:tr w:rsidR="00EA2A5E" w:rsidRPr="00C929AE" w14:paraId="52849A6C" w14:textId="77777777" w:rsidTr="00230916">
        <w:trPr>
          <w:gridAfter w:val="2"/>
          <w:wAfter w:w="583" w:type="dxa"/>
          <w:trHeight w:val="412"/>
        </w:trPr>
        <w:tc>
          <w:tcPr>
            <w:tcW w:w="146" w:type="dxa"/>
            <w:tcBorders>
              <w:top w:val="nil"/>
              <w:left w:val="nil"/>
              <w:bottom w:val="nil"/>
              <w:right w:val="nil"/>
            </w:tcBorders>
            <w:noWrap/>
            <w:vAlign w:val="bottom"/>
            <w:hideMark/>
          </w:tcPr>
          <w:p w14:paraId="54080DC1" w14:textId="77777777" w:rsidR="00EA2A5E" w:rsidRPr="00C929AE"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8" w:space="0" w:color="auto"/>
              <w:right w:val="single" w:sz="4" w:space="0" w:color="auto"/>
            </w:tcBorders>
            <w:vAlign w:val="center"/>
          </w:tcPr>
          <w:p w14:paraId="54048073" w14:textId="38B6C89A" w:rsidR="00EA2A5E" w:rsidRPr="00492DAB" w:rsidRDefault="00EA2A5E" w:rsidP="00EA2A5E">
            <w:pPr>
              <w:spacing w:after="0" w:line="240" w:lineRule="auto"/>
              <w:rPr>
                <w:rFonts w:ascii="Times New Roman" w:eastAsia="Times New Roman" w:hAnsi="Times New Roman" w:cs="Times New Roman"/>
                <w:i/>
                <w:iCs/>
                <w:color w:val="000000"/>
                <w:lang w:eastAsia="sk-SK"/>
              </w:rPr>
            </w:pPr>
            <w:r>
              <w:rPr>
                <w:b/>
                <w:bCs/>
                <w:i/>
                <w:iCs/>
                <w:color w:val="000000"/>
                <w:sz w:val="20"/>
                <w:szCs w:val="20"/>
              </w:rPr>
              <w:t>Harmonizácia práva EÚ</w:t>
            </w:r>
          </w:p>
        </w:tc>
        <w:tc>
          <w:tcPr>
            <w:tcW w:w="2623" w:type="dxa"/>
            <w:tcBorders>
              <w:top w:val="single" w:sz="8" w:space="0" w:color="auto"/>
              <w:left w:val="nil"/>
              <w:bottom w:val="single" w:sz="8" w:space="0" w:color="auto"/>
              <w:right w:val="single" w:sz="4" w:space="0" w:color="auto"/>
            </w:tcBorders>
            <w:shd w:val="clear" w:color="000000" w:fill="FFC000"/>
            <w:vAlign w:val="center"/>
          </w:tcPr>
          <w:p w14:paraId="4BC0A5BA" w14:textId="573A7CE8"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Zvýšenie nákladov v € na PP</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tcPr>
          <w:p w14:paraId="38A2A444" w14:textId="79D6BCA0"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Zníženie nákladov v € na PP</w:t>
            </w:r>
          </w:p>
        </w:tc>
      </w:tr>
      <w:tr w:rsidR="00EA2A5E" w:rsidRPr="00C929AE" w14:paraId="26126FD6" w14:textId="77777777" w:rsidTr="00230916">
        <w:trPr>
          <w:gridAfter w:val="2"/>
          <w:wAfter w:w="583" w:type="dxa"/>
          <w:trHeight w:val="840"/>
        </w:trPr>
        <w:tc>
          <w:tcPr>
            <w:tcW w:w="146" w:type="dxa"/>
            <w:tcBorders>
              <w:top w:val="nil"/>
              <w:left w:val="nil"/>
              <w:bottom w:val="nil"/>
              <w:right w:val="nil"/>
            </w:tcBorders>
            <w:noWrap/>
            <w:vAlign w:val="bottom"/>
            <w:hideMark/>
          </w:tcPr>
          <w:p w14:paraId="4424F348" w14:textId="77777777" w:rsidR="00EA2A5E" w:rsidRPr="00C929AE"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nil"/>
              <w:right w:val="single" w:sz="4" w:space="0" w:color="auto"/>
            </w:tcBorders>
            <w:vAlign w:val="center"/>
          </w:tcPr>
          <w:p w14:paraId="5895E706" w14:textId="690A2D48" w:rsidR="00EA2A5E" w:rsidRPr="00492DAB" w:rsidRDefault="00EA2A5E" w:rsidP="00EA2A5E">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F. Úplná harmonizácia práva EÚ</w:t>
            </w:r>
            <w:r>
              <w:rPr>
                <w:b/>
                <w:bCs/>
                <w:i/>
                <w:iCs/>
                <w:color w:val="000000"/>
                <w:sz w:val="20"/>
                <w:szCs w:val="20"/>
              </w:rPr>
              <w:br/>
            </w:r>
            <w:r>
              <w:rPr>
                <w:i/>
                <w:iCs/>
                <w:color w:val="000000"/>
                <w:sz w:val="16"/>
                <w:szCs w:val="16"/>
              </w:rPr>
              <w:t xml:space="preserve">(okrem daní, odvodov, ciel a poplatkov, ktorých cieľom je znižovať negatívne </w:t>
            </w:r>
            <w:proofErr w:type="spellStart"/>
            <w:r>
              <w:rPr>
                <w:i/>
                <w:iCs/>
                <w:color w:val="000000"/>
                <w:sz w:val="16"/>
                <w:szCs w:val="16"/>
              </w:rPr>
              <w:t>externality</w:t>
            </w:r>
            <w:proofErr w:type="spellEnd"/>
            <w:r>
              <w:rPr>
                <w:i/>
                <w:iCs/>
                <w:color w:val="000000"/>
                <w:sz w:val="16"/>
                <w:szCs w:val="16"/>
              </w:rPr>
              <w:t>)</w:t>
            </w:r>
          </w:p>
        </w:tc>
        <w:tc>
          <w:tcPr>
            <w:tcW w:w="2623" w:type="dxa"/>
            <w:tcBorders>
              <w:top w:val="nil"/>
              <w:left w:val="nil"/>
              <w:bottom w:val="nil"/>
              <w:right w:val="single" w:sz="4" w:space="0" w:color="auto"/>
            </w:tcBorders>
            <w:shd w:val="clear" w:color="000000" w:fill="FFC000"/>
            <w:vAlign w:val="center"/>
          </w:tcPr>
          <w:p w14:paraId="09CCB12B" w14:textId="46780829"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nil"/>
              <w:left w:val="nil"/>
              <w:bottom w:val="nil"/>
              <w:right w:val="single" w:sz="8" w:space="0" w:color="auto"/>
            </w:tcBorders>
            <w:shd w:val="clear" w:color="000000" w:fill="92D050"/>
            <w:vAlign w:val="center"/>
          </w:tcPr>
          <w:p w14:paraId="0CB565E3" w14:textId="05DDE10B"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EA2A5E" w:rsidRPr="00C929AE" w14:paraId="2B062396" w14:textId="77777777" w:rsidTr="00230916">
        <w:trPr>
          <w:gridAfter w:val="2"/>
          <w:wAfter w:w="583" w:type="dxa"/>
          <w:trHeight w:val="486"/>
        </w:trPr>
        <w:tc>
          <w:tcPr>
            <w:tcW w:w="146" w:type="dxa"/>
            <w:tcBorders>
              <w:top w:val="nil"/>
              <w:left w:val="nil"/>
              <w:bottom w:val="nil"/>
              <w:right w:val="nil"/>
            </w:tcBorders>
            <w:noWrap/>
            <w:vAlign w:val="bottom"/>
            <w:hideMark/>
          </w:tcPr>
          <w:p w14:paraId="2C592B53" w14:textId="77777777" w:rsidR="00EA2A5E" w:rsidRPr="00C929AE"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8" w:space="0" w:color="auto"/>
              <w:right w:val="single" w:sz="4" w:space="0" w:color="auto"/>
            </w:tcBorders>
            <w:vAlign w:val="center"/>
          </w:tcPr>
          <w:p w14:paraId="73DFED09" w14:textId="2C0F15CD" w:rsidR="00EA2A5E" w:rsidRPr="00492DAB" w:rsidRDefault="00EA2A5E" w:rsidP="00EA2A5E">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 xml:space="preserve">G. </w:t>
            </w:r>
            <w:proofErr w:type="spellStart"/>
            <w:r>
              <w:rPr>
                <w:b/>
                <w:bCs/>
                <w:i/>
                <w:iCs/>
                <w:color w:val="000000"/>
                <w:sz w:val="20"/>
                <w:szCs w:val="20"/>
              </w:rPr>
              <w:t>Goldplating</w:t>
            </w:r>
            <w:proofErr w:type="spellEnd"/>
          </w:p>
        </w:tc>
        <w:tc>
          <w:tcPr>
            <w:tcW w:w="2623" w:type="dxa"/>
            <w:tcBorders>
              <w:top w:val="single" w:sz="8" w:space="0" w:color="auto"/>
              <w:left w:val="nil"/>
              <w:bottom w:val="single" w:sz="8" w:space="0" w:color="auto"/>
              <w:right w:val="single" w:sz="4" w:space="0" w:color="auto"/>
            </w:tcBorders>
            <w:shd w:val="clear" w:color="000000" w:fill="FFC000"/>
            <w:vAlign w:val="center"/>
          </w:tcPr>
          <w:p w14:paraId="709562F6" w14:textId="59C412CB"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tcPr>
          <w:p w14:paraId="2E025867" w14:textId="5211CDDC"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EA2A5E" w:rsidRPr="00C929AE" w14:paraId="665D2803" w14:textId="77777777" w:rsidTr="002C3388">
        <w:trPr>
          <w:trHeight w:val="360"/>
        </w:trPr>
        <w:tc>
          <w:tcPr>
            <w:tcW w:w="146" w:type="dxa"/>
            <w:tcBorders>
              <w:top w:val="nil"/>
              <w:left w:val="nil"/>
              <w:bottom w:val="nil"/>
              <w:right w:val="nil"/>
            </w:tcBorders>
            <w:noWrap/>
            <w:vAlign w:val="bottom"/>
            <w:hideMark/>
          </w:tcPr>
          <w:p w14:paraId="259005DD" w14:textId="77777777" w:rsidR="00EA2A5E" w:rsidRPr="00C929AE"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tcPr>
          <w:p w14:paraId="213DB6FE" w14:textId="77777777" w:rsidR="00EA2A5E" w:rsidRPr="00C929AE"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tcPr>
          <w:p w14:paraId="57A20198" w14:textId="77777777" w:rsidR="00EA2A5E" w:rsidRPr="00C929AE" w:rsidRDefault="00EA2A5E" w:rsidP="00EA2A5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tcPr>
          <w:p w14:paraId="7D23FD74" w14:textId="77777777" w:rsidR="00EA2A5E" w:rsidRPr="00C929AE" w:rsidRDefault="00EA2A5E" w:rsidP="00EA2A5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bottom"/>
          </w:tcPr>
          <w:p w14:paraId="68BF5827" w14:textId="77777777" w:rsidR="00EA2A5E" w:rsidRPr="00C929AE" w:rsidRDefault="00EA2A5E" w:rsidP="00EA2A5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FA5CAAE" w14:textId="77777777" w:rsidR="00EA2A5E" w:rsidRPr="00C929AE" w:rsidRDefault="00EA2A5E" w:rsidP="00EA2A5E">
            <w:pPr>
              <w:spacing w:after="0" w:line="240" w:lineRule="auto"/>
              <w:rPr>
                <w:rFonts w:ascii="Times New Roman" w:eastAsia="Times New Roman" w:hAnsi="Times New Roman" w:cs="Times New Roman"/>
                <w:i/>
                <w:iCs/>
                <w:color w:val="000000"/>
                <w:sz w:val="20"/>
                <w:szCs w:val="20"/>
                <w:lang w:eastAsia="sk-SK"/>
              </w:rPr>
            </w:pPr>
          </w:p>
        </w:tc>
      </w:tr>
      <w:tr w:rsidR="00EA2A5E" w:rsidRPr="00C929AE" w14:paraId="578385C8" w14:textId="77777777" w:rsidTr="002C3388">
        <w:trPr>
          <w:gridAfter w:val="2"/>
          <w:wAfter w:w="583" w:type="dxa"/>
          <w:trHeight w:val="390"/>
        </w:trPr>
        <w:tc>
          <w:tcPr>
            <w:tcW w:w="146" w:type="dxa"/>
            <w:tcBorders>
              <w:top w:val="nil"/>
              <w:left w:val="nil"/>
              <w:bottom w:val="nil"/>
              <w:right w:val="nil"/>
            </w:tcBorders>
            <w:noWrap/>
            <w:vAlign w:val="bottom"/>
            <w:hideMark/>
          </w:tcPr>
          <w:p w14:paraId="1ED4DAC7" w14:textId="77777777" w:rsidR="00EA2A5E" w:rsidRPr="00C929AE"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bottom"/>
          </w:tcPr>
          <w:p w14:paraId="66D9B60B" w14:textId="10136224" w:rsidR="00EA2A5E" w:rsidRPr="00492DAB" w:rsidRDefault="00EA2A5E" w:rsidP="00EA2A5E">
            <w:pPr>
              <w:spacing w:after="0" w:line="240" w:lineRule="auto"/>
              <w:rPr>
                <w:rFonts w:ascii="Times New Roman" w:eastAsia="Times New Roman" w:hAnsi="Times New Roman" w:cs="Times New Roman"/>
                <w:i/>
                <w:iCs/>
                <w:color w:val="000000"/>
                <w:sz w:val="20"/>
                <w:szCs w:val="20"/>
                <w:lang w:eastAsia="sk-SK"/>
              </w:rPr>
            </w:pPr>
          </w:p>
        </w:tc>
        <w:tc>
          <w:tcPr>
            <w:tcW w:w="2623" w:type="dxa"/>
            <w:tcBorders>
              <w:top w:val="single" w:sz="8" w:space="0" w:color="auto"/>
              <w:left w:val="nil"/>
              <w:bottom w:val="single" w:sz="4" w:space="0" w:color="auto"/>
              <w:right w:val="single" w:sz="4" w:space="0" w:color="auto"/>
            </w:tcBorders>
            <w:shd w:val="clear" w:color="000000" w:fill="FFC000"/>
            <w:vAlign w:val="center"/>
          </w:tcPr>
          <w:p w14:paraId="4929B536" w14:textId="52A8C429" w:rsidR="00EA2A5E" w:rsidRPr="00492DAB" w:rsidRDefault="00EA2A5E" w:rsidP="00EA2A5E">
            <w:pPr>
              <w:spacing w:after="0" w:line="240" w:lineRule="auto"/>
              <w:jc w:val="center"/>
              <w:rPr>
                <w:rFonts w:ascii="Times New Roman" w:eastAsia="Times New Roman" w:hAnsi="Times New Roman" w:cs="Times New Roman"/>
                <w:color w:val="000000"/>
                <w:sz w:val="20"/>
                <w:szCs w:val="20"/>
                <w:lang w:eastAsia="sk-SK"/>
              </w:rPr>
            </w:pPr>
          </w:p>
        </w:tc>
        <w:tc>
          <w:tcPr>
            <w:tcW w:w="2622" w:type="dxa"/>
            <w:gridSpan w:val="3"/>
            <w:tcBorders>
              <w:top w:val="single" w:sz="8" w:space="0" w:color="auto"/>
              <w:left w:val="nil"/>
              <w:bottom w:val="single" w:sz="4" w:space="0" w:color="auto"/>
              <w:right w:val="single" w:sz="8" w:space="0" w:color="auto"/>
            </w:tcBorders>
            <w:shd w:val="clear" w:color="000000" w:fill="92D050"/>
            <w:vAlign w:val="center"/>
          </w:tcPr>
          <w:p w14:paraId="6019C410" w14:textId="2F7A44DE" w:rsidR="00EA2A5E" w:rsidRPr="00492DAB" w:rsidRDefault="00EA2A5E" w:rsidP="00EA2A5E">
            <w:pPr>
              <w:spacing w:after="0" w:line="240" w:lineRule="auto"/>
              <w:jc w:val="center"/>
              <w:rPr>
                <w:rFonts w:ascii="Times New Roman" w:eastAsia="Times New Roman" w:hAnsi="Times New Roman" w:cs="Times New Roman"/>
                <w:color w:val="000000"/>
                <w:sz w:val="20"/>
                <w:szCs w:val="20"/>
                <w:lang w:eastAsia="sk-SK"/>
              </w:rPr>
            </w:pPr>
          </w:p>
        </w:tc>
      </w:tr>
      <w:tr w:rsidR="00EA2A5E" w:rsidRPr="00C929AE" w14:paraId="4C7053DD" w14:textId="77777777" w:rsidTr="00FE373F">
        <w:trPr>
          <w:gridAfter w:val="2"/>
          <w:wAfter w:w="583" w:type="dxa"/>
          <w:trHeight w:val="390"/>
        </w:trPr>
        <w:tc>
          <w:tcPr>
            <w:tcW w:w="146" w:type="dxa"/>
            <w:tcBorders>
              <w:top w:val="nil"/>
              <w:left w:val="nil"/>
              <w:bottom w:val="nil"/>
              <w:right w:val="nil"/>
            </w:tcBorders>
            <w:noWrap/>
            <w:vAlign w:val="bottom"/>
            <w:hideMark/>
          </w:tcPr>
          <w:p w14:paraId="6BB0400A" w14:textId="77777777" w:rsidR="00EA2A5E" w:rsidRPr="00C929AE" w:rsidRDefault="00EA2A5E" w:rsidP="00EA2A5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tcPr>
          <w:p w14:paraId="6395BF89" w14:textId="7A4AEA57" w:rsidR="00EA2A5E" w:rsidRPr="00492DAB" w:rsidRDefault="00EA2A5E" w:rsidP="00EA2A5E">
            <w:pPr>
              <w:spacing w:after="0" w:line="240" w:lineRule="auto"/>
              <w:rPr>
                <w:rFonts w:ascii="Times New Roman" w:eastAsia="Times New Roman" w:hAnsi="Times New Roman" w:cs="Times New Roman"/>
                <w:i/>
                <w:iCs/>
                <w:color w:val="000000"/>
                <w:sz w:val="20"/>
                <w:szCs w:val="20"/>
                <w:lang w:eastAsia="sk-SK"/>
              </w:rPr>
            </w:pPr>
            <w:r>
              <w:rPr>
                <w:i/>
                <w:iCs/>
                <w:color w:val="000000"/>
                <w:sz w:val="20"/>
                <w:szCs w:val="20"/>
              </w:rPr>
              <w:t>VÝPOČET PRAVIDLA 1in2out:</w:t>
            </w:r>
          </w:p>
        </w:tc>
        <w:tc>
          <w:tcPr>
            <w:tcW w:w="2623" w:type="dxa"/>
            <w:tcBorders>
              <w:top w:val="nil"/>
              <w:left w:val="nil"/>
              <w:bottom w:val="single" w:sz="8" w:space="0" w:color="auto"/>
              <w:right w:val="single" w:sz="4" w:space="0" w:color="auto"/>
            </w:tcBorders>
            <w:shd w:val="clear" w:color="000000" w:fill="FFC000"/>
            <w:vAlign w:val="center"/>
          </w:tcPr>
          <w:p w14:paraId="02E1C703" w14:textId="270D00FC"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IN</w:t>
            </w:r>
          </w:p>
        </w:tc>
        <w:tc>
          <w:tcPr>
            <w:tcW w:w="2622" w:type="dxa"/>
            <w:gridSpan w:val="3"/>
            <w:tcBorders>
              <w:top w:val="nil"/>
              <w:left w:val="nil"/>
              <w:bottom w:val="single" w:sz="8" w:space="0" w:color="auto"/>
              <w:right w:val="single" w:sz="8" w:space="0" w:color="auto"/>
            </w:tcBorders>
            <w:shd w:val="clear" w:color="000000" w:fill="92D050"/>
            <w:vAlign w:val="center"/>
          </w:tcPr>
          <w:p w14:paraId="2A9C6235" w14:textId="38EB78AC" w:rsidR="00EA2A5E" w:rsidRPr="00492DAB" w:rsidRDefault="00EA2A5E" w:rsidP="00EA2A5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OUT</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3CD73F76" w14:textId="10815485" w:rsidR="00492DAB"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626"/>
        <w:gridCol w:w="850"/>
        <w:gridCol w:w="1701"/>
        <w:gridCol w:w="926"/>
        <w:gridCol w:w="851"/>
        <w:gridCol w:w="843"/>
        <w:gridCol w:w="1000"/>
        <w:gridCol w:w="708"/>
        <w:gridCol w:w="1134"/>
      </w:tblGrid>
      <w:tr w:rsidR="00DE6ACB" w:rsidRPr="000A6B7F" w14:paraId="58E6573D" w14:textId="77777777" w:rsidTr="003A3378">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6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FB3DDA" w:rsidRPr="00895898" w14:paraId="6C99B85A" w14:textId="77777777" w:rsidTr="003A33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47B5CB6" w14:textId="3200BA34" w:rsidR="00FB3DDA" w:rsidRDefault="001C7259" w:rsidP="00FB3DDA">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w:t>
            </w:r>
          </w:p>
        </w:tc>
        <w:tc>
          <w:tcPr>
            <w:tcW w:w="1740" w:type="dxa"/>
            <w:vAlign w:val="center"/>
          </w:tcPr>
          <w:p w14:paraId="5BA0697D" w14:textId="0EBEAF5C" w:rsidR="00FB3DDA" w:rsidRDefault="00FB3DDA" w:rsidP="00FB3DDA">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Žiadosť o vydanie posudku o splnení podmienok uvedených v § 5 ods. 3</w:t>
            </w:r>
            <w:r w:rsidR="005A3456">
              <w:rPr>
                <w:rFonts w:ascii="Times New Roman" w:eastAsia="Times New Roman" w:hAnsi="Times New Roman" w:cs="Times New Roman"/>
                <w:sz w:val="20"/>
                <w:szCs w:val="20"/>
                <w:lang w:eastAsia="sk-SK"/>
              </w:rPr>
              <w:t xml:space="preserve"> zákona č. 138/1998 Z. z.</w:t>
            </w:r>
          </w:p>
        </w:tc>
        <w:tc>
          <w:tcPr>
            <w:tcW w:w="992" w:type="dxa"/>
          </w:tcPr>
          <w:p w14:paraId="33FBC32B" w14:textId="37A6BF47" w:rsidR="00FB3DDA" w:rsidRDefault="00FB3DDA" w:rsidP="00FB3DDA">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w:t>
            </w:r>
            <w:r w:rsidRPr="003A3378">
              <w:rPr>
                <w:rFonts w:ascii="Times New Roman" w:eastAsia="Times New Roman" w:hAnsi="Times New Roman" w:cs="Times New Roman"/>
                <w:sz w:val="20"/>
                <w:szCs w:val="20"/>
                <w:lang w:eastAsia="sk-SK"/>
              </w:rPr>
              <w:t>zákona, ktorým sa mení a dopĺňa zákon č. 139/1998 Z.  z. o omamných látkach, psychotropných látkach a</w:t>
            </w:r>
            <w:r w:rsidR="00480E06">
              <w:rPr>
                <w:rFonts w:ascii="Times New Roman" w:eastAsia="Times New Roman" w:hAnsi="Times New Roman" w:cs="Times New Roman"/>
                <w:sz w:val="20"/>
                <w:szCs w:val="20"/>
                <w:lang w:eastAsia="sk-SK"/>
              </w:rPr>
              <w:t> </w:t>
            </w:r>
            <w:r w:rsidRPr="003A3378">
              <w:rPr>
                <w:rFonts w:ascii="Times New Roman" w:eastAsia="Times New Roman" w:hAnsi="Times New Roman" w:cs="Times New Roman"/>
                <w:sz w:val="20"/>
                <w:szCs w:val="20"/>
                <w:lang w:eastAsia="sk-SK"/>
              </w:rPr>
              <w:t>prípravkoch</w:t>
            </w:r>
            <w:r w:rsidR="00480E06">
              <w:rPr>
                <w:rFonts w:ascii="Times New Roman" w:eastAsia="Times New Roman" w:hAnsi="Times New Roman" w:cs="Times New Roman"/>
                <w:sz w:val="20"/>
                <w:szCs w:val="20"/>
                <w:lang w:eastAsia="sk-SK"/>
              </w:rPr>
              <w:t xml:space="preserve"> v znení neskorších predpisov</w:t>
            </w:r>
          </w:p>
        </w:tc>
        <w:tc>
          <w:tcPr>
            <w:tcW w:w="1134" w:type="dxa"/>
          </w:tcPr>
          <w:p w14:paraId="5C7B0B88" w14:textId="0E417E72" w:rsidR="00FB3DDA" w:rsidRDefault="00FB3DDA" w:rsidP="00FB3DDA">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8 ods. 3 písm. c)</w:t>
            </w:r>
          </w:p>
        </w:tc>
        <w:tc>
          <w:tcPr>
            <w:tcW w:w="1626" w:type="dxa"/>
            <w:vAlign w:val="center"/>
          </w:tcPr>
          <w:p w14:paraId="7776421C" w14:textId="057CC18E" w:rsidR="00FB3DDA" w:rsidRPr="00D23272" w:rsidRDefault="00FB3DDA" w:rsidP="00FB3DDA">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D23272">
              <w:rPr>
                <w:rFonts w:ascii="Times New Roman" w:eastAsia="Times New Roman" w:hAnsi="Times New Roman" w:cs="Times New Roman"/>
                <w:sz w:val="20"/>
                <w:szCs w:val="20"/>
              </w:rPr>
              <w:t>SK</w:t>
            </w:r>
          </w:p>
        </w:tc>
        <w:tc>
          <w:tcPr>
            <w:tcW w:w="850" w:type="dxa"/>
            <w:vAlign w:val="center"/>
          </w:tcPr>
          <w:p w14:paraId="0ED326FC" w14:textId="033E301B" w:rsidR="00FB3DDA" w:rsidRPr="00D23272" w:rsidRDefault="00FB3DDA" w:rsidP="00FB3DDA">
            <w:pPr>
              <w:spacing w:after="0" w:line="240" w:lineRule="auto"/>
              <w:rPr>
                <w:rFonts w:ascii="Times New Roman" w:eastAsia="Times New Roman" w:hAnsi="Times New Roman" w:cs="Times New Roman"/>
                <w:color w:val="000000"/>
                <w:sz w:val="20"/>
                <w:szCs w:val="20"/>
                <w:lang w:eastAsia="sk-SK"/>
              </w:rPr>
            </w:pPr>
            <w:r w:rsidRPr="00D23272">
              <w:rPr>
                <w:rFonts w:ascii="Times New Roman" w:eastAsia="Times New Roman" w:hAnsi="Times New Roman" w:cs="Times New Roman"/>
                <w:color w:val="000000"/>
                <w:sz w:val="20"/>
                <w:szCs w:val="20"/>
                <w:lang w:eastAsia="sk-SK"/>
              </w:rPr>
              <w:t>1.1.2027</w:t>
            </w:r>
          </w:p>
        </w:tc>
        <w:tc>
          <w:tcPr>
            <w:tcW w:w="1701" w:type="dxa"/>
            <w:noWrap/>
            <w:vAlign w:val="center"/>
          </w:tcPr>
          <w:p w14:paraId="558B39EF" w14:textId="302FCF5A" w:rsidR="00FB3DDA" w:rsidRPr="00FB3DDA" w:rsidRDefault="00FB3DDA" w:rsidP="00FB3DDA">
            <w:pPr>
              <w:spacing w:after="0" w:line="240" w:lineRule="auto"/>
              <w:jc w:val="center"/>
              <w:rPr>
                <w:rFonts w:ascii="Times New Roman" w:eastAsia="Times New Roman" w:hAnsi="Times New Roman" w:cs="Times New Roman"/>
                <w:color w:val="000000"/>
                <w:sz w:val="20"/>
                <w:szCs w:val="20"/>
                <w:lang w:eastAsia="sk-SK"/>
              </w:rPr>
            </w:pPr>
            <w:r w:rsidRPr="00FB3DDA">
              <w:rPr>
                <w:rFonts w:ascii="Times New Roman" w:hAnsi="Times New Roman" w:cs="Times New Roman"/>
                <w:sz w:val="20"/>
                <w:szCs w:val="20"/>
              </w:rPr>
              <w:t>Držite</w:t>
            </w:r>
            <w:r w:rsidR="005A3456">
              <w:rPr>
                <w:rFonts w:ascii="Times New Roman" w:hAnsi="Times New Roman" w:cs="Times New Roman"/>
                <w:sz w:val="20"/>
                <w:szCs w:val="20"/>
              </w:rPr>
              <w:t>lia</w:t>
            </w:r>
            <w:r w:rsidRPr="00FB3DDA">
              <w:rPr>
                <w:rFonts w:ascii="Times New Roman" w:hAnsi="Times New Roman" w:cs="Times New Roman"/>
                <w:sz w:val="20"/>
                <w:szCs w:val="20"/>
              </w:rPr>
              <w:t xml:space="preserve"> povolenia na veľkodistribúciu, ktorí distribuujú výlučne veterinárne lieky</w:t>
            </w:r>
          </w:p>
        </w:tc>
        <w:tc>
          <w:tcPr>
            <w:tcW w:w="926" w:type="dxa"/>
          </w:tcPr>
          <w:p w14:paraId="33C1DE90" w14:textId="77777777" w:rsidR="00FB3DDA" w:rsidRDefault="00FB3DDA" w:rsidP="00492DAB">
            <w:pPr>
              <w:spacing w:after="0" w:line="240" w:lineRule="auto"/>
              <w:jc w:val="center"/>
              <w:rPr>
                <w:rFonts w:ascii="Times New Roman" w:eastAsia="Times New Roman" w:hAnsi="Times New Roman" w:cs="Times New Roman"/>
                <w:sz w:val="20"/>
                <w:szCs w:val="20"/>
                <w:lang w:eastAsia="sk-SK"/>
              </w:rPr>
            </w:pPr>
          </w:p>
          <w:p w14:paraId="77CF1FD4" w14:textId="77777777" w:rsidR="00FB3DDA" w:rsidRDefault="00FB3DDA" w:rsidP="00492DAB">
            <w:pPr>
              <w:spacing w:after="0" w:line="240" w:lineRule="auto"/>
              <w:jc w:val="center"/>
              <w:rPr>
                <w:rFonts w:ascii="Times New Roman" w:eastAsia="Times New Roman" w:hAnsi="Times New Roman" w:cs="Times New Roman"/>
                <w:sz w:val="20"/>
                <w:szCs w:val="20"/>
                <w:lang w:eastAsia="sk-SK"/>
              </w:rPr>
            </w:pPr>
          </w:p>
          <w:p w14:paraId="3CD285B6" w14:textId="77777777" w:rsidR="00FB3DDA" w:rsidRDefault="00FB3DDA" w:rsidP="00492DAB">
            <w:pPr>
              <w:spacing w:after="0" w:line="240" w:lineRule="auto"/>
              <w:jc w:val="center"/>
              <w:rPr>
                <w:rFonts w:ascii="Times New Roman" w:eastAsia="Times New Roman" w:hAnsi="Times New Roman" w:cs="Times New Roman"/>
                <w:sz w:val="20"/>
                <w:szCs w:val="20"/>
                <w:lang w:eastAsia="sk-SK"/>
              </w:rPr>
            </w:pPr>
          </w:p>
          <w:p w14:paraId="56B78EB7" w14:textId="77777777" w:rsidR="00FB3DDA" w:rsidRDefault="00FB3DDA" w:rsidP="00492DAB">
            <w:pPr>
              <w:spacing w:after="0" w:line="240" w:lineRule="auto"/>
              <w:jc w:val="center"/>
              <w:rPr>
                <w:rFonts w:ascii="Times New Roman" w:eastAsia="Times New Roman" w:hAnsi="Times New Roman" w:cs="Times New Roman"/>
                <w:sz w:val="20"/>
                <w:szCs w:val="20"/>
                <w:lang w:eastAsia="sk-SK"/>
              </w:rPr>
            </w:pPr>
          </w:p>
          <w:p w14:paraId="0334D7DF" w14:textId="77777777" w:rsidR="00FB3DDA" w:rsidRDefault="00FB3DDA" w:rsidP="00492DAB">
            <w:pPr>
              <w:spacing w:after="0" w:line="240" w:lineRule="auto"/>
              <w:jc w:val="center"/>
              <w:rPr>
                <w:rFonts w:ascii="Times New Roman" w:eastAsia="Times New Roman" w:hAnsi="Times New Roman" w:cs="Times New Roman"/>
                <w:sz w:val="20"/>
                <w:szCs w:val="20"/>
                <w:lang w:eastAsia="sk-SK"/>
              </w:rPr>
            </w:pPr>
          </w:p>
          <w:p w14:paraId="78819FE3" w14:textId="77777777" w:rsidR="00FB3DDA" w:rsidRDefault="00FB3DDA" w:rsidP="00492DAB">
            <w:pPr>
              <w:spacing w:after="0" w:line="240" w:lineRule="auto"/>
              <w:jc w:val="center"/>
              <w:rPr>
                <w:rFonts w:ascii="Times New Roman" w:eastAsia="Times New Roman" w:hAnsi="Times New Roman" w:cs="Times New Roman"/>
                <w:sz w:val="20"/>
                <w:szCs w:val="20"/>
                <w:lang w:eastAsia="sk-SK"/>
              </w:rPr>
            </w:pPr>
          </w:p>
          <w:p w14:paraId="64CE15F5" w14:textId="77777777" w:rsidR="00FB3DDA" w:rsidRDefault="00FB3DDA" w:rsidP="00492DAB">
            <w:pPr>
              <w:spacing w:after="0" w:line="240" w:lineRule="auto"/>
              <w:jc w:val="center"/>
              <w:rPr>
                <w:rFonts w:ascii="Times New Roman" w:eastAsia="Times New Roman" w:hAnsi="Times New Roman" w:cs="Times New Roman"/>
                <w:sz w:val="20"/>
                <w:szCs w:val="20"/>
                <w:lang w:eastAsia="sk-SK"/>
              </w:rPr>
            </w:pPr>
          </w:p>
          <w:p w14:paraId="620EC14C" w14:textId="77777777" w:rsidR="00EA2A5E" w:rsidRDefault="00EA2A5E" w:rsidP="00492DAB">
            <w:pPr>
              <w:spacing w:after="0" w:line="240" w:lineRule="auto"/>
              <w:jc w:val="center"/>
              <w:rPr>
                <w:rFonts w:ascii="Times New Roman" w:eastAsia="Times New Roman" w:hAnsi="Times New Roman" w:cs="Times New Roman"/>
                <w:sz w:val="20"/>
                <w:szCs w:val="20"/>
                <w:lang w:eastAsia="sk-SK"/>
              </w:rPr>
            </w:pPr>
          </w:p>
          <w:p w14:paraId="6CD99ACE" w14:textId="77777777" w:rsidR="00EA2A5E" w:rsidRDefault="00EA2A5E" w:rsidP="00492DAB">
            <w:pPr>
              <w:spacing w:after="0" w:line="240" w:lineRule="auto"/>
              <w:jc w:val="center"/>
              <w:rPr>
                <w:rFonts w:ascii="Times New Roman" w:eastAsia="Times New Roman" w:hAnsi="Times New Roman" w:cs="Times New Roman"/>
                <w:sz w:val="20"/>
                <w:szCs w:val="20"/>
                <w:lang w:eastAsia="sk-SK"/>
              </w:rPr>
            </w:pPr>
          </w:p>
          <w:p w14:paraId="593A5BFE" w14:textId="6AE4F6B6" w:rsidR="00FB3DDA" w:rsidRDefault="005A3456" w:rsidP="00492DA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18</w:t>
            </w:r>
          </w:p>
        </w:tc>
        <w:tc>
          <w:tcPr>
            <w:tcW w:w="851" w:type="dxa"/>
            <w:noWrap/>
            <w:vAlign w:val="center"/>
          </w:tcPr>
          <w:p w14:paraId="2EE7F4C5" w14:textId="2B13555C" w:rsidR="00FB3DDA" w:rsidRDefault="00492DAB" w:rsidP="00492DA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21</w:t>
            </w:r>
          </w:p>
        </w:tc>
        <w:tc>
          <w:tcPr>
            <w:tcW w:w="843" w:type="dxa"/>
            <w:noWrap/>
            <w:vAlign w:val="center"/>
          </w:tcPr>
          <w:p w14:paraId="13A5E6B6" w14:textId="220D681C" w:rsidR="00FB3DDA" w:rsidRPr="00895898" w:rsidRDefault="00492DAB" w:rsidP="00492DAB">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383</w:t>
            </w:r>
          </w:p>
        </w:tc>
        <w:tc>
          <w:tcPr>
            <w:tcW w:w="1000" w:type="dxa"/>
            <w:noWrap/>
            <w:vAlign w:val="center"/>
          </w:tcPr>
          <w:p w14:paraId="5E908FFC" w14:textId="4DEC5C7E" w:rsidR="00FB3DDA" w:rsidRDefault="00FB3DDA" w:rsidP="00492DA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In</w:t>
            </w:r>
          </w:p>
        </w:tc>
        <w:tc>
          <w:tcPr>
            <w:tcW w:w="708" w:type="dxa"/>
            <w:noWrap/>
            <w:vAlign w:val="center"/>
          </w:tcPr>
          <w:p w14:paraId="6AF09567" w14:textId="2C20E8B4" w:rsidR="00FB3DDA" w:rsidRPr="00895898" w:rsidRDefault="00492DAB" w:rsidP="00492DAB">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383</w:t>
            </w:r>
          </w:p>
        </w:tc>
        <w:tc>
          <w:tcPr>
            <w:tcW w:w="1134" w:type="dxa"/>
            <w:vAlign w:val="center"/>
          </w:tcPr>
          <w:p w14:paraId="2AA08EF9" w14:textId="7FA538EB" w:rsidR="00FB3DDA" w:rsidRDefault="00FB3DDA" w:rsidP="00FB3DDA">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r w:rsidR="00EA2A5E" w:rsidRPr="00895898" w14:paraId="609FED73" w14:textId="77777777" w:rsidTr="002C33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7125FE56" w:rsidR="00EA2A5E" w:rsidRPr="00895898" w:rsidRDefault="00EA2A5E" w:rsidP="00EA2A5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w:t>
            </w:r>
          </w:p>
        </w:tc>
        <w:tc>
          <w:tcPr>
            <w:tcW w:w="1740" w:type="dxa"/>
            <w:vAlign w:val="center"/>
          </w:tcPr>
          <w:p w14:paraId="7D629DAC" w14:textId="0250AC10" w:rsidR="00EA2A5E" w:rsidRPr="00895898" w:rsidRDefault="00EA2A5E" w:rsidP="00EA2A5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Porušenie zákonných povinností</w:t>
            </w:r>
          </w:p>
        </w:tc>
        <w:tc>
          <w:tcPr>
            <w:tcW w:w="992" w:type="dxa"/>
          </w:tcPr>
          <w:p w14:paraId="4B47CD37" w14:textId="1304D612" w:rsidR="00EA2A5E" w:rsidRPr="00895898" w:rsidRDefault="00EA2A5E" w:rsidP="00EA2A5E">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w:t>
            </w:r>
            <w:r w:rsidRPr="003A3378">
              <w:rPr>
                <w:rFonts w:ascii="Times New Roman" w:eastAsia="Times New Roman" w:hAnsi="Times New Roman" w:cs="Times New Roman"/>
                <w:sz w:val="20"/>
                <w:szCs w:val="20"/>
                <w:lang w:eastAsia="sk-SK"/>
              </w:rPr>
              <w:t xml:space="preserve">zákona, ktorým sa mení a </w:t>
            </w:r>
            <w:r w:rsidRPr="003A3378">
              <w:rPr>
                <w:rFonts w:ascii="Times New Roman" w:eastAsia="Times New Roman" w:hAnsi="Times New Roman" w:cs="Times New Roman"/>
                <w:sz w:val="20"/>
                <w:szCs w:val="20"/>
                <w:lang w:eastAsia="sk-SK"/>
              </w:rPr>
              <w:lastRenderedPageBreak/>
              <w:t>dopĺňa zákon č. 139/1998 Z.  z. o omamných látkach, psychotropných látkach a</w:t>
            </w:r>
            <w:r>
              <w:rPr>
                <w:rFonts w:ascii="Times New Roman" w:eastAsia="Times New Roman" w:hAnsi="Times New Roman" w:cs="Times New Roman"/>
                <w:sz w:val="20"/>
                <w:szCs w:val="20"/>
                <w:lang w:eastAsia="sk-SK"/>
              </w:rPr>
              <w:t> </w:t>
            </w:r>
            <w:r w:rsidRPr="003A3378">
              <w:rPr>
                <w:rFonts w:ascii="Times New Roman" w:eastAsia="Times New Roman" w:hAnsi="Times New Roman" w:cs="Times New Roman"/>
                <w:sz w:val="20"/>
                <w:szCs w:val="20"/>
                <w:lang w:eastAsia="sk-SK"/>
              </w:rPr>
              <w:t>prípravkoch</w:t>
            </w:r>
            <w:r>
              <w:rPr>
                <w:rFonts w:ascii="Times New Roman" w:eastAsia="Times New Roman" w:hAnsi="Times New Roman" w:cs="Times New Roman"/>
                <w:sz w:val="20"/>
                <w:szCs w:val="20"/>
                <w:lang w:eastAsia="sk-SK"/>
              </w:rPr>
              <w:t xml:space="preserve"> v znení neskorších predpisov</w:t>
            </w:r>
          </w:p>
        </w:tc>
        <w:tc>
          <w:tcPr>
            <w:tcW w:w="1134" w:type="dxa"/>
          </w:tcPr>
          <w:p w14:paraId="23AC5ACD" w14:textId="77777777" w:rsidR="00EA2A5E" w:rsidRDefault="00EA2A5E" w:rsidP="00EA2A5E">
            <w:pPr>
              <w:spacing w:after="0" w:line="240" w:lineRule="auto"/>
              <w:jc w:val="center"/>
              <w:rPr>
                <w:rFonts w:ascii="Times New Roman" w:eastAsia="Times New Roman" w:hAnsi="Times New Roman" w:cs="Times New Roman"/>
                <w:sz w:val="20"/>
                <w:szCs w:val="20"/>
                <w:lang w:eastAsia="sk-SK"/>
              </w:rPr>
            </w:pPr>
          </w:p>
          <w:p w14:paraId="574F4EE4" w14:textId="77777777" w:rsidR="00EA2A5E" w:rsidRDefault="00EA2A5E" w:rsidP="00EA2A5E">
            <w:pPr>
              <w:spacing w:after="0" w:line="240" w:lineRule="auto"/>
              <w:jc w:val="center"/>
              <w:rPr>
                <w:rFonts w:ascii="Times New Roman" w:eastAsia="Times New Roman" w:hAnsi="Times New Roman" w:cs="Times New Roman"/>
                <w:sz w:val="20"/>
                <w:szCs w:val="20"/>
                <w:lang w:eastAsia="sk-SK"/>
              </w:rPr>
            </w:pPr>
          </w:p>
          <w:p w14:paraId="422B9E1A" w14:textId="77777777" w:rsidR="00EA2A5E" w:rsidRDefault="00EA2A5E" w:rsidP="00EA2A5E">
            <w:pPr>
              <w:spacing w:after="0" w:line="240" w:lineRule="auto"/>
              <w:jc w:val="center"/>
              <w:rPr>
                <w:rFonts w:ascii="Times New Roman" w:eastAsia="Times New Roman" w:hAnsi="Times New Roman" w:cs="Times New Roman"/>
                <w:sz w:val="20"/>
                <w:szCs w:val="20"/>
                <w:lang w:eastAsia="sk-SK"/>
              </w:rPr>
            </w:pPr>
          </w:p>
          <w:p w14:paraId="77ED61DC" w14:textId="77777777" w:rsidR="00EA2A5E" w:rsidRDefault="00EA2A5E" w:rsidP="00EA2A5E">
            <w:pPr>
              <w:spacing w:after="0" w:line="240" w:lineRule="auto"/>
              <w:jc w:val="center"/>
              <w:rPr>
                <w:rFonts w:ascii="Times New Roman" w:eastAsia="Times New Roman" w:hAnsi="Times New Roman" w:cs="Times New Roman"/>
                <w:sz w:val="20"/>
                <w:szCs w:val="20"/>
                <w:lang w:eastAsia="sk-SK"/>
              </w:rPr>
            </w:pPr>
          </w:p>
          <w:p w14:paraId="143CF946" w14:textId="77777777" w:rsidR="00EA2A5E" w:rsidRDefault="00EA2A5E" w:rsidP="00EA2A5E">
            <w:pPr>
              <w:spacing w:after="0" w:line="240" w:lineRule="auto"/>
              <w:jc w:val="center"/>
              <w:rPr>
                <w:rFonts w:ascii="Times New Roman" w:eastAsia="Times New Roman" w:hAnsi="Times New Roman" w:cs="Times New Roman"/>
                <w:sz w:val="20"/>
                <w:szCs w:val="20"/>
                <w:lang w:eastAsia="sk-SK"/>
              </w:rPr>
            </w:pPr>
          </w:p>
          <w:p w14:paraId="156484F1" w14:textId="77777777" w:rsidR="00EA2A5E" w:rsidRDefault="00EA2A5E" w:rsidP="00EA2A5E">
            <w:pPr>
              <w:spacing w:after="0" w:line="240" w:lineRule="auto"/>
              <w:jc w:val="center"/>
              <w:rPr>
                <w:rFonts w:ascii="Times New Roman" w:eastAsia="Times New Roman" w:hAnsi="Times New Roman" w:cs="Times New Roman"/>
                <w:sz w:val="20"/>
                <w:szCs w:val="20"/>
                <w:lang w:eastAsia="sk-SK"/>
              </w:rPr>
            </w:pPr>
          </w:p>
          <w:p w14:paraId="1C988908" w14:textId="19E67FC6" w:rsidR="00EA2A5E" w:rsidRPr="00895898" w:rsidRDefault="00EA2A5E" w:rsidP="00EA2A5E">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39 ods. 5</w:t>
            </w:r>
          </w:p>
        </w:tc>
        <w:tc>
          <w:tcPr>
            <w:tcW w:w="1626" w:type="dxa"/>
            <w:vAlign w:val="center"/>
          </w:tcPr>
          <w:p w14:paraId="22CDA76A" w14:textId="5342A117" w:rsidR="00EA2A5E" w:rsidRPr="00D23272" w:rsidRDefault="00EA2A5E" w:rsidP="00EA2A5E">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D23272">
              <w:rPr>
                <w:rFonts w:ascii="Times New Roman" w:eastAsia="Times New Roman" w:hAnsi="Times New Roman" w:cs="Times New Roman"/>
                <w:sz w:val="20"/>
                <w:szCs w:val="20"/>
              </w:rPr>
              <w:lastRenderedPageBreak/>
              <w:t>SK</w:t>
            </w:r>
          </w:p>
        </w:tc>
        <w:tc>
          <w:tcPr>
            <w:tcW w:w="850" w:type="dxa"/>
            <w:vAlign w:val="center"/>
          </w:tcPr>
          <w:p w14:paraId="469C4721" w14:textId="3F3CAE51" w:rsidR="00EA2A5E" w:rsidRPr="00D23272" w:rsidRDefault="00EA2A5E" w:rsidP="00EA2A5E">
            <w:pPr>
              <w:spacing w:after="0" w:line="240" w:lineRule="auto"/>
              <w:rPr>
                <w:rFonts w:ascii="Times New Roman" w:eastAsia="Times New Roman" w:hAnsi="Times New Roman" w:cs="Times New Roman"/>
                <w:color w:val="000000"/>
                <w:sz w:val="20"/>
                <w:szCs w:val="20"/>
                <w:lang w:eastAsia="sk-SK"/>
              </w:rPr>
            </w:pPr>
            <w:r w:rsidRPr="00D23272">
              <w:rPr>
                <w:rFonts w:ascii="Times New Roman" w:eastAsia="Times New Roman" w:hAnsi="Times New Roman" w:cs="Times New Roman"/>
                <w:color w:val="000000"/>
                <w:sz w:val="20"/>
                <w:szCs w:val="20"/>
                <w:lang w:eastAsia="sk-SK"/>
              </w:rPr>
              <w:t>1.1.2027</w:t>
            </w:r>
          </w:p>
        </w:tc>
        <w:tc>
          <w:tcPr>
            <w:tcW w:w="1701" w:type="dxa"/>
            <w:noWrap/>
            <w:vAlign w:val="center"/>
          </w:tcPr>
          <w:p w14:paraId="74618A9C" w14:textId="34C74112" w:rsidR="00EA2A5E" w:rsidRPr="009537DC" w:rsidRDefault="00EA2A5E" w:rsidP="00EA2A5E">
            <w:pPr>
              <w:spacing w:after="0" w:line="240" w:lineRule="auto"/>
              <w:jc w:val="center"/>
              <w:rPr>
                <w:rFonts w:ascii="Times New Roman" w:eastAsia="Times New Roman" w:hAnsi="Times New Roman" w:cs="Times New Roman"/>
                <w:sz w:val="20"/>
                <w:szCs w:val="20"/>
                <w:lang w:eastAsia="sk-SK"/>
              </w:rPr>
            </w:pPr>
            <w:r w:rsidRPr="009537DC">
              <w:rPr>
                <w:rFonts w:ascii="Times New Roman" w:eastAsia="Times New Roman" w:hAnsi="Times New Roman" w:cs="Times New Roman"/>
                <w:sz w:val="20"/>
                <w:szCs w:val="20"/>
                <w:lang w:eastAsia="sk-SK"/>
              </w:rPr>
              <w:t xml:space="preserve">Veľkodistribútori veterinárnych liekov, súkromní veterinárni lekári </w:t>
            </w:r>
          </w:p>
        </w:tc>
        <w:tc>
          <w:tcPr>
            <w:tcW w:w="926" w:type="dxa"/>
            <w:vAlign w:val="center"/>
          </w:tcPr>
          <w:p w14:paraId="5D0F89C4" w14:textId="1F9F4D81" w:rsidR="00EA2A5E" w:rsidRPr="009537DC" w:rsidRDefault="00EA2A5E" w:rsidP="00EA2A5E">
            <w:pPr>
              <w:spacing w:after="0" w:line="240" w:lineRule="auto"/>
              <w:rPr>
                <w:rFonts w:ascii="Times New Roman" w:eastAsia="Times New Roman" w:hAnsi="Times New Roman" w:cs="Times New Roman"/>
                <w:sz w:val="20"/>
                <w:szCs w:val="20"/>
                <w:lang w:eastAsia="sk-SK"/>
              </w:rPr>
            </w:pPr>
            <w:r>
              <w:rPr>
                <w:color w:val="000000"/>
                <w:sz w:val="20"/>
                <w:szCs w:val="20"/>
              </w:rPr>
              <w:t xml:space="preserve">                 10 </w:t>
            </w:r>
          </w:p>
        </w:tc>
        <w:tc>
          <w:tcPr>
            <w:tcW w:w="851" w:type="dxa"/>
            <w:noWrap/>
            <w:vAlign w:val="center"/>
          </w:tcPr>
          <w:p w14:paraId="38251139" w14:textId="3D6D0B3B" w:rsidR="00EA2A5E" w:rsidRPr="009537DC" w:rsidRDefault="00EA2A5E" w:rsidP="00EA2A5E">
            <w:pPr>
              <w:spacing w:after="0" w:line="240" w:lineRule="auto"/>
              <w:jc w:val="center"/>
              <w:rPr>
                <w:rFonts w:ascii="Times New Roman" w:eastAsia="Times New Roman" w:hAnsi="Times New Roman" w:cs="Times New Roman"/>
                <w:sz w:val="20"/>
                <w:szCs w:val="20"/>
                <w:lang w:eastAsia="sk-SK"/>
              </w:rPr>
            </w:pPr>
            <w:r>
              <w:rPr>
                <w:color w:val="000000"/>
                <w:sz w:val="20"/>
                <w:szCs w:val="20"/>
              </w:rPr>
              <w:t>1 660</w:t>
            </w:r>
          </w:p>
        </w:tc>
        <w:tc>
          <w:tcPr>
            <w:tcW w:w="843" w:type="dxa"/>
            <w:noWrap/>
            <w:vAlign w:val="center"/>
          </w:tcPr>
          <w:p w14:paraId="01129C91" w14:textId="14689511" w:rsidR="00EA2A5E" w:rsidRPr="009537DC" w:rsidRDefault="00EA2A5E" w:rsidP="00EA2A5E">
            <w:pPr>
              <w:spacing w:after="0" w:line="240" w:lineRule="auto"/>
              <w:jc w:val="center"/>
              <w:rPr>
                <w:rFonts w:ascii="Times New Roman" w:eastAsia="Times New Roman" w:hAnsi="Times New Roman" w:cs="Times New Roman"/>
                <w:sz w:val="20"/>
                <w:szCs w:val="20"/>
                <w:lang w:eastAsia="sk-SK"/>
              </w:rPr>
            </w:pPr>
            <w:r>
              <w:rPr>
                <w:color w:val="000000"/>
                <w:sz w:val="20"/>
                <w:szCs w:val="20"/>
              </w:rPr>
              <w:t>16 596</w:t>
            </w:r>
          </w:p>
        </w:tc>
        <w:tc>
          <w:tcPr>
            <w:tcW w:w="1000" w:type="dxa"/>
            <w:noWrap/>
            <w:vAlign w:val="center"/>
          </w:tcPr>
          <w:p w14:paraId="420D0685" w14:textId="2997DFCB" w:rsidR="00EA2A5E" w:rsidRPr="009537DC" w:rsidRDefault="00EA2A5E" w:rsidP="00EA2A5E">
            <w:pPr>
              <w:spacing w:after="0" w:line="240" w:lineRule="auto"/>
              <w:jc w:val="center"/>
              <w:rPr>
                <w:rFonts w:ascii="Times New Roman" w:eastAsia="Times New Roman" w:hAnsi="Times New Roman" w:cs="Times New Roman"/>
                <w:sz w:val="20"/>
                <w:szCs w:val="20"/>
                <w:lang w:eastAsia="sk-SK"/>
              </w:rPr>
            </w:pPr>
            <w:r w:rsidRPr="009537DC">
              <w:rPr>
                <w:rFonts w:ascii="Times New Roman" w:eastAsia="Times New Roman" w:hAnsi="Times New Roman" w:cs="Times New Roman"/>
                <w:sz w:val="20"/>
                <w:szCs w:val="20"/>
                <w:lang w:eastAsia="sk-SK"/>
              </w:rPr>
              <w:t>In</w:t>
            </w:r>
          </w:p>
        </w:tc>
        <w:tc>
          <w:tcPr>
            <w:tcW w:w="708" w:type="dxa"/>
            <w:noWrap/>
            <w:vAlign w:val="center"/>
          </w:tcPr>
          <w:p w14:paraId="08BFFDBA" w14:textId="44D6D138" w:rsidR="00EA2A5E" w:rsidRPr="00895898" w:rsidRDefault="00EA2A5E" w:rsidP="00EA2A5E">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0</w:t>
            </w:r>
          </w:p>
        </w:tc>
        <w:tc>
          <w:tcPr>
            <w:tcW w:w="1134" w:type="dxa"/>
            <w:vAlign w:val="center"/>
          </w:tcPr>
          <w:p w14:paraId="48758C9B" w14:textId="4189BC01" w:rsidR="00EA2A5E" w:rsidRPr="00895898" w:rsidRDefault="00EA2A5E" w:rsidP="00EA2A5E">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bl>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19E560F0" w:rsidR="001E24E8" w:rsidRPr="005A3456" w:rsidRDefault="0077153E" w:rsidP="00054C41">
      <w:pPr>
        <w:jc w:val="both"/>
        <w:rPr>
          <w:rFonts w:ascii="Times New Roman" w:eastAsia="Calibri" w:hAnsi="Times New Roman" w:cs="Times New Roman"/>
          <w:bCs/>
          <w:i/>
          <w:iCs/>
          <w:color w:val="000000"/>
          <w:sz w:val="24"/>
          <w:szCs w:val="24"/>
        </w:rPr>
      </w:pPr>
      <w:r w:rsidRPr="005A3456">
        <w:rPr>
          <w:rFonts w:ascii="Times New Roman" w:eastAsia="Calibri" w:hAnsi="Times New Roman" w:cs="Times New Roman"/>
          <w:bCs/>
          <w:color w:val="000000"/>
          <w:sz w:val="24"/>
          <w:szCs w:val="24"/>
          <w:u w:val="single"/>
        </w:rPr>
        <w:t>Opisy regulácií</w:t>
      </w:r>
      <w:r w:rsidRPr="005A3456">
        <w:rPr>
          <w:rFonts w:ascii="Times New Roman" w:eastAsia="Calibri" w:hAnsi="Times New Roman" w:cs="Times New Roman"/>
          <w:bCs/>
          <w:i/>
          <w:iCs/>
          <w:color w:val="000000"/>
          <w:sz w:val="24"/>
          <w:szCs w:val="24"/>
        </w:rPr>
        <w:t>:</w:t>
      </w:r>
    </w:p>
    <w:p w14:paraId="0EF39FFC" w14:textId="06474BA5" w:rsidR="00D23272" w:rsidRDefault="00FB3DDA" w:rsidP="00054C41">
      <w:pPr>
        <w:jc w:val="both"/>
        <w:rPr>
          <w:rFonts w:ascii="Times New Roman" w:eastAsia="Calibri" w:hAnsi="Times New Roman" w:cs="Times New Roman"/>
          <w:bCs/>
          <w:color w:val="000000"/>
          <w:sz w:val="24"/>
          <w:szCs w:val="24"/>
        </w:rPr>
      </w:pPr>
      <w:r w:rsidRPr="005A3456">
        <w:rPr>
          <w:rFonts w:ascii="Times New Roman" w:eastAsia="Calibri" w:hAnsi="Times New Roman" w:cs="Times New Roman"/>
          <w:bCs/>
          <w:color w:val="000000"/>
          <w:sz w:val="24"/>
          <w:szCs w:val="24"/>
        </w:rPr>
        <w:t>Regulácia spočíva v zavedení možnosti uložiť pokutu držiteľom povolenia na zaobchádzanie s omamnými a psychotropnými látkami za porušenie zákonných povinností pri zaobchádzaní s omamnými a psychotropnými látkami, najmä povinností týkajúcich sa podmienok zaobchádzania s týmito látkami, ich evidencie, inventarizácie, uchovávania a ďalších povinností ustanovených zákonom</w:t>
      </w:r>
      <w:r w:rsidR="005A3456" w:rsidRPr="005A3456">
        <w:rPr>
          <w:rFonts w:ascii="Times New Roman" w:eastAsia="Calibri" w:hAnsi="Times New Roman" w:cs="Times New Roman"/>
          <w:bCs/>
          <w:color w:val="000000"/>
          <w:sz w:val="24"/>
          <w:szCs w:val="24"/>
        </w:rPr>
        <w:t>.</w:t>
      </w:r>
      <w:r w:rsidR="00D23272">
        <w:rPr>
          <w:rFonts w:ascii="Times New Roman" w:eastAsia="Calibri" w:hAnsi="Times New Roman" w:cs="Times New Roman"/>
          <w:bCs/>
          <w:color w:val="000000"/>
          <w:sz w:val="24"/>
          <w:szCs w:val="24"/>
        </w:rPr>
        <w:t xml:space="preserve"> Zároveň sa zavádza </w:t>
      </w:r>
      <w:r w:rsidR="00D23272" w:rsidRPr="00D23272">
        <w:rPr>
          <w:rFonts w:ascii="Times New Roman" w:eastAsia="Calibri" w:hAnsi="Times New Roman" w:cs="Times New Roman"/>
          <w:bCs/>
          <w:color w:val="000000"/>
          <w:sz w:val="24"/>
          <w:szCs w:val="24"/>
        </w:rPr>
        <w:t>pre držiteľov povolenia na veľkodistribúciu, ktorí distribuujú výlučne veterinárne lieky, povinnosť požiadať Ústav kontroly veterinárnych biopreparátov a liečiv o vydanie posudku. Táto povinnosť predstavuje finančnú záťaž vyplývajúcu z úhrady správneho poplatku za vydanie posudku.</w:t>
      </w:r>
    </w:p>
    <w:p w14:paraId="6BB14E35" w14:textId="08C03464" w:rsidR="0018788C" w:rsidRPr="005A3456" w:rsidRDefault="0018788C" w:rsidP="00054C41">
      <w:pPr>
        <w:jc w:val="both"/>
        <w:rPr>
          <w:rFonts w:ascii="Times New Roman" w:eastAsia="Calibri" w:hAnsi="Times New Roman" w:cs="Times New Roman"/>
          <w:bCs/>
          <w:color w:val="000000"/>
          <w:sz w:val="24"/>
          <w:szCs w:val="24"/>
          <w:u w:val="single"/>
        </w:rPr>
      </w:pPr>
      <w:r w:rsidRPr="005A3456">
        <w:rPr>
          <w:rFonts w:ascii="Times New Roman" w:eastAsia="Calibri" w:hAnsi="Times New Roman" w:cs="Times New Roman"/>
          <w:bCs/>
          <w:color w:val="000000"/>
          <w:sz w:val="24"/>
          <w:szCs w:val="24"/>
          <w:u w:val="single"/>
        </w:rPr>
        <w:t xml:space="preserve">Výpočet regulácie č. </w:t>
      </w:r>
      <w:r w:rsidR="00C37476">
        <w:rPr>
          <w:rFonts w:ascii="Times New Roman" w:eastAsia="Calibri" w:hAnsi="Times New Roman" w:cs="Times New Roman"/>
          <w:bCs/>
          <w:color w:val="000000"/>
          <w:sz w:val="24"/>
          <w:szCs w:val="24"/>
          <w:u w:val="single"/>
        </w:rPr>
        <w:t>1 a 2</w:t>
      </w:r>
    </w:p>
    <w:p w14:paraId="7D7BEA46" w14:textId="563CFDFC" w:rsidR="001F0500" w:rsidRDefault="001F0500" w:rsidP="001F0500">
      <w:pPr>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Držitelia</w:t>
      </w:r>
      <w:r w:rsidRPr="001F0500">
        <w:rPr>
          <w:rFonts w:ascii="Times New Roman" w:eastAsia="Calibri" w:hAnsi="Times New Roman" w:cs="Times New Roman"/>
          <w:bCs/>
          <w:color w:val="000000"/>
          <w:sz w:val="24"/>
          <w:szCs w:val="24"/>
        </w:rPr>
        <w:t xml:space="preserve"> povolenia na veľkodistribúciu, ktorí distribuujú výlučne veterinárne lieky</w:t>
      </w:r>
      <w:r>
        <w:rPr>
          <w:rFonts w:ascii="Times New Roman" w:eastAsia="Calibri" w:hAnsi="Times New Roman" w:cs="Times New Roman"/>
          <w:bCs/>
          <w:color w:val="000000"/>
          <w:sz w:val="24"/>
          <w:szCs w:val="24"/>
        </w:rPr>
        <w:t xml:space="preserve"> majú </w:t>
      </w:r>
      <w:r w:rsidRPr="001F0500">
        <w:rPr>
          <w:rFonts w:ascii="Times New Roman" w:eastAsia="Calibri" w:hAnsi="Times New Roman" w:cs="Times New Roman"/>
          <w:bCs/>
          <w:color w:val="000000"/>
          <w:sz w:val="24"/>
          <w:szCs w:val="24"/>
        </w:rPr>
        <w:t>povinnosť požiadať Ústav kontroly veterinárnych biopreparátov a liečiv o vydanie posudku. Táto povinnosť predstavuje finančnú záťaž vyplývajúcu z úhrady správneho poplatku za vydanie posudku. V súčasnosti je evidovaných 20 veľkodistribútorov, pričom 2 z nich už disponujú príslušným povolením, a preto sa predpokladá, že povinnosť podania žiadosti sa môže týkať približne 18 subjektov.</w:t>
      </w:r>
      <w:r>
        <w:rPr>
          <w:rFonts w:ascii="Times New Roman" w:eastAsia="Calibri" w:hAnsi="Times New Roman" w:cs="Times New Roman"/>
          <w:bCs/>
          <w:color w:val="000000"/>
          <w:sz w:val="24"/>
          <w:szCs w:val="24"/>
        </w:rPr>
        <w:t xml:space="preserve"> </w:t>
      </w:r>
      <w:r w:rsidRPr="001F0500">
        <w:rPr>
          <w:rFonts w:ascii="Times New Roman" w:eastAsia="Calibri" w:hAnsi="Times New Roman" w:cs="Times New Roman"/>
          <w:bCs/>
          <w:color w:val="000000"/>
          <w:sz w:val="24"/>
          <w:szCs w:val="24"/>
        </w:rPr>
        <w:t>Okrem finančnej záťaže predstavuje uvedená povinnosť aj administratívnu záťaž spojenú s vypracovaním a podaním žiadosti o vydanie posudku.</w:t>
      </w:r>
    </w:p>
    <w:p w14:paraId="49D2061A" w14:textId="4D5E46C0" w:rsidR="0018788C" w:rsidRPr="005A3456" w:rsidRDefault="0018788C" w:rsidP="00054C41">
      <w:pPr>
        <w:jc w:val="both"/>
        <w:rPr>
          <w:rFonts w:ascii="Times New Roman" w:eastAsia="Calibri" w:hAnsi="Times New Roman" w:cs="Times New Roman"/>
          <w:bCs/>
          <w:color w:val="000000"/>
          <w:sz w:val="24"/>
          <w:szCs w:val="24"/>
        </w:rPr>
      </w:pPr>
      <w:r w:rsidRPr="005A3456">
        <w:rPr>
          <w:rFonts w:ascii="Times New Roman" w:eastAsia="Calibri" w:hAnsi="Times New Roman" w:cs="Times New Roman"/>
          <w:bCs/>
          <w:color w:val="000000"/>
          <w:sz w:val="24"/>
          <w:szCs w:val="24"/>
        </w:rPr>
        <w:t xml:space="preserve">Presnú výšku finančného dopadu nie je možné ex </w:t>
      </w:r>
      <w:proofErr w:type="spellStart"/>
      <w:r w:rsidRPr="005A3456">
        <w:rPr>
          <w:rFonts w:ascii="Times New Roman" w:eastAsia="Calibri" w:hAnsi="Times New Roman" w:cs="Times New Roman"/>
          <w:bCs/>
          <w:color w:val="000000"/>
          <w:sz w:val="24"/>
          <w:szCs w:val="24"/>
        </w:rPr>
        <w:t>ante</w:t>
      </w:r>
      <w:proofErr w:type="spellEnd"/>
      <w:r w:rsidRPr="005A3456">
        <w:rPr>
          <w:rFonts w:ascii="Times New Roman" w:eastAsia="Calibri" w:hAnsi="Times New Roman" w:cs="Times New Roman"/>
          <w:bCs/>
          <w:color w:val="000000"/>
          <w:sz w:val="24"/>
          <w:szCs w:val="24"/>
        </w:rPr>
        <w:t xml:space="preserve"> presne kvantifikovať, keďže výška pokuty sa odvíja od </w:t>
      </w:r>
      <w:r w:rsidR="00540F78" w:rsidRPr="005A3456">
        <w:rPr>
          <w:rFonts w:ascii="Times New Roman" w:eastAsia="Calibri" w:hAnsi="Times New Roman" w:cs="Times New Roman"/>
          <w:bCs/>
          <w:color w:val="000000"/>
          <w:sz w:val="24"/>
          <w:szCs w:val="24"/>
        </w:rPr>
        <w:t xml:space="preserve">porušenia, </w:t>
      </w:r>
      <w:r w:rsidRPr="005A3456">
        <w:rPr>
          <w:rFonts w:ascii="Times New Roman" w:eastAsia="Calibri" w:hAnsi="Times New Roman" w:cs="Times New Roman"/>
          <w:bCs/>
          <w:color w:val="000000"/>
          <w:sz w:val="24"/>
          <w:szCs w:val="24"/>
        </w:rPr>
        <w:t xml:space="preserve">závažnosti porušenia, miery zavinenia a od toho, či ide o prvé alebo opakované porušenie zákonných povinností. </w:t>
      </w:r>
      <w:r w:rsidR="00C37476" w:rsidRPr="00C37476">
        <w:rPr>
          <w:rFonts w:ascii="Times New Roman" w:eastAsia="Calibri" w:hAnsi="Times New Roman" w:cs="Times New Roman"/>
          <w:bCs/>
          <w:color w:val="000000"/>
          <w:sz w:val="24"/>
          <w:szCs w:val="24"/>
        </w:rPr>
        <w:t>Regulácia sa priamo vzťahuje na 253 subjektov, pričom sa predpokladá, že porušenie zákonných povinností, ktoré môže viesť k uloženiu sankcie, sa môže týkať približne 10 subjektov</w:t>
      </w:r>
      <w:r w:rsidR="00C37476">
        <w:rPr>
          <w:rFonts w:ascii="Times New Roman" w:eastAsia="Calibri" w:hAnsi="Times New Roman" w:cs="Times New Roman"/>
          <w:bCs/>
          <w:color w:val="000000"/>
          <w:sz w:val="24"/>
          <w:szCs w:val="24"/>
        </w:rPr>
        <w:t xml:space="preserve"> (na základe kontrolnej činnosti). </w:t>
      </w:r>
      <w:r w:rsidRPr="005A3456">
        <w:rPr>
          <w:rFonts w:ascii="Times New Roman" w:eastAsia="Calibri" w:hAnsi="Times New Roman" w:cs="Times New Roman"/>
          <w:bCs/>
          <w:color w:val="000000"/>
          <w:sz w:val="24"/>
          <w:szCs w:val="24"/>
        </w:rPr>
        <w:t>Pokuta je ukladaná v rámci zákonom ustanoveného rozpätia, pričom zákon stanovuje len jej maximálnu výšku. Z uvedeného dôvodu je možné uviesť len orientačné odhady dopadov na podnikateľské subjekty.</w:t>
      </w:r>
      <w:r w:rsidR="001C7259">
        <w:rPr>
          <w:rFonts w:ascii="Times New Roman" w:eastAsia="Calibri" w:hAnsi="Times New Roman" w:cs="Times New Roman"/>
          <w:bCs/>
          <w:color w:val="000000"/>
          <w:sz w:val="24"/>
          <w:szCs w:val="24"/>
        </w:rPr>
        <w:t xml:space="preserve"> </w:t>
      </w:r>
      <w:r w:rsidR="001C7259" w:rsidRPr="009537DC">
        <w:rPr>
          <w:rFonts w:ascii="Times New Roman" w:eastAsia="Calibri" w:hAnsi="Times New Roman" w:cs="Times New Roman"/>
          <w:bCs/>
          <w:color w:val="000000"/>
          <w:sz w:val="24"/>
          <w:szCs w:val="24"/>
        </w:rPr>
        <w:t>Pri uložení maximálnej výšky pokuty (16</w:t>
      </w:r>
      <w:r w:rsidR="00480E06">
        <w:rPr>
          <w:rFonts w:ascii="Times New Roman" w:eastAsia="Calibri" w:hAnsi="Times New Roman" w:cs="Times New Roman"/>
          <w:bCs/>
          <w:color w:val="000000"/>
          <w:sz w:val="24"/>
          <w:szCs w:val="24"/>
        </w:rPr>
        <w:t xml:space="preserve"> </w:t>
      </w:r>
      <w:r w:rsidR="001C7259" w:rsidRPr="009537DC">
        <w:rPr>
          <w:rFonts w:ascii="Times New Roman" w:eastAsia="Calibri" w:hAnsi="Times New Roman" w:cs="Times New Roman"/>
          <w:bCs/>
          <w:color w:val="000000"/>
          <w:sz w:val="24"/>
          <w:szCs w:val="24"/>
        </w:rPr>
        <w:t>596 eur) a pri predpokladanom porušení povinností pri 10 subjektoch bude celková výška vybraných pokút 165</w:t>
      </w:r>
      <w:r w:rsidR="00480E06">
        <w:rPr>
          <w:rFonts w:ascii="Times New Roman" w:eastAsia="Calibri" w:hAnsi="Times New Roman" w:cs="Times New Roman"/>
          <w:bCs/>
          <w:color w:val="000000"/>
          <w:sz w:val="24"/>
          <w:szCs w:val="24"/>
        </w:rPr>
        <w:t xml:space="preserve"> </w:t>
      </w:r>
      <w:r w:rsidR="001C7259" w:rsidRPr="009537DC">
        <w:rPr>
          <w:rFonts w:ascii="Times New Roman" w:eastAsia="Calibri" w:hAnsi="Times New Roman" w:cs="Times New Roman"/>
          <w:bCs/>
          <w:color w:val="000000"/>
          <w:sz w:val="24"/>
          <w:szCs w:val="24"/>
        </w:rPr>
        <w:t>960 eur.</w:t>
      </w:r>
    </w:p>
    <w:p w14:paraId="4039557F" w14:textId="79F75B2A" w:rsidR="0018788C" w:rsidRPr="0018788C" w:rsidRDefault="0018788C" w:rsidP="00054C41">
      <w:pPr>
        <w:jc w:val="both"/>
        <w:rPr>
          <w:rFonts w:ascii="Times New Roman" w:eastAsia="Calibri" w:hAnsi="Times New Roman" w:cs="Times New Roman"/>
          <w:bCs/>
          <w:color w:val="000000"/>
          <w:sz w:val="24"/>
          <w:szCs w:val="24"/>
        </w:rPr>
      </w:pPr>
      <w:r w:rsidRPr="005A3456">
        <w:rPr>
          <w:rFonts w:ascii="Times New Roman" w:eastAsia="Calibri" w:hAnsi="Times New Roman" w:cs="Times New Roman"/>
          <w:bCs/>
          <w:color w:val="000000"/>
          <w:sz w:val="24"/>
          <w:szCs w:val="24"/>
        </w:rPr>
        <w:t>Zdroj: databáza ÚŠKVBL</w:t>
      </w: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lastRenderedPageBreak/>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4BD96D6C" w14:textId="5A447E17" w:rsidR="00024EE4" w:rsidRPr="00115C10" w:rsidRDefault="00D114ED" w:rsidP="00054C41">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1084F26C" w:rsidR="00054C41" w:rsidRDefault="00054C41" w:rsidP="00054C41">
      <w:pPr>
        <w:spacing w:after="0"/>
        <w:jc w:val="both"/>
        <w:rPr>
          <w:rFonts w:ascii="Times New Roman" w:eastAsia="Calibri" w:hAnsi="Times New Roman" w:cs="Times New Roman"/>
          <w:i/>
          <w:sz w:val="24"/>
          <w:szCs w:val="24"/>
        </w:rPr>
      </w:pPr>
    </w:p>
    <w:p w14:paraId="4769BDAC" w14:textId="77777777" w:rsidR="00EA2A5E" w:rsidRPr="00667A4F" w:rsidRDefault="00EA2A5E" w:rsidP="00EA2A5E">
      <w:pPr>
        <w:jc w:val="both"/>
        <w:rPr>
          <w:rFonts w:ascii="Times New Roman" w:eastAsia="Calibri" w:hAnsi="Times New Roman" w:cs="Times New Roman"/>
          <w:iCs/>
          <w:sz w:val="24"/>
          <w:szCs w:val="24"/>
        </w:rPr>
      </w:pPr>
      <w:r w:rsidRPr="00667A4F">
        <w:rPr>
          <w:rFonts w:ascii="Times New Roman" w:eastAsia="Calibri" w:hAnsi="Times New Roman" w:cs="Times New Roman"/>
          <w:iCs/>
          <w:sz w:val="24"/>
          <w:szCs w:val="24"/>
        </w:rPr>
        <w:t xml:space="preserve">Verejnosť vrátane podnikateľských subjektov bola o príprave návrhu </w:t>
      </w:r>
      <w:r>
        <w:rPr>
          <w:rFonts w:ascii="Times New Roman" w:eastAsia="Calibri" w:hAnsi="Times New Roman" w:cs="Times New Roman"/>
          <w:iCs/>
          <w:sz w:val="24"/>
          <w:szCs w:val="24"/>
        </w:rPr>
        <w:t xml:space="preserve">zákona, </w:t>
      </w:r>
      <w:r w:rsidRPr="00667A4F">
        <w:rPr>
          <w:rFonts w:ascii="Times New Roman" w:eastAsia="Calibri" w:hAnsi="Times New Roman" w:cs="Times New Roman"/>
          <w:bCs/>
          <w:iCs/>
          <w:sz w:val="24"/>
          <w:szCs w:val="24"/>
        </w:rPr>
        <w:t xml:space="preserve">ktorým sa mení a dopĺňa zákon č. 139/1998 Z. z. o omamných látkach, psychotropných látkach a prípravkoch v znení neskorších predpisov </w:t>
      </w:r>
      <w:r w:rsidRPr="00667A4F">
        <w:rPr>
          <w:rFonts w:ascii="Times New Roman" w:eastAsia="Calibri" w:hAnsi="Times New Roman" w:cs="Times New Roman"/>
          <w:iCs/>
          <w:sz w:val="24"/>
          <w:szCs w:val="24"/>
        </w:rPr>
        <w:t xml:space="preserve"> informovaná prostredníctvom predbežnej informácie zverejnenej na portáli Slov-Lex pod č. PI/2026/1</w:t>
      </w:r>
      <w:r>
        <w:rPr>
          <w:rFonts w:ascii="Times New Roman" w:eastAsia="Calibri" w:hAnsi="Times New Roman" w:cs="Times New Roman"/>
          <w:iCs/>
          <w:sz w:val="24"/>
          <w:szCs w:val="24"/>
        </w:rPr>
        <w:t>24</w:t>
      </w:r>
      <w:r w:rsidRPr="00667A4F">
        <w:rPr>
          <w:rFonts w:ascii="Times New Roman" w:eastAsia="Calibri" w:hAnsi="Times New Roman" w:cs="Times New Roman"/>
          <w:iCs/>
          <w:sz w:val="24"/>
          <w:szCs w:val="24"/>
        </w:rPr>
        <w:t>.</w:t>
      </w:r>
    </w:p>
    <w:p w14:paraId="3E9E3DC9" w14:textId="77777777" w:rsidR="00EA2A5E" w:rsidRDefault="00EA2A5E" w:rsidP="00EA2A5E">
      <w:pPr>
        <w:jc w:val="both"/>
        <w:rPr>
          <w:rFonts w:ascii="Times New Roman" w:eastAsia="Calibri" w:hAnsi="Times New Roman" w:cs="Times New Roman"/>
          <w:iCs/>
          <w:sz w:val="24"/>
          <w:szCs w:val="24"/>
        </w:rPr>
      </w:pPr>
      <w:r w:rsidRPr="00667A4F">
        <w:rPr>
          <w:rFonts w:ascii="Times New Roman" w:eastAsia="Calibri" w:hAnsi="Times New Roman" w:cs="Times New Roman"/>
          <w:iCs/>
          <w:sz w:val="24"/>
          <w:szCs w:val="24"/>
        </w:rPr>
        <w:t xml:space="preserve">Na základe zverejnenej predbežnej informácie mohla verejnosť vrátane podnikateľských subjektov v období od </w:t>
      </w:r>
      <w:r>
        <w:rPr>
          <w:rFonts w:ascii="Times New Roman" w:eastAsia="Calibri" w:hAnsi="Times New Roman" w:cs="Times New Roman"/>
          <w:iCs/>
          <w:sz w:val="24"/>
          <w:szCs w:val="24"/>
        </w:rPr>
        <w:t>21.05.</w:t>
      </w:r>
      <w:r w:rsidRPr="00667A4F">
        <w:rPr>
          <w:rFonts w:ascii="Times New Roman" w:eastAsia="Calibri" w:hAnsi="Times New Roman" w:cs="Times New Roman"/>
          <w:iCs/>
          <w:sz w:val="24"/>
          <w:szCs w:val="24"/>
        </w:rPr>
        <w:t xml:space="preserve">2026 do </w:t>
      </w:r>
      <w:r>
        <w:rPr>
          <w:rFonts w:ascii="Times New Roman" w:eastAsia="Calibri" w:hAnsi="Times New Roman" w:cs="Times New Roman"/>
          <w:iCs/>
          <w:sz w:val="24"/>
          <w:szCs w:val="24"/>
        </w:rPr>
        <w:t>29</w:t>
      </w:r>
      <w:r w:rsidRPr="00667A4F">
        <w:rPr>
          <w:rFonts w:ascii="Times New Roman" w:eastAsia="Calibri" w:hAnsi="Times New Roman" w:cs="Times New Roman"/>
          <w:iCs/>
          <w:sz w:val="24"/>
          <w:szCs w:val="24"/>
        </w:rPr>
        <w:t>.</w:t>
      </w:r>
      <w:r>
        <w:rPr>
          <w:rFonts w:ascii="Times New Roman" w:eastAsia="Calibri" w:hAnsi="Times New Roman" w:cs="Times New Roman"/>
          <w:iCs/>
          <w:sz w:val="24"/>
          <w:szCs w:val="24"/>
        </w:rPr>
        <w:t>0</w:t>
      </w:r>
      <w:r w:rsidRPr="00667A4F">
        <w:rPr>
          <w:rFonts w:ascii="Times New Roman" w:eastAsia="Calibri" w:hAnsi="Times New Roman" w:cs="Times New Roman"/>
          <w:iCs/>
          <w:sz w:val="24"/>
          <w:szCs w:val="24"/>
        </w:rPr>
        <w:t>5.2026 predkladať svoje podnety a návrhy.</w:t>
      </w:r>
    </w:p>
    <w:p w14:paraId="57B51ABD" w14:textId="77777777" w:rsidR="00EA2A5E" w:rsidRPr="00667A4F" w:rsidRDefault="00EA2A5E" w:rsidP="00EA2A5E">
      <w:pPr>
        <w:jc w:val="both"/>
        <w:rPr>
          <w:rFonts w:ascii="Times New Roman" w:eastAsia="Calibri" w:hAnsi="Times New Roman" w:cs="Times New Roman"/>
          <w:b/>
          <w:sz w:val="24"/>
          <w:szCs w:val="24"/>
        </w:rPr>
      </w:pPr>
      <w:r w:rsidRPr="00667A4F">
        <w:rPr>
          <w:rFonts w:ascii="Times New Roman" w:eastAsia="Calibri" w:hAnsi="Times New Roman" w:cs="Times New Roman"/>
          <w:bCs/>
          <w:sz w:val="24"/>
          <w:szCs w:val="24"/>
        </w:rPr>
        <w:t>K predbežnej informácií neboli predložené žiadne pripomienky</w:t>
      </w:r>
      <w:r w:rsidRPr="00667A4F">
        <w:rPr>
          <w:rFonts w:ascii="Times New Roman" w:eastAsia="Calibri" w:hAnsi="Times New Roman" w:cs="Times New Roman"/>
          <w:b/>
          <w:sz w:val="24"/>
          <w:szCs w:val="24"/>
        </w:rPr>
        <w:t>.</w:t>
      </w:r>
    </w:p>
    <w:p w14:paraId="609C066C" w14:textId="77777777" w:rsidR="00054C41" w:rsidRPr="001F1B43" w:rsidRDefault="00054C41" w:rsidP="00054C41">
      <w:pPr>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lastRenderedPageBreak/>
        <w:t>3.3 Vplyvy na konkurencieschopnosť a produktivitu</w:t>
      </w:r>
    </w:p>
    <w:bookmarkEnd w:id="0"/>
    <w:p w14:paraId="5CAF52B4"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025771FF" w14:textId="77777777" w:rsidR="00115C10" w:rsidRPr="008462AF" w:rsidRDefault="00115C10" w:rsidP="00115C10">
      <w:pPr>
        <w:spacing w:after="0"/>
        <w:jc w:val="both"/>
        <w:rPr>
          <w:rFonts w:ascii="Times New Roman" w:eastAsia="Times New Roman" w:hAnsi="Times New Roman" w:cs="Times New Roman"/>
          <w:color w:val="000000" w:themeColor="text1"/>
          <w:sz w:val="24"/>
          <w:szCs w:val="24"/>
          <w:lang w:eastAsia="sk-SK"/>
        </w:rPr>
      </w:pPr>
      <w:r w:rsidRPr="00717A3D">
        <w:rPr>
          <w:rFonts w:ascii="Times New Roman" w:eastAsia="Times New Roman" w:hAnsi="Times New Roman" w:cs="Times New Roman"/>
          <w:color w:val="000000" w:themeColor="text1"/>
          <w:sz w:val="24"/>
          <w:szCs w:val="24"/>
          <w:lang w:eastAsia="sk-SK"/>
        </w:rPr>
        <w:t>Predkladaným návrhom zákona nedochádza k vytvoreniu ani k zmene bariér na trhu.</w:t>
      </w:r>
    </w:p>
    <w:p w14:paraId="5A9CE5F0" w14:textId="77777777" w:rsidR="00115C10" w:rsidRPr="00D8247C" w:rsidRDefault="00115C10" w:rsidP="00054C41">
      <w:pPr>
        <w:spacing w:after="0"/>
        <w:jc w:val="both"/>
        <w:rPr>
          <w:rFonts w:ascii="Times New Roman" w:eastAsia="Calibri" w:hAnsi="Times New Roman" w:cs="Times New Roman"/>
          <w:i/>
          <w:sz w:val="24"/>
          <w:szCs w:val="24"/>
        </w:rPr>
      </w:pPr>
    </w:p>
    <w:p w14:paraId="4D049DE7"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EB2D808" w14:textId="77777777" w:rsidR="00115C10" w:rsidRPr="008462AF" w:rsidRDefault="00115C10" w:rsidP="00115C10">
      <w:pPr>
        <w:spacing w:after="0"/>
        <w:jc w:val="both"/>
        <w:rPr>
          <w:rFonts w:ascii="Times New Roman" w:eastAsia="Calibri" w:hAnsi="Times New Roman" w:cs="Times New Roman"/>
          <w:iCs/>
          <w:sz w:val="24"/>
          <w:szCs w:val="24"/>
        </w:rPr>
      </w:pPr>
      <w:r w:rsidRPr="00717A3D">
        <w:rPr>
          <w:rFonts w:ascii="Times New Roman" w:eastAsia="Calibri" w:hAnsi="Times New Roman" w:cs="Times New Roman"/>
          <w:iCs/>
          <w:sz w:val="24"/>
          <w:szCs w:val="24"/>
        </w:rPr>
        <w:t>Predkladaný zákon nevytvára rozdielne podmienky/režimy pre podniky resp. produkty v porovnateľnej situácii.</w:t>
      </w:r>
      <w:r w:rsidRPr="008462AF">
        <w:rPr>
          <w:rFonts w:ascii="Times New Roman" w:eastAsia="Calibri" w:hAnsi="Times New Roman" w:cs="Times New Roman"/>
          <w:iCs/>
          <w:sz w:val="24"/>
          <w:szCs w:val="24"/>
        </w:rPr>
        <w:t xml:space="preserve"> </w:t>
      </w:r>
    </w:p>
    <w:p w14:paraId="0BDC0701" w14:textId="77777777" w:rsidR="00115C10" w:rsidRPr="00D8247C" w:rsidRDefault="00115C10" w:rsidP="00054C41">
      <w:pPr>
        <w:spacing w:after="0"/>
        <w:jc w:val="both"/>
        <w:rPr>
          <w:rFonts w:ascii="Times New Roman" w:eastAsia="Calibri" w:hAnsi="Times New Roman" w:cs="Times New Roman"/>
          <w:i/>
          <w:sz w:val="24"/>
          <w:szCs w:val="24"/>
        </w:rPr>
      </w:pPr>
    </w:p>
    <w:p w14:paraId="452A90F1"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53F13EAE" w14:textId="77777777" w:rsidR="00115C10" w:rsidRPr="008462AF" w:rsidRDefault="00115C10" w:rsidP="00115C10">
      <w:pPr>
        <w:spacing w:after="0"/>
        <w:jc w:val="both"/>
        <w:rPr>
          <w:rFonts w:ascii="Times New Roman" w:eastAsia="Calibri" w:hAnsi="Times New Roman" w:cs="Times New Roman"/>
          <w:sz w:val="24"/>
          <w:szCs w:val="24"/>
        </w:rPr>
      </w:pPr>
      <w:r w:rsidRPr="00717A3D">
        <w:rPr>
          <w:rFonts w:ascii="Times New Roman" w:eastAsia="Calibri" w:hAnsi="Times New Roman" w:cs="Times New Roman"/>
          <w:sz w:val="24"/>
          <w:szCs w:val="24"/>
        </w:rPr>
        <w:t>Zákon nemá vplyv na cezhraničné investície.</w:t>
      </w:r>
      <w:r w:rsidRPr="008462AF">
        <w:rPr>
          <w:rFonts w:ascii="Times New Roman" w:eastAsia="Calibri" w:hAnsi="Times New Roman" w:cs="Times New Roman"/>
          <w:sz w:val="24"/>
          <w:szCs w:val="24"/>
        </w:rPr>
        <w:t xml:space="preserve"> </w:t>
      </w:r>
    </w:p>
    <w:p w14:paraId="251DA380" w14:textId="77777777" w:rsidR="00115C10" w:rsidRPr="00D8247C" w:rsidRDefault="00115C10" w:rsidP="00054C41">
      <w:pPr>
        <w:spacing w:after="0"/>
        <w:jc w:val="both"/>
        <w:rPr>
          <w:rFonts w:ascii="Times New Roman" w:eastAsia="Calibri" w:hAnsi="Times New Roman" w:cs="Times New Roman"/>
          <w:i/>
          <w:sz w:val="24"/>
          <w:szCs w:val="24"/>
        </w:rPr>
      </w:pP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3A2D5914" w14:textId="77777777" w:rsidR="00115C10" w:rsidRPr="008462AF" w:rsidRDefault="00115C10" w:rsidP="00115C10">
      <w:pPr>
        <w:spacing w:after="0"/>
        <w:jc w:val="both"/>
        <w:rPr>
          <w:rFonts w:ascii="Times New Roman" w:eastAsia="Calibri" w:hAnsi="Times New Roman" w:cs="Times New Roman"/>
          <w:iCs/>
          <w:sz w:val="24"/>
          <w:szCs w:val="24"/>
        </w:rPr>
      </w:pPr>
      <w:r w:rsidRPr="00717A3D">
        <w:rPr>
          <w:rFonts w:ascii="Times New Roman" w:eastAsia="Calibri" w:hAnsi="Times New Roman" w:cs="Times New Roman"/>
          <w:iCs/>
          <w:sz w:val="24"/>
          <w:szCs w:val="24"/>
        </w:rPr>
        <w:t>Zákon nebude mať vplyv na dostupnosť základných zdrojov.</w:t>
      </w:r>
    </w:p>
    <w:p w14:paraId="2AAB0197" w14:textId="77777777" w:rsidR="00115C10" w:rsidRDefault="00115C10" w:rsidP="00054C41">
      <w:pPr>
        <w:spacing w:after="0"/>
        <w:jc w:val="both"/>
        <w:rPr>
          <w:rFonts w:ascii="Times New Roman" w:eastAsia="Calibri" w:hAnsi="Times New Roman" w:cs="Times New Roman"/>
          <w:i/>
          <w:sz w:val="24"/>
          <w:szCs w:val="24"/>
        </w:rPr>
      </w:pP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0C2E8233" w14:textId="77777777" w:rsidR="00115C10" w:rsidRPr="008462AF" w:rsidRDefault="00115C10" w:rsidP="00115C10">
      <w:pPr>
        <w:spacing w:after="0"/>
        <w:jc w:val="both"/>
        <w:rPr>
          <w:rFonts w:ascii="Times New Roman" w:eastAsia="Calibri" w:hAnsi="Times New Roman" w:cs="Times New Roman"/>
          <w:iCs/>
          <w:sz w:val="24"/>
          <w:szCs w:val="24"/>
        </w:rPr>
      </w:pPr>
      <w:r w:rsidRPr="00717A3D">
        <w:rPr>
          <w:rFonts w:ascii="Times New Roman" w:eastAsia="Calibri" w:hAnsi="Times New Roman" w:cs="Times New Roman"/>
          <w:iCs/>
          <w:sz w:val="24"/>
          <w:szCs w:val="24"/>
        </w:rPr>
        <w:t>Zákon neovplyvní inovácie, vedu a výskum.</w:t>
      </w:r>
    </w:p>
    <w:p w14:paraId="40C7B45E" w14:textId="77777777" w:rsidR="00115C10" w:rsidRDefault="00115C10" w:rsidP="00054C41">
      <w:pPr>
        <w:spacing w:after="0"/>
        <w:jc w:val="both"/>
        <w:rPr>
          <w:rFonts w:ascii="Times New Roman" w:eastAsia="Calibri" w:hAnsi="Times New Roman" w:cs="Times New Roman"/>
          <w:i/>
          <w:sz w:val="24"/>
          <w:szCs w:val="24"/>
        </w:rPr>
      </w:pPr>
    </w:p>
    <w:p w14:paraId="64E2FB2F" w14:textId="227A16C1"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04F63155" w:rsidR="00054C41" w:rsidRPr="00D8247C"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Content>
          <w:sdt>
            <w:sdtPr>
              <w:rPr>
                <w:rFonts w:ascii="Times New Roman" w:eastAsia="Calibri" w:hAnsi="Times New Roman" w:cs="Times New Roman"/>
                <w:i/>
                <w:sz w:val="24"/>
                <w:szCs w:val="24"/>
              </w:rPr>
              <w:id w:val="172987366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Content>
          <w:sdt>
            <w:sdtPr>
              <w:rPr>
                <w:rFonts w:ascii="Times New Roman" w:eastAsia="Calibri" w:hAnsi="Times New Roman" w:cs="Times New Roman"/>
                <w:i/>
                <w:sz w:val="24"/>
                <w:szCs w:val="24"/>
              </w:rPr>
              <w:id w:val="-80300261"/>
            </w:sdtPr>
            <w:sdtContent>
              <w:r w:rsidR="00054C41" w:rsidRPr="00D8247C">
                <w:rPr>
                  <w:rFonts w:ascii="Segoe UI Symbol" w:eastAsia="Calibri" w:hAnsi="Segoe UI Symbol" w:cs="Segoe UI Symbol"/>
                  <w:i/>
                  <w:sz w:val="24"/>
                  <w:szCs w:val="24"/>
                </w:rPr>
                <w:t>☐</w:t>
              </w:r>
              <w:r w:rsidR="00115C10">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Content>
          <w:sdt>
            <w:sdtPr>
              <w:rPr>
                <w:rFonts w:ascii="Times New Roman" w:eastAsia="Calibri" w:hAnsi="Times New Roman" w:cs="Times New Roman"/>
                <w:i/>
                <w:sz w:val="24"/>
                <w:szCs w:val="24"/>
              </w:rPr>
              <w:id w:val="-1706551548"/>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0A2E0F29" w:rsidR="00054C41" w:rsidRPr="00D8247C" w:rsidRDefault="00115C10" w:rsidP="00054C41">
      <w:pPr>
        <w:spacing w:after="0"/>
        <w:jc w:val="both"/>
        <w:rPr>
          <w:rFonts w:ascii="Times New Roman" w:eastAsia="Calibri" w:hAnsi="Times New Roman" w:cs="Times New Roman"/>
          <w:i/>
          <w:sz w:val="24"/>
          <w:szCs w:val="24"/>
        </w:rPr>
      </w:pPr>
      <w:r w:rsidRPr="00717A3D">
        <w:rPr>
          <w:rFonts w:ascii="Times New Roman" w:eastAsia="Calibri" w:hAnsi="Times New Roman" w:cs="Times New Roman"/>
          <w:sz w:val="24"/>
          <w:szCs w:val="24"/>
        </w:rPr>
        <w:t>Zákon nemá priamy vplyv na zmenu pomeru medzi produkciou podniku a jeho nákladmi</w:t>
      </w:r>
      <w:r>
        <w:rPr>
          <w:rFonts w:ascii="Times New Roman" w:eastAsia="Calibri" w:hAnsi="Times New Roman" w:cs="Times New Roman"/>
          <w:sz w:val="24"/>
          <w:szCs w:val="24"/>
        </w:rPr>
        <w:t>.</w:t>
      </w:r>
    </w:p>
    <w:p w14:paraId="69E17ABA" w14:textId="77777777" w:rsidR="00115C10" w:rsidRDefault="00115C10" w:rsidP="00054C41">
      <w:pPr>
        <w:spacing w:after="0"/>
        <w:jc w:val="both"/>
        <w:rPr>
          <w:rFonts w:ascii="Times New Roman" w:eastAsia="Calibri" w:hAnsi="Times New Roman" w:cs="Times New Roman"/>
          <w:i/>
          <w:sz w:val="24"/>
          <w:szCs w:val="24"/>
        </w:rPr>
      </w:pPr>
    </w:p>
    <w:p w14:paraId="0B272ABF" w14:textId="57F194AC"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0B3DABB9" w:rsidR="00054C41" w:rsidRPr="00D8247C"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Content>
          <w:sdt>
            <w:sdtPr>
              <w:rPr>
                <w:rFonts w:ascii="Times New Roman" w:eastAsia="Calibri" w:hAnsi="Times New Roman" w:cs="Times New Roman"/>
                <w:i/>
                <w:sz w:val="24"/>
                <w:szCs w:val="24"/>
              </w:rPr>
              <w:id w:val="82571501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Content>
          <w:sdt>
            <w:sdtPr>
              <w:rPr>
                <w:rFonts w:ascii="Times New Roman" w:eastAsia="Calibri" w:hAnsi="Times New Roman" w:cs="Times New Roman"/>
                <w:i/>
                <w:sz w:val="24"/>
                <w:szCs w:val="24"/>
              </w:rPr>
              <w:id w:val="-1222205104"/>
            </w:sdtPr>
            <w:sdtContent>
              <w:r w:rsidR="00054C41" w:rsidRPr="00D8247C">
                <w:rPr>
                  <w:rFonts w:ascii="Segoe UI Symbol" w:eastAsia="Calibri" w:hAnsi="Segoe UI Symbol" w:cs="Segoe UI Symbol"/>
                  <w:i/>
                  <w:sz w:val="24"/>
                  <w:szCs w:val="24"/>
                </w:rPr>
                <w:t>☐</w:t>
              </w:r>
              <w:r w:rsidR="00115C10">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Content>
          <w:sdt>
            <w:sdtPr>
              <w:rPr>
                <w:rFonts w:ascii="Times New Roman" w:eastAsia="Calibri" w:hAnsi="Times New Roman" w:cs="Times New Roman"/>
                <w:i/>
                <w:sz w:val="24"/>
                <w:szCs w:val="24"/>
              </w:rPr>
              <w:id w:val="-623767955"/>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04547B8F" w14:textId="77777777"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2F63E223" w14:textId="0D02F6FF" w:rsidR="00054C41" w:rsidRDefault="00054C41" w:rsidP="00054C41">
      <w:pPr>
        <w:jc w:val="both"/>
        <w:rPr>
          <w:rFonts w:ascii="Times New Roman" w:eastAsia="Calibri" w:hAnsi="Times New Roman" w:cs="Times New Roman"/>
          <w:bCs/>
          <w:i/>
          <w:sz w:val="24"/>
          <w:szCs w:val="24"/>
        </w:rPr>
      </w:pPr>
    </w:p>
    <w:sectPr w:rsidR="00054C41"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7801F" w14:textId="77777777" w:rsidR="003E1402" w:rsidRDefault="003E1402" w:rsidP="00054C41">
      <w:pPr>
        <w:spacing w:after="0" w:line="240" w:lineRule="auto"/>
      </w:pPr>
      <w:r>
        <w:separator/>
      </w:r>
    </w:p>
  </w:endnote>
  <w:endnote w:type="continuationSeparator" w:id="0">
    <w:p w14:paraId="2CE789B6" w14:textId="77777777" w:rsidR="003E1402" w:rsidRDefault="003E1402"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03BFA3D5"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EA2A5E">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364B1" w14:textId="77777777" w:rsidR="003E1402" w:rsidRDefault="003E1402" w:rsidP="00054C41">
      <w:pPr>
        <w:spacing w:after="0" w:line="240" w:lineRule="auto"/>
      </w:pPr>
      <w:r>
        <w:separator/>
      </w:r>
    </w:p>
  </w:footnote>
  <w:footnote w:type="continuationSeparator" w:id="0">
    <w:p w14:paraId="57445966" w14:textId="77777777" w:rsidR="003E1402" w:rsidRDefault="003E1402"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293712460">
    <w:abstractNumId w:val="1"/>
  </w:num>
  <w:num w:numId="2" w16cid:durableId="1888834725">
    <w:abstractNumId w:val="9"/>
  </w:num>
  <w:num w:numId="3" w16cid:durableId="742216769">
    <w:abstractNumId w:val="10"/>
  </w:num>
  <w:num w:numId="4" w16cid:durableId="150367701">
    <w:abstractNumId w:val="8"/>
  </w:num>
  <w:num w:numId="5" w16cid:durableId="1487278189">
    <w:abstractNumId w:val="6"/>
  </w:num>
  <w:num w:numId="6" w16cid:durableId="13668302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2285043">
    <w:abstractNumId w:val="10"/>
  </w:num>
  <w:num w:numId="8" w16cid:durableId="10956393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09217478">
    <w:abstractNumId w:val="7"/>
  </w:num>
  <w:num w:numId="10" w16cid:durableId="1341809492">
    <w:abstractNumId w:val="3"/>
  </w:num>
  <w:num w:numId="11" w16cid:durableId="1968120008">
    <w:abstractNumId w:val="4"/>
  </w:num>
  <w:num w:numId="12" w16cid:durableId="553200128">
    <w:abstractNumId w:val="0"/>
  </w:num>
  <w:num w:numId="13" w16cid:durableId="556431570">
    <w:abstractNumId w:val="11"/>
  </w:num>
  <w:num w:numId="14" w16cid:durableId="12651174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05C8"/>
    <w:rsid w:val="0002425A"/>
    <w:rsid w:val="00024EE4"/>
    <w:rsid w:val="00047C70"/>
    <w:rsid w:val="00050AAB"/>
    <w:rsid w:val="00054A53"/>
    <w:rsid w:val="00054C41"/>
    <w:rsid w:val="00060DA1"/>
    <w:rsid w:val="00061E85"/>
    <w:rsid w:val="000820E0"/>
    <w:rsid w:val="00091A43"/>
    <w:rsid w:val="0009490E"/>
    <w:rsid w:val="000A6B7F"/>
    <w:rsid w:val="000C5419"/>
    <w:rsid w:val="000C5E9A"/>
    <w:rsid w:val="000D15F0"/>
    <w:rsid w:val="001044B7"/>
    <w:rsid w:val="0011003B"/>
    <w:rsid w:val="001133DA"/>
    <w:rsid w:val="00115C10"/>
    <w:rsid w:val="00126A2B"/>
    <w:rsid w:val="00142154"/>
    <w:rsid w:val="001476A4"/>
    <w:rsid w:val="00162C6C"/>
    <w:rsid w:val="0016512E"/>
    <w:rsid w:val="0018715C"/>
    <w:rsid w:val="0018788C"/>
    <w:rsid w:val="001A1561"/>
    <w:rsid w:val="001B4C03"/>
    <w:rsid w:val="001C0FAC"/>
    <w:rsid w:val="001C7259"/>
    <w:rsid w:val="001C7B91"/>
    <w:rsid w:val="001D1083"/>
    <w:rsid w:val="001D3FA0"/>
    <w:rsid w:val="001E24E8"/>
    <w:rsid w:val="001E3FA2"/>
    <w:rsid w:val="001E53CB"/>
    <w:rsid w:val="001F0500"/>
    <w:rsid w:val="00207F43"/>
    <w:rsid w:val="002232D3"/>
    <w:rsid w:val="00225A83"/>
    <w:rsid w:val="00231B8F"/>
    <w:rsid w:val="002560D1"/>
    <w:rsid w:val="00270EA5"/>
    <w:rsid w:val="002712B9"/>
    <w:rsid w:val="00284B8C"/>
    <w:rsid w:val="00286BC9"/>
    <w:rsid w:val="0029483F"/>
    <w:rsid w:val="002C2FC0"/>
    <w:rsid w:val="002C3388"/>
    <w:rsid w:val="00302A17"/>
    <w:rsid w:val="00314D25"/>
    <w:rsid w:val="00315BE2"/>
    <w:rsid w:val="003322EE"/>
    <w:rsid w:val="00337630"/>
    <w:rsid w:val="00340CFD"/>
    <w:rsid w:val="003413D5"/>
    <w:rsid w:val="00342621"/>
    <w:rsid w:val="00357F22"/>
    <w:rsid w:val="00366239"/>
    <w:rsid w:val="0036748D"/>
    <w:rsid w:val="00376039"/>
    <w:rsid w:val="0038255E"/>
    <w:rsid w:val="00391648"/>
    <w:rsid w:val="0039304E"/>
    <w:rsid w:val="0039334E"/>
    <w:rsid w:val="00394AD2"/>
    <w:rsid w:val="003A02AF"/>
    <w:rsid w:val="003A3124"/>
    <w:rsid w:val="003A3378"/>
    <w:rsid w:val="003A686F"/>
    <w:rsid w:val="003E1402"/>
    <w:rsid w:val="003E58B8"/>
    <w:rsid w:val="003F06D7"/>
    <w:rsid w:val="00400224"/>
    <w:rsid w:val="00400BA5"/>
    <w:rsid w:val="00410E62"/>
    <w:rsid w:val="00414FA7"/>
    <w:rsid w:val="00420090"/>
    <w:rsid w:val="004239D1"/>
    <w:rsid w:val="00445638"/>
    <w:rsid w:val="00446432"/>
    <w:rsid w:val="00446512"/>
    <w:rsid w:val="00466D7A"/>
    <w:rsid w:val="00480E06"/>
    <w:rsid w:val="0048237B"/>
    <w:rsid w:val="00484D16"/>
    <w:rsid w:val="00491853"/>
    <w:rsid w:val="00492DAB"/>
    <w:rsid w:val="004A14CD"/>
    <w:rsid w:val="004A2C6B"/>
    <w:rsid w:val="004D20CB"/>
    <w:rsid w:val="004D65B2"/>
    <w:rsid w:val="004D681D"/>
    <w:rsid w:val="004E2324"/>
    <w:rsid w:val="004F63E6"/>
    <w:rsid w:val="005103DA"/>
    <w:rsid w:val="00511F8F"/>
    <w:rsid w:val="00512BA7"/>
    <w:rsid w:val="00515726"/>
    <w:rsid w:val="00540F78"/>
    <w:rsid w:val="005441D5"/>
    <w:rsid w:val="00562527"/>
    <w:rsid w:val="00562A1E"/>
    <w:rsid w:val="00563427"/>
    <w:rsid w:val="00581EB9"/>
    <w:rsid w:val="00587D84"/>
    <w:rsid w:val="005A3456"/>
    <w:rsid w:val="005B2A9C"/>
    <w:rsid w:val="005B4E6E"/>
    <w:rsid w:val="005B56E4"/>
    <w:rsid w:val="005C795C"/>
    <w:rsid w:val="005D0E50"/>
    <w:rsid w:val="005D39D8"/>
    <w:rsid w:val="0061097B"/>
    <w:rsid w:val="0061612F"/>
    <w:rsid w:val="006177C8"/>
    <w:rsid w:val="0062600A"/>
    <w:rsid w:val="0063777D"/>
    <w:rsid w:val="00643358"/>
    <w:rsid w:val="00646084"/>
    <w:rsid w:val="006564C3"/>
    <w:rsid w:val="006578CB"/>
    <w:rsid w:val="006A4E85"/>
    <w:rsid w:val="006A60C0"/>
    <w:rsid w:val="006A712F"/>
    <w:rsid w:val="006B5D74"/>
    <w:rsid w:val="006C25BE"/>
    <w:rsid w:val="006D7AD8"/>
    <w:rsid w:val="006F1D57"/>
    <w:rsid w:val="0070364C"/>
    <w:rsid w:val="00710EDF"/>
    <w:rsid w:val="0072221D"/>
    <w:rsid w:val="0072357C"/>
    <w:rsid w:val="007259CB"/>
    <w:rsid w:val="00726031"/>
    <w:rsid w:val="00751DA9"/>
    <w:rsid w:val="00755E69"/>
    <w:rsid w:val="007648EE"/>
    <w:rsid w:val="0077106D"/>
    <w:rsid w:val="0077153E"/>
    <w:rsid w:val="00780ACC"/>
    <w:rsid w:val="00784447"/>
    <w:rsid w:val="00787A11"/>
    <w:rsid w:val="00797B40"/>
    <w:rsid w:val="007A0C9D"/>
    <w:rsid w:val="007A72CF"/>
    <w:rsid w:val="007B40FB"/>
    <w:rsid w:val="007B62AF"/>
    <w:rsid w:val="007E24B2"/>
    <w:rsid w:val="007E2DA4"/>
    <w:rsid w:val="007E6815"/>
    <w:rsid w:val="007E7632"/>
    <w:rsid w:val="007F1C84"/>
    <w:rsid w:val="007F4579"/>
    <w:rsid w:val="007F60A0"/>
    <w:rsid w:val="00801596"/>
    <w:rsid w:val="00804BC8"/>
    <w:rsid w:val="00806E23"/>
    <w:rsid w:val="00807981"/>
    <w:rsid w:val="00823F5A"/>
    <w:rsid w:val="00845D3B"/>
    <w:rsid w:val="008634E9"/>
    <w:rsid w:val="008801B5"/>
    <w:rsid w:val="00880578"/>
    <w:rsid w:val="00882407"/>
    <w:rsid w:val="008920C3"/>
    <w:rsid w:val="00894052"/>
    <w:rsid w:val="008A7B87"/>
    <w:rsid w:val="008B4AA1"/>
    <w:rsid w:val="008C1C71"/>
    <w:rsid w:val="008E1AD0"/>
    <w:rsid w:val="008E315F"/>
    <w:rsid w:val="008E6B82"/>
    <w:rsid w:val="008F5476"/>
    <w:rsid w:val="008F55CA"/>
    <w:rsid w:val="008F6ADE"/>
    <w:rsid w:val="0091269B"/>
    <w:rsid w:val="00923C0C"/>
    <w:rsid w:val="0095170D"/>
    <w:rsid w:val="00952CF6"/>
    <w:rsid w:val="009537DC"/>
    <w:rsid w:val="00960413"/>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03D3A"/>
    <w:rsid w:val="00A1736E"/>
    <w:rsid w:val="00A216DF"/>
    <w:rsid w:val="00A33F2C"/>
    <w:rsid w:val="00A50EE3"/>
    <w:rsid w:val="00A7012E"/>
    <w:rsid w:val="00A83E11"/>
    <w:rsid w:val="00A94A0F"/>
    <w:rsid w:val="00AA3C6D"/>
    <w:rsid w:val="00AB57C4"/>
    <w:rsid w:val="00B11CF5"/>
    <w:rsid w:val="00B209FA"/>
    <w:rsid w:val="00B21D1F"/>
    <w:rsid w:val="00B410BA"/>
    <w:rsid w:val="00B43D68"/>
    <w:rsid w:val="00B44A3A"/>
    <w:rsid w:val="00B5600C"/>
    <w:rsid w:val="00B66E33"/>
    <w:rsid w:val="00B72FB1"/>
    <w:rsid w:val="00B93B71"/>
    <w:rsid w:val="00B94313"/>
    <w:rsid w:val="00B953DA"/>
    <w:rsid w:val="00BA19B0"/>
    <w:rsid w:val="00BB3870"/>
    <w:rsid w:val="00BB45A7"/>
    <w:rsid w:val="00BD0EF7"/>
    <w:rsid w:val="00BD6778"/>
    <w:rsid w:val="00C01599"/>
    <w:rsid w:val="00C048D1"/>
    <w:rsid w:val="00C05563"/>
    <w:rsid w:val="00C11132"/>
    <w:rsid w:val="00C115B9"/>
    <w:rsid w:val="00C12FDD"/>
    <w:rsid w:val="00C145AA"/>
    <w:rsid w:val="00C14655"/>
    <w:rsid w:val="00C21399"/>
    <w:rsid w:val="00C32DEB"/>
    <w:rsid w:val="00C37476"/>
    <w:rsid w:val="00C446E2"/>
    <w:rsid w:val="00C535F5"/>
    <w:rsid w:val="00C5465F"/>
    <w:rsid w:val="00C560C4"/>
    <w:rsid w:val="00C6748F"/>
    <w:rsid w:val="00C74337"/>
    <w:rsid w:val="00C75DC8"/>
    <w:rsid w:val="00C929AE"/>
    <w:rsid w:val="00CA4344"/>
    <w:rsid w:val="00CA5B90"/>
    <w:rsid w:val="00CA6348"/>
    <w:rsid w:val="00CB1232"/>
    <w:rsid w:val="00CB17A0"/>
    <w:rsid w:val="00CC3B7D"/>
    <w:rsid w:val="00CD5AE4"/>
    <w:rsid w:val="00CD5E86"/>
    <w:rsid w:val="00CE3B21"/>
    <w:rsid w:val="00CF4D09"/>
    <w:rsid w:val="00D005F2"/>
    <w:rsid w:val="00D03A8E"/>
    <w:rsid w:val="00D114ED"/>
    <w:rsid w:val="00D23272"/>
    <w:rsid w:val="00D3032C"/>
    <w:rsid w:val="00D31A3B"/>
    <w:rsid w:val="00D5309D"/>
    <w:rsid w:val="00D631FA"/>
    <w:rsid w:val="00D71064"/>
    <w:rsid w:val="00D811BB"/>
    <w:rsid w:val="00D82356"/>
    <w:rsid w:val="00D84EEE"/>
    <w:rsid w:val="00D90A61"/>
    <w:rsid w:val="00D946EF"/>
    <w:rsid w:val="00D95553"/>
    <w:rsid w:val="00DC355F"/>
    <w:rsid w:val="00DD1E4C"/>
    <w:rsid w:val="00DE331A"/>
    <w:rsid w:val="00DE6ACB"/>
    <w:rsid w:val="00DF02CE"/>
    <w:rsid w:val="00DF12A7"/>
    <w:rsid w:val="00DF1462"/>
    <w:rsid w:val="00DF1E5B"/>
    <w:rsid w:val="00E030DA"/>
    <w:rsid w:val="00E214C0"/>
    <w:rsid w:val="00E30D85"/>
    <w:rsid w:val="00E444EB"/>
    <w:rsid w:val="00E77A69"/>
    <w:rsid w:val="00E81A42"/>
    <w:rsid w:val="00E94CCA"/>
    <w:rsid w:val="00E961E8"/>
    <w:rsid w:val="00E96244"/>
    <w:rsid w:val="00E96DE0"/>
    <w:rsid w:val="00EA2A5E"/>
    <w:rsid w:val="00EB2BEC"/>
    <w:rsid w:val="00EB74BF"/>
    <w:rsid w:val="00EC0704"/>
    <w:rsid w:val="00EC508B"/>
    <w:rsid w:val="00ED5153"/>
    <w:rsid w:val="00ED6B5D"/>
    <w:rsid w:val="00EE4C99"/>
    <w:rsid w:val="00F153D7"/>
    <w:rsid w:val="00F1599C"/>
    <w:rsid w:val="00F2433F"/>
    <w:rsid w:val="00F244DC"/>
    <w:rsid w:val="00F378F4"/>
    <w:rsid w:val="00F426F2"/>
    <w:rsid w:val="00F47912"/>
    <w:rsid w:val="00F541B6"/>
    <w:rsid w:val="00F57702"/>
    <w:rsid w:val="00F61361"/>
    <w:rsid w:val="00F613E8"/>
    <w:rsid w:val="00F74D3C"/>
    <w:rsid w:val="00F74FC9"/>
    <w:rsid w:val="00F91F47"/>
    <w:rsid w:val="00FA4F36"/>
    <w:rsid w:val="00FA6FFE"/>
    <w:rsid w:val="00FB3DDA"/>
    <w:rsid w:val="00FC121B"/>
    <w:rsid w:val="00FC6308"/>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976C7E14-948D-4788-B66A-69C122E3856F}">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1620</Words>
  <Characters>9240</Characters>
  <Application>Microsoft Office Word</Application>
  <DocSecurity>0</DocSecurity>
  <Lines>77</Lines>
  <Paragraphs>21</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Autor</cp:lastModifiedBy>
  <cp:revision>3</cp:revision>
  <dcterms:created xsi:type="dcterms:W3CDTF">2026-07-30T12:07:00Z</dcterms:created>
  <dcterms:modified xsi:type="dcterms:W3CDTF">2026-08-12T06:03:00Z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