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BC5E60" w:rsidRDefault="00054C41" w:rsidP="00054C41">
      <w:pPr>
        <w:jc w:val="center"/>
        <w:rPr>
          <w:rFonts w:ascii="Times New Roman" w:eastAsia="Calibri" w:hAnsi="Times New Roman" w:cs="Times New Roman"/>
          <w:b/>
          <w:sz w:val="28"/>
          <w:szCs w:val="28"/>
        </w:rPr>
      </w:pPr>
      <w:r w:rsidRPr="00BC5E60">
        <w:rPr>
          <w:rFonts w:ascii="Times New Roman" w:eastAsia="Calibri" w:hAnsi="Times New Roman" w:cs="Times New Roman"/>
          <w:b/>
          <w:sz w:val="28"/>
          <w:szCs w:val="28"/>
        </w:rPr>
        <w:t>Analýza vplyvov na podnikateľské prostredie</w:t>
      </w:r>
    </w:p>
    <w:p w14:paraId="7AF84A90" w14:textId="77777777" w:rsidR="00054C41" w:rsidRPr="00BC5E60" w:rsidRDefault="00054C41" w:rsidP="00054C41">
      <w:pPr>
        <w:jc w:val="both"/>
        <w:rPr>
          <w:rFonts w:ascii="Times New Roman" w:eastAsia="Calibri" w:hAnsi="Times New Roman" w:cs="Times New Roman"/>
          <w:b/>
          <w:sz w:val="24"/>
          <w:szCs w:val="24"/>
        </w:rPr>
      </w:pPr>
    </w:p>
    <w:p w14:paraId="22516163" w14:textId="6C3B9782" w:rsidR="00054C41" w:rsidRPr="00BC5E60" w:rsidRDefault="00054C41" w:rsidP="00D82BA9">
      <w:pPr>
        <w:ind w:left="1985" w:hanging="1985"/>
        <w:jc w:val="both"/>
        <w:rPr>
          <w:rFonts w:ascii="Times New Roman" w:eastAsia="Calibri" w:hAnsi="Times New Roman" w:cs="Times New Roman"/>
          <w:b/>
          <w:sz w:val="24"/>
          <w:szCs w:val="24"/>
        </w:rPr>
      </w:pPr>
      <w:r w:rsidRPr="00BC5E60">
        <w:rPr>
          <w:rFonts w:ascii="Times New Roman" w:eastAsia="Calibri" w:hAnsi="Times New Roman" w:cs="Times New Roman"/>
          <w:b/>
          <w:sz w:val="24"/>
          <w:szCs w:val="24"/>
        </w:rPr>
        <w:t>Názov materiálu:</w:t>
      </w:r>
      <w:r w:rsidR="00D82BA9" w:rsidRPr="00BC5E60">
        <w:rPr>
          <w:rFonts w:ascii="Times New Roman" w:eastAsia="Calibri" w:hAnsi="Times New Roman" w:cs="Times New Roman"/>
          <w:b/>
          <w:sz w:val="24"/>
          <w:szCs w:val="24"/>
        </w:rPr>
        <w:t xml:space="preserve"> </w:t>
      </w:r>
      <w:r w:rsidR="00D82BA9" w:rsidRPr="00BC5E60">
        <w:rPr>
          <w:rFonts w:ascii="Times New Roman" w:hAnsi="Times New Roman" w:cs="Times New Roman"/>
          <w:sz w:val="24"/>
          <w:szCs w:val="24"/>
        </w:rPr>
        <w:t>Návrh zákona, ktorým sa mení a dopĺňa zákon č. 203/2011 Z. z. o kolektívnom investovaní v znení neskorších predpisov</w:t>
      </w:r>
      <w:r w:rsidR="00D82BA9" w:rsidRPr="00BC5E60">
        <w:rPr>
          <w:rFonts w:ascii="Arial Narrow" w:hAnsi="Arial Narrow"/>
          <w:b/>
          <w:bCs/>
        </w:rPr>
        <w:t xml:space="preserve">  </w:t>
      </w:r>
    </w:p>
    <w:p w14:paraId="2711DC2C" w14:textId="193B56B3" w:rsidR="00054C41" w:rsidRPr="00BC5E60" w:rsidRDefault="00054C41" w:rsidP="00054C41">
      <w:pPr>
        <w:jc w:val="both"/>
        <w:rPr>
          <w:rFonts w:ascii="Times New Roman" w:eastAsia="Calibri" w:hAnsi="Times New Roman" w:cs="Times New Roman"/>
          <w:b/>
          <w:sz w:val="24"/>
          <w:szCs w:val="24"/>
        </w:rPr>
      </w:pPr>
      <w:r w:rsidRPr="00BC5E60">
        <w:rPr>
          <w:rFonts w:ascii="Times New Roman" w:eastAsia="Calibri" w:hAnsi="Times New Roman" w:cs="Times New Roman"/>
          <w:b/>
          <w:sz w:val="24"/>
          <w:szCs w:val="24"/>
        </w:rPr>
        <w:t>Predkladateľ:</w:t>
      </w:r>
      <w:r w:rsidR="00D82BA9" w:rsidRPr="00BC5E60">
        <w:rPr>
          <w:rFonts w:ascii="Times New Roman" w:eastAsia="Calibri" w:hAnsi="Times New Roman" w:cs="Times New Roman"/>
          <w:b/>
          <w:sz w:val="24"/>
          <w:szCs w:val="24"/>
        </w:rPr>
        <w:t xml:space="preserve"> </w:t>
      </w:r>
      <w:r w:rsidR="00D82BA9" w:rsidRPr="00BC5E60">
        <w:rPr>
          <w:rFonts w:ascii="Times New Roman" w:eastAsia="Calibri" w:hAnsi="Times New Roman" w:cs="Times New Roman"/>
          <w:bCs/>
          <w:sz w:val="24"/>
          <w:szCs w:val="24"/>
        </w:rPr>
        <w:t>Ministerstvo financií Slovenskej republiky</w:t>
      </w:r>
      <w:r w:rsidR="00D82BA9" w:rsidRPr="00BC5E60">
        <w:rPr>
          <w:rFonts w:ascii="Times New Roman" w:eastAsia="Calibri" w:hAnsi="Times New Roman" w:cs="Times New Roman"/>
          <w:b/>
          <w:sz w:val="24"/>
          <w:szCs w:val="24"/>
        </w:rPr>
        <w:t xml:space="preserve"> </w:t>
      </w:r>
    </w:p>
    <w:p w14:paraId="73384937" w14:textId="77777777" w:rsidR="00054C41" w:rsidRPr="00BC5E60" w:rsidRDefault="00054C41" w:rsidP="00054C41">
      <w:pPr>
        <w:jc w:val="both"/>
        <w:rPr>
          <w:rFonts w:ascii="Times New Roman" w:eastAsia="Calibri" w:hAnsi="Times New Roman" w:cs="Times New Roman"/>
          <w:b/>
          <w:sz w:val="24"/>
          <w:szCs w:val="24"/>
        </w:rPr>
      </w:pPr>
    </w:p>
    <w:p w14:paraId="515DBCE3" w14:textId="77777777" w:rsidR="00054C41" w:rsidRPr="00BC5E60" w:rsidRDefault="00054C41" w:rsidP="00054C41">
      <w:pPr>
        <w:jc w:val="both"/>
        <w:rPr>
          <w:rFonts w:ascii="Times New Roman" w:eastAsia="Calibri" w:hAnsi="Times New Roman" w:cs="Times New Roman"/>
          <w:b/>
          <w:sz w:val="24"/>
          <w:szCs w:val="24"/>
        </w:rPr>
      </w:pPr>
      <w:r w:rsidRPr="00BC5E60">
        <w:rPr>
          <w:rFonts w:ascii="Times New Roman" w:eastAsia="Calibri" w:hAnsi="Times New Roman" w:cs="Times New Roman"/>
          <w:b/>
          <w:sz w:val="24"/>
          <w:szCs w:val="24"/>
        </w:rPr>
        <w:t>3.1 Náklady regulácie</w:t>
      </w:r>
    </w:p>
    <w:p w14:paraId="14243EB0" w14:textId="77777777" w:rsidR="00054C41" w:rsidRPr="00BC5E60" w:rsidRDefault="00054C41" w:rsidP="00C21399">
      <w:pPr>
        <w:tabs>
          <w:tab w:val="left" w:pos="8025"/>
        </w:tabs>
        <w:rPr>
          <w:rFonts w:ascii="Times New Roman" w:eastAsia="Calibri" w:hAnsi="Times New Roman" w:cs="Times New Roman"/>
          <w:bCs/>
          <w:i/>
          <w:iCs/>
          <w:sz w:val="24"/>
          <w:szCs w:val="24"/>
        </w:rPr>
      </w:pPr>
      <w:r w:rsidRPr="00BC5E60">
        <w:rPr>
          <w:rFonts w:ascii="Times New Roman" w:eastAsia="Calibri" w:hAnsi="Times New Roman" w:cs="Times New Roman"/>
          <w:b/>
          <w:i/>
          <w:iCs/>
          <w:sz w:val="24"/>
          <w:szCs w:val="24"/>
        </w:rPr>
        <w:t xml:space="preserve">3.1.1 Súhrnná tabuľka nákladov regulácie </w:t>
      </w:r>
      <w:r w:rsidR="00C21399" w:rsidRPr="00BC5E60">
        <w:rPr>
          <w:rFonts w:ascii="Times New Roman" w:eastAsia="Calibri" w:hAnsi="Times New Roman" w:cs="Times New Roman"/>
          <w:b/>
          <w:i/>
          <w:iCs/>
          <w:sz w:val="24"/>
          <w:szCs w:val="24"/>
        </w:rPr>
        <w:tab/>
      </w:r>
    </w:p>
    <w:p w14:paraId="4D85A0D5" w14:textId="77777777" w:rsidR="00054C41" w:rsidRPr="00BC5E60" w:rsidRDefault="00054C41" w:rsidP="00054C41">
      <w:pPr>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sidRPr="00BC5E60">
        <w:rPr>
          <w:rFonts w:ascii="Times New Roman" w:eastAsia="Calibri" w:hAnsi="Times New Roman" w:cs="Times New Roman"/>
          <w:i/>
          <w:sz w:val="24"/>
          <w:szCs w:val="24"/>
        </w:rPr>
        <w:t>v</w:t>
      </w:r>
      <w:r w:rsidR="00C929AE" w:rsidRPr="00BC5E60">
        <w:rPr>
          <w:rFonts w:ascii="Times New Roman" w:eastAsia="Calibri" w:hAnsi="Times New Roman" w:cs="Times New Roman"/>
          <w:i/>
          <w:sz w:val="24"/>
          <w:szCs w:val="24"/>
        </w:rPr>
        <w:t xml:space="preserve">, náklady </w:t>
      </w:r>
      <w:proofErr w:type="spellStart"/>
      <w:r w:rsidR="00C929AE" w:rsidRPr="00BC5E60">
        <w:rPr>
          <w:rFonts w:ascii="Times New Roman" w:eastAsia="Calibri" w:hAnsi="Times New Roman" w:cs="Times New Roman"/>
          <w:i/>
          <w:sz w:val="24"/>
          <w:szCs w:val="24"/>
        </w:rPr>
        <w:t>goldplatingu</w:t>
      </w:r>
      <w:proofErr w:type="spellEnd"/>
      <w:r w:rsidR="00C929AE" w:rsidRPr="00BC5E60">
        <w:rPr>
          <w:rStyle w:val="Odkaznapoznmkupodiarou"/>
          <w:rFonts w:ascii="Times New Roman" w:eastAsia="Calibri" w:hAnsi="Times New Roman" w:cs="Times New Roman"/>
          <w:i/>
          <w:sz w:val="24"/>
          <w:szCs w:val="24"/>
        </w:rPr>
        <w:footnoteReference w:id="1"/>
      </w:r>
      <w:r w:rsidR="000A6B7F" w:rsidRPr="00BC5E60">
        <w:rPr>
          <w:rFonts w:ascii="Times New Roman" w:eastAsia="Calibri" w:hAnsi="Times New Roman" w:cs="Times New Roman"/>
          <w:i/>
          <w:sz w:val="24"/>
          <w:szCs w:val="24"/>
        </w:rPr>
        <w:t xml:space="preserve"> </w:t>
      </w:r>
      <w:r w:rsidR="00C929AE" w:rsidRPr="00BC5E60">
        <w:rPr>
          <w:rFonts w:ascii="Times New Roman" w:eastAsia="Calibri" w:hAnsi="Times New Roman" w:cs="Times New Roman"/>
          <w:i/>
          <w:sz w:val="24"/>
          <w:szCs w:val="24"/>
        </w:rPr>
        <w:t>na podnikateľské prostredie</w:t>
      </w:r>
      <w:r w:rsidRPr="00BC5E60">
        <w:rPr>
          <w:rFonts w:ascii="Times New Roman" w:eastAsia="Calibri" w:hAnsi="Times New Roman" w:cs="Times New Roman"/>
          <w:i/>
          <w:sz w:val="24"/>
          <w:szCs w:val="24"/>
        </w:rPr>
        <w:t xml:space="preserve">. </w:t>
      </w:r>
    </w:p>
    <w:p w14:paraId="1A77DC61" w14:textId="77777777" w:rsidR="00054C41" w:rsidRPr="00BC5E60" w:rsidRDefault="00054C41" w:rsidP="00054C41">
      <w:pPr>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BC5E60">
          <w:rPr>
            <w:rFonts w:ascii="Times New Roman" w:eastAsia="Calibri" w:hAnsi="Times New Roman" w:cs="Times New Roman"/>
            <w:i/>
            <w:color w:val="0563C1"/>
            <w:sz w:val="24"/>
            <w:szCs w:val="24"/>
            <w:u w:val="single"/>
          </w:rPr>
          <w:t>webovom sídle MH SR</w:t>
        </w:r>
      </w:hyperlink>
      <w:r w:rsidRPr="00BC5E60">
        <w:rPr>
          <w:rFonts w:ascii="Times New Roman" w:eastAsia="Calibri" w:hAnsi="Times New Roman" w:cs="Times New Roman"/>
          <w:i/>
          <w:sz w:val="24"/>
          <w:szCs w:val="24"/>
        </w:rPr>
        <w:t>, (ďalej len „Kalkulačka nákladov“):</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BC5E60"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BC5E60"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BC5E60"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BC5E60"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BC5E60"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BC5E60"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BC5E60"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B7029A" w:rsidRPr="00BC5E60" w14:paraId="7BEF3D83" w14:textId="77777777" w:rsidTr="00B7029A">
        <w:trPr>
          <w:gridAfter w:val="2"/>
          <w:wAfter w:w="583" w:type="dxa"/>
          <w:trHeight w:val="1018"/>
        </w:trPr>
        <w:tc>
          <w:tcPr>
            <w:tcW w:w="146" w:type="dxa"/>
            <w:tcBorders>
              <w:top w:val="nil"/>
              <w:left w:val="nil"/>
              <w:bottom w:val="nil"/>
              <w:right w:val="nil"/>
            </w:tcBorders>
            <w:shd w:val="clear" w:color="auto" w:fill="auto"/>
            <w:noWrap/>
            <w:vAlign w:val="bottom"/>
            <w:hideMark/>
          </w:tcPr>
          <w:p w14:paraId="5BA7F0AC" w14:textId="77777777" w:rsidR="00B7029A" w:rsidRPr="00BC5E60" w:rsidRDefault="00B7029A" w:rsidP="00B7029A">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55814D93" w:rsidR="00B7029A" w:rsidRPr="00BC5E60" w:rsidRDefault="00B7029A" w:rsidP="00B7029A">
            <w:pPr>
              <w:spacing w:after="0" w:line="240" w:lineRule="auto"/>
              <w:jc w:val="center"/>
              <w:rPr>
                <w:rFonts w:ascii="Times New Roman" w:eastAsia="Times New Roman" w:hAnsi="Times New Roman" w:cs="Times New Roman"/>
                <w:b/>
                <w:bCs/>
                <w:i/>
                <w:iCs/>
                <w:color w:val="000000"/>
                <w:sz w:val="20"/>
                <w:szCs w:val="20"/>
                <w:lang w:eastAsia="sk-SK"/>
              </w:rPr>
            </w:pPr>
            <w:r w:rsidRPr="00BC5E60">
              <w:rPr>
                <w:b/>
                <w:bCs/>
                <w:i/>
                <w:iCs/>
                <w:color w:val="000000"/>
                <w:sz w:val="20"/>
                <w:szCs w:val="20"/>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333DC364" w:rsidR="00B7029A" w:rsidRPr="00BC5E60" w:rsidRDefault="00B7029A" w:rsidP="00B7029A">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6424A1ED" w:rsidR="00B7029A" w:rsidRPr="00BC5E60" w:rsidRDefault="00B7029A" w:rsidP="00B7029A">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Zníženie nákladov v € na PP</w:t>
            </w:r>
          </w:p>
        </w:tc>
      </w:tr>
      <w:tr w:rsidR="00D57490" w:rsidRPr="00BC5E60"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D57490" w:rsidRPr="00BC5E60" w:rsidRDefault="00D57490" w:rsidP="00D57490">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59D0A6F" w:rsidR="00D57490" w:rsidRPr="00BC5E60" w:rsidRDefault="00D57490" w:rsidP="00D57490">
            <w:pPr>
              <w:spacing w:after="0" w:line="240" w:lineRule="auto"/>
              <w:rPr>
                <w:rFonts w:ascii="Times New Roman" w:eastAsia="Times New Roman" w:hAnsi="Times New Roman" w:cs="Times New Roman"/>
                <w:b/>
                <w:bCs/>
                <w:i/>
                <w:iCs/>
                <w:color w:val="000000"/>
                <w:sz w:val="20"/>
                <w:szCs w:val="20"/>
                <w:lang w:eastAsia="sk-SK"/>
              </w:rPr>
            </w:pPr>
            <w:proofErr w:type="spellStart"/>
            <w:r w:rsidRPr="00BC5E60">
              <w:rPr>
                <w:b/>
                <w:bCs/>
                <w:i/>
                <w:iCs/>
                <w:color w:val="000000"/>
                <w:sz w:val="20"/>
                <w:szCs w:val="20"/>
              </w:rPr>
              <w:t>A.Dane</w:t>
            </w:r>
            <w:proofErr w:type="spellEnd"/>
            <w:r w:rsidRPr="00BC5E60">
              <w:rPr>
                <w:b/>
                <w:bCs/>
                <w:i/>
                <w:iCs/>
                <w:color w:val="000000"/>
                <w:sz w:val="20"/>
                <w:szCs w:val="20"/>
              </w:rPr>
              <w:t xml:space="preserve">, odvody, clá a poplatky, ktorých cieľom je znižovať negatívne </w:t>
            </w:r>
            <w:proofErr w:type="spellStart"/>
            <w:r w:rsidRPr="00BC5E60">
              <w:rPr>
                <w:b/>
                <w:bCs/>
                <w:i/>
                <w:iCs/>
                <w:color w:val="000000"/>
                <w:sz w:val="20"/>
                <w:szCs w:val="20"/>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0F48DB23"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4A25BDF0"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0</w:t>
            </w:r>
          </w:p>
        </w:tc>
      </w:tr>
      <w:tr w:rsidR="00D57490" w:rsidRPr="00BC5E60"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D57490" w:rsidRPr="00BC5E60" w:rsidRDefault="00D57490" w:rsidP="00D57490">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5194169A" w:rsidR="00D57490" w:rsidRPr="00BC5E60" w:rsidRDefault="00D57490" w:rsidP="00D57490">
            <w:pPr>
              <w:spacing w:after="0" w:line="240" w:lineRule="auto"/>
              <w:rPr>
                <w:rFonts w:ascii="Times New Roman" w:eastAsia="Times New Roman" w:hAnsi="Times New Roman" w:cs="Times New Roman"/>
                <w:b/>
                <w:bCs/>
                <w:i/>
                <w:iCs/>
                <w:color w:val="000000"/>
                <w:sz w:val="20"/>
                <w:szCs w:val="20"/>
                <w:lang w:eastAsia="sk-SK"/>
              </w:rPr>
            </w:pPr>
            <w:r w:rsidRPr="00BC5E60">
              <w:rPr>
                <w:b/>
                <w:bCs/>
                <w:i/>
                <w:iCs/>
                <w:color w:val="000000"/>
                <w:sz w:val="20"/>
                <w:szCs w:val="20"/>
              </w:rPr>
              <w:t>B. Iné 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5164B6F0"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4A8DCB31"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0</w:t>
            </w:r>
          </w:p>
        </w:tc>
      </w:tr>
      <w:tr w:rsidR="00D57490" w:rsidRPr="00BC5E60"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D57490" w:rsidRPr="00BC5E60" w:rsidRDefault="00D57490" w:rsidP="00D57490">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2C50F0C6" w:rsidR="00D57490" w:rsidRPr="00BC5E60" w:rsidRDefault="00D57490" w:rsidP="00D57490">
            <w:pPr>
              <w:spacing w:after="0" w:line="240" w:lineRule="auto"/>
              <w:rPr>
                <w:rFonts w:ascii="Times New Roman" w:eastAsia="Times New Roman" w:hAnsi="Times New Roman" w:cs="Times New Roman"/>
                <w:b/>
                <w:bCs/>
                <w:i/>
                <w:iCs/>
                <w:color w:val="000000"/>
                <w:sz w:val="20"/>
                <w:szCs w:val="20"/>
                <w:lang w:eastAsia="sk-SK"/>
              </w:rPr>
            </w:pPr>
            <w:r w:rsidRPr="00BC5E60">
              <w:rPr>
                <w:b/>
                <w:bCs/>
                <w:i/>
                <w:iCs/>
                <w:color w:val="000000"/>
                <w:sz w:val="20"/>
                <w:szCs w:val="20"/>
              </w:rPr>
              <w:t>C.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204A7A5A"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36F738FB"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0</w:t>
            </w:r>
          </w:p>
        </w:tc>
      </w:tr>
      <w:tr w:rsidR="00D57490" w:rsidRPr="00BC5E60"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D57490" w:rsidRPr="00BC5E60" w:rsidRDefault="00D57490" w:rsidP="00D57490">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396CFFC5" w:rsidR="00D57490" w:rsidRPr="00BC5E60" w:rsidRDefault="00D57490" w:rsidP="00D57490">
            <w:pPr>
              <w:spacing w:after="0" w:line="240" w:lineRule="auto"/>
              <w:rPr>
                <w:rFonts w:ascii="Times New Roman" w:eastAsia="Times New Roman" w:hAnsi="Times New Roman" w:cs="Times New Roman"/>
                <w:b/>
                <w:bCs/>
                <w:i/>
                <w:iCs/>
                <w:color w:val="000000"/>
                <w:sz w:val="20"/>
                <w:szCs w:val="20"/>
                <w:lang w:eastAsia="sk-SK"/>
              </w:rPr>
            </w:pPr>
            <w:r w:rsidRPr="00BC5E60">
              <w:rPr>
                <w:b/>
                <w:bCs/>
                <w:i/>
                <w:iCs/>
                <w:color w:val="000000"/>
                <w:sz w:val="20"/>
                <w:szCs w:val="20"/>
              </w:rPr>
              <w:t>D. Nepriame finančné náklady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6BD9895F"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155 220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A1B06F0"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30</w:t>
            </w:r>
          </w:p>
        </w:tc>
      </w:tr>
      <w:tr w:rsidR="00D57490" w:rsidRPr="00BC5E60"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D57490" w:rsidRPr="00BC5E60" w:rsidRDefault="00D57490" w:rsidP="00D57490">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5D126CE0" w:rsidR="00D57490" w:rsidRPr="00BC5E60" w:rsidRDefault="00D57490" w:rsidP="00D57490">
            <w:pPr>
              <w:spacing w:after="0" w:line="240" w:lineRule="auto"/>
              <w:rPr>
                <w:rFonts w:ascii="Times New Roman" w:eastAsia="Times New Roman" w:hAnsi="Times New Roman" w:cs="Times New Roman"/>
                <w:b/>
                <w:bCs/>
                <w:i/>
                <w:iCs/>
                <w:color w:val="000000"/>
                <w:sz w:val="20"/>
                <w:szCs w:val="20"/>
                <w:lang w:eastAsia="sk-SK"/>
              </w:rPr>
            </w:pPr>
            <w:r w:rsidRPr="00BC5E60">
              <w:rPr>
                <w:b/>
                <w:bCs/>
                <w:i/>
                <w:iCs/>
                <w:color w:val="000000"/>
                <w:sz w:val="20"/>
                <w:szCs w:val="20"/>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0A35C189"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23 192</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15B9504A"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130</w:t>
            </w:r>
          </w:p>
        </w:tc>
      </w:tr>
      <w:tr w:rsidR="00D57490" w:rsidRPr="00BC5E60"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D57490" w:rsidRPr="00BC5E60" w:rsidRDefault="00D57490" w:rsidP="00D57490">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2FCCACBD" w:rsidR="00D57490" w:rsidRPr="00BC5E60" w:rsidRDefault="00D57490" w:rsidP="00D57490">
            <w:pPr>
              <w:spacing w:after="0" w:line="240" w:lineRule="auto"/>
              <w:rPr>
                <w:rFonts w:ascii="Times New Roman" w:eastAsia="Times New Roman" w:hAnsi="Times New Roman" w:cs="Times New Roman"/>
                <w:b/>
                <w:bCs/>
                <w:i/>
                <w:iCs/>
                <w:color w:val="000000"/>
                <w:sz w:val="20"/>
                <w:szCs w:val="20"/>
                <w:lang w:eastAsia="sk-SK"/>
              </w:rPr>
            </w:pPr>
            <w:r w:rsidRPr="00BC5E60">
              <w:rPr>
                <w:b/>
                <w:bCs/>
                <w:i/>
                <w:iCs/>
                <w:color w:val="000000"/>
                <w:sz w:val="20"/>
                <w:szCs w:val="20"/>
              </w:rPr>
              <w:t>Spolu = A+B+C+D+E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097E8AC5"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178 412</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14680E8D"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160</w:t>
            </w:r>
          </w:p>
        </w:tc>
      </w:tr>
      <w:tr w:rsidR="00B7029A" w:rsidRPr="00BC5E60" w14:paraId="3B916623" w14:textId="77777777" w:rsidTr="00847B4D">
        <w:trPr>
          <w:trHeight w:val="270"/>
        </w:trPr>
        <w:tc>
          <w:tcPr>
            <w:tcW w:w="146" w:type="dxa"/>
            <w:tcBorders>
              <w:top w:val="nil"/>
              <w:left w:val="nil"/>
              <w:bottom w:val="nil"/>
              <w:right w:val="nil"/>
            </w:tcBorders>
            <w:shd w:val="clear" w:color="auto" w:fill="auto"/>
            <w:noWrap/>
            <w:vAlign w:val="bottom"/>
            <w:hideMark/>
          </w:tcPr>
          <w:p w14:paraId="73F7E590" w14:textId="77777777" w:rsidR="00B7029A" w:rsidRPr="00BC5E60" w:rsidRDefault="00B7029A" w:rsidP="00B7029A">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center"/>
            <w:hideMark/>
          </w:tcPr>
          <w:p w14:paraId="082EAB98" w14:textId="77777777" w:rsidR="00B7029A" w:rsidRPr="00BC5E60" w:rsidRDefault="00B7029A" w:rsidP="00B7029A">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B7029A" w:rsidRPr="00BC5E60" w:rsidRDefault="00B7029A" w:rsidP="00B7029A">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B7029A" w:rsidRPr="00BC5E60" w:rsidRDefault="00B7029A" w:rsidP="00B7029A">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B7029A" w:rsidRPr="00BC5E60" w:rsidRDefault="00B7029A" w:rsidP="00B7029A">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B7029A" w:rsidRPr="00BC5E60" w:rsidRDefault="00B7029A" w:rsidP="00B7029A">
            <w:pPr>
              <w:spacing w:after="0" w:line="240" w:lineRule="auto"/>
              <w:rPr>
                <w:rFonts w:ascii="Times New Roman" w:eastAsia="Times New Roman" w:hAnsi="Times New Roman" w:cs="Times New Roman"/>
                <w:i/>
                <w:iCs/>
                <w:color w:val="000000"/>
                <w:sz w:val="20"/>
                <w:szCs w:val="20"/>
                <w:lang w:eastAsia="sk-SK"/>
              </w:rPr>
            </w:pPr>
          </w:p>
        </w:tc>
      </w:tr>
      <w:tr w:rsidR="00B7029A" w:rsidRPr="00BC5E60"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B7029A" w:rsidRPr="00BC5E60" w:rsidRDefault="00B7029A" w:rsidP="00B7029A">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0A96F3FA" w:rsidR="00B7029A" w:rsidRPr="00BC5E60" w:rsidRDefault="00B7029A" w:rsidP="00B7029A">
            <w:pPr>
              <w:spacing w:after="0" w:line="240" w:lineRule="auto"/>
              <w:rPr>
                <w:rFonts w:ascii="Times New Roman" w:eastAsia="Times New Roman" w:hAnsi="Times New Roman" w:cs="Times New Roman"/>
                <w:i/>
                <w:iCs/>
                <w:color w:val="000000"/>
                <w:lang w:eastAsia="sk-SK"/>
              </w:rPr>
            </w:pPr>
            <w:r w:rsidRPr="00BC5E60">
              <w:rPr>
                <w:b/>
                <w:bCs/>
                <w:i/>
                <w:iCs/>
                <w:color w:val="000000"/>
                <w:sz w:val="20"/>
                <w:szCs w:val="20"/>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B1D9D70" w:rsidR="00B7029A" w:rsidRPr="00BC5E60" w:rsidRDefault="00B7029A" w:rsidP="00B7029A">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083F0795" w:rsidR="00B7029A" w:rsidRPr="00BC5E60" w:rsidRDefault="00B7029A" w:rsidP="00B7029A">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Zníženie nákladov v € na PP</w:t>
            </w:r>
          </w:p>
        </w:tc>
      </w:tr>
      <w:tr w:rsidR="00D57490" w:rsidRPr="00BC5E60"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D57490" w:rsidRPr="00BC5E60" w:rsidRDefault="00D57490" w:rsidP="00D57490">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65162FE6" w:rsidR="00D57490" w:rsidRPr="00BC5E60" w:rsidRDefault="00D57490" w:rsidP="00D57490">
            <w:pPr>
              <w:spacing w:after="0" w:line="240" w:lineRule="auto"/>
              <w:rPr>
                <w:rFonts w:ascii="Times New Roman" w:eastAsia="Times New Roman" w:hAnsi="Times New Roman" w:cs="Times New Roman"/>
                <w:b/>
                <w:bCs/>
                <w:i/>
                <w:iCs/>
                <w:color w:val="000000"/>
                <w:sz w:val="20"/>
                <w:szCs w:val="20"/>
                <w:lang w:eastAsia="sk-SK"/>
              </w:rPr>
            </w:pPr>
            <w:r w:rsidRPr="00BC5E60">
              <w:rPr>
                <w:b/>
                <w:bCs/>
                <w:i/>
                <w:iCs/>
                <w:color w:val="000000"/>
                <w:sz w:val="20"/>
                <w:szCs w:val="20"/>
              </w:rPr>
              <w:t>F. Úplná harmonizácia práva EÚ</w:t>
            </w:r>
            <w:r w:rsidRPr="00BC5E60">
              <w:rPr>
                <w:b/>
                <w:bCs/>
                <w:i/>
                <w:iCs/>
                <w:color w:val="000000"/>
                <w:sz w:val="20"/>
                <w:szCs w:val="20"/>
              </w:rPr>
              <w:br/>
            </w:r>
            <w:r w:rsidRPr="00BC5E60">
              <w:rPr>
                <w:i/>
                <w:iCs/>
                <w:color w:val="000000"/>
                <w:sz w:val="16"/>
                <w:szCs w:val="16"/>
              </w:rPr>
              <w:t xml:space="preserve">(okrem daní, odvodov, ciel a poplatkov, ktorých cieľom je znižovať negatívne </w:t>
            </w:r>
            <w:proofErr w:type="spellStart"/>
            <w:r w:rsidRPr="00BC5E60">
              <w:rPr>
                <w:i/>
                <w:iCs/>
                <w:color w:val="000000"/>
                <w:sz w:val="16"/>
                <w:szCs w:val="16"/>
              </w:rPr>
              <w:t>externality</w:t>
            </w:r>
            <w:proofErr w:type="spellEnd"/>
            <w:r w:rsidRPr="00BC5E60">
              <w:rPr>
                <w:i/>
                <w:iCs/>
                <w:color w:val="000000"/>
                <w:sz w:val="16"/>
                <w:szCs w:val="16"/>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2144D42B"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55 981</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674D5082"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0</w:t>
            </w:r>
          </w:p>
        </w:tc>
      </w:tr>
      <w:tr w:rsidR="00D57490" w:rsidRPr="00BC5E60"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D57490" w:rsidRPr="00BC5E60" w:rsidRDefault="00D57490" w:rsidP="00D57490">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6080CB27" w:rsidR="00D57490" w:rsidRPr="00BC5E60" w:rsidRDefault="00D57490" w:rsidP="00D57490">
            <w:pPr>
              <w:spacing w:after="0" w:line="240" w:lineRule="auto"/>
              <w:rPr>
                <w:rFonts w:ascii="Times New Roman" w:eastAsia="Times New Roman" w:hAnsi="Times New Roman" w:cs="Times New Roman"/>
                <w:b/>
                <w:bCs/>
                <w:i/>
                <w:iCs/>
                <w:color w:val="000000"/>
                <w:sz w:val="20"/>
                <w:szCs w:val="20"/>
                <w:lang w:eastAsia="sk-SK"/>
              </w:rPr>
            </w:pPr>
            <w:r w:rsidRPr="00BC5E60">
              <w:rPr>
                <w:b/>
                <w:bCs/>
                <w:i/>
                <w:iCs/>
                <w:color w:val="000000"/>
                <w:sz w:val="20"/>
                <w:szCs w:val="20"/>
              </w:rPr>
              <w:t>G.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227ACB7D"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113 022</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5055A234"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0</w:t>
            </w:r>
          </w:p>
        </w:tc>
      </w:tr>
      <w:tr w:rsidR="00B7029A" w:rsidRPr="00BC5E60" w14:paraId="665D2803" w14:textId="77777777" w:rsidTr="00847B4D">
        <w:trPr>
          <w:trHeight w:val="360"/>
        </w:trPr>
        <w:tc>
          <w:tcPr>
            <w:tcW w:w="146" w:type="dxa"/>
            <w:tcBorders>
              <w:top w:val="nil"/>
              <w:left w:val="nil"/>
              <w:bottom w:val="nil"/>
              <w:right w:val="nil"/>
            </w:tcBorders>
            <w:shd w:val="clear" w:color="auto" w:fill="auto"/>
            <w:noWrap/>
            <w:vAlign w:val="bottom"/>
            <w:hideMark/>
          </w:tcPr>
          <w:p w14:paraId="259005DD" w14:textId="77777777" w:rsidR="00B7029A" w:rsidRPr="00BC5E60" w:rsidRDefault="00B7029A" w:rsidP="00B7029A">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B7029A" w:rsidRPr="00BC5E60" w:rsidRDefault="00B7029A" w:rsidP="00B7029A">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B7029A" w:rsidRPr="00BC5E60" w:rsidRDefault="00B7029A" w:rsidP="00B7029A">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B7029A" w:rsidRPr="00BC5E60" w:rsidRDefault="00B7029A" w:rsidP="00B7029A">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bottom"/>
            <w:hideMark/>
          </w:tcPr>
          <w:p w14:paraId="68BF5827" w14:textId="77777777" w:rsidR="00B7029A" w:rsidRPr="00BC5E60" w:rsidRDefault="00B7029A" w:rsidP="00B7029A">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B7029A" w:rsidRPr="00BC5E60" w:rsidRDefault="00B7029A" w:rsidP="00B7029A">
            <w:pPr>
              <w:spacing w:after="0" w:line="240" w:lineRule="auto"/>
              <w:rPr>
                <w:rFonts w:ascii="Times New Roman" w:eastAsia="Times New Roman" w:hAnsi="Times New Roman" w:cs="Times New Roman"/>
                <w:i/>
                <w:iCs/>
                <w:color w:val="000000"/>
                <w:sz w:val="20"/>
                <w:szCs w:val="20"/>
                <w:lang w:eastAsia="sk-SK"/>
              </w:rPr>
            </w:pPr>
          </w:p>
        </w:tc>
      </w:tr>
      <w:tr w:rsidR="00B7029A" w:rsidRPr="00BC5E60" w14:paraId="578385C8" w14:textId="77777777" w:rsidTr="00940574">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B7029A" w:rsidRPr="00BC5E60" w:rsidRDefault="00B7029A" w:rsidP="00B7029A">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62F0B0C6" w:rsidR="00B7029A" w:rsidRPr="00BC5E60" w:rsidRDefault="00B7029A" w:rsidP="00B7029A">
            <w:pPr>
              <w:spacing w:after="0" w:line="240" w:lineRule="auto"/>
              <w:rPr>
                <w:rFonts w:ascii="Times New Roman" w:eastAsia="Times New Roman" w:hAnsi="Times New Roman" w:cs="Times New Roman"/>
                <w:color w:val="000000"/>
                <w:sz w:val="20"/>
                <w:szCs w:val="20"/>
                <w:lang w:eastAsia="sk-SK"/>
              </w:rPr>
            </w:pPr>
            <w:r w:rsidRPr="00BC5E60">
              <w:rPr>
                <w:i/>
                <w:iCs/>
                <w:color w:val="000000"/>
                <w:sz w:val="20"/>
                <w:szCs w:val="20"/>
              </w:rPr>
              <w:t>VÝPOČET PRAVIDLA 1in2out: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46BA88F3" w:rsidR="00B7029A" w:rsidRPr="00BC5E60" w:rsidRDefault="00B7029A" w:rsidP="00B7029A">
            <w:pPr>
              <w:spacing w:after="0" w:line="240" w:lineRule="auto"/>
              <w:jc w:val="center"/>
              <w:rPr>
                <w:rFonts w:ascii="Times New Roman" w:eastAsia="Times New Roman" w:hAnsi="Times New Roman" w:cs="Times New Roman"/>
                <w:color w:val="000000"/>
                <w:sz w:val="20"/>
                <w:szCs w:val="20"/>
                <w:lang w:eastAsia="sk-SK"/>
              </w:rPr>
            </w:pPr>
            <w:r w:rsidRPr="00BC5E60">
              <w:rPr>
                <w:b/>
                <w:bCs/>
                <w:color w:val="000000"/>
                <w:sz w:val="20"/>
                <w:szCs w:val="20"/>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D24B721" w:rsidR="00B7029A" w:rsidRPr="00BC5E60" w:rsidRDefault="00B7029A" w:rsidP="00B7029A">
            <w:pPr>
              <w:spacing w:after="0" w:line="240" w:lineRule="auto"/>
              <w:jc w:val="center"/>
              <w:rPr>
                <w:rFonts w:ascii="Times New Roman" w:eastAsia="Times New Roman" w:hAnsi="Times New Roman" w:cs="Times New Roman"/>
                <w:color w:val="000000"/>
                <w:sz w:val="20"/>
                <w:szCs w:val="20"/>
                <w:lang w:eastAsia="sk-SK"/>
              </w:rPr>
            </w:pPr>
            <w:r w:rsidRPr="00BC5E60">
              <w:rPr>
                <w:b/>
                <w:bCs/>
                <w:color w:val="000000"/>
                <w:sz w:val="20"/>
                <w:szCs w:val="20"/>
              </w:rPr>
              <w:t>OUT</w:t>
            </w:r>
          </w:p>
        </w:tc>
      </w:tr>
      <w:tr w:rsidR="00D57490" w:rsidRPr="00BC5E60"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D57490" w:rsidRPr="00BC5E60" w:rsidRDefault="00D57490" w:rsidP="00D57490">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7D82A46D" w:rsidR="00D57490" w:rsidRPr="00BC5E60" w:rsidRDefault="00D57490" w:rsidP="00D57490">
            <w:pPr>
              <w:spacing w:after="0" w:line="240" w:lineRule="auto"/>
              <w:rPr>
                <w:rFonts w:ascii="Times New Roman" w:eastAsia="Times New Roman" w:hAnsi="Times New Roman" w:cs="Times New Roman"/>
                <w:color w:val="000000"/>
                <w:sz w:val="20"/>
                <w:szCs w:val="20"/>
                <w:lang w:eastAsia="sk-SK"/>
              </w:rPr>
            </w:pPr>
            <w:r w:rsidRPr="00BC5E60">
              <w:rPr>
                <w:i/>
                <w:iCs/>
                <w:color w:val="000000"/>
                <w:sz w:val="20"/>
                <w:szCs w:val="20"/>
              </w:rPr>
              <w:t>H</w:t>
            </w:r>
            <w:r w:rsidRPr="00BC5E60">
              <w:rPr>
                <w:b/>
                <w:bCs/>
                <w:i/>
                <w:iCs/>
                <w:color w:val="000000"/>
                <w:sz w:val="20"/>
                <w:szCs w:val="20"/>
              </w:rPr>
              <w:t>.</w:t>
            </w:r>
            <w:r w:rsidRPr="00BC5E60">
              <w:rPr>
                <w:i/>
                <w:iCs/>
                <w:color w:val="000000"/>
                <w:sz w:val="20"/>
                <w:szCs w:val="20"/>
              </w:rPr>
              <w:t xml:space="preserve"> Náklady okrem výnimiek = B+D+E-F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3EA0F753"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122 431</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F34BE9B" w:rsidR="00D57490" w:rsidRPr="00BC5E60" w:rsidRDefault="00D57490" w:rsidP="00D57490">
            <w:pPr>
              <w:spacing w:after="0" w:line="240" w:lineRule="auto"/>
              <w:jc w:val="center"/>
              <w:rPr>
                <w:rFonts w:ascii="Times New Roman" w:eastAsia="Times New Roman" w:hAnsi="Times New Roman" w:cs="Times New Roman"/>
                <w:b/>
                <w:bCs/>
                <w:color w:val="000000"/>
                <w:sz w:val="20"/>
                <w:szCs w:val="20"/>
                <w:lang w:eastAsia="sk-SK"/>
              </w:rPr>
            </w:pPr>
            <w:r w:rsidRPr="00BC5E60">
              <w:rPr>
                <w:b/>
                <w:bCs/>
                <w:color w:val="000000"/>
                <w:sz w:val="20"/>
                <w:szCs w:val="20"/>
              </w:rPr>
              <w:t>160</w:t>
            </w:r>
          </w:p>
        </w:tc>
      </w:tr>
    </w:tbl>
    <w:p w14:paraId="0C4E1024" w14:textId="77777777" w:rsidR="00054C41" w:rsidRPr="00BC5E60" w:rsidRDefault="00054C41" w:rsidP="00054C41">
      <w:pPr>
        <w:rPr>
          <w:rFonts w:ascii="Times New Roman" w:eastAsia="Calibri" w:hAnsi="Times New Roman" w:cs="Times New Roman"/>
          <w:b/>
          <w:sz w:val="24"/>
          <w:szCs w:val="24"/>
        </w:rPr>
        <w:sectPr w:rsidR="00054C41" w:rsidRPr="00BC5E60" w:rsidSect="00142154">
          <w:headerReference w:type="default" r:id="rId10"/>
          <w:footerReference w:type="even" r:id="rId11"/>
          <w:footerReference w:type="default" r:id="rId12"/>
          <w:footerReference w:type="first" r:id="rId13"/>
          <w:pgSz w:w="11906" w:h="16838"/>
          <w:pgMar w:top="993" w:right="1417" w:bottom="1417" w:left="1417" w:header="708" w:footer="708" w:gutter="0"/>
          <w:pgNumType w:start="1"/>
          <w:cols w:space="708"/>
          <w:docGrid w:linePitch="360"/>
        </w:sectPr>
      </w:pPr>
    </w:p>
    <w:p w14:paraId="29CDFA2A" w14:textId="77777777" w:rsidR="00054C41" w:rsidRPr="00BC5E60" w:rsidRDefault="00054C41" w:rsidP="00054C41">
      <w:pPr>
        <w:rPr>
          <w:rFonts w:ascii="Times New Roman" w:eastAsia="Calibri" w:hAnsi="Times New Roman" w:cs="Times New Roman"/>
          <w:b/>
          <w:i/>
          <w:iCs/>
          <w:sz w:val="24"/>
          <w:szCs w:val="24"/>
        </w:rPr>
      </w:pPr>
      <w:r w:rsidRPr="00BC5E60">
        <w:rPr>
          <w:rFonts w:ascii="Times New Roman" w:eastAsia="Calibri" w:hAnsi="Times New Roman" w:cs="Times New Roman"/>
          <w:b/>
          <w:i/>
          <w:iCs/>
          <w:sz w:val="24"/>
          <w:szCs w:val="24"/>
        </w:rPr>
        <w:lastRenderedPageBreak/>
        <w:t>3.1.2 Výpočty vplyvov jednotlivých regulácií na zmeny v nákladoch podnikateľov</w:t>
      </w:r>
      <w:r w:rsidRPr="00BC5E60">
        <w:rPr>
          <w:rFonts w:ascii="Times New Roman" w:eastAsia="Calibri" w:hAnsi="Times New Roman" w:cs="Times New Roman"/>
          <w:i/>
          <w:sz w:val="24"/>
          <w:szCs w:val="24"/>
        </w:rPr>
        <w:tab/>
      </w:r>
      <w:r w:rsidRPr="00BC5E60">
        <w:rPr>
          <w:rFonts w:ascii="Times New Roman" w:eastAsia="Calibri" w:hAnsi="Times New Roman" w:cs="Times New Roman"/>
          <w:i/>
          <w:sz w:val="24"/>
          <w:szCs w:val="24"/>
        </w:rPr>
        <w:tab/>
      </w:r>
      <w:r w:rsidRPr="00BC5E60">
        <w:rPr>
          <w:rFonts w:ascii="Times New Roman" w:eastAsia="Calibri" w:hAnsi="Times New Roman" w:cs="Times New Roman"/>
          <w:i/>
          <w:sz w:val="24"/>
          <w:szCs w:val="24"/>
        </w:rPr>
        <w:tab/>
      </w:r>
      <w:r w:rsidRPr="00BC5E60">
        <w:rPr>
          <w:rFonts w:ascii="Times New Roman" w:eastAsia="Calibri" w:hAnsi="Times New Roman" w:cs="Times New Roman"/>
          <w:i/>
          <w:sz w:val="24"/>
          <w:szCs w:val="24"/>
        </w:rPr>
        <w:tab/>
      </w:r>
      <w:r w:rsidRPr="00BC5E60">
        <w:rPr>
          <w:rFonts w:ascii="Times New Roman" w:eastAsia="Calibri" w:hAnsi="Times New Roman" w:cs="Times New Roman"/>
          <w:i/>
          <w:sz w:val="24"/>
          <w:szCs w:val="24"/>
        </w:rPr>
        <w:tab/>
      </w:r>
      <w:r w:rsidRPr="00BC5E60">
        <w:rPr>
          <w:rFonts w:ascii="Times New Roman" w:eastAsia="Calibri" w:hAnsi="Times New Roman" w:cs="Times New Roman"/>
          <w:i/>
          <w:sz w:val="24"/>
          <w:szCs w:val="24"/>
        </w:rPr>
        <w:tab/>
      </w:r>
      <w:r w:rsidRPr="00BC5E60">
        <w:rPr>
          <w:rFonts w:ascii="Times New Roman" w:eastAsia="Calibri" w:hAnsi="Times New Roman" w:cs="Times New Roman"/>
          <w:i/>
          <w:sz w:val="24"/>
          <w:szCs w:val="24"/>
        </w:rPr>
        <w:tab/>
      </w:r>
      <w:r w:rsidRPr="00BC5E60">
        <w:rPr>
          <w:rFonts w:ascii="Times New Roman" w:eastAsia="Calibri" w:hAnsi="Times New Roman" w:cs="Times New Roman"/>
          <w:i/>
          <w:sz w:val="24"/>
          <w:szCs w:val="24"/>
        </w:rPr>
        <w:tab/>
      </w:r>
    </w:p>
    <w:p w14:paraId="5E02E2DD" w14:textId="77777777" w:rsidR="00054C41" w:rsidRPr="00BC5E60" w:rsidRDefault="00054C41" w:rsidP="00054C41">
      <w:pPr>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BC5E60"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BC5E60"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BC5E60">
              <w:rPr>
                <w:rFonts w:ascii="Times New Roman" w:eastAsia="Times New Roman" w:hAnsi="Times New Roman" w:cs="Times New Roman"/>
                <w:b/>
                <w:bCs/>
                <w:color w:val="000000"/>
                <w:sz w:val="20"/>
                <w:szCs w:val="20"/>
                <w:lang w:eastAsia="sk-SK"/>
              </w:rPr>
              <w:t>P.č</w:t>
            </w:r>
            <w:proofErr w:type="spellEnd"/>
            <w:r w:rsidRPr="00BC5E60">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349C070D" w:rsidR="00DE6ACB" w:rsidRPr="00BC5E60"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C5E60">
              <w:rPr>
                <w:rFonts w:ascii="Times New Roman" w:eastAsia="Times New Roman" w:hAnsi="Times New Roman" w:cs="Times New Roman"/>
                <w:b/>
                <w:bCs/>
                <w:color w:val="000000"/>
                <w:sz w:val="20"/>
                <w:szCs w:val="20"/>
                <w:lang w:eastAsia="sk-SK"/>
              </w:rPr>
              <w:t xml:space="preserve">Zrozumiteľný a stručný opis regulácie </w:t>
            </w:r>
            <w:r w:rsidRPr="00BC5E60">
              <w:rPr>
                <w:rFonts w:ascii="Times New Roman" w:eastAsia="Times New Roman" w:hAnsi="Times New Roman" w:cs="Times New Roman"/>
                <w:b/>
                <w:bCs/>
                <w:color w:val="000000"/>
                <w:sz w:val="20"/>
                <w:szCs w:val="20"/>
                <w:lang w:eastAsia="sk-SK"/>
              </w:rPr>
              <w:br/>
              <w:t xml:space="preserve">(dôvod zvýšenia/zníženia nákladov na PP a dôvod ponechania nákladov na PP, ktoré sú </w:t>
            </w:r>
            <w:proofErr w:type="spellStart"/>
            <w:r w:rsidRPr="00BC5E60">
              <w:rPr>
                <w:rFonts w:ascii="Times New Roman" w:eastAsia="Times New Roman" w:hAnsi="Times New Roman" w:cs="Times New Roman"/>
                <w:b/>
                <w:bCs/>
                <w:color w:val="000000"/>
                <w:sz w:val="20"/>
                <w:szCs w:val="20"/>
                <w:lang w:eastAsia="sk-SK"/>
              </w:rPr>
              <w:t>goldplat</w:t>
            </w:r>
            <w:r w:rsidR="007F409A" w:rsidRPr="00BC5E60">
              <w:rPr>
                <w:rFonts w:ascii="Times New Roman" w:eastAsia="Times New Roman" w:hAnsi="Times New Roman" w:cs="Times New Roman"/>
                <w:b/>
                <w:bCs/>
                <w:color w:val="000000"/>
                <w:sz w:val="20"/>
                <w:szCs w:val="20"/>
                <w:lang w:eastAsia="sk-SK"/>
              </w:rPr>
              <w:t>i</w:t>
            </w:r>
            <w:r w:rsidRPr="00BC5E60">
              <w:rPr>
                <w:rFonts w:ascii="Times New Roman" w:eastAsia="Times New Roman" w:hAnsi="Times New Roman" w:cs="Times New Roman"/>
                <w:b/>
                <w:bCs/>
                <w:color w:val="000000"/>
                <w:sz w:val="20"/>
                <w:szCs w:val="20"/>
                <w:lang w:eastAsia="sk-SK"/>
              </w:rPr>
              <w:t>ngom</w:t>
            </w:r>
            <w:proofErr w:type="spellEnd"/>
            <w:r w:rsidRPr="00BC5E60">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BC5E60"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C5E60">
              <w:rPr>
                <w:rFonts w:ascii="Times New Roman" w:eastAsia="Times New Roman" w:hAnsi="Times New Roman" w:cs="Times New Roman"/>
                <w:b/>
                <w:bCs/>
                <w:color w:val="000000"/>
                <w:sz w:val="20"/>
                <w:szCs w:val="20"/>
                <w:lang w:eastAsia="sk-SK"/>
              </w:rPr>
              <w:t>Číslo normy</w:t>
            </w:r>
            <w:r w:rsidRPr="00BC5E60">
              <w:rPr>
                <w:rFonts w:ascii="Times New Roman" w:eastAsia="Times New Roman" w:hAnsi="Times New Roman" w:cs="Times New Roman"/>
                <w:b/>
                <w:bCs/>
                <w:color w:val="000000"/>
                <w:sz w:val="20"/>
                <w:szCs w:val="20"/>
                <w:lang w:eastAsia="sk-SK"/>
              </w:rPr>
              <w:br/>
            </w:r>
            <w:r w:rsidRPr="00BC5E60">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BC5E60"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C5E60">
              <w:rPr>
                <w:rFonts w:ascii="Times New Roman" w:eastAsia="Times New Roman" w:hAnsi="Times New Roman" w:cs="Times New Roman"/>
                <w:b/>
                <w:bCs/>
                <w:color w:val="000000"/>
                <w:sz w:val="20"/>
                <w:szCs w:val="20"/>
                <w:lang w:eastAsia="sk-SK"/>
              </w:rPr>
              <w:t>Lokalizácia</w:t>
            </w:r>
            <w:r w:rsidRPr="00BC5E60">
              <w:rPr>
                <w:rFonts w:ascii="Times New Roman" w:eastAsia="Times New Roman" w:hAnsi="Times New Roman" w:cs="Times New Roman"/>
                <w:b/>
                <w:bCs/>
                <w:color w:val="000000"/>
                <w:sz w:val="20"/>
                <w:szCs w:val="20"/>
                <w:lang w:eastAsia="sk-SK"/>
              </w:rPr>
              <w:br/>
              <w:t>(§, ods.</w:t>
            </w:r>
            <w:r w:rsidR="00D114ED" w:rsidRPr="00BC5E60">
              <w:rPr>
                <w:rFonts w:ascii="Times New Roman" w:eastAsia="Times New Roman" w:hAnsi="Times New Roman" w:cs="Times New Roman"/>
                <w:b/>
                <w:bCs/>
                <w:color w:val="000000"/>
                <w:sz w:val="20"/>
                <w:szCs w:val="20"/>
                <w:lang w:eastAsia="sk-SK"/>
              </w:rPr>
              <w:t>, čl.,...</w:t>
            </w:r>
            <w:r w:rsidRPr="00BC5E60">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Pr="00BC5E60"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BC5E60">
              <w:rPr>
                <w:rFonts w:ascii="Times New Roman" w:eastAsia="Times New Roman" w:hAnsi="Times New Roman" w:cs="Times New Roman"/>
                <w:b/>
                <w:bCs/>
                <w:color w:val="000000"/>
                <w:sz w:val="20"/>
                <w:szCs w:val="20"/>
                <w:lang w:eastAsia="sk-SK"/>
              </w:rPr>
              <w:t xml:space="preserve">Pôvod regulácie: </w:t>
            </w:r>
            <w:r w:rsidRPr="00BC5E60">
              <w:rPr>
                <w:rFonts w:ascii="Times New Roman" w:eastAsia="Times New Roman" w:hAnsi="Times New Roman" w:cs="Times New Roman"/>
                <w:b/>
                <w:bCs/>
                <w:color w:val="000000"/>
                <w:sz w:val="20"/>
                <w:szCs w:val="20"/>
                <w:lang w:eastAsia="sk-SK"/>
              </w:rPr>
              <w:br/>
            </w:r>
            <w:r w:rsidRPr="00BC5E60">
              <w:rPr>
                <w:rFonts w:ascii="Times New Roman" w:eastAsia="Times New Roman" w:hAnsi="Times New Roman" w:cs="Times New Roman"/>
                <w:color w:val="000000"/>
                <w:sz w:val="20"/>
                <w:szCs w:val="20"/>
                <w:lang w:eastAsia="sk-SK"/>
              </w:rPr>
              <w:t xml:space="preserve">SK/EÚ úplná </w:t>
            </w:r>
            <w:proofErr w:type="spellStart"/>
            <w:r w:rsidRPr="00BC5E60">
              <w:rPr>
                <w:rFonts w:ascii="Times New Roman" w:eastAsia="Times New Roman" w:hAnsi="Times New Roman" w:cs="Times New Roman"/>
                <w:color w:val="000000"/>
                <w:sz w:val="20"/>
                <w:szCs w:val="20"/>
                <w:lang w:eastAsia="sk-SK"/>
              </w:rPr>
              <w:t>harm</w:t>
            </w:r>
            <w:proofErr w:type="spellEnd"/>
            <w:r w:rsidRPr="00BC5E60">
              <w:rPr>
                <w:rFonts w:ascii="Times New Roman" w:eastAsia="Times New Roman" w:hAnsi="Times New Roman" w:cs="Times New Roman"/>
                <w:color w:val="000000"/>
                <w:sz w:val="20"/>
                <w:szCs w:val="20"/>
                <w:lang w:eastAsia="sk-SK"/>
              </w:rPr>
              <w:t>./</w:t>
            </w:r>
          </w:p>
          <w:p w14:paraId="3EFBCFFC" w14:textId="77777777" w:rsidR="00DE6ACB" w:rsidRPr="00BC5E60"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r w:rsidRPr="00BC5E60">
              <w:rPr>
                <w:rFonts w:ascii="Times New Roman" w:eastAsia="Times New Roman" w:hAnsi="Times New Roman" w:cs="Times New Roman"/>
                <w:color w:val="000000"/>
                <w:sz w:val="20"/>
                <w:szCs w:val="20"/>
                <w:lang w:eastAsia="sk-SK"/>
              </w:rPr>
              <w:t>G</w:t>
            </w:r>
            <w:r w:rsidR="00DE6ACB" w:rsidRPr="00BC5E60">
              <w:rPr>
                <w:rFonts w:ascii="Times New Roman" w:eastAsia="Times New Roman" w:hAnsi="Times New Roman" w:cs="Times New Roman"/>
                <w:color w:val="000000"/>
                <w:sz w:val="20"/>
                <w:szCs w:val="20"/>
                <w:lang w:eastAsia="sk-SK"/>
              </w:rPr>
              <w:t>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BC5E60"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C5E60">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BC5E60"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C5E60">
              <w:rPr>
                <w:rFonts w:ascii="Times New Roman" w:eastAsia="Times New Roman" w:hAnsi="Times New Roman" w:cs="Times New Roman"/>
                <w:b/>
                <w:bCs/>
                <w:color w:val="000000"/>
                <w:sz w:val="20"/>
                <w:szCs w:val="20"/>
                <w:lang w:eastAsia="sk-SK"/>
              </w:rPr>
              <w:t xml:space="preserve">Kategória </w:t>
            </w:r>
            <w:proofErr w:type="spellStart"/>
            <w:r w:rsidRPr="00BC5E60">
              <w:rPr>
                <w:rFonts w:ascii="Times New Roman" w:eastAsia="Times New Roman" w:hAnsi="Times New Roman" w:cs="Times New Roman"/>
                <w:b/>
                <w:bCs/>
                <w:color w:val="000000"/>
                <w:sz w:val="20"/>
                <w:szCs w:val="20"/>
                <w:lang w:eastAsia="sk-SK"/>
              </w:rPr>
              <w:t>dotk</w:t>
            </w:r>
            <w:proofErr w:type="spellEnd"/>
            <w:r w:rsidRPr="00BC5E60">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Pr="00BC5E60"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BC5E60">
              <w:rPr>
                <w:rFonts w:ascii="Times New Roman" w:eastAsia="Times New Roman" w:hAnsi="Times New Roman" w:cs="Times New Roman"/>
                <w:b/>
                <w:bCs/>
                <w:color w:val="000000"/>
                <w:sz w:val="20"/>
                <w:szCs w:val="20"/>
                <w:lang w:eastAsia="sk-SK"/>
              </w:rPr>
              <w:t xml:space="preserve">Počet </w:t>
            </w:r>
          </w:p>
          <w:p w14:paraId="7A177F6E" w14:textId="6CE16312" w:rsidR="00DE6ACB" w:rsidRPr="00BC5E60"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BC5E60">
              <w:rPr>
                <w:rFonts w:ascii="Times New Roman" w:eastAsia="Times New Roman" w:hAnsi="Times New Roman" w:cs="Times New Roman"/>
                <w:b/>
                <w:bCs/>
                <w:color w:val="000000"/>
                <w:sz w:val="20"/>
                <w:szCs w:val="20"/>
                <w:lang w:eastAsia="sk-SK"/>
              </w:rPr>
              <w:t>dotk</w:t>
            </w:r>
            <w:proofErr w:type="spellEnd"/>
            <w:r w:rsidRPr="00BC5E60">
              <w:rPr>
                <w:rFonts w:ascii="Times New Roman" w:eastAsia="Times New Roman" w:hAnsi="Times New Roman" w:cs="Times New Roman"/>
                <w:b/>
                <w:bCs/>
                <w:color w:val="000000"/>
                <w:sz w:val="20"/>
                <w:szCs w:val="20"/>
                <w:lang w:eastAsia="sk-SK"/>
              </w:rPr>
              <w:t>.</w:t>
            </w:r>
            <w:r w:rsidR="00DE6ACB" w:rsidRPr="00BC5E60">
              <w:rPr>
                <w:rFonts w:ascii="Times New Roman" w:eastAsia="Times New Roman" w:hAnsi="Times New Roman" w:cs="Times New Roman"/>
                <w:b/>
                <w:bCs/>
                <w:color w:val="000000"/>
                <w:sz w:val="20"/>
                <w:szCs w:val="20"/>
                <w:lang w:eastAsia="sk-SK"/>
              </w:rPr>
              <w:t xml:space="preserve"> subjektov </w:t>
            </w:r>
            <w:r w:rsidR="00047C70" w:rsidRPr="00BC5E60">
              <w:rPr>
                <w:rFonts w:ascii="Times New Roman" w:eastAsia="Times New Roman" w:hAnsi="Times New Roman" w:cs="Times New Roman"/>
                <w:b/>
                <w:bCs/>
                <w:color w:val="000000"/>
                <w:sz w:val="20"/>
                <w:szCs w:val="20"/>
                <w:lang w:eastAsia="sk-SK"/>
              </w:rPr>
              <w:t>spolu</w:t>
            </w:r>
            <w:r w:rsidR="00DE6ACB" w:rsidRPr="00BC5E60">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BC5E60"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C5E60">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BC5E60"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C5E60">
              <w:rPr>
                <w:rFonts w:ascii="Times New Roman" w:eastAsia="Times New Roman" w:hAnsi="Times New Roman" w:cs="Times New Roman"/>
                <w:b/>
                <w:bCs/>
                <w:color w:val="000000"/>
                <w:sz w:val="20"/>
                <w:szCs w:val="20"/>
                <w:lang w:eastAsia="sk-SK"/>
              </w:rPr>
              <w:t xml:space="preserve">Vplyv na </w:t>
            </w:r>
            <w:proofErr w:type="spellStart"/>
            <w:r w:rsidRPr="00BC5E60">
              <w:rPr>
                <w:rFonts w:ascii="Times New Roman" w:eastAsia="Times New Roman" w:hAnsi="Times New Roman" w:cs="Times New Roman"/>
                <w:b/>
                <w:bCs/>
                <w:color w:val="000000"/>
                <w:sz w:val="20"/>
                <w:szCs w:val="20"/>
                <w:lang w:eastAsia="sk-SK"/>
              </w:rPr>
              <w:t>kateg</w:t>
            </w:r>
            <w:proofErr w:type="spellEnd"/>
            <w:r w:rsidRPr="00BC5E60">
              <w:rPr>
                <w:rFonts w:ascii="Times New Roman" w:eastAsia="Times New Roman" w:hAnsi="Times New Roman" w:cs="Times New Roman"/>
                <w:b/>
                <w:bCs/>
                <w:color w:val="000000"/>
                <w:sz w:val="20"/>
                <w:szCs w:val="20"/>
                <w:lang w:eastAsia="sk-SK"/>
              </w:rPr>
              <w:t xml:space="preserve">. </w:t>
            </w:r>
            <w:proofErr w:type="spellStart"/>
            <w:r w:rsidRPr="00BC5E60">
              <w:rPr>
                <w:rFonts w:ascii="Times New Roman" w:eastAsia="Times New Roman" w:hAnsi="Times New Roman" w:cs="Times New Roman"/>
                <w:b/>
                <w:bCs/>
                <w:color w:val="000000"/>
                <w:sz w:val="20"/>
                <w:szCs w:val="20"/>
                <w:lang w:eastAsia="sk-SK"/>
              </w:rPr>
              <w:t>dotk</w:t>
            </w:r>
            <w:proofErr w:type="spellEnd"/>
            <w:r w:rsidRPr="00BC5E60">
              <w:rPr>
                <w:rFonts w:ascii="Times New Roman" w:eastAsia="Times New Roman" w:hAnsi="Times New Roman" w:cs="Times New Roman"/>
                <w:b/>
                <w:bCs/>
                <w:color w:val="000000"/>
                <w:sz w:val="20"/>
                <w:szCs w:val="20"/>
                <w:lang w:eastAsia="sk-SK"/>
              </w:rPr>
              <w:t>. subjekt.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BC5E60"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BC5E60">
              <w:rPr>
                <w:rFonts w:ascii="Times New Roman" w:eastAsia="Times New Roman" w:hAnsi="Times New Roman" w:cs="Times New Roman"/>
                <w:b/>
                <w:bCs/>
                <w:color w:val="000000"/>
                <w:sz w:val="20"/>
                <w:szCs w:val="20"/>
                <w:lang w:eastAsia="sk-SK"/>
              </w:rPr>
              <w:t>Druh vplyvu</w:t>
            </w:r>
            <w:r w:rsidRPr="00BC5E60">
              <w:rPr>
                <w:rFonts w:ascii="Times New Roman" w:eastAsia="Times New Roman" w:hAnsi="Times New Roman" w:cs="Times New Roman"/>
                <w:b/>
                <w:bCs/>
                <w:color w:val="000000"/>
                <w:sz w:val="20"/>
                <w:szCs w:val="20"/>
                <w:lang w:eastAsia="sk-SK"/>
              </w:rPr>
              <w:br/>
            </w:r>
            <w:r w:rsidRPr="00BC5E60">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BC5E60"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BC5E60">
              <w:rPr>
                <w:rFonts w:ascii="Times New Roman" w:eastAsia="Times New Roman" w:hAnsi="Times New Roman" w:cs="Times New Roman"/>
                <w:bCs/>
                <w:color w:val="000000"/>
                <w:sz w:val="20"/>
                <w:szCs w:val="20"/>
                <w:lang w:eastAsia="sk-SK"/>
              </w:rPr>
              <w:t>Out</w:t>
            </w:r>
            <w:proofErr w:type="spellEnd"/>
            <w:r w:rsidRPr="00BC5E60">
              <w:rPr>
                <w:rFonts w:ascii="Times New Roman" w:eastAsia="Times New Roman" w:hAnsi="Times New Roman" w:cs="Times New Roman"/>
                <w:bCs/>
                <w:color w:val="000000"/>
                <w:sz w:val="20"/>
                <w:szCs w:val="20"/>
                <w:lang w:eastAsia="sk-SK"/>
              </w:rPr>
              <w:t xml:space="preserve"> (znižuje náklady</w:t>
            </w:r>
            <w:r w:rsidRPr="00BC5E60">
              <w:rPr>
                <w:rFonts w:ascii="Times New Roman" w:eastAsia="Times New Roman" w:hAnsi="Times New Roman" w:cs="Times New Roman"/>
                <w:b/>
                <w:bCs/>
                <w:color w:val="000000"/>
                <w:sz w:val="20"/>
                <w:szCs w:val="20"/>
                <w:lang w:eastAsia="sk-SK"/>
              </w:rPr>
              <w:t>)</w:t>
            </w:r>
          </w:p>
          <w:p w14:paraId="70438D04" w14:textId="77777777" w:rsidR="00DE6ACB" w:rsidRPr="00BC5E60"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BC5E60">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BC5E60"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BC5E60">
              <w:rPr>
                <w:rFonts w:ascii="Times New Roman" w:eastAsia="Times New Roman" w:hAnsi="Times New Roman" w:cs="Times New Roman"/>
                <w:b/>
                <w:bCs/>
                <w:color w:val="000000"/>
                <w:sz w:val="18"/>
                <w:szCs w:val="18"/>
                <w:lang w:eastAsia="sk-SK"/>
              </w:rPr>
              <w:t>1in</w:t>
            </w:r>
          </w:p>
          <w:p w14:paraId="29F533F5" w14:textId="77777777" w:rsidR="00DE6ACB" w:rsidRPr="00BC5E60"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BC5E60">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BC5E60"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BC5E60">
              <w:rPr>
                <w:rFonts w:ascii="Times New Roman" w:eastAsia="Times New Roman" w:hAnsi="Times New Roman" w:cs="Times New Roman"/>
                <w:b/>
                <w:bCs/>
                <w:color w:val="000000"/>
                <w:sz w:val="18"/>
                <w:szCs w:val="18"/>
                <w:lang w:eastAsia="sk-SK"/>
              </w:rPr>
              <w:t>Goldplating celkom</w:t>
            </w:r>
          </w:p>
        </w:tc>
      </w:tr>
      <w:tr w:rsidR="00AE300D" w:rsidRPr="00BC5E60" w14:paraId="609FED73"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10E1BE4D" w:rsidR="00AE300D" w:rsidRPr="00BC5E60" w:rsidRDefault="00AE300D" w:rsidP="00AE300D">
            <w:pPr>
              <w:spacing w:after="0" w:line="240" w:lineRule="auto"/>
              <w:rPr>
                <w:rFonts w:ascii="Times New Roman" w:eastAsia="Times New Roman" w:hAnsi="Times New Roman" w:cs="Times New Roman"/>
                <w:sz w:val="20"/>
                <w:szCs w:val="20"/>
                <w:lang w:eastAsia="sk-SK"/>
              </w:rPr>
            </w:pPr>
            <w:r w:rsidRPr="00BC5E60">
              <w:rPr>
                <w:color w:val="000000"/>
                <w:sz w:val="20"/>
                <w:szCs w:val="20"/>
              </w:rPr>
              <w:t>1</w:t>
            </w:r>
          </w:p>
        </w:tc>
        <w:tc>
          <w:tcPr>
            <w:tcW w:w="1740" w:type="dxa"/>
            <w:shd w:val="clear" w:color="auto" w:fill="auto"/>
            <w:vAlign w:val="center"/>
          </w:tcPr>
          <w:p w14:paraId="7D629DAC" w14:textId="22BF0B65" w:rsidR="00AE300D" w:rsidRPr="00AE300D" w:rsidRDefault="00AE300D" w:rsidP="00AE300D">
            <w:pPr>
              <w:spacing w:after="0" w:line="240" w:lineRule="auto"/>
              <w:rPr>
                <w:rFonts w:ascii="Arial Narrow" w:eastAsia="Times New Roman" w:hAnsi="Arial Narrow" w:cs="Times New Roman"/>
                <w:lang w:eastAsia="sk-SK"/>
              </w:rPr>
            </w:pPr>
            <w:r w:rsidRPr="00AE300D">
              <w:rPr>
                <w:rFonts w:ascii="Arial Narrow" w:hAnsi="Arial Narrow" w:cs="Times New Roman"/>
                <w:color w:val="000000"/>
              </w:rPr>
              <w:t xml:space="preserve">informácie o zmenách podmienok, na základe ktorých bolo vydané pôvodné povolenie </w:t>
            </w:r>
          </w:p>
        </w:tc>
        <w:tc>
          <w:tcPr>
            <w:tcW w:w="992" w:type="dxa"/>
            <w:vAlign w:val="center"/>
          </w:tcPr>
          <w:p w14:paraId="4B47CD37" w14:textId="20B34608" w:rsidR="00AE300D" w:rsidRPr="00AE300D" w:rsidRDefault="00AE300D" w:rsidP="00AE300D">
            <w:pPr>
              <w:spacing w:after="0" w:line="240" w:lineRule="auto"/>
              <w:rPr>
                <w:rFonts w:ascii="Arial Narrow" w:eastAsia="Times New Roman" w:hAnsi="Arial Narrow" w:cs="Times New Roman"/>
                <w:lang w:eastAsia="sk-SK"/>
              </w:rPr>
            </w:pPr>
            <w:r w:rsidRPr="00AE300D">
              <w:rPr>
                <w:rFonts w:ascii="Arial Narrow" w:hAnsi="Arial Narrow" w:cs="Times New Roman"/>
                <w:color w:val="000000"/>
              </w:rPr>
              <w:t>203/2011</w:t>
            </w:r>
          </w:p>
        </w:tc>
        <w:tc>
          <w:tcPr>
            <w:tcW w:w="1134" w:type="dxa"/>
            <w:vAlign w:val="center"/>
          </w:tcPr>
          <w:p w14:paraId="1C988908" w14:textId="45A14CE3" w:rsidR="00AE300D" w:rsidRPr="00AE300D" w:rsidRDefault="00AE300D" w:rsidP="00AE300D">
            <w:pPr>
              <w:spacing w:after="0" w:line="240" w:lineRule="auto"/>
              <w:rPr>
                <w:rFonts w:ascii="Arial Narrow" w:eastAsia="Times New Roman" w:hAnsi="Arial Narrow" w:cs="Times New Roman"/>
                <w:lang w:eastAsia="sk-SK"/>
              </w:rPr>
            </w:pPr>
            <w:r w:rsidRPr="00AE300D">
              <w:rPr>
                <w:rFonts w:ascii="Arial Narrow" w:hAnsi="Arial Narrow" w:cs="Times New Roman"/>
                <w:color w:val="000000"/>
              </w:rPr>
              <w:t>§ 28(7)</w:t>
            </w:r>
          </w:p>
        </w:tc>
        <w:tc>
          <w:tcPr>
            <w:tcW w:w="1843" w:type="dxa"/>
            <w:shd w:val="clear" w:color="auto" w:fill="auto"/>
            <w:vAlign w:val="center"/>
          </w:tcPr>
          <w:p w14:paraId="22CDA76A" w14:textId="65B409EB" w:rsidR="00AE300D" w:rsidRPr="00AE300D" w:rsidRDefault="00AE300D" w:rsidP="00AE300D">
            <w:pPr>
              <w:pStyle w:val="gmail-m-1648484718305530482msolistparagraph"/>
              <w:spacing w:before="0" w:beforeAutospacing="0" w:after="0" w:afterAutospacing="0"/>
              <w:jc w:val="center"/>
              <w:rPr>
                <w:rFonts w:ascii="Arial Narrow" w:eastAsia="Times New Roman" w:hAnsi="Arial Narrow" w:cs="Times New Roman"/>
              </w:rPr>
            </w:pPr>
            <w:r w:rsidRPr="00AE300D">
              <w:rPr>
                <w:rFonts w:ascii="Arial Narrow" w:hAnsi="Arial Narrow" w:cs="Times New Roman"/>
                <w:color w:val="000000"/>
              </w:rPr>
              <w:t>2. EÚ úplná harmonizácia</w:t>
            </w:r>
          </w:p>
        </w:tc>
        <w:tc>
          <w:tcPr>
            <w:tcW w:w="992" w:type="dxa"/>
            <w:vAlign w:val="center"/>
          </w:tcPr>
          <w:p w14:paraId="469C4721" w14:textId="1D91FEF1" w:rsidR="00AE300D" w:rsidRPr="00AE300D" w:rsidRDefault="00AE300D" w:rsidP="00AE300D">
            <w:pPr>
              <w:spacing w:after="0" w:line="240" w:lineRule="auto"/>
              <w:rPr>
                <w:rFonts w:ascii="Arial Narrow" w:eastAsia="Times New Roman" w:hAnsi="Arial Narrow" w:cs="Times New Roman"/>
                <w:color w:val="000000"/>
                <w:lang w:eastAsia="sk-SK"/>
              </w:rPr>
            </w:pPr>
            <w:r w:rsidRPr="00AE300D">
              <w:rPr>
                <w:rFonts w:ascii="Arial Narrow" w:hAnsi="Arial Narrow" w:cs="Times New Roman"/>
                <w:color w:val="000000"/>
              </w:rPr>
              <w:t>01.01.26</w:t>
            </w:r>
          </w:p>
        </w:tc>
        <w:tc>
          <w:tcPr>
            <w:tcW w:w="1160" w:type="dxa"/>
            <w:shd w:val="clear" w:color="auto" w:fill="auto"/>
            <w:noWrap/>
            <w:vAlign w:val="center"/>
          </w:tcPr>
          <w:p w14:paraId="74618A9C" w14:textId="3FADD9EB" w:rsidR="00AE300D" w:rsidRPr="00AE300D" w:rsidRDefault="00AE300D" w:rsidP="00AE300D">
            <w:pPr>
              <w:spacing w:after="0" w:line="240" w:lineRule="auto"/>
              <w:rPr>
                <w:rFonts w:ascii="Arial Narrow" w:eastAsia="Times New Roman" w:hAnsi="Arial Narrow" w:cs="Times New Roman"/>
                <w:color w:val="000000"/>
                <w:lang w:eastAsia="sk-SK"/>
              </w:rPr>
            </w:pPr>
            <w:r w:rsidRPr="00AE300D">
              <w:rPr>
                <w:rFonts w:ascii="Arial Narrow" w:hAnsi="Arial Narrow" w:cs="Times New Roman"/>
                <w:color w:val="000000"/>
              </w:rPr>
              <w:t>správcovské spoločnosti</w:t>
            </w:r>
          </w:p>
        </w:tc>
        <w:tc>
          <w:tcPr>
            <w:tcW w:w="1108" w:type="dxa"/>
            <w:vAlign w:val="center"/>
          </w:tcPr>
          <w:p w14:paraId="5D0F89C4" w14:textId="5DB9F7CE" w:rsidR="00AE300D" w:rsidRPr="00AE300D" w:rsidRDefault="00AE300D" w:rsidP="00AE300D">
            <w:pPr>
              <w:spacing w:after="0" w:line="240" w:lineRule="auto"/>
              <w:jc w:val="right"/>
              <w:rPr>
                <w:rFonts w:ascii="Arial Narrow" w:eastAsia="Times New Roman" w:hAnsi="Arial Narrow" w:cs="Times New Roman"/>
                <w:lang w:eastAsia="sk-SK"/>
              </w:rPr>
            </w:pPr>
            <w:r w:rsidRPr="00AE300D">
              <w:rPr>
                <w:rFonts w:ascii="Arial Narrow" w:hAnsi="Arial Narrow" w:cs="Times New Roman"/>
                <w:color w:val="000000"/>
              </w:rPr>
              <w:t xml:space="preserve">                 10 </w:t>
            </w:r>
          </w:p>
        </w:tc>
        <w:tc>
          <w:tcPr>
            <w:tcW w:w="851" w:type="dxa"/>
            <w:shd w:val="clear" w:color="auto" w:fill="auto"/>
            <w:noWrap/>
            <w:vAlign w:val="center"/>
          </w:tcPr>
          <w:p w14:paraId="38251139" w14:textId="251DA9D9" w:rsidR="00AE300D" w:rsidRPr="00AE300D" w:rsidRDefault="00AE300D" w:rsidP="00AE300D">
            <w:pPr>
              <w:spacing w:after="0" w:line="240" w:lineRule="auto"/>
              <w:jc w:val="right"/>
              <w:rPr>
                <w:rFonts w:ascii="Arial Narrow" w:eastAsia="Times New Roman" w:hAnsi="Arial Narrow" w:cs="Times New Roman"/>
                <w:lang w:eastAsia="sk-SK"/>
              </w:rPr>
            </w:pPr>
            <w:r w:rsidRPr="00AE300D">
              <w:rPr>
                <w:rFonts w:ascii="Arial Narrow" w:hAnsi="Arial Narrow" w:cs="Times New Roman"/>
                <w:color w:val="000000"/>
              </w:rPr>
              <w:t>225</w:t>
            </w:r>
          </w:p>
        </w:tc>
        <w:tc>
          <w:tcPr>
            <w:tcW w:w="843" w:type="dxa"/>
            <w:shd w:val="clear" w:color="auto" w:fill="auto"/>
            <w:noWrap/>
            <w:vAlign w:val="center"/>
          </w:tcPr>
          <w:p w14:paraId="01129C91" w14:textId="51E4B15F" w:rsidR="00AE300D" w:rsidRPr="00AE300D" w:rsidRDefault="00AE300D" w:rsidP="00AE300D">
            <w:pPr>
              <w:spacing w:after="0" w:line="240" w:lineRule="auto"/>
              <w:jc w:val="right"/>
              <w:rPr>
                <w:rFonts w:ascii="Arial Narrow" w:eastAsia="Times New Roman" w:hAnsi="Arial Narrow" w:cs="Times New Roman"/>
                <w:color w:val="000000"/>
                <w:lang w:eastAsia="sk-SK"/>
              </w:rPr>
            </w:pPr>
            <w:r w:rsidRPr="00AE300D">
              <w:rPr>
                <w:rFonts w:ascii="Arial Narrow" w:hAnsi="Arial Narrow" w:cs="Times New Roman"/>
                <w:color w:val="000000"/>
              </w:rPr>
              <w:t>2 246</w:t>
            </w:r>
          </w:p>
        </w:tc>
        <w:tc>
          <w:tcPr>
            <w:tcW w:w="1000" w:type="dxa"/>
            <w:shd w:val="clear" w:color="auto" w:fill="auto"/>
            <w:noWrap/>
            <w:vAlign w:val="center"/>
          </w:tcPr>
          <w:p w14:paraId="420D0685" w14:textId="2B65C5E3" w:rsidR="00AE300D" w:rsidRPr="00AE300D" w:rsidRDefault="00AE300D" w:rsidP="00AE300D">
            <w:pPr>
              <w:spacing w:after="0" w:line="240" w:lineRule="auto"/>
              <w:rPr>
                <w:rFonts w:ascii="Arial Narrow" w:eastAsia="Times New Roman" w:hAnsi="Arial Narrow" w:cs="Times New Roman"/>
                <w:lang w:eastAsia="sk-SK"/>
              </w:rPr>
            </w:pPr>
            <w:r w:rsidRPr="00AE300D">
              <w:rPr>
                <w:rFonts w:ascii="Arial Narrow" w:hAnsi="Arial Narrow" w:cs="Times New Roman"/>
                <w:color w:val="000000"/>
              </w:rPr>
              <w:t>In (zvyšuje náklady)</w:t>
            </w:r>
          </w:p>
        </w:tc>
        <w:tc>
          <w:tcPr>
            <w:tcW w:w="708" w:type="dxa"/>
            <w:shd w:val="clear" w:color="auto" w:fill="auto"/>
            <w:noWrap/>
            <w:vAlign w:val="center"/>
          </w:tcPr>
          <w:p w14:paraId="08BFFDBA" w14:textId="1D133B8D" w:rsidR="00AE300D" w:rsidRPr="00AE300D" w:rsidRDefault="00AE300D" w:rsidP="00AE300D">
            <w:pPr>
              <w:spacing w:after="0" w:line="240" w:lineRule="auto"/>
              <w:jc w:val="center"/>
              <w:rPr>
                <w:rFonts w:ascii="Arial Narrow" w:eastAsia="Times New Roman" w:hAnsi="Arial Narrow" w:cs="Times New Roman"/>
                <w:color w:val="000000"/>
                <w:lang w:eastAsia="sk-SK"/>
              </w:rPr>
            </w:pPr>
            <w:r w:rsidRPr="00AE300D">
              <w:rPr>
                <w:rFonts w:ascii="Arial Narrow" w:hAnsi="Arial Narrow" w:cs="Times New Roman"/>
              </w:rPr>
              <w:t>0</w:t>
            </w:r>
          </w:p>
        </w:tc>
        <w:tc>
          <w:tcPr>
            <w:tcW w:w="1134" w:type="dxa"/>
            <w:vAlign w:val="center"/>
          </w:tcPr>
          <w:p w14:paraId="48758C9B" w14:textId="0791FBB4" w:rsidR="00AE300D" w:rsidRPr="00AE300D" w:rsidRDefault="00AE300D" w:rsidP="00AE300D">
            <w:pPr>
              <w:spacing w:after="0" w:line="240" w:lineRule="auto"/>
              <w:jc w:val="center"/>
              <w:rPr>
                <w:rFonts w:ascii="Arial Narrow" w:eastAsia="Times New Roman" w:hAnsi="Arial Narrow" w:cs="Times New Roman"/>
                <w:lang w:eastAsia="sk-SK"/>
              </w:rPr>
            </w:pPr>
            <w:r w:rsidRPr="00AE300D">
              <w:rPr>
                <w:rFonts w:ascii="Arial Narrow" w:hAnsi="Arial Narrow" w:cs="Times New Roman"/>
                <w:color w:val="000000"/>
              </w:rPr>
              <w:t>0</w:t>
            </w:r>
          </w:p>
        </w:tc>
      </w:tr>
      <w:tr w:rsidR="00AE300D" w:rsidRPr="00BC5E60" w14:paraId="022095BC"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45D955B2" w:rsidR="00AE300D" w:rsidRPr="00BC5E60" w:rsidRDefault="00AE300D" w:rsidP="00AE300D">
            <w:pPr>
              <w:spacing w:after="0" w:line="240" w:lineRule="auto"/>
              <w:rPr>
                <w:rFonts w:ascii="Times New Roman" w:eastAsia="Times New Roman" w:hAnsi="Times New Roman" w:cs="Times New Roman"/>
                <w:sz w:val="20"/>
                <w:szCs w:val="20"/>
                <w:lang w:eastAsia="sk-SK"/>
              </w:rPr>
            </w:pPr>
            <w:r w:rsidRPr="00BC5E60">
              <w:rPr>
                <w:color w:val="000000"/>
                <w:sz w:val="20"/>
                <w:szCs w:val="20"/>
              </w:rPr>
              <w:t>2</w:t>
            </w:r>
          </w:p>
        </w:tc>
        <w:tc>
          <w:tcPr>
            <w:tcW w:w="1740" w:type="dxa"/>
            <w:shd w:val="clear" w:color="auto" w:fill="auto"/>
            <w:vAlign w:val="center"/>
          </w:tcPr>
          <w:p w14:paraId="302744A6" w14:textId="58FB6618" w:rsidR="00AE300D" w:rsidRPr="00AE300D" w:rsidRDefault="00AE300D" w:rsidP="00AE300D">
            <w:pPr>
              <w:spacing w:after="0" w:line="240" w:lineRule="auto"/>
              <w:rPr>
                <w:rFonts w:ascii="Arial Narrow" w:eastAsia="Times New Roman" w:hAnsi="Arial Narrow" w:cs="Times New Roman"/>
                <w:lang w:eastAsia="sk-SK"/>
              </w:rPr>
            </w:pPr>
            <w:r w:rsidRPr="00AE300D">
              <w:rPr>
                <w:rFonts w:ascii="Arial Narrow" w:hAnsi="Arial Narrow" w:cs="Times New Roman"/>
                <w:color w:val="000000"/>
              </w:rPr>
              <w:t>uvedenie nových informácií v žiadosti o udelenie povolenia pre správcu UCITS</w:t>
            </w:r>
          </w:p>
        </w:tc>
        <w:tc>
          <w:tcPr>
            <w:tcW w:w="992" w:type="dxa"/>
            <w:vAlign w:val="center"/>
          </w:tcPr>
          <w:p w14:paraId="6D81551D" w14:textId="765C15B7" w:rsidR="00AE300D" w:rsidRPr="00AE300D" w:rsidRDefault="00AE300D" w:rsidP="00AE300D">
            <w:pPr>
              <w:spacing w:after="0" w:line="240" w:lineRule="auto"/>
              <w:rPr>
                <w:rFonts w:ascii="Arial Narrow" w:eastAsia="Times New Roman" w:hAnsi="Arial Narrow" w:cs="Times New Roman"/>
                <w:lang w:eastAsia="sk-SK"/>
              </w:rPr>
            </w:pPr>
            <w:r w:rsidRPr="00AE300D">
              <w:rPr>
                <w:rFonts w:ascii="Arial Narrow" w:hAnsi="Arial Narrow" w:cs="Times New Roman"/>
                <w:color w:val="000000"/>
              </w:rPr>
              <w:t>203/2011</w:t>
            </w:r>
          </w:p>
        </w:tc>
        <w:tc>
          <w:tcPr>
            <w:tcW w:w="1134" w:type="dxa"/>
            <w:vAlign w:val="center"/>
          </w:tcPr>
          <w:p w14:paraId="15AB3E50" w14:textId="0EB9F82B" w:rsidR="00AE300D" w:rsidRPr="00AE300D" w:rsidRDefault="00AE300D" w:rsidP="00AE300D">
            <w:pPr>
              <w:spacing w:after="0" w:line="240" w:lineRule="auto"/>
              <w:rPr>
                <w:rFonts w:ascii="Arial Narrow" w:eastAsia="Times New Roman" w:hAnsi="Arial Narrow" w:cs="Times New Roman"/>
                <w:lang w:eastAsia="sk-SK"/>
              </w:rPr>
            </w:pPr>
            <w:r w:rsidRPr="00AE300D">
              <w:rPr>
                <w:rFonts w:ascii="Arial Narrow" w:hAnsi="Arial Narrow" w:cs="Times New Roman"/>
                <w:color w:val="000000"/>
              </w:rPr>
              <w:t>§  28(4)</w:t>
            </w:r>
          </w:p>
        </w:tc>
        <w:tc>
          <w:tcPr>
            <w:tcW w:w="1843" w:type="dxa"/>
            <w:shd w:val="clear" w:color="auto" w:fill="auto"/>
            <w:vAlign w:val="center"/>
          </w:tcPr>
          <w:p w14:paraId="65823171" w14:textId="2D0914F8" w:rsidR="00AE300D" w:rsidRPr="00AE300D" w:rsidDel="00801596" w:rsidRDefault="00AE300D" w:rsidP="00AE300D">
            <w:pPr>
              <w:pStyle w:val="gmail-m-1648484718305530482msolistparagraph"/>
              <w:spacing w:before="0" w:beforeAutospacing="0" w:after="0" w:afterAutospacing="0"/>
              <w:jc w:val="center"/>
              <w:rPr>
                <w:rFonts w:ascii="Arial Narrow" w:eastAsia="Times New Roman" w:hAnsi="Arial Narrow" w:cs="Times New Roman"/>
              </w:rPr>
            </w:pPr>
            <w:r w:rsidRPr="00AE300D">
              <w:rPr>
                <w:rFonts w:ascii="Arial Narrow" w:hAnsi="Arial Narrow" w:cs="Times New Roman"/>
                <w:color w:val="000000"/>
              </w:rPr>
              <w:t>2. EÚ úplná harmonizácia</w:t>
            </w:r>
          </w:p>
        </w:tc>
        <w:tc>
          <w:tcPr>
            <w:tcW w:w="992" w:type="dxa"/>
            <w:vAlign w:val="center"/>
          </w:tcPr>
          <w:p w14:paraId="4EAFA699" w14:textId="64C68C97" w:rsidR="00AE300D" w:rsidRPr="00AE300D" w:rsidRDefault="00AE300D" w:rsidP="00AE300D">
            <w:pPr>
              <w:spacing w:after="0" w:line="240" w:lineRule="auto"/>
              <w:rPr>
                <w:rFonts w:ascii="Arial Narrow" w:eastAsia="Times New Roman" w:hAnsi="Arial Narrow" w:cs="Times New Roman"/>
                <w:color w:val="000000"/>
                <w:lang w:eastAsia="sk-SK"/>
              </w:rPr>
            </w:pPr>
            <w:r w:rsidRPr="00AE300D">
              <w:rPr>
                <w:rFonts w:ascii="Arial Narrow" w:hAnsi="Arial Narrow" w:cs="Times New Roman"/>
                <w:color w:val="000000"/>
              </w:rPr>
              <w:t>16.04.26</w:t>
            </w:r>
          </w:p>
        </w:tc>
        <w:tc>
          <w:tcPr>
            <w:tcW w:w="1160" w:type="dxa"/>
            <w:shd w:val="clear" w:color="auto" w:fill="auto"/>
            <w:noWrap/>
            <w:vAlign w:val="center"/>
          </w:tcPr>
          <w:p w14:paraId="439720A9" w14:textId="65C28CAF" w:rsidR="00AE300D" w:rsidRPr="00AE300D" w:rsidRDefault="00AE300D" w:rsidP="00AE300D">
            <w:pPr>
              <w:spacing w:after="0" w:line="240" w:lineRule="auto"/>
              <w:rPr>
                <w:rFonts w:ascii="Arial Narrow" w:eastAsia="Times New Roman" w:hAnsi="Arial Narrow" w:cs="Times New Roman"/>
                <w:color w:val="000000"/>
                <w:lang w:eastAsia="sk-SK"/>
              </w:rPr>
            </w:pPr>
            <w:r w:rsidRPr="00AE300D">
              <w:rPr>
                <w:rFonts w:ascii="Arial Narrow" w:hAnsi="Arial Narrow" w:cs="Times New Roman"/>
                <w:color w:val="000000"/>
              </w:rPr>
              <w:t>správcovské spoločnosti</w:t>
            </w:r>
          </w:p>
        </w:tc>
        <w:tc>
          <w:tcPr>
            <w:tcW w:w="1108" w:type="dxa"/>
            <w:vAlign w:val="center"/>
          </w:tcPr>
          <w:p w14:paraId="17CCCE83" w14:textId="45EDE59D" w:rsidR="00AE300D" w:rsidRPr="00AE300D" w:rsidRDefault="00AE300D" w:rsidP="00AE300D">
            <w:pPr>
              <w:spacing w:after="0" w:line="240" w:lineRule="auto"/>
              <w:jc w:val="right"/>
              <w:rPr>
                <w:rFonts w:ascii="Arial Narrow" w:eastAsia="Times New Roman" w:hAnsi="Arial Narrow" w:cs="Times New Roman"/>
                <w:lang w:eastAsia="sk-SK"/>
              </w:rPr>
            </w:pPr>
            <w:r w:rsidRPr="00AE300D">
              <w:rPr>
                <w:rFonts w:ascii="Arial Narrow" w:hAnsi="Arial Narrow" w:cs="Times New Roman"/>
                <w:color w:val="000000"/>
              </w:rPr>
              <w:t xml:space="preserve">                   1 </w:t>
            </w:r>
          </w:p>
        </w:tc>
        <w:tc>
          <w:tcPr>
            <w:tcW w:w="851" w:type="dxa"/>
            <w:shd w:val="clear" w:color="auto" w:fill="auto"/>
            <w:noWrap/>
            <w:vAlign w:val="center"/>
          </w:tcPr>
          <w:p w14:paraId="271B2646" w14:textId="3FC76F58" w:rsidR="00AE300D" w:rsidRPr="00AE300D" w:rsidRDefault="00AE300D" w:rsidP="00AE300D">
            <w:pPr>
              <w:spacing w:after="0" w:line="240" w:lineRule="auto"/>
              <w:jc w:val="right"/>
              <w:rPr>
                <w:rFonts w:ascii="Arial Narrow" w:eastAsia="Times New Roman" w:hAnsi="Arial Narrow" w:cs="Times New Roman"/>
                <w:lang w:eastAsia="sk-SK"/>
              </w:rPr>
            </w:pPr>
            <w:r w:rsidRPr="00AE300D">
              <w:rPr>
                <w:rFonts w:ascii="Arial Narrow" w:hAnsi="Arial Narrow" w:cs="Times New Roman"/>
                <w:color w:val="000000"/>
              </w:rPr>
              <w:t>128</w:t>
            </w:r>
          </w:p>
        </w:tc>
        <w:tc>
          <w:tcPr>
            <w:tcW w:w="843" w:type="dxa"/>
            <w:shd w:val="clear" w:color="auto" w:fill="auto"/>
            <w:noWrap/>
            <w:vAlign w:val="center"/>
          </w:tcPr>
          <w:p w14:paraId="57980520" w14:textId="726943E7" w:rsidR="00AE300D" w:rsidRPr="00AE300D" w:rsidRDefault="00AE300D" w:rsidP="00AE300D">
            <w:pPr>
              <w:spacing w:after="0" w:line="240" w:lineRule="auto"/>
              <w:jc w:val="right"/>
              <w:rPr>
                <w:rFonts w:ascii="Arial Narrow" w:eastAsia="Times New Roman" w:hAnsi="Arial Narrow" w:cs="Times New Roman"/>
                <w:color w:val="000000"/>
                <w:lang w:eastAsia="sk-SK"/>
              </w:rPr>
            </w:pPr>
            <w:r w:rsidRPr="00AE300D">
              <w:rPr>
                <w:rFonts w:ascii="Arial Narrow" w:hAnsi="Arial Narrow" w:cs="Times New Roman"/>
                <w:color w:val="000000"/>
              </w:rPr>
              <w:t>128</w:t>
            </w:r>
          </w:p>
        </w:tc>
        <w:tc>
          <w:tcPr>
            <w:tcW w:w="1000" w:type="dxa"/>
            <w:shd w:val="clear" w:color="auto" w:fill="auto"/>
            <w:noWrap/>
            <w:vAlign w:val="center"/>
          </w:tcPr>
          <w:p w14:paraId="7E097137" w14:textId="140E4219" w:rsidR="00AE300D" w:rsidRPr="00AE300D" w:rsidRDefault="00AE300D" w:rsidP="00AE300D">
            <w:pPr>
              <w:spacing w:after="0" w:line="240" w:lineRule="auto"/>
              <w:rPr>
                <w:rFonts w:ascii="Arial Narrow" w:eastAsia="Times New Roman" w:hAnsi="Arial Narrow" w:cs="Times New Roman"/>
                <w:lang w:eastAsia="sk-SK"/>
              </w:rPr>
            </w:pPr>
            <w:r w:rsidRPr="00AE300D">
              <w:rPr>
                <w:rFonts w:ascii="Arial Narrow" w:hAnsi="Arial Narrow" w:cs="Times New Roman"/>
                <w:color w:val="000000"/>
              </w:rPr>
              <w:t>In (zvyšuje náklady)</w:t>
            </w:r>
          </w:p>
        </w:tc>
        <w:tc>
          <w:tcPr>
            <w:tcW w:w="708" w:type="dxa"/>
            <w:shd w:val="clear" w:color="auto" w:fill="auto"/>
            <w:noWrap/>
            <w:vAlign w:val="center"/>
          </w:tcPr>
          <w:p w14:paraId="4B494DF4" w14:textId="681B3747" w:rsidR="00AE300D" w:rsidRPr="00AE300D" w:rsidRDefault="00AE300D" w:rsidP="00AE300D">
            <w:pPr>
              <w:spacing w:after="0" w:line="240" w:lineRule="auto"/>
              <w:jc w:val="center"/>
              <w:rPr>
                <w:rFonts w:ascii="Arial Narrow" w:eastAsia="Times New Roman" w:hAnsi="Arial Narrow" w:cs="Times New Roman"/>
                <w:color w:val="000000"/>
                <w:lang w:eastAsia="sk-SK"/>
              </w:rPr>
            </w:pPr>
            <w:r w:rsidRPr="00AE300D">
              <w:rPr>
                <w:rFonts w:ascii="Arial Narrow" w:hAnsi="Arial Narrow" w:cs="Times New Roman"/>
              </w:rPr>
              <w:t>0</w:t>
            </w:r>
          </w:p>
        </w:tc>
        <w:tc>
          <w:tcPr>
            <w:tcW w:w="1134" w:type="dxa"/>
            <w:vAlign w:val="center"/>
          </w:tcPr>
          <w:p w14:paraId="564076F6" w14:textId="51D2325F" w:rsidR="00AE300D" w:rsidRPr="00AE300D" w:rsidRDefault="00AE300D" w:rsidP="00AE300D">
            <w:pPr>
              <w:spacing w:after="0" w:line="240" w:lineRule="auto"/>
              <w:jc w:val="center"/>
              <w:rPr>
                <w:rFonts w:ascii="Arial Narrow" w:eastAsia="Times New Roman" w:hAnsi="Arial Narrow" w:cs="Times New Roman"/>
                <w:lang w:eastAsia="sk-SK"/>
              </w:rPr>
            </w:pPr>
            <w:r w:rsidRPr="00AE300D">
              <w:rPr>
                <w:rFonts w:ascii="Arial Narrow" w:hAnsi="Arial Narrow" w:cs="Times New Roman"/>
                <w:color w:val="000000"/>
              </w:rPr>
              <w:t>0</w:t>
            </w:r>
          </w:p>
        </w:tc>
      </w:tr>
      <w:tr w:rsidR="00AE300D" w:rsidRPr="00BC5E60" w14:paraId="77AF03BE"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22ACA804" w14:textId="578D4F52" w:rsidR="00AE300D" w:rsidRPr="00BC5E60" w:rsidRDefault="00AE300D" w:rsidP="00AE300D">
            <w:pPr>
              <w:spacing w:after="0" w:line="240" w:lineRule="auto"/>
              <w:rPr>
                <w:rFonts w:ascii="Times New Roman" w:eastAsia="Times New Roman" w:hAnsi="Times New Roman" w:cs="Times New Roman"/>
                <w:sz w:val="20"/>
                <w:szCs w:val="20"/>
                <w:lang w:eastAsia="sk-SK"/>
              </w:rPr>
            </w:pPr>
            <w:r w:rsidRPr="00BC5E60">
              <w:rPr>
                <w:color w:val="000000"/>
                <w:sz w:val="20"/>
                <w:szCs w:val="20"/>
              </w:rPr>
              <w:t>3</w:t>
            </w:r>
          </w:p>
        </w:tc>
        <w:tc>
          <w:tcPr>
            <w:tcW w:w="1740" w:type="dxa"/>
            <w:shd w:val="clear" w:color="auto" w:fill="auto"/>
            <w:vAlign w:val="center"/>
          </w:tcPr>
          <w:p w14:paraId="54B65D65" w14:textId="379DE689"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uvedenie nových informácií v žiadosti o udelenie povolenia pre správcu AIF</w:t>
            </w:r>
          </w:p>
        </w:tc>
        <w:tc>
          <w:tcPr>
            <w:tcW w:w="992" w:type="dxa"/>
            <w:vAlign w:val="center"/>
          </w:tcPr>
          <w:p w14:paraId="7329D184" w14:textId="41E24BCF"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203/2011</w:t>
            </w:r>
          </w:p>
        </w:tc>
        <w:tc>
          <w:tcPr>
            <w:tcW w:w="1134" w:type="dxa"/>
            <w:vAlign w:val="center"/>
          </w:tcPr>
          <w:p w14:paraId="2657AF63" w14:textId="40351F82"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  28a(4)(f)</w:t>
            </w:r>
          </w:p>
        </w:tc>
        <w:tc>
          <w:tcPr>
            <w:tcW w:w="1843" w:type="dxa"/>
            <w:shd w:val="clear" w:color="auto" w:fill="auto"/>
            <w:vAlign w:val="center"/>
          </w:tcPr>
          <w:p w14:paraId="0CF03B51" w14:textId="064C471C" w:rsidR="00AE300D" w:rsidRPr="00AE300D" w:rsidDel="00801596" w:rsidRDefault="00AE300D" w:rsidP="00AE300D">
            <w:pPr>
              <w:pStyle w:val="gmail-m-1648484718305530482msolistparagraph"/>
              <w:spacing w:before="0" w:beforeAutospacing="0" w:after="0" w:afterAutospacing="0"/>
              <w:jc w:val="center"/>
              <w:rPr>
                <w:rFonts w:ascii="Arial Narrow" w:eastAsia="Times New Roman" w:hAnsi="Arial Narrow" w:cs="Times New Roman"/>
                <w:highlight w:val="yellow"/>
              </w:rPr>
            </w:pPr>
            <w:r w:rsidRPr="00AE300D">
              <w:rPr>
                <w:rFonts w:ascii="Arial Narrow" w:hAnsi="Arial Narrow" w:cs="Times New Roman"/>
                <w:color w:val="000000"/>
              </w:rPr>
              <w:t>2. EÚ úplná harmonizácia</w:t>
            </w:r>
          </w:p>
        </w:tc>
        <w:tc>
          <w:tcPr>
            <w:tcW w:w="992" w:type="dxa"/>
            <w:vAlign w:val="center"/>
          </w:tcPr>
          <w:p w14:paraId="77203770" w14:textId="2C1A330D" w:rsidR="00AE300D" w:rsidRPr="00AE300D" w:rsidRDefault="00AE300D" w:rsidP="00AE300D">
            <w:pPr>
              <w:spacing w:after="0" w:line="240" w:lineRule="auto"/>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16.04.26</w:t>
            </w:r>
          </w:p>
        </w:tc>
        <w:tc>
          <w:tcPr>
            <w:tcW w:w="1160" w:type="dxa"/>
            <w:shd w:val="clear" w:color="auto" w:fill="auto"/>
            <w:noWrap/>
            <w:vAlign w:val="center"/>
          </w:tcPr>
          <w:p w14:paraId="29FBB98D" w14:textId="223B0414" w:rsidR="00AE300D" w:rsidRPr="00AE300D" w:rsidRDefault="00AE300D" w:rsidP="00AE300D">
            <w:pPr>
              <w:spacing w:after="0" w:line="240" w:lineRule="auto"/>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správcovské spoločnosti</w:t>
            </w:r>
          </w:p>
        </w:tc>
        <w:tc>
          <w:tcPr>
            <w:tcW w:w="1108" w:type="dxa"/>
            <w:vAlign w:val="center"/>
          </w:tcPr>
          <w:p w14:paraId="390A256C" w14:textId="36E2E709" w:rsidR="00AE300D" w:rsidRPr="00AE300D" w:rsidRDefault="00AE300D" w:rsidP="00AE300D">
            <w:pPr>
              <w:spacing w:after="0" w:line="240" w:lineRule="auto"/>
              <w:jc w:val="right"/>
              <w:rPr>
                <w:rFonts w:ascii="Arial Narrow" w:eastAsia="Times New Roman" w:hAnsi="Arial Narrow" w:cs="Times New Roman"/>
                <w:highlight w:val="yellow"/>
                <w:lang w:eastAsia="sk-SK"/>
              </w:rPr>
            </w:pPr>
            <w:r w:rsidRPr="00AE300D">
              <w:rPr>
                <w:rFonts w:ascii="Arial Narrow" w:hAnsi="Arial Narrow" w:cs="Times New Roman"/>
                <w:color w:val="000000"/>
              </w:rPr>
              <w:t xml:space="preserve">                   1 </w:t>
            </w:r>
          </w:p>
        </w:tc>
        <w:tc>
          <w:tcPr>
            <w:tcW w:w="851" w:type="dxa"/>
            <w:shd w:val="clear" w:color="auto" w:fill="auto"/>
            <w:noWrap/>
            <w:vAlign w:val="center"/>
          </w:tcPr>
          <w:p w14:paraId="554A79D9" w14:textId="7EFCBB2B" w:rsidR="00AE300D" w:rsidRPr="00AE300D" w:rsidRDefault="00AE300D" w:rsidP="00AE300D">
            <w:pPr>
              <w:spacing w:after="0" w:line="240" w:lineRule="auto"/>
              <w:jc w:val="right"/>
              <w:rPr>
                <w:rFonts w:ascii="Arial Narrow" w:eastAsia="Times New Roman" w:hAnsi="Arial Narrow" w:cs="Times New Roman"/>
                <w:highlight w:val="yellow"/>
                <w:lang w:eastAsia="sk-SK"/>
              </w:rPr>
            </w:pPr>
            <w:r w:rsidRPr="00AE300D">
              <w:rPr>
                <w:rFonts w:ascii="Arial Narrow" w:hAnsi="Arial Narrow" w:cs="Times New Roman"/>
                <w:color w:val="000000"/>
              </w:rPr>
              <w:t>86</w:t>
            </w:r>
          </w:p>
        </w:tc>
        <w:tc>
          <w:tcPr>
            <w:tcW w:w="843" w:type="dxa"/>
            <w:shd w:val="clear" w:color="auto" w:fill="auto"/>
            <w:noWrap/>
            <w:vAlign w:val="center"/>
          </w:tcPr>
          <w:p w14:paraId="25315CF7" w14:textId="25B3B70E" w:rsidR="00AE300D" w:rsidRPr="00AE300D" w:rsidRDefault="00AE300D" w:rsidP="00AE300D">
            <w:pPr>
              <w:spacing w:after="0" w:line="240" w:lineRule="auto"/>
              <w:jc w:val="right"/>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86</w:t>
            </w:r>
          </w:p>
        </w:tc>
        <w:tc>
          <w:tcPr>
            <w:tcW w:w="1000" w:type="dxa"/>
            <w:shd w:val="clear" w:color="auto" w:fill="auto"/>
            <w:noWrap/>
            <w:vAlign w:val="center"/>
          </w:tcPr>
          <w:p w14:paraId="71C82F1E" w14:textId="73A9C95A"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In (zvyšuje náklady)</w:t>
            </w:r>
          </w:p>
        </w:tc>
        <w:tc>
          <w:tcPr>
            <w:tcW w:w="708" w:type="dxa"/>
            <w:shd w:val="clear" w:color="auto" w:fill="auto"/>
            <w:noWrap/>
            <w:vAlign w:val="center"/>
          </w:tcPr>
          <w:p w14:paraId="27C4855D" w14:textId="00EA7D53" w:rsidR="00AE300D" w:rsidRPr="00AE300D" w:rsidRDefault="00AE300D" w:rsidP="00AE300D">
            <w:pPr>
              <w:spacing w:after="0" w:line="240" w:lineRule="auto"/>
              <w:jc w:val="center"/>
              <w:rPr>
                <w:rFonts w:ascii="Arial Narrow" w:eastAsia="Times New Roman" w:hAnsi="Arial Narrow" w:cs="Times New Roman"/>
                <w:color w:val="000000"/>
                <w:highlight w:val="yellow"/>
                <w:lang w:eastAsia="sk-SK"/>
              </w:rPr>
            </w:pPr>
            <w:r w:rsidRPr="00AE300D">
              <w:rPr>
                <w:rFonts w:ascii="Arial Narrow" w:hAnsi="Arial Narrow" w:cs="Times New Roman"/>
              </w:rPr>
              <w:t>0</w:t>
            </w:r>
          </w:p>
        </w:tc>
        <w:tc>
          <w:tcPr>
            <w:tcW w:w="1134" w:type="dxa"/>
            <w:vAlign w:val="center"/>
          </w:tcPr>
          <w:p w14:paraId="393D172E" w14:textId="498A1AE4" w:rsidR="00AE300D" w:rsidRPr="00AE300D" w:rsidRDefault="00AE300D" w:rsidP="00AE300D">
            <w:pPr>
              <w:spacing w:after="0" w:line="240" w:lineRule="auto"/>
              <w:jc w:val="center"/>
              <w:rPr>
                <w:rFonts w:ascii="Arial Narrow" w:eastAsia="Times New Roman" w:hAnsi="Arial Narrow" w:cs="Times New Roman"/>
                <w:highlight w:val="yellow"/>
                <w:lang w:eastAsia="sk-SK"/>
              </w:rPr>
            </w:pPr>
            <w:r w:rsidRPr="00AE300D">
              <w:rPr>
                <w:rFonts w:ascii="Arial Narrow" w:hAnsi="Arial Narrow" w:cs="Times New Roman"/>
                <w:color w:val="000000"/>
              </w:rPr>
              <w:t>0</w:t>
            </w:r>
          </w:p>
        </w:tc>
      </w:tr>
      <w:tr w:rsidR="00AE300D" w:rsidRPr="00BC5E60" w14:paraId="4D05B96D"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1B6EC640" w:rsidR="00AE300D" w:rsidRPr="00BC5E60" w:rsidRDefault="00AE300D" w:rsidP="00AE300D">
            <w:pPr>
              <w:spacing w:after="0" w:line="240" w:lineRule="auto"/>
              <w:rPr>
                <w:rFonts w:ascii="Times New Roman" w:eastAsia="Times New Roman" w:hAnsi="Times New Roman" w:cs="Times New Roman"/>
                <w:sz w:val="20"/>
                <w:szCs w:val="20"/>
                <w:lang w:eastAsia="sk-SK"/>
              </w:rPr>
            </w:pPr>
            <w:r w:rsidRPr="00BC5E60">
              <w:rPr>
                <w:color w:val="000000"/>
                <w:sz w:val="20"/>
                <w:szCs w:val="20"/>
              </w:rPr>
              <w:t>4</w:t>
            </w:r>
          </w:p>
        </w:tc>
        <w:tc>
          <w:tcPr>
            <w:tcW w:w="1740" w:type="dxa"/>
            <w:shd w:val="clear" w:color="auto" w:fill="auto"/>
            <w:vAlign w:val="center"/>
          </w:tcPr>
          <w:p w14:paraId="6F09B9B9" w14:textId="10113D2C"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informácie o opatreniach prijatých na zverenie funkcií</w:t>
            </w:r>
          </w:p>
        </w:tc>
        <w:tc>
          <w:tcPr>
            <w:tcW w:w="992" w:type="dxa"/>
            <w:vAlign w:val="center"/>
          </w:tcPr>
          <w:p w14:paraId="6326D60E" w14:textId="2BD14224"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203/2011</w:t>
            </w:r>
          </w:p>
        </w:tc>
        <w:tc>
          <w:tcPr>
            <w:tcW w:w="1134" w:type="dxa"/>
            <w:vAlign w:val="center"/>
          </w:tcPr>
          <w:p w14:paraId="63EECDFF" w14:textId="45AD163A"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 30(10)</w:t>
            </w:r>
          </w:p>
        </w:tc>
        <w:tc>
          <w:tcPr>
            <w:tcW w:w="1843" w:type="dxa"/>
            <w:shd w:val="clear" w:color="auto" w:fill="auto"/>
            <w:vAlign w:val="center"/>
          </w:tcPr>
          <w:p w14:paraId="5B619397" w14:textId="0D275E5F" w:rsidR="00AE300D" w:rsidRPr="00AE300D" w:rsidDel="00801596" w:rsidRDefault="00AE300D" w:rsidP="00AE300D">
            <w:pPr>
              <w:pStyle w:val="gmail-m-1648484718305530482msolistparagraph"/>
              <w:spacing w:before="0" w:beforeAutospacing="0" w:after="0" w:afterAutospacing="0"/>
              <w:jc w:val="center"/>
              <w:rPr>
                <w:rFonts w:ascii="Arial Narrow" w:eastAsia="Times New Roman" w:hAnsi="Arial Narrow" w:cs="Times New Roman"/>
                <w:highlight w:val="yellow"/>
              </w:rPr>
            </w:pPr>
            <w:r w:rsidRPr="00AE300D">
              <w:rPr>
                <w:rFonts w:ascii="Arial Narrow" w:hAnsi="Arial Narrow" w:cs="Times New Roman"/>
                <w:color w:val="000000"/>
              </w:rPr>
              <w:t>2. EÚ úplná harmonizácia</w:t>
            </w:r>
          </w:p>
        </w:tc>
        <w:tc>
          <w:tcPr>
            <w:tcW w:w="992" w:type="dxa"/>
            <w:vAlign w:val="center"/>
          </w:tcPr>
          <w:p w14:paraId="4967ED88" w14:textId="7A09597A" w:rsidR="00AE300D" w:rsidRPr="00AE300D" w:rsidRDefault="00AE300D" w:rsidP="00AE300D">
            <w:pPr>
              <w:spacing w:after="0" w:line="240" w:lineRule="auto"/>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16.04.26</w:t>
            </w:r>
          </w:p>
        </w:tc>
        <w:tc>
          <w:tcPr>
            <w:tcW w:w="1160" w:type="dxa"/>
            <w:shd w:val="clear" w:color="auto" w:fill="auto"/>
            <w:noWrap/>
            <w:vAlign w:val="center"/>
          </w:tcPr>
          <w:p w14:paraId="331066E7" w14:textId="35D5D67C" w:rsidR="00AE300D" w:rsidRPr="00AE300D" w:rsidRDefault="00AE300D" w:rsidP="00AE300D">
            <w:pPr>
              <w:spacing w:after="0" w:line="240" w:lineRule="auto"/>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správcovské spoločnosti</w:t>
            </w:r>
          </w:p>
        </w:tc>
        <w:tc>
          <w:tcPr>
            <w:tcW w:w="1108" w:type="dxa"/>
            <w:vAlign w:val="center"/>
          </w:tcPr>
          <w:p w14:paraId="1748865C" w14:textId="6B94CBDF" w:rsidR="00AE300D" w:rsidRPr="00AE300D" w:rsidRDefault="00AE300D" w:rsidP="00AE300D">
            <w:pPr>
              <w:spacing w:after="0" w:line="240" w:lineRule="auto"/>
              <w:ind w:left="708"/>
              <w:jc w:val="right"/>
              <w:rPr>
                <w:rFonts w:ascii="Arial Narrow" w:eastAsia="Times New Roman" w:hAnsi="Arial Narrow" w:cs="Times New Roman"/>
                <w:highlight w:val="yellow"/>
                <w:lang w:eastAsia="sk-SK"/>
              </w:rPr>
            </w:pPr>
            <w:r w:rsidRPr="00AE300D">
              <w:rPr>
                <w:rFonts w:ascii="Arial Narrow" w:hAnsi="Arial Narrow" w:cs="Times New Roman"/>
                <w:color w:val="000000"/>
              </w:rPr>
              <w:t xml:space="preserve">                 10 </w:t>
            </w:r>
          </w:p>
        </w:tc>
        <w:tc>
          <w:tcPr>
            <w:tcW w:w="851" w:type="dxa"/>
            <w:shd w:val="clear" w:color="auto" w:fill="auto"/>
            <w:noWrap/>
            <w:vAlign w:val="center"/>
          </w:tcPr>
          <w:p w14:paraId="5457341D" w14:textId="21E01BD6" w:rsidR="00AE300D" w:rsidRPr="00AE300D" w:rsidRDefault="00AE300D" w:rsidP="00AE300D">
            <w:pPr>
              <w:spacing w:after="0" w:line="240" w:lineRule="auto"/>
              <w:jc w:val="right"/>
              <w:rPr>
                <w:rFonts w:ascii="Arial Narrow" w:eastAsia="Times New Roman" w:hAnsi="Arial Narrow" w:cs="Times New Roman"/>
                <w:highlight w:val="yellow"/>
                <w:lang w:eastAsia="sk-SK"/>
              </w:rPr>
            </w:pPr>
            <w:r w:rsidRPr="00AE300D">
              <w:rPr>
                <w:rFonts w:ascii="Arial Narrow" w:hAnsi="Arial Narrow" w:cs="Times New Roman"/>
                <w:color w:val="000000"/>
              </w:rPr>
              <w:t>30</w:t>
            </w:r>
          </w:p>
        </w:tc>
        <w:tc>
          <w:tcPr>
            <w:tcW w:w="843" w:type="dxa"/>
            <w:shd w:val="clear" w:color="auto" w:fill="auto"/>
            <w:noWrap/>
            <w:vAlign w:val="center"/>
          </w:tcPr>
          <w:p w14:paraId="30771B52" w14:textId="52FF088E" w:rsidR="00AE300D" w:rsidRPr="00AE300D" w:rsidRDefault="00AE300D" w:rsidP="00AE300D">
            <w:pPr>
              <w:spacing w:after="0" w:line="240" w:lineRule="auto"/>
              <w:jc w:val="right"/>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297</w:t>
            </w:r>
          </w:p>
        </w:tc>
        <w:tc>
          <w:tcPr>
            <w:tcW w:w="1000" w:type="dxa"/>
            <w:shd w:val="clear" w:color="auto" w:fill="auto"/>
            <w:noWrap/>
            <w:vAlign w:val="center"/>
          </w:tcPr>
          <w:p w14:paraId="645FEA02" w14:textId="755A2C10"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In (zvyšuje náklady)</w:t>
            </w:r>
          </w:p>
        </w:tc>
        <w:tc>
          <w:tcPr>
            <w:tcW w:w="708" w:type="dxa"/>
            <w:shd w:val="clear" w:color="auto" w:fill="auto"/>
            <w:noWrap/>
            <w:vAlign w:val="center"/>
          </w:tcPr>
          <w:p w14:paraId="4EA14B08" w14:textId="4473955E" w:rsidR="00AE300D" w:rsidRPr="00AE300D" w:rsidRDefault="00AE300D" w:rsidP="00AE300D">
            <w:pPr>
              <w:spacing w:after="0" w:line="240" w:lineRule="auto"/>
              <w:jc w:val="center"/>
              <w:rPr>
                <w:rFonts w:ascii="Arial Narrow" w:eastAsia="Times New Roman" w:hAnsi="Arial Narrow" w:cs="Times New Roman"/>
                <w:color w:val="000000"/>
                <w:highlight w:val="yellow"/>
                <w:lang w:eastAsia="sk-SK"/>
              </w:rPr>
            </w:pPr>
            <w:r w:rsidRPr="00AE300D">
              <w:rPr>
                <w:rFonts w:ascii="Arial Narrow" w:hAnsi="Arial Narrow" w:cs="Times New Roman"/>
              </w:rPr>
              <w:t>0</w:t>
            </w:r>
          </w:p>
        </w:tc>
        <w:tc>
          <w:tcPr>
            <w:tcW w:w="1134" w:type="dxa"/>
            <w:vAlign w:val="center"/>
          </w:tcPr>
          <w:p w14:paraId="1CC858DC" w14:textId="3302A267" w:rsidR="00AE300D" w:rsidRPr="00AE300D" w:rsidRDefault="00AE300D" w:rsidP="00AE300D">
            <w:pPr>
              <w:spacing w:after="0" w:line="240" w:lineRule="auto"/>
              <w:jc w:val="center"/>
              <w:rPr>
                <w:rFonts w:ascii="Arial Narrow" w:eastAsia="Times New Roman" w:hAnsi="Arial Narrow" w:cs="Times New Roman"/>
                <w:highlight w:val="yellow"/>
                <w:lang w:eastAsia="sk-SK"/>
              </w:rPr>
            </w:pPr>
            <w:r w:rsidRPr="00AE300D">
              <w:rPr>
                <w:rFonts w:ascii="Arial Narrow" w:hAnsi="Arial Narrow" w:cs="Times New Roman"/>
                <w:color w:val="000000"/>
              </w:rPr>
              <w:t>0</w:t>
            </w:r>
          </w:p>
        </w:tc>
      </w:tr>
      <w:tr w:rsidR="00AE300D" w:rsidRPr="00BC5E60" w14:paraId="48195AE8"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24BDF49E" w:rsidR="00AE300D" w:rsidRPr="00BC5E60" w:rsidRDefault="00AE300D" w:rsidP="00AE300D">
            <w:pPr>
              <w:spacing w:after="0" w:line="240" w:lineRule="auto"/>
              <w:rPr>
                <w:rFonts w:ascii="Times New Roman" w:eastAsia="Times New Roman" w:hAnsi="Times New Roman" w:cs="Times New Roman"/>
                <w:sz w:val="20"/>
                <w:szCs w:val="20"/>
                <w:lang w:eastAsia="sk-SK"/>
              </w:rPr>
            </w:pPr>
            <w:r w:rsidRPr="00BC5E60">
              <w:rPr>
                <w:color w:val="000000"/>
                <w:sz w:val="20"/>
                <w:szCs w:val="20"/>
              </w:rPr>
              <w:lastRenderedPageBreak/>
              <w:t>5</w:t>
            </w:r>
          </w:p>
        </w:tc>
        <w:tc>
          <w:tcPr>
            <w:tcW w:w="1740" w:type="dxa"/>
            <w:shd w:val="clear" w:color="auto" w:fill="auto"/>
            <w:vAlign w:val="center"/>
          </w:tcPr>
          <w:p w14:paraId="04DBC1D2" w14:textId="003276F1"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správa AIF na podnet tretej osoby</w:t>
            </w:r>
          </w:p>
        </w:tc>
        <w:tc>
          <w:tcPr>
            <w:tcW w:w="992" w:type="dxa"/>
            <w:vAlign w:val="center"/>
          </w:tcPr>
          <w:p w14:paraId="7DA73847" w14:textId="2E360996"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203/2011</w:t>
            </w:r>
          </w:p>
        </w:tc>
        <w:tc>
          <w:tcPr>
            <w:tcW w:w="1134" w:type="dxa"/>
            <w:vAlign w:val="center"/>
          </w:tcPr>
          <w:p w14:paraId="1326F554" w14:textId="199E81DF"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  45a(8)</w:t>
            </w:r>
          </w:p>
        </w:tc>
        <w:tc>
          <w:tcPr>
            <w:tcW w:w="1843" w:type="dxa"/>
            <w:shd w:val="clear" w:color="auto" w:fill="auto"/>
            <w:vAlign w:val="center"/>
          </w:tcPr>
          <w:p w14:paraId="589E62F8" w14:textId="386BB4E6" w:rsidR="00AE300D" w:rsidRPr="00AE300D" w:rsidDel="00801596" w:rsidRDefault="00AE300D" w:rsidP="00AE300D">
            <w:pPr>
              <w:pStyle w:val="gmail-m-1648484718305530482msolistparagraph"/>
              <w:spacing w:before="0" w:beforeAutospacing="0" w:after="0" w:afterAutospacing="0"/>
              <w:jc w:val="center"/>
              <w:rPr>
                <w:rFonts w:ascii="Arial Narrow" w:eastAsia="Times New Roman" w:hAnsi="Arial Narrow" w:cs="Times New Roman"/>
                <w:highlight w:val="yellow"/>
              </w:rPr>
            </w:pPr>
            <w:r w:rsidRPr="00AE300D">
              <w:rPr>
                <w:rFonts w:ascii="Arial Narrow" w:hAnsi="Arial Narrow" w:cs="Times New Roman"/>
                <w:color w:val="000000"/>
              </w:rPr>
              <w:t>2. EÚ úplná harmonizácia</w:t>
            </w:r>
          </w:p>
        </w:tc>
        <w:tc>
          <w:tcPr>
            <w:tcW w:w="992" w:type="dxa"/>
            <w:vAlign w:val="center"/>
          </w:tcPr>
          <w:p w14:paraId="4F479A8F" w14:textId="1A909A5A" w:rsidR="00AE300D" w:rsidRPr="00AE300D" w:rsidRDefault="00AE300D" w:rsidP="00AE300D">
            <w:pPr>
              <w:spacing w:after="0" w:line="240" w:lineRule="auto"/>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16.04.26</w:t>
            </w:r>
          </w:p>
        </w:tc>
        <w:tc>
          <w:tcPr>
            <w:tcW w:w="1160" w:type="dxa"/>
            <w:shd w:val="clear" w:color="auto" w:fill="auto"/>
            <w:noWrap/>
            <w:vAlign w:val="center"/>
          </w:tcPr>
          <w:p w14:paraId="09015152" w14:textId="5E081495" w:rsidR="00AE300D" w:rsidRPr="00AE300D" w:rsidRDefault="00AE300D" w:rsidP="00AE300D">
            <w:pPr>
              <w:spacing w:after="0" w:line="240" w:lineRule="auto"/>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správcovské spoločnosti</w:t>
            </w:r>
          </w:p>
        </w:tc>
        <w:tc>
          <w:tcPr>
            <w:tcW w:w="1108" w:type="dxa"/>
            <w:vAlign w:val="center"/>
          </w:tcPr>
          <w:p w14:paraId="12996373" w14:textId="661C5044" w:rsidR="00AE300D" w:rsidRPr="00AE300D" w:rsidRDefault="00AE300D" w:rsidP="00AE300D">
            <w:pPr>
              <w:spacing w:after="0" w:line="240" w:lineRule="auto"/>
              <w:jc w:val="right"/>
              <w:rPr>
                <w:rFonts w:ascii="Arial Narrow" w:eastAsia="Times New Roman" w:hAnsi="Arial Narrow" w:cs="Times New Roman"/>
                <w:highlight w:val="yellow"/>
                <w:lang w:eastAsia="sk-SK"/>
              </w:rPr>
            </w:pPr>
            <w:r w:rsidRPr="00AE300D">
              <w:rPr>
                <w:rFonts w:ascii="Arial Narrow" w:hAnsi="Arial Narrow" w:cs="Times New Roman"/>
                <w:color w:val="000000"/>
              </w:rPr>
              <w:t xml:space="preserve">                   1 </w:t>
            </w:r>
          </w:p>
        </w:tc>
        <w:tc>
          <w:tcPr>
            <w:tcW w:w="851" w:type="dxa"/>
            <w:shd w:val="clear" w:color="auto" w:fill="auto"/>
            <w:noWrap/>
            <w:vAlign w:val="center"/>
          </w:tcPr>
          <w:p w14:paraId="2188F025" w14:textId="228909B0" w:rsidR="00AE300D" w:rsidRPr="00AE300D" w:rsidRDefault="00AE300D" w:rsidP="00AE300D">
            <w:pPr>
              <w:spacing w:after="0" w:line="240" w:lineRule="auto"/>
              <w:jc w:val="right"/>
              <w:rPr>
                <w:rFonts w:ascii="Arial Narrow" w:eastAsia="Times New Roman" w:hAnsi="Arial Narrow" w:cs="Times New Roman"/>
                <w:highlight w:val="yellow"/>
                <w:lang w:eastAsia="sk-SK"/>
              </w:rPr>
            </w:pPr>
            <w:r w:rsidRPr="00AE300D">
              <w:rPr>
                <w:rFonts w:ascii="Arial Narrow" w:hAnsi="Arial Narrow" w:cs="Times New Roman"/>
                <w:color w:val="000000"/>
              </w:rPr>
              <w:t>2 503</w:t>
            </w:r>
          </w:p>
        </w:tc>
        <w:tc>
          <w:tcPr>
            <w:tcW w:w="843" w:type="dxa"/>
            <w:shd w:val="clear" w:color="auto" w:fill="auto"/>
            <w:noWrap/>
            <w:vAlign w:val="center"/>
          </w:tcPr>
          <w:p w14:paraId="1D718C37" w14:textId="451E6F06" w:rsidR="00AE300D" w:rsidRPr="00AE300D" w:rsidRDefault="00AE300D" w:rsidP="00AE300D">
            <w:pPr>
              <w:spacing w:after="0" w:line="240" w:lineRule="auto"/>
              <w:jc w:val="right"/>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2 503</w:t>
            </w:r>
          </w:p>
        </w:tc>
        <w:tc>
          <w:tcPr>
            <w:tcW w:w="1000" w:type="dxa"/>
            <w:shd w:val="clear" w:color="auto" w:fill="auto"/>
            <w:noWrap/>
            <w:vAlign w:val="center"/>
          </w:tcPr>
          <w:p w14:paraId="281CEC7A" w14:textId="0969E137"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In (zvyšuje náklady)</w:t>
            </w:r>
          </w:p>
        </w:tc>
        <w:tc>
          <w:tcPr>
            <w:tcW w:w="708" w:type="dxa"/>
            <w:shd w:val="clear" w:color="auto" w:fill="auto"/>
            <w:noWrap/>
            <w:vAlign w:val="center"/>
          </w:tcPr>
          <w:p w14:paraId="78A8DDA2" w14:textId="79BEE731" w:rsidR="00AE300D" w:rsidRPr="00AE300D" w:rsidRDefault="00AE300D" w:rsidP="00AE300D">
            <w:pPr>
              <w:spacing w:after="0" w:line="240" w:lineRule="auto"/>
              <w:jc w:val="center"/>
              <w:rPr>
                <w:rFonts w:ascii="Arial Narrow" w:eastAsia="Times New Roman" w:hAnsi="Arial Narrow" w:cs="Times New Roman"/>
                <w:color w:val="000000"/>
                <w:highlight w:val="yellow"/>
                <w:lang w:eastAsia="sk-SK"/>
              </w:rPr>
            </w:pPr>
            <w:r w:rsidRPr="00AE300D">
              <w:rPr>
                <w:rFonts w:ascii="Arial Narrow" w:hAnsi="Arial Narrow" w:cs="Times New Roman"/>
              </w:rPr>
              <w:t>0</w:t>
            </w:r>
          </w:p>
        </w:tc>
        <w:tc>
          <w:tcPr>
            <w:tcW w:w="1134" w:type="dxa"/>
            <w:vAlign w:val="center"/>
          </w:tcPr>
          <w:p w14:paraId="014B7D7A" w14:textId="579047DE" w:rsidR="00AE300D" w:rsidRPr="00AE300D" w:rsidRDefault="00AE300D" w:rsidP="00AE300D">
            <w:pPr>
              <w:spacing w:after="0" w:line="240" w:lineRule="auto"/>
              <w:jc w:val="center"/>
              <w:rPr>
                <w:rFonts w:ascii="Arial Narrow" w:eastAsia="Times New Roman" w:hAnsi="Arial Narrow" w:cs="Times New Roman"/>
                <w:highlight w:val="yellow"/>
                <w:lang w:eastAsia="sk-SK"/>
              </w:rPr>
            </w:pPr>
            <w:r w:rsidRPr="00AE300D">
              <w:rPr>
                <w:rFonts w:ascii="Arial Narrow" w:hAnsi="Arial Narrow" w:cs="Times New Roman"/>
                <w:color w:val="000000"/>
              </w:rPr>
              <w:t>0</w:t>
            </w:r>
          </w:p>
        </w:tc>
      </w:tr>
      <w:tr w:rsidR="00AE300D" w:rsidRPr="00BC5E60" w14:paraId="7D495C88"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0D93FD7A" w:rsidR="00AE300D" w:rsidRPr="00BC5E60" w:rsidRDefault="00AE300D" w:rsidP="00AE300D">
            <w:pPr>
              <w:spacing w:after="0" w:line="240" w:lineRule="auto"/>
              <w:rPr>
                <w:rFonts w:ascii="Times New Roman" w:eastAsia="Times New Roman" w:hAnsi="Times New Roman" w:cs="Times New Roman"/>
                <w:sz w:val="20"/>
                <w:szCs w:val="20"/>
                <w:lang w:eastAsia="sk-SK"/>
              </w:rPr>
            </w:pPr>
            <w:r w:rsidRPr="00BC5E60">
              <w:rPr>
                <w:color w:val="000000"/>
                <w:sz w:val="20"/>
                <w:szCs w:val="20"/>
              </w:rPr>
              <w:t>6</w:t>
            </w:r>
          </w:p>
        </w:tc>
        <w:tc>
          <w:tcPr>
            <w:tcW w:w="1740" w:type="dxa"/>
            <w:shd w:val="clear" w:color="auto" w:fill="auto"/>
            <w:vAlign w:val="center"/>
          </w:tcPr>
          <w:p w14:paraId="0514BEF2" w14:textId="11EA47DE"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zavedenie účinných politík, postupov  a procesov posudzovania úverového rizika a správy úverového portfólia</w:t>
            </w:r>
          </w:p>
        </w:tc>
        <w:tc>
          <w:tcPr>
            <w:tcW w:w="992" w:type="dxa"/>
            <w:vAlign w:val="center"/>
          </w:tcPr>
          <w:p w14:paraId="07EE0509" w14:textId="50D4330F"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203/2011</w:t>
            </w:r>
          </w:p>
        </w:tc>
        <w:tc>
          <w:tcPr>
            <w:tcW w:w="1134" w:type="dxa"/>
            <w:vAlign w:val="center"/>
          </w:tcPr>
          <w:p w14:paraId="5143E9CF" w14:textId="5CBD8F56"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 37a (4)(e),  § 37e</w:t>
            </w:r>
          </w:p>
        </w:tc>
        <w:tc>
          <w:tcPr>
            <w:tcW w:w="1843" w:type="dxa"/>
            <w:shd w:val="clear" w:color="auto" w:fill="auto"/>
            <w:vAlign w:val="center"/>
          </w:tcPr>
          <w:p w14:paraId="356D853D" w14:textId="3A1F2475" w:rsidR="00AE300D" w:rsidRPr="00AE300D" w:rsidDel="00801596" w:rsidRDefault="00AE300D" w:rsidP="00AE300D">
            <w:pPr>
              <w:pStyle w:val="gmail-m-1648484718305530482msolistparagraph"/>
              <w:spacing w:before="0" w:beforeAutospacing="0" w:after="0" w:afterAutospacing="0"/>
              <w:jc w:val="center"/>
              <w:rPr>
                <w:rFonts w:ascii="Arial Narrow" w:eastAsia="Times New Roman" w:hAnsi="Arial Narrow" w:cs="Times New Roman"/>
                <w:highlight w:val="yellow"/>
              </w:rPr>
            </w:pPr>
            <w:r w:rsidRPr="00AE300D">
              <w:rPr>
                <w:rFonts w:ascii="Arial Narrow" w:hAnsi="Arial Narrow" w:cs="Times New Roman"/>
                <w:color w:val="000000"/>
              </w:rPr>
              <w:t xml:space="preserve">3b)  Navýšenie  požiadaviek nad rámec minimálnych požiadaviek smernice EÚ, </w:t>
            </w:r>
          </w:p>
        </w:tc>
        <w:tc>
          <w:tcPr>
            <w:tcW w:w="992" w:type="dxa"/>
            <w:vAlign w:val="center"/>
          </w:tcPr>
          <w:p w14:paraId="459D433C" w14:textId="718EF878" w:rsidR="00AE300D" w:rsidRPr="00AE300D" w:rsidRDefault="00AE300D" w:rsidP="00AE300D">
            <w:pPr>
              <w:spacing w:after="0" w:line="240" w:lineRule="auto"/>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16.04.26</w:t>
            </w:r>
          </w:p>
        </w:tc>
        <w:tc>
          <w:tcPr>
            <w:tcW w:w="1160" w:type="dxa"/>
            <w:shd w:val="clear" w:color="auto" w:fill="auto"/>
            <w:noWrap/>
            <w:vAlign w:val="center"/>
          </w:tcPr>
          <w:p w14:paraId="3D2938FA" w14:textId="4ACE2476" w:rsidR="00AE300D" w:rsidRPr="00AE300D" w:rsidRDefault="00AE300D" w:rsidP="00AE300D">
            <w:pPr>
              <w:spacing w:after="0" w:line="240" w:lineRule="auto"/>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správcovské spoločnosti</w:t>
            </w:r>
          </w:p>
        </w:tc>
        <w:tc>
          <w:tcPr>
            <w:tcW w:w="1108" w:type="dxa"/>
            <w:vAlign w:val="center"/>
          </w:tcPr>
          <w:p w14:paraId="717BA309" w14:textId="48646054" w:rsidR="00AE300D" w:rsidRPr="00AE300D" w:rsidRDefault="00AE300D" w:rsidP="00AE300D">
            <w:pPr>
              <w:spacing w:after="0" w:line="240" w:lineRule="auto"/>
              <w:jc w:val="right"/>
              <w:rPr>
                <w:rFonts w:ascii="Arial Narrow" w:eastAsia="Times New Roman" w:hAnsi="Arial Narrow" w:cs="Times New Roman"/>
                <w:highlight w:val="yellow"/>
                <w:lang w:eastAsia="sk-SK"/>
              </w:rPr>
            </w:pPr>
            <w:r w:rsidRPr="00AE300D">
              <w:rPr>
                <w:rFonts w:ascii="Arial Narrow" w:hAnsi="Arial Narrow" w:cs="Times New Roman"/>
                <w:color w:val="000000"/>
              </w:rPr>
              <w:t xml:space="preserve">                   3 </w:t>
            </w:r>
          </w:p>
        </w:tc>
        <w:tc>
          <w:tcPr>
            <w:tcW w:w="851" w:type="dxa"/>
            <w:shd w:val="clear" w:color="auto" w:fill="auto"/>
            <w:noWrap/>
            <w:vAlign w:val="center"/>
          </w:tcPr>
          <w:p w14:paraId="2F2A96C4" w14:textId="4A9C30C2" w:rsidR="00AE300D" w:rsidRPr="00AE300D" w:rsidRDefault="00AE300D" w:rsidP="00AE300D">
            <w:pPr>
              <w:spacing w:after="0" w:line="240" w:lineRule="auto"/>
              <w:jc w:val="right"/>
              <w:rPr>
                <w:rFonts w:ascii="Arial Narrow" w:eastAsia="Times New Roman" w:hAnsi="Arial Narrow" w:cs="Times New Roman"/>
                <w:highlight w:val="yellow"/>
                <w:lang w:eastAsia="sk-SK"/>
              </w:rPr>
            </w:pPr>
            <w:r w:rsidRPr="00AE300D">
              <w:rPr>
                <w:rFonts w:ascii="Arial Narrow" w:hAnsi="Arial Narrow" w:cs="Times New Roman"/>
                <w:color w:val="000000"/>
              </w:rPr>
              <w:t>37 584</w:t>
            </w:r>
          </w:p>
        </w:tc>
        <w:tc>
          <w:tcPr>
            <w:tcW w:w="843" w:type="dxa"/>
            <w:shd w:val="clear" w:color="auto" w:fill="auto"/>
            <w:noWrap/>
            <w:vAlign w:val="center"/>
          </w:tcPr>
          <w:p w14:paraId="0FE6B8D8" w14:textId="664DC285" w:rsidR="00AE300D" w:rsidRPr="00AE300D" w:rsidRDefault="00AE300D" w:rsidP="00AE300D">
            <w:pPr>
              <w:spacing w:after="0" w:line="240" w:lineRule="auto"/>
              <w:jc w:val="right"/>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112 753</w:t>
            </w:r>
          </w:p>
        </w:tc>
        <w:tc>
          <w:tcPr>
            <w:tcW w:w="1000" w:type="dxa"/>
            <w:shd w:val="clear" w:color="auto" w:fill="auto"/>
            <w:noWrap/>
            <w:vAlign w:val="center"/>
          </w:tcPr>
          <w:p w14:paraId="214DEF91" w14:textId="4DECDEF4"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In (zvyšuje náklady)</w:t>
            </w:r>
          </w:p>
        </w:tc>
        <w:tc>
          <w:tcPr>
            <w:tcW w:w="708" w:type="dxa"/>
            <w:shd w:val="clear" w:color="auto" w:fill="auto"/>
            <w:noWrap/>
            <w:vAlign w:val="center"/>
          </w:tcPr>
          <w:p w14:paraId="45EC50E3" w14:textId="00A10807" w:rsidR="00AE300D" w:rsidRPr="00AE300D" w:rsidRDefault="00AE300D" w:rsidP="00AE300D">
            <w:pPr>
              <w:spacing w:after="0" w:line="240" w:lineRule="auto"/>
              <w:jc w:val="center"/>
              <w:rPr>
                <w:rFonts w:ascii="Arial Narrow" w:eastAsia="Times New Roman" w:hAnsi="Arial Narrow" w:cs="Times New Roman"/>
                <w:color w:val="000000"/>
                <w:highlight w:val="yellow"/>
                <w:lang w:eastAsia="sk-SK"/>
              </w:rPr>
            </w:pPr>
            <w:r w:rsidRPr="00AE300D">
              <w:rPr>
                <w:rFonts w:ascii="Arial Narrow" w:hAnsi="Arial Narrow" w:cs="Times New Roman"/>
              </w:rPr>
              <w:t>112 753</w:t>
            </w:r>
          </w:p>
        </w:tc>
        <w:tc>
          <w:tcPr>
            <w:tcW w:w="1134" w:type="dxa"/>
            <w:vAlign w:val="center"/>
          </w:tcPr>
          <w:p w14:paraId="15E7EBAF" w14:textId="50DB50E6" w:rsidR="00AE300D" w:rsidRPr="00AE300D" w:rsidRDefault="00AE300D" w:rsidP="00AE300D">
            <w:pPr>
              <w:spacing w:after="0" w:line="240" w:lineRule="auto"/>
              <w:jc w:val="center"/>
              <w:rPr>
                <w:rFonts w:ascii="Arial Narrow" w:eastAsia="Times New Roman" w:hAnsi="Arial Narrow" w:cs="Times New Roman"/>
                <w:highlight w:val="yellow"/>
                <w:lang w:eastAsia="sk-SK"/>
              </w:rPr>
            </w:pPr>
            <w:r w:rsidRPr="00AE300D">
              <w:rPr>
                <w:rFonts w:ascii="Arial Narrow" w:hAnsi="Arial Narrow" w:cs="Times New Roman"/>
                <w:color w:val="000000"/>
              </w:rPr>
              <w:t>112 753</w:t>
            </w:r>
          </w:p>
        </w:tc>
      </w:tr>
      <w:tr w:rsidR="00AE300D" w:rsidRPr="00BC5E60" w14:paraId="67FD2956"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11D5AB80" w:rsidR="00AE300D" w:rsidRPr="00BC5E60" w:rsidRDefault="00AE300D" w:rsidP="00AE300D">
            <w:pPr>
              <w:spacing w:after="0" w:line="240" w:lineRule="auto"/>
              <w:rPr>
                <w:rFonts w:ascii="Times New Roman" w:eastAsia="Times New Roman" w:hAnsi="Times New Roman" w:cs="Times New Roman"/>
                <w:sz w:val="20"/>
                <w:szCs w:val="20"/>
                <w:lang w:eastAsia="sk-SK"/>
              </w:rPr>
            </w:pPr>
            <w:r w:rsidRPr="00BC5E60">
              <w:rPr>
                <w:color w:val="000000"/>
                <w:sz w:val="20"/>
                <w:szCs w:val="20"/>
              </w:rPr>
              <w:t>7</w:t>
            </w:r>
          </w:p>
        </w:tc>
        <w:tc>
          <w:tcPr>
            <w:tcW w:w="1740" w:type="dxa"/>
            <w:shd w:val="clear" w:color="auto" w:fill="auto"/>
            <w:vAlign w:val="center"/>
          </w:tcPr>
          <w:p w14:paraId="14BCDC2E" w14:textId="16078337"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implementácia politík a postupov na aktiváciu a deaktiváciu nástrojov riadenia likvidity</w:t>
            </w:r>
          </w:p>
        </w:tc>
        <w:tc>
          <w:tcPr>
            <w:tcW w:w="992" w:type="dxa"/>
            <w:vAlign w:val="center"/>
          </w:tcPr>
          <w:p w14:paraId="2C578C35" w14:textId="2108CE98"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203/2011</w:t>
            </w:r>
          </w:p>
        </w:tc>
        <w:tc>
          <w:tcPr>
            <w:tcW w:w="1134" w:type="dxa"/>
            <w:vAlign w:val="center"/>
          </w:tcPr>
          <w:p w14:paraId="35AAA047" w14:textId="5EE13A6B"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14a</w:t>
            </w:r>
          </w:p>
        </w:tc>
        <w:tc>
          <w:tcPr>
            <w:tcW w:w="1843" w:type="dxa"/>
            <w:shd w:val="clear" w:color="auto" w:fill="auto"/>
            <w:vAlign w:val="center"/>
          </w:tcPr>
          <w:p w14:paraId="6DD38128" w14:textId="4D6A1E4D" w:rsidR="00AE300D" w:rsidRPr="00AE300D" w:rsidDel="00801596" w:rsidRDefault="00AE300D" w:rsidP="00AE300D">
            <w:pPr>
              <w:pStyle w:val="gmail-m-1648484718305530482msolistparagraph"/>
              <w:spacing w:before="0" w:beforeAutospacing="0" w:after="0" w:afterAutospacing="0"/>
              <w:jc w:val="center"/>
              <w:rPr>
                <w:rFonts w:ascii="Arial Narrow" w:eastAsia="Times New Roman" w:hAnsi="Arial Narrow" w:cs="Times New Roman"/>
                <w:highlight w:val="yellow"/>
              </w:rPr>
            </w:pPr>
            <w:r w:rsidRPr="00AE300D">
              <w:rPr>
                <w:rFonts w:ascii="Arial Narrow" w:hAnsi="Arial Narrow" w:cs="Times New Roman"/>
                <w:color w:val="000000"/>
              </w:rPr>
              <w:t>2. EÚ úplná harmonizácia</w:t>
            </w:r>
          </w:p>
        </w:tc>
        <w:tc>
          <w:tcPr>
            <w:tcW w:w="992" w:type="dxa"/>
            <w:vAlign w:val="center"/>
          </w:tcPr>
          <w:p w14:paraId="660ED2AA" w14:textId="170BACDA" w:rsidR="00AE300D" w:rsidRPr="00AE300D" w:rsidRDefault="00AE300D" w:rsidP="00AE300D">
            <w:pPr>
              <w:spacing w:after="0" w:line="240" w:lineRule="auto"/>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16.04.26</w:t>
            </w:r>
          </w:p>
        </w:tc>
        <w:tc>
          <w:tcPr>
            <w:tcW w:w="1160" w:type="dxa"/>
            <w:shd w:val="clear" w:color="auto" w:fill="auto"/>
            <w:noWrap/>
            <w:vAlign w:val="center"/>
          </w:tcPr>
          <w:p w14:paraId="61B4BCC4" w14:textId="4395E94F" w:rsidR="00AE300D" w:rsidRPr="00AE300D" w:rsidRDefault="00AE300D" w:rsidP="00AE300D">
            <w:pPr>
              <w:spacing w:after="0" w:line="240" w:lineRule="auto"/>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alternatívne</w:t>
            </w:r>
          </w:p>
        </w:tc>
        <w:tc>
          <w:tcPr>
            <w:tcW w:w="1108" w:type="dxa"/>
            <w:vAlign w:val="center"/>
          </w:tcPr>
          <w:p w14:paraId="6DBA9274" w14:textId="303D7477" w:rsidR="00AE300D" w:rsidRPr="00AE300D" w:rsidRDefault="00AE300D" w:rsidP="00AE300D">
            <w:pPr>
              <w:spacing w:after="0" w:line="240" w:lineRule="auto"/>
              <w:jc w:val="right"/>
              <w:rPr>
                <w:rFonts w:ascii="Arial Narrow" w:eastAsia="Times New Roman" w:hAnsi="Arial Narrow" w:cs="Times New Roman"/>
                <w:highlight w:val="yellow"/>
                <w:lang w:eastAsia="sk-SK"/>
              </w:rPr>
            </w:pPr>
            <w:r w:rsidRPr="00AE300D">
              <w:rPr>
                <w:rFonts w:ascii="Arial Narrow" w:hAnsi="Arial Narrow" w:cs="Times New Roman"/>
                <w:color w:val="000000"/>
              </w:rPr>
              <w:t xml:space="preserve">               130 </w:t>
            </w:r>
          </w:p>
        </w:tc>
        <w:tc>
          <w:tcPr>
            <w:tcW w:w="851" w:type="dxa"/>
            <w:shd w:val="clear" w:color="auto" w:fill="auto"/>
            <w:noWrap/>
            <w:vAlign w:val="center"/>
          </w:tcPr>
          <w:p w14:paraId="29915185" w14:textId="4A25187A" w:rsidR="00AE300D" w:rsidRPr="00AE300D" w:rsidRDefault="00AE300D" w:rsidP="00AE300D">
            <w:pPr>
              <w:spacing w:after="0" w:line="240" w:lineRule="auto"/>
              <w:jc w:val="right"/>
              <w:rPr>
                <w:rFonts w:ascii="Arial Narrow" w:eastAsia="Times New Roman" w:hAnsi="Arial Narrow" w:cs="Times New Roman"/>
                <w:highlight w:val="yellow"/>
                <w:lang w:eastAsia="sk-SK"/>
              </w:rPr>
            </w:pPr>
            <w:r w:rsidRPr="00AE300D">
              <w:rPr>
                <w:rFonts w:ascii="Arial Narrow" w:hAnsi="Arial Narrow" w:cs="Times New Roman"/>
                <w:color w:val="000000"/>
              </w:rPr>
              <w:t>87,1621875</w:t>
            </w:r>
          </w:p>
        </w:tc>
        <w:tc>
          <w:tcPr>
            <w:tcW w:w="843" w:type="dxa"/>
            <w:shd w:val="clear" w:color="auto" w:fill="auto"/>
            <w:noWrap/>
            <w:vAlign w:val="center"/>
          </w:tcPr>
          <w:p w14:paraId="46F12C04" w14:textId="13E4C3FD" w:rsidR="00AE300D" w:rsidRPr="00AE300D" w:rsidRDefault="00AE300D" w:rsidP="00AE300D">
            <w:pPr>
              <w:spacing w:after="0" w:line="240" w:lineRule="auto"/>
              <w:jc w:val="right"/>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11331,08438</w:t>
            </w:r>
          </w:p>
        </w:tc>
        <w:tc>
          <w:tcPr>
            <w:tcW w:w="1000" w:type="dxa"/>
            <w:shd w:val="clear" w:color="auto" w:fill="auto"/>
            <w:noWrap/>
            <w:vAlign w:val="center"/>
          </w:tcPr>
          <w:p w14:paraId="2D3260FB" w14:textId="7E021B69"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In (zvyšuje náklady)</w:t>
            </w:r>
          </w:p>
        </w:tc>
        <w:tc>
          <w:tcPr>
            <w:tcW w:w="708" w:type="dxa"/>
            <w:shd w:val="clear" w:color="auto" w:fill="auto"/>
            <w:noWrap/>
            <w:vAlign w:val="center"/>
          </w:tcPr>
          <w:p w14:paraId="00BF5AA0" w14:textId="5B92A0DF" w:rsidR="00AE300D" w:rsidRPr="00AE300D" w:rsidRDefault="00AE300D" w:rsidP="00AE300D">
            <w:pPr>
              <w:spacing w:after="0" w:line="240" w:lineRule="auto"/>
              <w:jc w:val="center"/>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0</w:t>
            </w:r>
          </w:p>
        </w:tc>
        <w:tc>
          <w:tcPr>
            <w:tcW w:w="1134" w:type="dxa"/>
            <w:vAlign w:val="center"/>
          </w:tcPr>
          <w:p w14:paraId="48044CA5" w14:textId="5F67EFF6" w:rsidR="00AE300D" w:rsidRPr="00AE300D" w:rsidRDefault="00AE300D" w:rsidP="00AE300D">
            <w:pPr>
              <w:spacing w:after="0" w:line="240" w:lineRule="auto"/>
              <w:jc w:val="center"/>
              <w:rPr>
                <w:rFonts w:ascii="Arial Narrow" w:eastAsia="Times New Roman" w:hAnsi="Arial Narrow" w:cs="Times New Roman"/>
                <w:highlight w:val="yellow"/>
                <w:lang w:eastAsia="sk-SK"/>
              </w:rPr>
            </w:pPr>
            <w:r w:rsidRPr="00AE300D">
              <w:rPr>
                <w:rFonts w:ascii="Arial Narrow" w:hAnsi="Arial Narrow" w:cs="Times New Roman"/>
                <w:color w:val="000000"/>
              </w:rPr>
              <w:t>0</w:t>
            </w:r>
          </w:p>
        </w:tc>
      </w:tr>
      <w:tr w:rsidR="00AE300D" w:rsidRPr="00BC5E60" w14:paraId="26381EED"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60675E4" w:rsidR="00AE300D" w:rsidRPr="00BC5E60" w:rsidRDefault="00AE300D" w:rsidP="00AE300D">
            <w:pPr>
              <w:spacing w:after="0" w:line="240" w:lineRule="auto"/>
              <w:rPr>
                <w:rFonts w:ascii="Times New Roman" w:eastAsia="Times New Roman" w:hAnsi="Times New Roman" w:cs="Times New Roman"/>
                <w:sz w:val="20"/>
                <w:szCs w:val="20"/>
                <w:lang w:eastAsia="sk-SK"/>
              </w:rPr>
            </w:pPr>
            <w:r w:rsidRPr="00BC5E60">
              <w:rPr>
                <w:color w:val="000000"/>
                <w:sz w:val="20"/>
                <w:szCs w:val="20"/>
              </w:rPr>
              <w:t>8</w:t>
            </w:r>
          </w:p>
        </w:tc>
        <w:tc>
          <w:tcPr>
            <w:tcW w:w="1740" w:type="dxa"/>
            <w:shd w:val="clear" w:color="auto" w:fill="auto"/>
            <w:vAlign w:val="center"/>
          </w:tcPr>
          <w:p w14:paraId="6C2DF285" w14:textId="53B7B547"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uzavretie dohody o zverení činností</w:t>
            </w:r>
          </w:p>
        </w:tc>
        <w:tc>
          <w:tcPr>
            <w:tcW w:w="992" w:type="dxa"/>
            <w:vAlign w:val="center"/>
          </w:tcPr>
          <w:p w14:paraId="39BDC257" w14:textId="560B3F2B"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203/2011</w:t>
            </w:r>
          </w:p>
        </w:tc>
        <w:tc>
          <w:tcPr>
            <w:tcW w:w="1134" w:type="dxa"/>
            <w:vAlign w:val="center"/>
          </w:tcPr>
          <w:p w14:paraId="3FD55E58" w14:textId="2E9F73C0"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  57 a 57a</w:t>
            </w:r>
          </w:p>
        </w:tc>
        <w:tc>
          <w:tcPr>
            <w:tcW w:w="1843" w:type="dxa"/>
            <w:shd w:val="clear" w:color="auto" w:fill="auto"/>
            <w:vAlign w:val="center"/>
          </w:tcPr>
          <w:p w14:paraId="77912E88" w14:textId="477B9A73" w:rsidR="00AE300D" w:rsidRPr="00AE300D" w:rsidDel="00801596" w:rsidRDefault="00AE300D" w:rsidP="00AE300D">
            <w:pPr>
              <w:pStyle w:val="gmail-m-1648484718305530482msolistparagraph"/>
              <w:spacing w:before="0" w:beforeAutospacing="0" w:after="0" w:afterAutospacing="0"/>
              <w:jc w:val="center"/>
              <w:rPr>
                <w:rFonts w:ascii="Arial Narrow" w:eastAsia="Times New Roman" w:hAnsi="Arial Narrow" w:cs="Times New Roman"/>
                <w:highlight w:val="yellow"/>
              </w:rPr>
            </w:pPr>
            <w:r w:rsidRPr="00AE300D">
              <w:rPr>
                <w:rFonts w:ascii="Arial Narrow" w:hAnsi="Arial Narrow" w:cs="Times New Roman"/>
                <w:color w:val="000000"/>
              </w:rPr>
              <w:t>2. EÚ úplná harmonizácia</w:t>
            </w:r>
          </w:p>
        </w:tc>
        <w:tc>
          <w:tcPr>
            <w:tcW w:w="992" w:type="dxa"/>
            <w:vAlign w:val="center"/>
          </w:tcPr>
          <w:p w14:paraId="17B30C13" w14:textId="3294EE15" w:rsidR="00AE300D" w:rsidRPr="00AE300D" w:rsidRDefault="00AE300D" w:rsidP="00AE300D">
            <w:pPr>
              <w:spacing w:after="0" w:line="240" w:lineRule="auto"/>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16.04.26</w:t>
            </w:r>
          </w:p>
        </w:tc>
        <w:tc>
          <w:tcPr>
            <w:tcW w:w="1160" w:type="dxa"/>
            <w:shd w:val="clear" w:color="auto" w:fill="auto"/>
            <w:noWrap/>
            <w:vAlign w:val="center"/>
          </w:tcPr>
          <w:p w14:paraId="4AE2E156" w14:textId="0884FB46" w:rsidR="00AE300D" w:rsidRPr="00AE300D" w:rsidRDefault="00AE300D" w:rsidP="00AE300D">
            <w:pPr>
              <w:spacing w:after="0" w:line="240" w:lineRule="auto"/>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správcovské spoločnosti</w:t>
            </w:r>
          </w:p>
        </w:tc>
        <w:tc>
          <w:tcPr>
            <w:tcW w:w="1108" w:type="dxa"/>
            <w:vAlign w:val="center"/>
          </w:tcPr>
          <w:p w14:paraId="7CEB6F10" w14:textId="08964063" w:rsidR="00AE300D" w:rsidRPr="00AE300D" w:rsidRDefault="00AE300D" w:rsidP="00AE300D">
            <w:pPr>
              <w:spacing w:after="0" w:line="240" w:lineRule="auto"/>
              <w:jc w:val="right"/>
              <w:rPr>
                <w:rFonts w:ascii="Arial Narrow" w:eastAsia="Times New Roman" w:hAnsi="Arial Narrow" w:cs="Times New Roman"/>
                <w:highlight w:val="yellow"/>
                <w:lang w:eastAsia="sk-SK"/>
              </w:rPr>
            </w:pPr>
            <w:r w:rsidRPr="00AE300D">
              <w:rPr>
                <w:rFonts w:ascii="Arial Narrow" w:hAnsi="Arial Narrow" w:cs="Times New Roman"/>
                <w:color w:val="000000"/>
              </w:rPr>
              <w:t xml:space="preserve">                 10 </w:t>
            </w:r>
          </w:p>
        </w:tc>
        <w:tc>
          <w:tcPr>
            <w:tcW w:w="851" w:type="dxa"/>
            <w:shd w:val="clear" w:color="auto" w:fill="auto"/>
            <w:noWrap/>
            <w:vAlign w:val="center"/>
          </w:tcPr>
          <w:p w14:paraId="6F10BC4F" w14:textId="733FE1A7" w:rsidR="00AE300D" w:rsidRPr="00AE300D" w:rsidRDefault="00AE300D" w:rsidP="00AE300D">
            <w:pPr>
              <w:spacing w:after="0" w:line="240" w:lineRule="auto"/>
              <w:jc w:val="right"/>
              <w:rPr>
                <w:rFonts w:ascii="Arial Narrow" w:eastAsia="Times New Roman" w:hAnsi="Arial Narrow" w:cs="Times New Roman"/>
                <w:highlight w:val="yellow"/>
                <w:lang w:eastAsia="sk-SK"/>
              </w:rPr>
            </w:pPr>
            <w:r w:rsidRPr="00AE300D">
              <w:rPr>
                <w:rFonts w:ascii="Arial Narrow" w:hAnsi="Arial Narrow" w:cs="Times New Roman"/>
                <w:color w:val="000000"/>
              </w:rPr>
              <w:t>419</w:t>
            </w:r>
          </w:p>
        </w:tc>
        <w:tc>
          <w:tcPr>
            <w:tcW w:w="843" w:type="dxa"/>
            <w:shd w:val="clear" w:color="auto" w:fill="auto"/>
            <w:noWrap/>
            <w:vAlign w:val="center"/>
          </w:tcPr>
          <w:p w14:paraId="70151A82" w14:textId="2340C716" w:rsidR="00AE300D" w:rsidRPr="00AE300D" w:rsidRDefault="00AE300D" w:rsidP="00AE300D">
            <w:pPr>
              <w:spacing w:after="0" w:line="240" w:lineRule="auto"/>
              <w:jc w:val="right"/>
              <w:rPr>
                <w:rFonts w:ascii="Arial Narrow" w:eastAsia="Times New Roman" w:hAnsi="Arial Narrow" w:cs="Times New Roman"/>
                <w:color w:val="000000"/>
                <w:highlight w:val="yellow"/>
                <w:lang w:eastAsia="sk-SK"/>
              </w:rPr>
            </w:pPr>
            <w:r w:rsidRPr="00AE300D">
              <w:rPr>
                <w:rFonts w:ascii="Arial Narrow" w:hAnsi="Arial Narrow" w:cs="Times New Roman"/>
                <w:color w:val="000000"/>
              </w:rPr>
              <w:t>4 188</w:t>
            </w:r>
          </w:p>
        </w:tc>
        <w:tc>
          <w:tcPr>
            <w:tcW w:w="1000" w:type="dxa"/>
            <w:shd w:val="clear" w:color="auto" w:fill="auto"/>
            <w:noWrap/>
            <w:vAlign w:val="center"/>
          </w:tcPr>
          <w:p w14:paraId="74A6D825" w14:textId="4D444496" w:rsidR="00AE300D" w:rsidRPr="00AE300D" w:rsidRDefault="00AE300D" w:rsidP="00AE300D">
            <w:pPr>
              <w:spacing w:after="0" w:line="240" w:lineRule="auto"/>
              <w:rPr>
                <w:rFonts w:ascii="Arial Narrow" w:eastAsia="Times New Roman" w:hAnsi="Arial Narrow" w:cs="Times New Roman"/>
                <w:highlight w:val="yellow"/>
                <w:lang w:eastAsia="sk-SK"/>
              </w:rPr>
            </w:pPr>
            <w:r w:rsidRPr="00AE300D">
              <w:rPr>
                <w:rFonts w:ascii="Arial Narrow" w:hAnsi="Arial Narrow" w:cs="Times New Roman"/>
                <w:color w:val="000000"/>
              </w:rPr>
              <w:t>In (zvyšuje náklady)</w:t>
            </w:r>
          </w:p>
        </w:tc>
        <w:tc>
          <w:tcPr>
            <w:tcW w:w="708" w:type="dxa"/>
            <w:shd w:val="clear" w:color="auto" w:fill="auto"/>
            <w:noWrap/>
            <w:vAlign w:val="center"/>
          </w:tcPr>
          <w:p w14:paraId="3FBF0B70" w14:textId="054DD2DC" w:rsidR="00AE300D" w:rsidRPr="00AE300D" w:rsidRDefault="00AE300D" w:rsidP="00AE300D">
            <w:pPr>
              <w:spacing w:after="0" w:line="240" w:lineRule="auto"/>
              <w:jc w:val="center"/>
              <w:rPr>
                <w:rFonts w:ascii="Arial Narrow" w:eastAsia="Times New Roman" w:hAnsi="Arial Narrow" w:cs="Times New Roman"/>
                <w:color w:val="000000"/>
                <w:highlight w:val="yellow"/>
                <w:lang w:eastAsia="sk-SK"/>
              </w:rPr>
            </w:pPr>
            <w:r w:rsidRPr="00AE300D">
              <w:rPr>
                <w:rFonts w:ascii="Arial Narrow" w:hAnsi="Arial Narrow" w:cs="Times New Roman"/>
              </w:rPr>
              <w:t>0</w:t>
            </w:r>
          </w:p>
        </w:tc>
        <w:tc>
          <w:tcPr>
            <w:tcW w:w="1134" w:type="dxa"/>
            <w:vAlign w:val="center"/>
          </w:tcPr>
          <w:p w14:paraId="1F26953E" w14:textId="102D453A" w:rsidR="00AE300D" w:rsidRPr="00AE300D" w:rsidRDefault="00AE300D" w:rsidP="00AE300D">
            <w:pPr>
              <w:spacing w:after="0" w:line="240" w:lineRule="auto"/>
              <w:jc w:val="center"/>
              <w:rPr>
                <w:rFonts w:ascii="Arial Narrow" w:eastAsia="Times New Roman" w:hAnsi="Arial Narrow" w:cs="Times New Roman"/>
                <w:highlight w:val="yellow"/>
                <w:lang w:eastAsia="sk-SK"/>
              </w:rPr>
            </w:pPr>
            <w:r w:rsidRPr="00AE300D">
              <w:rPr>
                <w:rFonts w:ascii="Arial Narrow" w:hAnsi="Arial Narrow" w:cs="Times New Roman"/>
                <w:color w:val="000000"/>
              </w:rPr>
              <w:t>0</w:t>
            </w:r>
          </w:p>
        </w:tc>
      </w:tr>
      <w:tr w:rsidR="00AE300D" w:rsidRPr="00BC5E60" w14:paraId="02973A71"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FE1F446" w14:textId="49BA4DC2" w:rsidR="00AE300D" w:rsidRPr="00BC5E60" w:rsidRDefault="00AE300D" w:rsidP="00AE300D">
            <w:pPr>
              <w:spacing w:after="0" w:line="240" w:lineRule="auto"/>
              <w:rPr>
                <w:color w:val="000000"/>
                <w:sz w:val="20"/>
                <w:szCs w:val="20"/>
              </w:rPr>
            </w:pPr>
            <w:r w:rsidRPr="00BC5E60">
              <w:rPr>
                <w:color w:val="000000"/>
                <w:sz w:val="20"/>
                <w:szCs w:val="20"/>
              </w:rPr>
              <w:t>9</w:t>
            </w:r>
          </w:p>
        </w:tc>
        <w:tc>
          <w:tcPr>
            <w:tcW w:w="1740" w:type="dxa"/>
            <w:shd w:val="clear" w:color="auto" w:fill="auto"/>
            <w:vAlign w:val="center"/>
          </w:tcPr>
          <w:p w14:paraId="3A64DB33" w14:textId="3AF039E0"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zoznam poplatkov, platieb a výdavkov</w:t>
            </w:r>
          </w:p>
        </w:tc>
        <w:tc>
          <w:tcPr>
            <w:tcW w:w="992" w:type="dxa"/>
            <w:vAlign w:val="center"/>
          </w:tcPr>
          <w:p w14:paraId="4A3A0F17" w14:textId="04918629"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203/2011</w:t>
            </w:r>
          </w:p>
        </w:tc>
        <w:tc>
          <w:tcPr>
            <w:tcW w:w="1134" w:type="dxa"/>
            <w:vAlign w:val="center"/>
          </w:tcPr>
          <w:p w14:paraId="3061BDD9" w14:textId="3B5C5165"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 159a(1)(p)</w:t>
            </w:r>
          </w:p>
        </w:tc>
        <w:tc>
          <w:tcPr>
            <w:tcW w:w="1843" w:type="dxa"/>
            <w:shd w:val="clear" w:color="auto" w:fill="auto"/>
            <w:vAlign w:val="center"/>
          </w:tcPr>
          <w:p w14:paraId="30BCF52A" w14:textId="4BB7B234" w:rsidR="00AE300D" w:rsidRPr="00AE300D" w:rsidRDefault="00AE300D" w:rsidP="00AE300D">
            <w:pPr>
              <w:pStyle w:val="gmail-m-1648484718305530482msolistparagraph"/>
              <w:spacing w:before="0" w:beforeAutospacing="0" w:after="0" w:afterAutospacing="0"/>
              <w:jc w:val="center"/>
              <w:rPr>
                <w:rFonts w:ascii="Arial Narrow" w:hAnsi="Arial Narrow" w:cs="Times New Roman"/>
                <w:color w:val="000000"/>
              </w:rPr>
            </w:pPr>
            <w:r w:rsidRPr="00AE300D">
              <w:rPr>
                <w:rFonts w:ascii="Arial Narrow" w:hAnsi="Arial Narrow" w:cs="Times New Roman"/>
                <w:color w:val="000000"/>
              </w:rPr>
              <w:t>2. EÚ úplná harmonizácia</w:t>
            </w:r>
          </w:p>
        </w:tc>
        <w:tc>
          <w:tcPr>
            <w:tcW w:w="992" w:type="dxa"/>
            <w:vAlign w:val="center"/>
          </w:tcPr>
          <w:p w14:paraId="5C162319" w14:textId="5FD9424C"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16.04.26</w:t>
            </w:r>
          </w:p>
        </w:tc>
        <w:tc>
          <w:tcPr>
            <w:tcW w:w="1160" w:type="dxa"/>
            <w:shd w:val="clear" w:color="auto" w:fill="auto"/>
            <w:noWrap/>
            <w:vAlign w:val="center"/>
          </w:tcPr>
          <w:p w14:paraId="584D63ED" w14:textId="724BBCCF"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alternatívne investičné fondy</w:t>
            </w:r>
          </w:p>
        </w:tc>
        <w:tc>
          <w:tcPr>
            <w:tcW w:w="1108" w:type="dxa"/>
            <w:vAlign w:val="center"/>
          </w:tcPr>
          <w:p w14:paraId="2BFF5FE1" w14:textId="6A325B2B"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 xml:space="preserve">                 68 </w:t>
            </w:r>
          </w:p>
        </w:tc>
        <w:tc>
          <w:tcPr>
            <w:tcW w:w="851" w:type="dxa"/>
            <w:shd w:val="clear" w:color="auto" w:fill="auto"/>
            <w:noWrap/>
            <w:vAlign w:val="center"/>
          </w:tcPr>
          <w:p w14:paraId="7F0DF9F9" w14:textId="4528ADF1"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59</w:t>
            </w:r>
          </w:p>
        </w:tc>
        <w:tc>
          <w:tcPr>
            <w:tcW w:w="843" w:type="dxa"/>
            <w:shd w:val="clear" w:color="auto" w:fill="auto"/>
            <w:noWrap/>
            <w:vAlign w:val="center"/>
          </w:tcPr>
          <w:p w14:paraId="563BD159" w14:textId="25D9D94A"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4 016</w:t>
            </w:r>
          </w:p>
        </w:tc>
        <w:tc>
          <w:tcPr>
            <w:tcW w:w="1000" w:type="dxa"/>
            <w:shd w:val="clear" w:color="auto" w:fill="auto"/>
            <w:noWrap/>
            <w:vAlign w:val="center"/>
          </w:tcPr>
          <w:p w14:paraId="4FDB21F7" w14:textId="72BE52C4"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In (zvyšuje náklady)</w:t>
            </w:r>
          </w:p>
        </w:tc>
        <w:tc>
          <w:tcPr>
            <w:tcW w:w="708" w:type="dxa"/>
            <w:shd w:val="clear" w:color="auto" w:fill="auto"/>
            <w:noWrap/>
            <w:vAlign w:val="center"/>
          </w:tcPr>
          <w:p w14:paraId="24B2EA62" w14:textId="0B962C54" w:rsidR="00AE300D" w:rsidRPr="00AE300D" w:rsidRDefault="00AE300D" w:rsidP="00AE300D">
            <w:pPr>
              <w:spacing w:after="0" w:line="240" w:lineRule="auto"/>
              <w:jc w:val="center"/>
              <w:rPr>
                <w:rFonts w:ascii="Arial Narrow" w:hAnsi="Arial Narrow" w:cs="Times New Roman"/>
              </w:rPr>
            </w:pPr>
            <w:r w:rsidRPr="00AE300D">
              <w:rPr>
                <w:rFonts w:ascii="Arial Narrow" w:hAnsi="Arial Narrow" w:cs="Times New Roman"/>
              </w:rPr>
              <w:t>0</w:t>
            </w:r>
          </w:p>
        </w:tc>
        <w:tc>
          <w:tcPr>
            <w:tcW w:w="1134" w:type="dxa"/>
            <w:vAlign w:val="center"/>
          </w:tcPr>
          <w:p w14:paraId="7ED6696B" w14:textId="7EED9AD5" w:rsidR="00AE300D" w:rsidRPr="00AE300D" w:rsidRDefault="00AE300D" w:rsidP="00AE300D">
            <w:pPr>
              <w:spacing w:after="0" w:line="240" w:lineRule="auto"/>
              <w:jc w:val="center"/>
              <w:rPr>
                <w:rFonts w:ascii="Arial Narrow" w:hAnsi="Arial Narrow" w:cs="Times New Roman"/>
                <w:color w:val="000000"/>
              </w:rPr>
            </w:pPr>
            <w:r w:rsidRPr="00AE300D">
              <w:rPr>
                <w:rFonts w:ascii="Arial Narrow" w:hAnsi="Arial Narrow" w:cs="Times New Roman"/>
                <w:color w:val="000000"/>
              </w:rPr>
              <w:t>0</w:t>
            </w:r>
          </w:p>
        </w:tc>
      </w:tr>
      <w:tr w:rsidR="00AE300D" w:rsidRPr="00BC5E60" w14:paraId="0A48C0CB"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A82E89B" w14:textId="11226121" w:rsidR="00AE300D" w:rsidRPr="00BC5E60" w:rsidRDefault="00AE300D" w:rsidP="00AE300D">
            <w:pPr>
              <w:spacing w:after="0" w:line="240" w:lineRule="auto"/>
              <w:rPr>
                <w:color w:val="000000"/>
                <w:sz w:val="20"/>
                <w:szCs w:val="20"/>
              </w:rPr>
            </w:pPr>
            <w:r w:rsidRPr="00BC5E60">
              <w:rPr>
                <w:color w:val="000000"/>
                <w:sz w:val="20"/>
                <w:szCs w:val="20"/>
              </w:rPr>
              <w:t>10</w:t>
            </w:r>
          </w:p>
        </w:tc>
        <w:tc>
          <w:tcPr>
            <w:tcW w:w="1740" w:type="dxa"/>
            <w:shd w:val="clear" w:color="auto" w:fill="auto"/>
            <w:vAlign w:val="center"/>
          </w:tcPr>
          <w:p w14:paraId="2B223171" w14:textId="1BF2ED32"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informácie o zložení portfólia úverov</w:t>
            </w:r>
          </w:p>
        </w:tc>
        <w:tc>
          <w:tcPr>
            <w:tcW w:w="992" w:type="dxa"/>
            <w:vAlign w:val="center"/>
          </w:tcPr>
          <w:p w14:paraId="59CF7931" w14:textId="0FCF37BC"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203/2011</w:t>
            </w:r>
          </w:p>
        </w:tc>
        <w:tc>
          <w:tcPr>
            <w:tcW w:w="1134" w:type="dxa"/>
            <w:vAlign w:val="center"/>
          </w:tcPr>
          <w:p w14:paraId="07692F09" w14:textId="78FA6922"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 159a(4)(d)</w:t>
            </w:r>
          </w:p>
        </w:tc>
        <w:tc>
          <w:tcPr>
            <w:tcW w:w="1843" w:type="dxa"/>
            <w:shd w:val="clear" w:color="auto" w:fill="auto"/>
            <w:vAlign w:val="center"/>
          </w:tcPr>
          <w:p w14:paraId="693E24C3" w14:textId="5132DBAE" w:rsidR="00AE300D" w:rsidRPr="00AE300D" w:rsidRDefault="00AE300D" w:rsidP="00AE300D">
            <w:pPr>
              <w:pStyle w:val="gmail-m-1648484718305530482msolistparagraph"/>
              <w:spacing w:before="0" w:beforeAutospacing="0" w:after="0" w:afterAutospacing="0"/>
              <w:jc w:val="center"/>
              <w:rPr>
                <w:rFonts w:ascii="Arial Narrow" w:hAnsi="Arial Narrow" w:cs="Times New Roman"/>
                <w:color w:val="000000"/>
              </w:rPr>
            </w:pPr>
            <w:r w:rsidRPr="00AE300D">
              <w:rPr>
                <w:rFonts w:ascii="Arial Narrow" w:hAnsi="Arial Narrow" w:cs="Times New Roman"/>
                <w:color w:val="000000"/>
              </w:rPr>
              <w:t>2. EÚ úplná harmonizácia</w:t>
            </w:r>
          </w:p>
        </w:tc>
        <w:tc>
          <w:tcPr>
            <w:tcW w:w="992" w:type="dxa"/>
            <w:vAlign w:val="center"/>
          </w:tcPr>
          <w:p w14:paraId="10154B66" w14:textId="72486185"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16.04.26</w:t>
            </w:r>
          </w:p>
        </w:tc>
        <w:tc>
          <w:tcPr>
            <w:tcW w:w="1160" w:type="dxa"/>
            <w:shd w:val="clear" w:color="auto" w:fill="auto"/>
            <w:noWrap/>
            <w:vAlign w:val="center"/>
          </w:tcPr>
          <w:p w14:paraId="1BFA3384" w14:textId="60C2D72C"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alternatívne investičné fondy</w:t>
            </w:r>
          </w:p>
        </w:tc>
        <w:tc>
          <w:tcPr>
            <w:tcW w:w="1108" w:type="dxa"/>
            <w:vAlign w:val="center"/>
          </w:tcPr>
          <w:p w14:paraId="68970FEA" w14:textId="0F286749"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 xml:space="preserve">                   3 </w:t>
            </w:r>
          </w:p>
        </w:tc>
        <w:tc>
          <w:tcPr>
            <w:tcW w:w="851" w:type="dxa"/>
            <w:shd w:val="clear" w:color="auto" w:fill="auto"/>
            <w:noWrap/>
            <w:vAlign w:val="center"/>
          </w:tcPr>
          <w:p w14:paraId="064A705C" w14:textId="07970BA2"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994</w:t>
            </w:r>
          </w:p>
        </w:tc>
        <w:tc>
          <w:tcPr>
            <w:tcW w:w="843" w:type="dxa"/>
            <w:shd w:val="clear" w:color="auto" w:fill="auto"/>
            <w:noWrap/>
            <w:vAlign w:val="center"/>
          </w:tcPr>
          <w:p w14:paraId="70C51F8F" w14:textId="22A879B3"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2 982</w:t>
            </w:r>
          </w:p>
        </w:tc>
        <w:tc>
          <w:tcPr>
            <w:tcW w:w="1000" w:type="dxa"/>
            <w:shd w:val="clear" w:color="auto" w:fill="auto"/>
            <w:noWrap/>
            <w:vAlign w:val="center"/>
          </w:tcPr>
          <w:p w14:paraId="55589C3F" w14:textId="357D2FB7"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In (zvyšuje náklady)</w:t>
            </w:r>
          </w:p>
        </w:tc>
        <w:tc>
          <w:tcPr>
            <w:tcW w:w="708" w:type="dxa"/>
            <w:shd w:val="clear" w:color="auto" w:fill="auto"/>
            <w:noWrap/>
            <w:vAlign w:val="center"/>
          </w:tcPr>
          <w:p w14:paraId="436EFAEC" w14:textId="6FFE863E" w:rsidR="00AE300D" w:rsidRPr="00AE300D" w:rsidRDefault="00AE300D" w:rsidP="00AE300D">
            <w:pPr>
              <w:spacing w:after="0" w:line="240" w:lineRule="auto"/>
              <w:jc w:val="center"/>
              <w:rPr>
                <w:rFonts w:ascii="Arial Narrow" w:hAnsi="Arial Narrow" w:cs="Times New Roman"/>
              </w:rPr>
            </w:pPr>
            <w:r w:rsidRPr="00AE300D">
              <w:rPr>
                <w:rFonts w:ascii="Arial Narrow" w:hAnsi="Arial Narrow" w:cs="Times New Roman"/>
              </w:rPr>
              <w:t>0</w:t>
            </w:r>
          </w:p>
        </w:tc>
        <w:tc>
          <w:tcPr>
            <w:tcW w:w="1134" w:type="dxa"/>
            <w:vAlign w:val="center"/>
          </w:tcPr>
          <w:p w14:paraId="139D0801" w14:textId="1025CA39" w:rsidR="00AE300D" w:rsidRPr="00AE300D" w:rsidRDefault="00AE300D" w:rsidP="00AE300D">
            <w:pPr>
              <w:spacing w:after="0" w:line="240" w:lineRule="auto"/>
              <w:jc w:val="center"/>
              <w:rPr>
                <w:rFonts w:ascii="Arial Narrow" w:hAnsi="Arial Narrow" w:cs="Times New Roman"/>
                <w:color w:val="000000"/>
              </w:rPr>
            </w:pPr>
            <w:r w:rsidRPr="00AE300D">
              <w:rPr>
                <w:rFonts w:ascii="Arial Narrow" w:hAnsi="Arial Narrow" w:cs="Times New Roman"/>
                <w:color w:val="000000"/>
              </w:rPr>
              <w:t>0</w:t>
            </w:r>
          </w:p>
        </w:tc>
      </w:tr>
      <w:tr w:rsidR="00AE300D" w:rsidRPr="00BC5E60" w14:paraId="3F3AB18D"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21504152" w14:textId="462783CE" w:rsidR="00AE300D" w:rsidRPr="00BC5E60" w:rsidRDefault="00AE300D" w:rsidP="00AE300D">
            <w:pPr>
              <w:spacing w:after="0" w:line="240" w:lineRule="auto"/>
              <w:rPr>
                <w:color w:val="000000"/>
                <w:sz w:val="20"/>
                <w:szCs w:val="20"/>
              </w:rPr>
            </w:pPr>
            <w:r w:rsidRPr="00BC5E60">
              <w:rPr>
                <w:color w:val="000000"/>
                <w:sz w:val="20"/>
                <w:szCs w:val="20"/>
              </w:rPr>
              <w:t>11</w:t>
            </w:r>
          </w:p>
        </w:tc>
        <w:tc>
          <w:tcPr>
            <w:tcW w:w="1740" w:type="dxa"/>
            <w:shd w:val="clear" w:color="auto" w:fill="auto"/>
            <w:vAlign w:val="center"/>
          </w:tcPr>
          <w:p w14:paraId="1EE69EB0" w14:textId="64FD8387"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ponúkanie PL AIF z EÚ v rámci sporenia zamestnancov</w:t>
            </w:r>
          </w:p>
        </w:tc>
        <w:tc>
          <w:tcPr>
            <w:tcW w:w="992" w:type="dxa"/>
            <w:vAlign w:val="center"/>
          </w:tcPr>
          <w:p w14:paraId="10628CBF" w14:textId="112A2C10"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203/2011</w:t>
            </w:r>
          </w:p>
        </w:tc>
        <w:tc>
          <w:tcPr>
            <w:tcW w:w="1134" w:type="dxa"/>
            <w:vAlign w:val="center"/>
          </w:tcPr>
          <w:p w14:paraId="2FBE47D1" w14:textId="1C5B9B25"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148(12)</w:t>
            </w:r>
          </w:p>
        </w:tc>
        <w:tc>
          <w:tcPr>
            <w:tcW w:w="1843" w:type="dxa"/>
            <w:shd w:val="clear" w:color="auto" w:fill="auto"/>
            <w:vAlign w:val="center"/>
          </w:tcPr>
          <w:p w14:paraId="31D5DAE5" w14:textId="33CFDA78" w:rsidR="00AE300D" w:rsidRPr="00AE300D" w:rsidRDefault="00AE300D" w:rsidP="00AE300D">
            <w:pPr>
              <w:pStyle w:val="gmail-m-1648484718305530482msolistparagraph"/>
              <w:spacing w:before="0" w:beforeAutospacing="0" w:after="0" w:afterAutospacing="0"/>
              <w:jc w:val="center"/>
              <w:rPr>
                <w:rFonts w:ascii="Arial Narrow" w:hAnsi="Arial Narrow" w:cs="Times New Roman"/>
                <w:color w:val="000000"/>
              </w:rPr>
            </w:pPr>
            <w:r w:rsidRPr="00AE300D">
              <w:rPr>
                <w:rFonts w:ascii="Arial Narrow" w:hAnsi="Arial Narrow" w:cs="Times New Roman"/>
                <w:color w:val="000000"/>
              </w:rPr>
              <w:t>2. EÚ úplná harmonizácia</w:t>
            </w:r>
          </w:p>
        </w:tc>
        <w:tc>
          <w:tcPr>
            <w:tcW w:w="992" w:type="dxa"/>
            <w:vAlign w:val="center"/>
          </w:tcPr>
          <w:p w14:paraId="743B3EFB" w14:textId="51BF82BD"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16.04.26</w:t>
            </w:r>
          </w:p>
        </w:tc>
        <w:tc>
          <w:tcPr>
            <w:tcW w:w="1160" w:type="dxa"/>
            <w:shd w:val="clear" w:color="auto" w:fill="auto"/>
            <w:noWrap/>
            <w:vAlign w:val="center"/>
          </w:tcPr>
          <w:p w14:paraId="1FEC2171" w14:textId="2583F338"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správcovské spoločnosti</w:t>
            </w:r>
          </w:p>
        </w:tc>
        <w:tc>
          <w:tcPr>
            <w:tcW w:w="1108" w:type="dxa"/>
            <w:vAlign w:val="center"/>
          </w:tcPr>
          <w:p w14:paraId="40CBA213" w14:textId="40460431"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 xml:space="preserve">                   1 </w:t>
            </w:r>
          </w:p>
        </w:tc>
        <w:tc>
          <w:tcPr>
            <w:tcW w:w="851" w:type="dxa"/>
            <w:shd w:val="clear" w:color="auto" w:fill="auto"/>
            <w:noWrap/>
            <w:vAlign w:val="center"/>
          </w:tcPr>
          <w:p w14:paraId="5F158B51" w14:textId="15E7A828"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3 782</w:t>
            </w:r>
          </w:p>
        </w:tc>
        <w:tc>
          <w:tcPr>
            <w:tcW w:w="843" w:type="dxa"/>
            <w:shd w:val="clear" w:color="auto" w:fill="auto"/>
            <w:noWrap/>
            <w:vAlign w:val="center"/>
          </w:tcPr>
          <w:p w14:paraId="588E8927" w14:textId="4AC9BDE8"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3 782</w:t>
            </w:r>
          </w:p>
        </w:tc>
        <w:tc>
          <w:tcPr>
            <w:tcW w:w="1000" w:type="dxa"/>
            <w:shd w:val="clear" w:color="auto" w:fill="auto"/>
            <w:noWrap/>
            <w:vAlign w:val="center"/>
          </w:tcPr>
          <w:p w14:paraId="6F307821" w14:textId="369E1A82"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In (zvyšuje náklady)</w:t>
            </w:r>
          </w:p>
        </w:tc>
        <w:tc>
          <w:tcPr>
            <w:tcW w:w="708" w:type="dxa"/>
            <w:shd w:val="clear" w:color="auto" w:fill="auto"/>
            <w:noWrap/>
            <w:vAlign w:val="center"/>
          </w:tcPr>
          <w:p w14:paraId="317D7776" w14:textId="404B50AE" w:rsidR="00AE300D" w:rsidRPr="00AE300D" w:rsidRDefault="00AE300D" w:rsidP="00AE300D">
            <w:pPr>
              <w:spacing w:after="0" w:line="240" w:lineRule="auto"/>
              <w:jc w:val="center"/>
              <w:rPr>
                <w:rFonts w:ascii="Arial Narrow" w:hAnsi="Arial Narrow" w:cs="Times New Roman"/>
              </w:rPr>
            </w:pPr>
            <w:r w:rsidRPr="00AE300D">
              <w:rPr>
                <w:rFonts w:ascii="Arial Narrow" w:hAnsi="Arial Narrow" w:cs="Times New Roman"/>
              </w:rPr>
              <w:t>0</w:t>
            </w:r>
          </w:p>
        </w:tc>
        <w:tc>
          <w:tcPr>
            <w:tcW w:w="1134" w:type="dxa"/>
            <w:vAlign w:val="center"/>
          </w:tcPr>
          <w:p w14:paraId="355CABE1" w14:textId="04FFE87C" w:rsidR="00AE300D" w:rsidRPr="00AE300D" w:rsidRDefault="00AE300D" w:rsidP="00AE300D">
            <w:pPr>
              <w:spacing w:after="0" w:line="240" w:lineRule="auto"/>
              <w:jc w:val="center"/>
              <w:rPr>
                <w:rFonts w:ascii="Arial Narrow" w:hAnsi="Arial Narrow" w:cs="Times New Roman"/>
                <w:color w:val="000000"/>
              </w:rPr>
            </w:pPr>
            <w:r w:rsidRPr="00AE300D">
              <w:rPr>
                <w:rFonts w:ascii="Arial Narrow" w:hAnsi="Arial Narrow" w:cs="Times New Roman"/>
                <w:color w:val="000000"/>
              </w:rPr>
              <w:t>0</w:t>
            </w:r>
          </w:p>
        </w:tc>
      </w:tr>
      <w:tr w:rsidR="00AE300D" w:rsidRPr="00BC5E60" w14:paraId="01A8C0B5"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2BE6AE44" w14:textId="38F46E87" w:rsidR="00AE300D" w:rsidRPr="00BC5E60" w:rsidRDefault="00AE300D" w:rsidP="00AE300D">
            <w:pPr>
              <w:spacing w:after="0" w:line="240" w:lineRule="auto"/>
              <w:rPr>
                <w:color w:val="000000"/>
                <w:sz w:val="20"/>
                <w:szCs w:val="20"/>
              </w:rPr>
            </w:pPr>
            <w:r w:rsidRPr="00BC5E60">
              <w:rPr>
                <w:color w:val="000000"/>
                <w:sz w:val="20"/>
                <w:szCs w:val="20"/>
              </w:rPr>
              <w:t>12</w:t>
            </w:r>
          </w:p>
        </w:tc>
        <w:tc>
          <w:tcPr>
            <w:tcW w:w="1740" w:type="dxa"/>
            <w:shd w:val="clear" w:color="auto" w:fill="auto"/>
            <w:vAlign w:val="center"/>
          </w:tcPr>
          <w:p w14:paraId="4BB82485" w14:textId="0CD93C90"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správy o trhoch, na ktorých obchoduje a nástrojoch, s ktorými obchoduje</w:t>
            </w:r>
          </w:p>
        </w:tc>
        <w:tc>
          <w:tcPr>
            <w:tcW w:w="992" w:type="dxa"/>
            <w:vAlign w:val="center"/>
          </w:tcPr>
          <w:p w14:paraId="725DD688" w14:textId="49D9B47C"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203/2011</w:t>
            </w:r>
          </w:p>
        </w:tc>
        <w:tc>
          <w:tcPr>
            <w:tcW w:w="1134" w:type="dxa"/>
            <w:vAlign w:val="center"/>
          </w:tcPr>
          <w:p w14:paraId="14FC25E8" w14:textId="21F99D8D"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 161a</w:t>
            </w:r>
          </w:p>
        </w:tc>
        <w:tc>
          <w:tcPr>
            <w:tcW w:w="1843" w:type="dxa"/>
            <w:shd w:val="clear" w:color="auto" w:fill="auto"/>
            <w:vAlign w:val="center"/>
          </w:tcPr>
          <w:p w14:paraId="2846EA8F" w14:textId="19A2F617" w:rsidR="00AE300D" w:rsidRPr="00AE300D" w:rsidRDefault="00AE300D" w:rsidP="00AE300D">
            <w:pPr>
              <w:pStyle w:val="gmail-m-1648484718305530482msolistparagraph"/>
              <w:spacing w:before="0" w:beforeAutospacing="0" w:after="0" w:afterAutospacing="0"/>
              <w:jc w:val="center"/>
              <w:rPr>
                <w:rFonts w:ascii="Arial Narrow" w:hAnsi="Arial Narrow" w:cs="Times New Roman"/>
                <w:color w:val="000000"/>
              </w:rPr>
            </w:pPr>
            <w:r w:rsidRPr="00AE300D">
              <w:rPr>
                <w:rFonts w:ascii="Arial Narrow" w:hAnsi="Arial Narrow" w:cs="Times New Roman"/>
                <w:color w:val="000000"/>
              </w:rPr>
              <w:t>2. EÚ úplná harmonizácia</w:t>
            </w:r>
          </w:p>
        </w:tc>
        <w:tc>
          <w:tcPr>
            <w:tcW w:w="992" w:type="dxa"/>
            <w:vAlign w:val="center"/>
          </w:tcPr>
          <w:p w14:paraId="43A1290B" w14:textId="54AE2DA7"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16.04.27</w:t>
            </w:r>
          </w:p>
        </w:tc>
        <w:tc>
          <w:tcPr>
            <w:tcW w:w="1160" w:type="dxa"/>
            <w:shd w:val="clear" w:color="auto" w:fill="auto"/>
            <w:noWrap/>
            <w:vAlign w:val="center"/>
          </w:tcPr>
          <w:p w14:paraId="18B07493" w14:textId="3F7E91FE"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štandardné fondy</w:t>
            </w:r>
          </w:p>
        </w:tc>
        <w:tc>
          <w:tcPr>
            <w:tcW w:w="1108" w:type="dxa"/>
            <w:vAlign w:val="center"/>
          </w:tcPr>
          <w:p w14:paraId="4474DC41" w14:textId="046E7415"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 xml:space="preserve">                 62 </w:t>
            </w:r>
          </w:p>
        </w:tc>
        <w:tc>
          <w:tcPr>
            <w:tcW w:w="851" w:type="dxa"/>
            <w:shd w:val="clear" w:color="auto" w:fill="auto"/>
            <w:noWrap/>
            <w:vAlign w:val="center"/>
          </w:tcPr>
          <w:p w14:paraId="523293F0" w14:textId="5E5FAFB8"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354</w:t>
            </w:r>
          </w:p>
        </w:tc>
        <w:tc>
          <w:tcPr>
            <w:tcW w:w="843" w:type="dxa"/>
            <w:shd w:val="clear" w:color="auto" w:fill="auto"/>
            <w:noWrap/>
            <w:vAlign w:val="center"/>
          </w:tcPr>
          <w:p w14:paraId="79622E5C" w14:textId="47AA68D0"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21 918</w:t>
            </w:r>
          </w:p>
        </w:tc>
        <w:tc>
          <w:tcPr>
            <w:tcW w:w="1000" w:type="dxa"/>
            <w:shd w:val="clear" w:color="auto" w:fill="auto"/>
            <w:noWrap/>
            <w:vAlign w:val="center"/>
          </w:tcPr>
          <w:p w14:paraId="469966E6" w14:textId="31291A89"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In (zvyšuje náklady)</w:t>
            </w:r>
          </w:p>
        </w:tc>
        <w:tc>
          <w:tcPr>
            <w:tcW w:w="708" w:type="dxa"/>
            <w:shd w:val="clear" w:color="auto" w:fill="auto"/>
            <w:noWrap/>
            <w:vAlign w:val="center"/>
          </w:tcPr>
          <w:p w14:paraId="060D598E" w14:textId="40DFE7D4" w:rsidR="00AE300D" w:rsidRPr="00AE300D" w:rsidRDefault="00AE300D" w:rsidP="00AE300D">
            <w:pPr>
              <w:spacing w:after="0" w:line="240" w:lineRule="auto"/>
              <w:jc w:val="center"/>
              <w:rPr>
                <w:rFonts w:ascii="Arial Narrow" w:hAnsi="Arial Narrow" w:cs="Times New Roman"/>
              </w:rPr>
            </w:pPr>
            <w:r w:rsidRPr="00AE300D">
              <w:rPr>
                <w:rFonts w:ascii="Arial Narrow" w:hAnsi="Arial Narrow" w:cs="Times New Roman"/>
              </w:rPr>
              <w:t>0</w:t>
            </w:r>
          </w:p>
        </w:tc>
        <w:tc>
          <w:tcPr>
            <w:tcW w:w="1134" w:type="dxa"/>
            <w:vAlign w:val="center"/>
          </w:tcPr>
          <w:p w14:paraId="49314173" w14:textId="304B26F0" w:rsidR="00AE300D" w:rsidRPr="00AE300D" w:rsidRDefault="00AE300D" w:rsidP="00AE300D">
            <w:pPr>
              <w:spacing w:after="0" w:line="240" w:lineRule="auto"/>
              <w:jc w:val="center"/>
              <w:rPr>
                <w:rFonts w:ascii="Arial Narrow" w:hAnsi="Arial Narrow" w:cs="Times New Roman"/>
                <w:color w:val="000000"/>
              </w:rPr>
            </w:pPr>
            <w:r w:rsidRPr="00AE300D">
              <w:rPr>
                <w:rFonts w:ascii="Arial Narrow" w:hAnsi="Arial Narrow" w:cs="Times New Roman"/>
                <w:color w:val="000000"/>
              </w:rPr>
              <w:t>0</w:t>
            </w:r>
          </w:p>
        </w:tc>
      </w:tr>
      <w:tr w:rsidR="00AE300D" w:rsidRPr="00BC5E60" w14:paraId="096077CC"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2552A1AC" w14:textId="1DD57714" w:rsidR="00AE300D" w:rsidRPr="00BC5E60" w:rsidRDefault="00AE300D" w:rsidP="00AE300D">
            <w:pPr>
              <w:spacing w:after="0" w:line="240" w:lineRule="auto"/>
              <w:rPr>
                <w:color w:val="000000"/>
                <w:sz w:val="20"/>
                <w:szCs w:val="20"/>
              </w:rPr>
            </w:pPr>
            <w:r w:rsidRPr="00BC5E60">
              <w:rPr>
                <w:color w:val="000000"/>
                <w:sz w:val="20"/>
                <w:szCs w:val="20"/>
              </w:rPr>
              <w:lastRenderedPageBreak/>
              <w:t>13</w:t>
            </w:r>
          </w:p>
        </w:tc>
        <w:tc>
          <w:tcPr>
            <w:tcW w:w="1740" w:type="dxa"/>
            <w:shd w:val="clear" w:color="auto" w:fill="auto"/>
            <w:vAlign w:val="center"/>
          </w:tcPr>
          <w:p w14:paraId="6E1103C5" w14:textId="7A6026E7"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správa štandardného fondu na podnet tretej osoby</w:t>
            </w:r>
          </w:p>
        </w:tc>
        <w:tc>
          <w:tcPr>
            <w:tcW w:w="992" w:type="dxa"/>
            <w:vAlign w:val="center"/>
          </w:tcPr>
          <w:p w14:paraId="1DCA96ED" w14:textId="76BA05E3"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203/2011</w:t>
            </w:r>
          </w:p>
        </w:tc>
        <w:tc>
          <w:tcPr>
            <w:tcW w:w="1134" w:type="dxa"/>
            <w:vAlign w:val="center"/>
          </w:tcPr>
          <w:p w14:paraId="000CCD68" w14:textId="3DBA3C7E"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  44(6)</w:t>
            </w:r>
          </w:p>
        </w:tc>
        <w:tc>
          <w:tcPr>
            <w:tcW w:w="1843" w:type="dxa"/>
            <w:shd w:val="clear" w:color="auto" w:fill="auto"/>
            <w:vAlign w:val="center"/>
          </w:tcPr>
          <w:p w14:paraId="0630B0F4" w14:textId="653480BB" w:rsidR="00AE300D" w:rsidRPr="00AE300D" w:rsidRDefault="00AE300D" w:rsidP="00AE300D">
            <w:pPr>
              <w:pStyle w:val="gmail-m-1648484718305530482msolistparagraph"/>
              <w:spacing w:before="0" w:beforeAutospacing="0" w:after="0" w:afterAutospacing="0"/>
              <w:jc w:val="center"/>
              <w:rPr>
                <w:rFonts w:ascii="Arial Narrow" w:hAnsi="Arial Narrow" w:cs="Times New Roman"/>
                <w:color w:val="000000"/>
              </w:rPr>
            </w:pPr>
            <w:r w:rsidRPr="00AE300D">
              <w:rPr>
                <w:rFonts w:ascii="Arial Narrow" w:hAnsi="Arial Narrow" w:cs="Times New Roman"/>
                <w:color w:val="000000"/>
              </w:rPr>
              <w:t>2. EÚ úplná harmonizácia</w:t>
            </w:r>
          </w:p>
        </w:tc>
        <w:tc>
          <w:tcPr>
            <w:tcW w:w="992" w:type="dxa"/>
            <w:vAlign w:val="center"/>
          </w:tcPr>
          <w:p w14:paraId="15012D87" w14:textId="45CFBE55"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16.04.26</w:t>
            </w:r>
          </w:p>
        </w:tc>
        <w:tc>
          <w:tcPr>
            <w:tcW w:w="1160" w:type="dxa"/>
            <w:shd w:val="clear" w:color="auto" w:fill="auto"/>
            <w:noWrap/>
            <w:vAlign w:val="center"/>
          </w:tcPr>
          <w:p w14:paraId="693C4D9B" w14:textId="2E59D034"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správcovské spoločnosti</w:t>
            </w:r>
          </w:p>
        </w:tc>
        <w:tc>
          <w:tcPr>
            <w:tcW w:w="1108" w:type="dxa"/>
            <w:vAlign w:val="center"/>
          </w:tcPr>
          <w:p w14:paraId="497A187B" w14:textId="61184984"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 xml:space="preserve">                   1 </w:t>
            </w:r>
          </w:p>
        </w:tc>
        <w:tc>
          <w:tcPr>
            <w:tcW w:w="851" w:type="dxa"/>
            <w:shd w:val="clear" w:color="auto" w:fill="auto"/>
            <w:noWrap/>
            <w:vAlign w:val="center"/>
          </w:tcPr>
          <w:p w14:paraId="6C0A00E5" w14:textId="6F972345"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2 503</w:t>
            </w:r>
          </w:p>
        </w:tc>
        <w:tc>
          <w:tcPr>
            <w:tcW w:w="843" w:type="dxa"/>
            <w:shd w:val="clear" w:color="auto" w:fill="auto"/>
            <w:noWrap/>
            <w:vAlign w:val="center"/>
          </w:tcPr>
          <w:p w14:paraId="56D145B4" w14:textId="34853249"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2 503</w:t>
            </w:r>
          </w:p>
        </w:tc>
        <w:tc>
          <w:tcPr>
            <w:tcW w:w="1000" w:type="dxa"/>
            <w:shd w:val="clear" w:color="auto" w:fill="auto"/>
            <w:noWrap/>
            <w:vAlign w:val="center"/>
          </w:tcPr>
          <w:p w14:paraId="356BF59D" w14:textId="5AC92423"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In (zvyšuje náklady)</w:t>
            </w:r>
          </w:p>
        </w:tc>
        <w:tc>
          <w:tcPr>
            <w:tcW w:w="708" w:type="dxa"/>
            <w:shd w:val="clear" w:color="auto" w:fill="auto"/>
            <w:noWrap/>
            <w:vAlign w:val="center"/>
          </w:tcPr>
          <w:p w14:paraId="09BA5F1B" w14:textId="44CE895C" w:rsidR="00AE300D" w:rsidRPr="00AE300D" w:rsidRDefault="00AE300D" w:rsidP="00AE300D">
            <w:pPr>
              <w:spacing w:after="0" w:line="240" w:lineRule="auto"/>
              <w:jc w:val="center"/>
              <w:rPr>
                <w:rFonts w:ascii="Arial Narrow" w:hAnsi="Arial Narrow" w:cs="Times New Roman"/>
              </w:rPr>
            </w:pPr>
            <w:r w:rsidRPr="00AE300D">
              <w:rPr>
                <w:rFonts w:ascii="Arial Narrow" w:hAnsi="Arial Narrow" w:cs="Times New Roman"/>
              </w:rPr>
              <w:t>0</w:t>
            </w:r>
          </w:p>
        </w:tc>
        <w:tc>
          <w:tcPr>
            <w:tcW w:w="1134" w:type="dxa"/>
            <w:vAlign w:val="center"/>
          </w:tcPr>
          <w:p w14:paraId="4DDF44D5" w14:textId="20E59CC6" w:rsidR="00AE300D" w:rsidRPr="00AE300D" w:rsidRDefault="00AE300D" w:rsidP="00AE300D">
            <w:pPr>
              <w:spacing w:after="0" w:line="240" w:lineRule="auto"/>
              <w:jc w:val="center"/>
              <w:rPr>
                <w:rFonts w:ascii="Arial Narrow" w:hAnsi="Arial Narrow" w:cs="Times New Roman"/>
                <w:color w:val="000000"/>
              </w:rPr>
            </w:pPr>
            <w:r w:rsidRPr="00AE300D">
              <w:rPr>
                <w:rFonts w:ascii="Arial Narrow" w:hAnsi="Arial Narrow" w:cs="Times New Roman"/>
                <w:color w:val="000000"/>
              </w:rPr>
              <w:t>0</w:t>
            </w:r>
          </w:p>
        </w:tc>
      </w:tr>
      <w:tr w:rsidR="00AE300D" w:rsidRPr="00BC5E60" w14:paraId="65B1D152"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40EFFC0" w14:textId="0CE16B65" w:rsidR="00AE300D" w:rsidRPr="00BC5E60" w:rsidRDefault="00AE300D" w:rsidP="00AE300D">
            <w:pPr>
              <w:spacing w:after="0" w:line="240" w:lineRule="auto"/>
              <w:rPr>
                <w:color w:val="000000"/>
                <w:sz w:val="20"/>
                <w:szCs w:val="20"/>
              </w:rPr>
            </w:pPr>
            <w:r w:rsidRPr="00BC5E60">
              <w:rPr>
                <w:color w:val="000000"/>
                <w:sz w:val="20"/>
                <w:szCs w:val="20"/>
              </w:rPr>
              <w:t>14</w:t>
            </w:r>
          </w:p>
        </w:tc>
        <w:tc>
          <w:tcPr>
            <w:tcW w:w="1740" w:type="dxa"/>
            <w:shd w:val="clear" w:color="auto" w:fill="auto"/>
            <w:vAlign w:val="center"/>
          </w:tcPr>
          <w:p w14:paraId="3E7631F5" w14:textId="2DF2886D"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 xml:space="preserve">zmena obchodného mena registrovaného správcu s označením "správca </w:t>
            </w:r>
            <w:r w:rsidR="006C42CC">
              <w:rPr>
                <w:rFonts w:ascii="Arial Narrow" w:hAnsi="Arial Narrow" w:cs="Times New Roman"/>
                <w:color w:val="000000"/>
              </w:rPr>
              <w:t>podlimitných rizikových fondov</w:t>
            </w:r>
            <w:r w:rsidRPr="00AE300D">
              <w:rPr>
                <w:rFonts w:ascii="Arial Narrow" w:hAnsi="Arial Narrow" w:cs="Times New Roman"/>
                <w:color w:val="000000"/>
              </w:rPr>
              <w:t>"</w:t>
            </w:r>
          </w:p>
        </w:tc>
        <w:tc>
          <w:tcPr>
            <w:tcW w:w="992" w:type="dxa"/>
            <w:vAlign w:val="center"/>
          </w:tcPr>
          <w:p w14:paraId="5767493D" w14:textId="0A4E51DF"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203/2011</w:t>
            </w:r>
          </w:p>
        </w:tc>
        <w:tc>
          <w:tcPr>
            <w:tcW w:w="1134" w:type="dxa"/>
            <w:vAlign w:val="center"/>
          </w:tcPr>
          <w:p w14:paraId="30717CB5" w14:textId="2C31A57D"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 31b(3)(a)</w:t>
            </w:r>
          </w:p>
        </w:tc>
        <w:tc>
          <w:tcPr>
            <w:tcW w:w="1843" w:type="dxa"/>
            <w:shd w:val="clear" w:color="auto" w:fill="auto"/>
            <w:vAlign w:val="center"/>
          </w:tcPr>
          <w:p w14:paraId="0CC9F38A" w14:textId="17AA7742" w:rsidR="00AE300D" w:rsidRPr="00AE300D" w:rsidRDefault="00AE300D" w:rsidP="00AE300D">
            <w:pPr>
              <w:pStyle w:val="gmail-m-1648484718305530482msolistparagraph"/>
              <w:spacing w:before="0" w:beforeAutospacing="0" w:after="0" w:afterAutospacing="0"/>
              <w:jc w:val="center"/>
              <w:rPr>
                <w:rFonts w:ascii="Arial Narrow" w:hAnsi="Arial Narrow" w:cs="Times New Roman"/>
                <w:color w:val="000000"/>
              </w:rPr>
            </w:pPr>
            <w:r w:rsidRPr="00AE300D">
              <w:rPr>
                <w:rFonts w:ascii="Arial Narrow" w:hAnsi="Arial Narrow" w:cs="Times New Roman"/>
                <w:color w:val="000000"/>
              </w:rPr>
              <w:t>1.SK</w:t>
            </w:r>
          </w:p>
        </w:tc>
        <w:tc>
          <w:tcPr>
            <w:tcW w:w="992" w:type="dxa"/>
            <w:vAlign w:val="center"/>
          </w:tcPr>
          <w:p w14:paraId="3A90A90F" w14:textId="0389882A"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1..1.2027</w:t>
            </w:r>
          </w:p>
        </w:tc>
        <w:tc>
          <w:tcPr>
            <w:tcW w:w="1160" w:type="dxa"/>
            <w:shd w:val="clear" w:color="auto" w:fill="auto"/>
            <w:noWrap/>
            <w:vAlign w:val="center"/>
          </w:tcPr>
          <w:p w14:paraId="5AB27991" w14:textId="08BFFEA4"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registrovaní správcovia</w:t>
            </w:r>
          </w:p>
        </w:tc>
        <w:tc>
          <w:tcPr>
            <w:tcW w:w="1108" w:type="dxa"/>
            <w:vAlign w:val="center"/>
          </w:tcPr>
          <w:p w14:paraId="0BEE96B5" w14:textId="215F2D21"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 xml:space="preserve">                 36 </w:t>
            </w:r>
          </w:p>
        </w:tc>
        <w:tc>
          <w:tcPr>
            <w:tcW w:w="851" w:type="dxa"/>
            <w:shd w:val="clear" w:color="auto" w:fill="auto"/>
            <w:noWrap/>
            <w:vAlign w:val="center"/>
          </w:tcPr>
          <w:p w14:paraId="5B1847DD" w14:textId="1B0FC05C"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261</w:t>
            </w:r>
          </w:p>
        </w:tc>
        <w:tc>
          <w:tcPr>
            <w:tcW w:w="843" w:type="dxa"/>
            <w:shd w:val="clear" w:color="auto" w:fill="auto"/>
            <w:noWrap/>
            <w:vAlign w:val="center"/>
          </w:tcPr>
          <w:p w14:paraId="4D89C645" w14:textId="05988F99"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9 409</w:t>
            </w:r>
          </w:p>
        </w:tc>
        <w:tc>
          <w:tcPr>
            <w:tcW w:w="1000" w:type="dxa"/>
            <w:shd w:val="clear" w:color="auto" w:fill="auto"/>
            <w:noWrap/>
            <w:vAlign w:val="center"/>
          </w:tcPr>
          <w:p w14:paraId="39882EDE" w14:textId="76B24718"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In (zvyšuje náklady)</w:t>
            </w:r>
          </w:p>
        </w:tc>
        <w:tc>
          <w:tcPr>
            <w:tcW w:w="708" w:type="dxa"/>
            <w:shd w:val="clear" w:color="auto" w:fill="auto"/>
            <w:noWrap/>
            <w:vAlign w:val="center"/>
          </w:tcPr>
          <w:p w14:paraId="387AC068" w14:textId="2FB64BDC" w:rsidR="00AE300D" w:rsidRPr="00AE300D" w:rsidRDefault="00AE300D" w:rsidP="00AE300D">
            <w:pPr>
              <w:spacing w:after="0" w:line="240" w:lineRule="auto"/>
              <w:jc w:val="center"/>
              <w:rPr>
                <w:rFonts w:ascii="Arial Narrow" w:hAnsi="Arial Narrow" w:cs="Times New Roman"/>
              </w:rPr>
            </w:pPr>
            <w:r w:rsidRPr="00AE300D">
              <w:rPr>
                <w:rFonts w:ascii="Arial Narrow" w:hAnsi="Arial Narrow" w:cs="Times New Roman"/>
              </w:rPr>
              <w:t>9 409</w:t>
            </w:r>
          </w:p>
        </w:tc>
        <w:tc>
          <w:tcPr>
            <w:tcW w:w="1134" w:type="dxa"/>
            <w:vAlign w:val="center"/>
          </w:tcPr>
          <w:p w14:paraId="583433BD" w14:textId="46ED8AAD" w:rsidR="00AE300D" w:rsidRPr="00AE300D" w:rsidRDefault="00AE300D" w:rsidP="00AE300D">
            <w:pPr>
              <w:spacing w:after="0" w:line="240" w:lineRule="auto"/>
              <w:jc w:val="center"/>
              <w:rPr>
                <w:rFonts w:ascii="Arial Narrow" w:hAnsi="Arial Narrow" w:cs="Times New Roman"/>
                <w:color w:val="000000"/>
              </w:rPr>
            </w:pPr>
            <w:r w:rsidRPr="00AE300D">
              <w:rPr>
                <w:rFonts w:ascii="Arial Narrow" w:hAnsi="Arial Narrow" w:cs="Times New Roman"/>
                <w:color w:val="000000"/>
              </w:rPr>
              <w:t>0</w:t>
            </w:r>
          </w:p>
        </w:tc>
      </w:tr>
      <w:tr w:rsidR="00AE300D" w:rsidRPr="00BC5E60" w14:paraId="0D5708B4"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BAC9D53" w14:textId="74E7392B" w:rsidR="00AE300D" w:rsidRPr="00BC5E60" w:rsidRDefault="00AE300D" w:rsidP="00AE300D">
            <w:pPr>
              <w:spacing w:after="0" w:line="240" w:lineRule="auto"/>
              <w:rPr>
                <w:color w:val="000000"/>
                <w:sz w:val="20"/>
                <w:szCs w:val="20"/>
              </w:rPr>
            </w:pPr>
            <w:r w:rsidRPr="00BC5E60">
              <w:rPr>
                <w:color w:val="000000"/>
                <w:sz w:val="20"/>
                <w:szCs w:val="20"/>
              </w:rPr>
              <w:t>15</w:t>
            </w:r>
          </w:p>
        </w:tc>
        <w:tc>
          <w:tcPr>
            <w:tcW w:w="1740" w:type="dxa"/>
            <w:shd w:val="clear" w:color="auto" w:fill="auto"/>
            <w:vAlign w:val="center"/>
          </w:tcPr>
          <w:p w14:paraId="281C65E0" w14:textId="416B9DEF"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Predkladanie správ elektronicky ako základné pravidlo</w:t>
            </w:r>
          </w:p>
        </w:tc>
        <w:tc>
          <w:tcPr>
            <w:tcW w:w="992" w:type="dxa"/>
            <w:vAlign w:val="center"/>
          </w:tcPr>
          <w:p w14:paraId="647D0B6E" w14:textId="2877526E"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203/2011</w:t>
            </w:r>
          </w:p>
        </w:tc>
        <w:tc>
          <w:tcPr>
            <w:tcW w:w="1134" w:type="dxa"/>
            <w:vAlign w:val="center"/>
          </w:tcPr>
          <w:p w14:paraId="2C2C589F" w14:textId="5A998DEB"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 191 (1)</w:t>
            </w:r>
          </w:p>
        </w:tc>
        <w:tc>
          <w:tcPr>
            <w:tcW w:w="1843" w:type="dxa"/>
            <w:shd w:val="clear" w:color="auto" w:fill="auto"/>
            <w:vAlign w:val="center"/>
          </w:tcPr>
          <w:p w14:paraId="3C50A78D" w14:textId="545D2163" w:rsidR="00AE300D" w:rsidRPr="00AE300D" w:rsidRDefault="00AE300D" w:rsidP="00AE300D">
            <w:pPr>
              <w:pStyle w:val="gmail-m-1648484718305530482msolistparagraph"/>
              <w:spacing w:before="0" w:beforeAutospacing="0" w:after="0" w:afterAutospacing="0"/>
              <w:jc w:val="center"/>
              <w:rPr>
                <w:rFonts w:ascii="Arial Narrow" w:hAnsi="Arial Narrow" w:cs="Times New Roman"/>
                <w:color w:val="000000"/>
              </w:rPr>
            </w:pPr>
            <w:r w:rsidRPr="00AE300D">
              <w:rPr>
                <w:rFonts w:ascii="Arial Narrow" w:hAnsi="Arial Narrow" w:cs="Times New Roman"/>
                <w:color w:val="000000"/>
              </w:rPr>
              <w:t>1.SK</w:t>
            </w:r>
          </w:p>
        </w:tc>
        <w:tc>
          <w:tcPr>
            <w:tcW w:w="992" w:type="dxa"/>
            <w:vAlign w:val="center"/>
          </w:tcPr>
          <w:p w14:paraId="7D389340" w14:textId="2EBE605A"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01.01.26</w:t>
            </w:r>
          </w:p>
        </w:tc>
        <w:tc>
          <w:tcPr>
            <w:tcW w:w="1160" w:type="dxa"/>
            <w:shd w:val="clear" w:color="auto" w:fill="auto"/>
            <w:noWrap/>
            <w:vAlign w:val="center"/>
          </w:tcPr>
          <w:p w14:paraId="7E7605F1" w14:textId="3C2EFEAF"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správcovské spoločnosti</w:t>
            </w:r>
          </w:p>
        </w:tc>
        <w:tc>
          <w:tcPr>
            <w:tcW w:w="1108" w:type="dxa"/>
            <w:vAlign w:val="center"/>
          </w:tcPr>
          <w:p w14:paraId="10CEECF5" w14:textId="3991C8EC"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 xml:space="preserve">                 10 </w:t>
            </w:r>
          </w:p>
        </w:tc>
        <w:tc>
          <w:tcPr>
            <w:tcW w:w="851" w:type="dxa"/>
            <w:shd w:val="clear" w:color="auto" w:fill="auto"/>
            <w:noWrap/>
            <w:vAlign w:val="center"/>
          </w:tcPr>
          <w:p w14:paraId="6D6536F6" w14:textId="2EA16B14"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16</w:t>
            </w:r>
          </w:p>
        </w:tc>
        <w:tc>
          <w:tcPr>
            <w:tcW w:w="843" w:type="dxa"/>
            <w:shd w:val="clear" w:color="auto" w:fill="auto"/>
            <w:noWrap/>
            <w:vAlign w:val="center"/>
          </w:tcPr>
          <w:p w14:paraId="5EFA71E7" w14:textId="649A19F3"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160</w:t>
            </w:r>
          </w:p>
        </w:tc>
        <w:tc>
          <w:tcPr>
            <w:tcW w:w="1000" w:type="dxa"/>
            <w:shd w:val="clear" w:color="auto" w:fill="auto"/>
            <w:noWrap/>
            <w:vAlign w:val="center"/>
          </w:tcPr>
          <w:p w14:paraId="48F0928B" w14:textId="361F9E6A" w:rsidR="00AE300D" w:rsidRPr="00AE300D" w:rsidRDefault="00AE300D" w:rsidP="00AE300D">
            <w:pPr>
              <w:spacing w:after="0" w:line="240" w:lineRule="auto"/>
              <w:rPr>
                <w:rFonts w:ascii="Arial Narrow" w:hAnsi="Arial Narrow" w:cs="Times New Roman"/>
                <w:color w:val="000000"/>
              </w:rPr>
            </w:pPr>
            <w:proofErr w:type="spellStart"/>
            <w:r w:rsidRPr="00AE300D">
              <w:rPr>
                <w:rFonts w:ascii="Arial Narrow" w:hAnsi="Arial Narrow" w:cs="Times New Roman"/>
                <w:color w:val="000000"/>
              </w:rPr>
              <w:t>Out</w:t>
            </w:r>
            <w:proofErr w:type="spellEnd"/>
            <w:r w:rsidRPr="00AE300D">
              <w:rPr>
                <w:rFonts w:ascii="Arial Narrow" w:hAnsi="Arial Narrow" w:cs="Times New Roman"/>
                <w:color w:val="000000"/>
              </w:rPr>
              <w:t xml:space="preserve"> (znižuje náklady)</w:t>
            </w:r>
          </w:p>
        </w:tc>
        <w:tc>
          <w:tcPr>
            <w:tcW w:w="708" w:type="dxa"/>
            <w:shd w:val="clear" w:color="auto" w:fill="auto"/>
            <w:noWrap/>
            <w:vAlign w:val="center"/>
          </w:tcPr>
          <w:p w14:paraId="5032C05A" w14:textId="6CF4CFA7" w:rsidR="00AE300D" w:rsidRPr="00AE300D" w:rsidRDefault="00AE300D" w:rsidP="00AE300D">
            <w:pPr>
              <w:spacing w:after="0" w:line="240" w:lineRule="auto"/>
              <w:jc w:val="center"/>
              <w:rPr>
                <w:rFonts w:ascii="Arial Narrow" w:hAnsi="Arial Narrow" w:cs="Times New Roman"/>
              </w:rPr>
            </w:pPr>
            <w:r w:rsidRPr="00AE300D">
              <w:rPr>
                <w:rFonts w:ascii="Arial Narrow" w:hAnsi="Arial Narrow" w:cs="Times New Roman"/>
              </w:rPr>
              <w:t>160</w:t>
            </w:r>
          </w:p>
        </w:tc>
        <w:tc>
          <w:tcPr>
            <w:tcW w:w="1134" w:type="dxa"/>
            <w:vAlign w:val="center"/>
          </w:tcPr>
          <w:p w14:paraId="460A1F13" w14:textId="5667B7B5" w:rsidR="00AE300D" w:rsidRPr="00AE300D" w:rsidRDefault="00AE300D" w:rsidP="00AE300D">
            <w:pPr>
              <w:spacing w:after="0" w:line="240" w:lineRule="auto"/>
              <w:jc w:val="center"/>
              <w:rPr>
                <w:rFonts w:ascii="Arial Narrow" w:hAnsi="Arial Narrow" w:cs="Times New Roman"/>
                <w:color w:val="000000"/>
              </w:rPr>
            </w:pPr>
            <w:r w:rsidRPr="00AE300D">
              <w:rPr>
                <w:rFonts w:ascii="Arial Narrow" w:hAnsi="Arial Narrow" w:cs="Times New Roman"/>
                <w:color w:val="000000"/>
              </w:rPr>
              <w:t>0</w:t>
            </w:r>
          </w:p>
        </w:tc>
      </w:tr>
      <w:tr w:rsidR="00AE300D" w:rsidRPr="00BC5E60" w14:paraId="51AA8F64" w14:textId="77777777" w:rsidTr="003E4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22DB09F5" w14:textId="5099B1FE" w:rsidR="00AE300D" w:rsidRPr="00BC5E60" w:rsidRDefault="00AE300D" w:rsidP="00AE300D">
            <w:pPr>
              <w:spacing w:after="0" w:line="240" w:lineRule="auto"/>
              <w:rPr>
                <w:color w:val="000000"/>
                <w:sz w:val="20"/>
                <w:szCs w:val="20"/>
              </w:rPr>
            </w:pPr>
            <w:r w:rsidRPr="00BC5E60">
              <w:rPr>
                <w:color w:val="000000"/>
                <w:sz w:val="20"/>
                <w:szCs w:val="20"/>
              </w:rPr>
              <w:t>16</w:t>
            </w:r>
          </w:p>
        </w:tc>
        <w:tc>
          <w:tcPr>
            <w:tcW w:w="1740" w:type="dxa"/>
            <w:shd w:val="clear" w:color="auto" w:fill="auto"/>
            <w:vAlign w:val="center"/>
          </w:tcPr>
          <w:p w14:paraId="4819ADE8" w14:textId="5ACC9585"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určenie zahraničného depozitára</w:t>
            </w:r>
          </w:p>
        </w:tc>
        <w:tc>
          <w:tcPr>
            <w:tcW w:w="992" w:type="dxa"/>
            <w:vAlign w:val="center"/>
          </w:tcPr>
          <w:p w14:paraId="1C317613" w14:textId="52871E20"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203/2011</w:t>
            </w:r>
          </w:p>
        </w:tc>
        <w:tc>
          <w:tcPr>
            <w:tcW w:w="1134" w:type="dxa"/>
            <w:vAlign w:val="center"/>
          </w:tcPr>
          <w:p w14:paraId="308B73BF" w14:textId="00924B44"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 70(8)</w:t>
            </w:r>
          </w:p>
        </w:tc>
        <w:tc>
          <w:tcPr>
            <w:tcW w:w="1843" w:type="dxa"/>
            <w:shd w:val="clear" w:color="auto" w:fill="auto"/>
            <w:vAlign w:val="center"/>
          </w:tcPr>
          <w:p w14:paraId="70E42CBE" w14:textId="40A976B2" w:rsidR="00AE300D" w:rsidRPr="00AE300D" w:rsidRDefault="00AE300D" w:rsidP="00AE300D">
            <w:pPr>
              <w:pStyle w:val="gmail-m-1648484718305530482msolistparagraph"/>
              <w:spacing w:before="0" w:beforeAutospacing="0" w:after="0" w:afterAutospacing="0"/>
              <w:jc w:val="center"/>
              <w:rPr>
                <w:rFonts w:ascii="Arial Narrow" w:hAnsi="Arial Narrow" w:cs="Times New Roman"/>
                <w:color w:val="000000"/>
              </w:rPr>
            </w:pPr>
            <w:r w:rsidRPr="00AE300D">
              <w:rPr>
                <w:rFonts w:ascii="Arial Narrow" w:hAnsi="Arial Narrow" w:cs="Times New Roman"/>
                <w:color w:val="000000"/>
              </w:rPr>
              <w:t xml:space="preserve">3b)  Navýšenie  požiadaviek nad rámec minimálnych požiadaviek smernice EÚ, </w:t>
            </w:r>
          </w:p>
        </w:tc>
        <w:tc>
          <w:tcPr>
            <w:tcW w:w="992" w:type="dxa"/>
            <w:vAlign w:val="center"/>
          </w:tcPr>
          <w:p w14:paraId="7C95645D" w14:textId="41AC8916"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16.04.26</w:t>
            </w:r>
          </w:p>
        </w:tc>
        <w:tc>
          <w:tcPr>
            <w:tcW w:w="1160" w:type="dxa"/>
            <w:shd w:val="clear" w:color="auto" w:fill="auto"/>
            <w:noWrap/>
            <w:vAlign w:val="center"/>
          </w:tcPr>
          <w:p w14:paraId="0A3840FE" w14:textId="7D3EC965"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alternatívne investičné fondy</w:t>
            </w:r>
          </w:p>
        </w:tc>
        <w:tc>
          <w:tcPr>
            <w:tcW w:w="1108" w:type="dxa"/>
            <w:vAlign w:val="center"/>
          </w:tcPr>
          <w:p w14:paraId="2B2217D5" w14:textId="46BD299D"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 xml:space="preserve">                   2 </w:t>
            </w:r>
          </w:p>
        </w:tc>
        <w:tc>
          <w:tcPr>
            <w:tcW w:w="851" w:type="dxa"/>
            <w:shd w:val="clear" w:color="auto" w:fill="auto"/>
            <w:noWrap/>
            <w:vAlign w:val="center"/>
          </w:tcPr>
          <w:p w14:paraId="55F90BC3" w14:textId="275B2972"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135</w:t>
            </w:r>
          </w:p>
        </w:tc>
        <w:tc>
          <w:tcPr>
            <w:tcW w:w="843" w:type="dxa"/>
            <w:shd w:val="clear" w:color="auto" w:fill="auto"/>
            <w:noWrap/>
            <w:vAlign w:val="center"/>
          </w:tcPr>
          <w:p w14:paraId="4E451952" w14:textId="2C91499A" w:rsidR="00AE300D" w:rsidRPr="00AE300D" w:rsidRDefault="00AE300D" w:rsidP="00AE300D">
            <w:pPr>
              <w:spacing w:after="0" w:line="240" w:lineRule="auto"/>
              <w:jc w:val="right"/>
              <w:rPr>
                <w:rFonts w:ascii="Arial Narrow" w:hAnsi="Arial Narrow" w:cs="Times New Roman"/>
                <w:color w:val="000000"/>
              </w:rPr>
            </w:pPr>
            <w:r w:rsidRPr="00AE300D">
              <w:rPr>
                <w:rFonts w:ascii="Arial Narrow" w:hAnsi="Arial Narrow" w:cs="Times New Roman"/>
                <w:color w:val="000000"/>
              </w:rPr>
              <w:t>269</w:t>
            </w:r>
          </w:p>
        </w:tc>
        <w:tc>
          <w:tcPr>
            <w:tcW w:w="1000" w:type="dxa"/>
            <w:shd w:val="clear" w:color="auto" w:fill="auto"/>
            <w:noWrap/>
            <w:vAlign w:val="center"/>
          </w:tcPr>
          <w:p w14:paraId="4BE944B1" w14:textId="04FE5374" w:rsidR="00AE300D" w:rsidRPr="00AE300D" w:rsidRDefault="00AE300D" w:rsidP="00AE300D">
            <w:pPr>
              <w:spacing w:after="0" w:line="240" w:lineRule="auto"/>
              <w:rPr>
                <w:rFonts w:ascii="Arial Narrow" w:hAnsi="Arial Narrow" w:cs="Times New Roman"/>
                <w:color w:val="000000"/>
              </w:rPr>
            </w:pPr>
            <w:r w:rsidRPr="00AE300D">
              <w:rPr>
                <w:rFonts w:ascii="Arial Narrow" w:hAnsi="Arial Narrow" w:cs="Times New Roman"/>
                <w:color w:val="000000"/>
              </w:rPr>
              <w:t>In (zvyšuje náklady)</w:t>
            </w:r>
          </w:p>
        </w:tc>
        <w:tc>
          <w:tcPr>
            <w:tcW w:w="708" w:type="dxa"/>
            <w:shd w:val="clear" w:color="auto" w:fill="auto"/>
            <w:noWrap/>
            <w:vAlign w:val="center"/>
          </w:tcPr>
          <w:p w14:paraId="4EFD1557" w14:textId="07FE0CE2" w:rsidR="00AE300D" w:rsidRPr="00AE300D" w:rsidRDefault="00AE300D" w:rsidP="00AE300D">
            <w:pPr>
              <w:spacing w:after="0" w:line="240" w:lineRule="auto"/>
              <w:jc w:val="center"/>
              <w:rPr>
                <w:rFonts w:ascii="Arial Narrow" w:hAnsi="Arial Narrow" w:cs="Times New Roman"/>
              </w:rPr>
            </w:pPr>
            <w:r w:rsidRPr="00AE300D">
              <w:rPr>
                <w:rFonts w:ascii="Arial Narrow" w:hAnsi="Arial Narrow" w:cs="Times New Roman"/>
              </w:rPr>
              <w:t>269</w:t>
            </w:r>
          </w:p>
        </w:tc>
        <w:tc>
          <w:tcPr>
            <w:tcW w:w="1134" w:type="dxa"/>
            <w:vAlign w:val="center"/>
          </w:tcPr>
          <w:p w14:paraId="5E2878AE" w14:textId="30BB77D9" w:rsidR="00AE300D" w:rsidRPr="00AE300D" w:rsidRDefault="00AE300D" w:rsidP="00AE300D">
            <w:pPr>
              <w:spacing w:after="0" w:line="240" w:lineRule="auto"/>
              <w:jc w:val="center"/>
              <w:rPr>
                <w:rFonts w:ascii="Arial Narrow" w:hAnsi="Arial Narrow" w:cs="Times New Roman"/>
                <w:color w:val="000000"/>
              </w:rPr>
            </w:pPr>
            <w:r w:rsidRPr="00AE300D">
              <w:rPr>
                <w:rFonts w:ascii="Arial Narrow" w:hAnsi="Arial Narrow" w:cs="Times New Roman"/>
                <w:color w:val="000000"/>
              </w:rPr>
              <w:t>269</w:t>
            </w:r>
          </w:p>
        </w:tc>
      </w:tr>
    </w:tbl>
    <w:p w14:paraId="520734CD" w14:textId="77777777" w:rsidR="00054C41" w:rsidRPr="00BC5E60" w:rsidRDefault="00054C41" w:rsidP="00054C41">
      <w:pPr>
        <w:jc w:val="both"/>
        <w:rPr>
          <w:rFonts w:ascii="Times New Roman" w:eastAsia="Calibri" w:hAnsi="Times New Roman" w:cs="Times New Roman"/>
          <w:i/>
        </w:rPr>
      </w:pPr>
    </w:p>
    <w:p w14:paraId="798179FB" w14:textId="77777777" w:rsidR="00054C41" w:rsidRPr="00BC5E60" w:rsidRDefault="00054C41" w:rsidP="00054C41">
      <w:pPr>
        <w:jc w:val="both"/>
        <w:rPr>
          <w:rFonts w:ascii="Times New Roman" w:eastAsia="Calibri" w:hAnsi="Times New Roman" w:cs="Times New Roman"/>
          <w:b/>
          <w:bCs/>
          <w:i/>
          <w:sz w:val="24"/>
          <w:szCs w:val="24"/>
        </w:rPr>
        <w:sectPr w:rsidR="00054C41" w:rsidRPr="00BC5E60" w:rsidSect="00142154">
          <w:pgSz w:w="16838" w:h="11906" w:orient="landscape"/>
          <w:pgMar w:top="1417" w:right="1417" w:bottom="1417" w:left="1417" w:header="708" w:footer="708" w:gutter="0"/>
          <w:cols w:space="708"/>
          <w:docGrid w:linePitch="360"/>
        </w:sectPr>
      </w:pPr>
    </w:p>
    <w:p w14:paraId="77318665" w14:textId="77777777" w:rsidR="00054C41" w:rsidRPr="00BC5E60" w:rsidRDefault="00511F8F" w:rsidP="00054C41">
      <w:pPr>
        <w:jc w:val="both"/>
        <w:rPr>
          <w:rFonts w:ascii="Times New Roman" w:eastAsia="Calibri" w:hAnsi="Times New Roman" w:cs="Times New Roman"/>
          <w:b/>
          <w:bCs/>
          <w:i/>
          <w:sz w:val="24"/>
          <w:szCs w:val="24"/>
          <w:u w:val="single"/>
        </w:rPr>
      </w:pPr>
      <w:r w:rsidRPr="00BC5E60">
        <w:rPr>
          <w:rFonts w:ascii="Times New Roman" w:eastAsia="Calibri" w:hAnsi="Times New Roman" w:cs="Times New Roman"/>
          <w:b/>
          <w:bCs/>
          <w:i/>
          <w:sz w:val="24"/>
          <w:szCs w:val="24"/>
          <w:u w:val="single"/>
        </w:rPr>
        <w:lastRenderedPageBreak/>
        <w:t xml:space="preserve">3.1.3 </w:t>
      </w:r>
      <w:r w:rsidR="00054C41" w:rsidRPr="00BC5E60">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Pr="00BC5E60" w:rsidRDefault="00054C41" w:rsidP="00054C41">
      <w:pPr>
        <w:jc w:val="both"/>
        <w:rPr>
          <w:rFonts w:ascii="Times New Roman" w:eastAsia="Calibri" w:hAnsi="Times New Roman" w:cs="Times New Roman"/>
          <w:bCs/>
          <w:i/>
          <w:iCs/>
          <w:color w:val="000000"/>
          <w:sz w:val="24"/>
          <w:szCs w:val="24"/>
        </w:rPr>
      </w:pPr>
      <w:r w:rsidRPr="00BC5E60">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BC5E60">
        <w:rPr>
          <w:rFonts w:ascii="Times New Roman" w:eastAsia="Calibri" w:hAnsi="Times New Roman" w:cs="Times New Roman"/>
          <w:bCs/>
          <w:i/>
          <w:iCs/>
          <w:color w:val="000000"/>
          <w:sz w:val="24"/>
          <w:szCs w:val="24"/>
        </w:rPr>
        <w:t>link</w:t>
      </w:r>
      <w:proofErr w:type="spellEnd"/>
      <w:r w:rsidRPr="00BC5E60">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sidRPr="00BC5E60">
        <w:rPr>
          <w:rFonts w:ascii="Times New Roman" w:eastAsia="Calibri" w:hAnsi="Times New Roman" w:cs="Times New Roman"/>
          <w:bCs/>
          <w:i/>
          <w:iCs/>
          <w:color w:val="000000"/>
          <w:sz w:val="24"/>
          <w:szCs w:val="24"/>
        </w:rPr>
        <w:t xml:space="preserve"> a poplatky, ktorých cieľom je znižovať negatívne </w:t>
      </w:r>
      <w:proofErr w:type="spellStart"/>
      <w:r w:rsidR="00A000DA" w:rsidRPr="00BC5E60">
        <w:rPr>
          <w:rFonts w:ascii="Times New Roman" w:eastAsia="Calibri" w:hAnsi="Times New Roman" w:cs="Times New Roman"/>
          <w:bCs/>
          <w:i/>
          <w:iCs/>
          <w:color w:val="000000"/>
          <w:sz w:val="24"/>
          <w:szCs w:val="24"/>
        </w:rPr>
        <w:t>externality</w:t>
      </w:r>
      <w:proofErr w:type="spellEnd"/>
      <w:r w:rsidRPr="00BC5E60">
        <w:rPr>
          <w:rFonts w:ascii="Times New Roman" w:eastAsia="Calibri" w:hAnsi="Times New Roman" w:cs="Times New Roman"/>
          <w:bCs/>
          <w:i/>
          <w:iCs/>
          <w:color w:val="000000"/>
          <w:sz w:val="24"/>
          <w:szCs w:val="24"/>
        </w:rPr>
        <w:t xml:space="preserve">, B. </w:t>
      </w:r>
      <w:r w:rsidR="00A000DA" w:rsidRPr="00BC5E60">
        <w:rPr>
          <w:rFonts w:ascii="Times New Roman" w:eastAsia="Calibri" w:hAnsi="Times New Roman" w:cs="Times New Roman"/>
          <w:bCs/>
          <w:i/>
          <w:iCs/>
          <w:color w:val="000000"/>
          <w:sz w:val="24"/>
          <w:szCs w:val="24"/>
        </w:rPr>
        <w:t>Iné p</w:t>
      </w:r>
      <w:r w:rsidRPr="00BC5E60">
        <w:rPr>
          <w:rFonts w:ascii="Times New Roman" w:eastAsia="Calibri" w:hAnsi="Times New Roman" w:cs="Times New Roman"/>
          <w:bCs/>
          <w:i/>
          <w:iCs/>
          <w:color w:val="000000"/>
          <w:sz w:val="24"/>
          <w:szCs w:val="24"/>
        </w:rPr>
        <w:t xml:space="preserve">oplatky, C. </w:t>
      </w:r>
      <w:r w:rsidR="00024EE4" w:rsidRPr="00BC5E60">
        <w:rPr>
          <w:rFonts w:ascii="Times New Roman" w:eastAsia="Calibri" w:hAnsi="Times New Roman" w:cs="Times New Roman"/>
          <w:bCs/>
          <w:i/>
          <w:iCs/>
          <w:color w:val="000000"/>
          <w:sz w:val="24"/>
          <w:szCs w:val="24"/>
        </w:rPr>
        <w:t>Sankcie</w:t>
      </w:r>
      <w:r w:rsidRPr="00BC5E60">
        <w:rPr>
          <w:rFonts w:ascii="Times New Roman" w:eastAsia="Calibri" w:hAnsi="Times New Roman" w:cs="Times New Roman"/>
          <w:bCs/>
          <w:i/>
          <w:iCs/>
          <w:color w:val="000000"/>
          <w:sz w:val="24"/>
          <w:szCs w:val="24"/>
        </w:rPr>
        <w:t xml:space="preserve">, D. </w:t>
      </w:r>
      <w:r w:rsidR="00024EE4" w:rsidRPr="00BC5E60">
        <w:rPr>
          <w:rFonts w:ascii="Times New Roman" w:eastAsia="Calibri" w:hAnsi="Times New Roman" w:cs="Times New Roman"/>
          <w:bCs/>
          <w:i/>
          <w:iCs/>
          <w:color w:val="000000"/>
          <w:sz w:val="24"/>
          <w:szCs w:val="24"/>
        </w:rPr>
        <w:t>Nepriame finančné náklady</w:t>
      </w:r>
      <w:r w:rsidR="00A94A0F" w:rsidRPr="00BC5E60">
        <w:rPr>
          <w:rFonts w:ascii="Times New Roman" w:eastAsia="Calibri" w:hAnsi="Times New Roman" w:cs="Times New Roman"/>
          <w:bCs/>
          <w:i/>
          <w:iCs/>
          <w:color w:val="000000"/>
          <w:sz w:val="24"/>
          <w:szCs w:val="24"/>
        </w:rPr>
        <w:t xml:space="preserve">, E. </w:t>
      </w:r>
      <w:r w:rsidRPr="00BC5E60">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2F6503B6" w:rsidR="001E24E8" w:rsidRPr="00BC5E60" w:rsidRDefault="007B267B" w:rsidP="00054C41">
      <w:pPr>
        <w:jc w:val="both"/>
        <w:rPr>
          <w:rFonts w:ascii="Times New Roman" w:eastAsia="Calibri" w:hAnsi="Times New Roman" w:cs="Times New Roman"/>
          <w:bCs/>
          <w:color w:val="000000"/>
          <w:sz w:val="24"/>
          <w:szCs w:val="24"/>
        </w:rPr>
      </w:pPr>
      <w:r w:rsidRPr="00BC5E60">
        <w:rPr>
          <w:rFonts w:ascii="Times New Roman" w:eastAsia="Calibri" w:hAnsi="Times New Roman" w:cs="Times New Roman"/>
          <w:bCs/>
          <w:color w:val="000000"/>
          <w:sz w:val="24"/>
          <w:szCs w:val="24"/>
        </w:rPr>
        <w:t xml:space="preserve">Východiskovým zdrojom údajov je prehľad o počte dohliadaných subjektov podľa </w:t>
      </w:r>
      <w:hyperlink r:id="rId14" w:history="1">
        <w:r w:rsidRPr="00BC5E60">
          <w:rPr>
            <w:rStyle w:val="Hypertextovprepojenie"/>
            <w:rFonts w:ascii="Times New Roman" w:eastAsia="Calibri" w:hAnsi="Times New Roman" w:cs="Times New Roman"/>
            <w:bCs/>
            <w:color w:val="auto"/>
            <w:sz w:val="24"/>
            <w:szCs w:val="24"/>
            <w:u w:val="none"/>
          </w:rPr>
          <w:t>www.nbs.sk</w:t>
        </w:r>
      </w:hyperlink>
      <w:r w:rsidR="00135E18" w:rsidRPr="00BC5E60">
        <w:rPr>
          <w:sz w:val="24"/>
          <w:szCs w:val="24"/>
        </w:rPr>
        <w:t xml:space="preserve">. </w:t>
      </w:r>
    </w:p>
    <w:p w14:paraId="3FBC3A8C" w14:textId="5FA3963C" w:rsidR="005C1139" w:rsidRPr="00BC5E60" w:rsidRDefault="007B267B" w:rsidP="00054C41">
      <w:pPr>
        <w:jc w:val="both"/>
        <w:rPr>
          <w:rFonts w:ascii="Times New Roman" w:eastAsia="Calibri" w:hAnsi="Times New Roman" w:cs="Times New Roman"/>
          <w:bCs/>
          <w:color w:val="000000"/>
          <w:sz w:val="24"/>
          <w:szCs w:val="24"/>
        </w:rPr>
      </w:pPr>
      <w:r w:rsidRPr="00BC5E60">
        <w:rPr>
          <w:rFonts w:ascii="Times New Roman" w:eastAsia="Calibri" w:hAnsi="Times New Roman" w:cs="Times New Roman"/>
          <w:bCs/>
          <w:color w:val="000000"/>
          <w:sz w:val="24"/>
          <w:szCs w:val="24"/>
        </w:rPr>
        <w:t xml:space="preserve">V druhom kroku sa bral do úvahy odhadovaný počet subjektov, ktorých sa daná povinnosť môže týkať. </w:t>
      </w:r>
      <w:r w:rsidR="006C447F" w:rsidRPr="00BC5E60">
        <w:rPr>
          <w:rFonts w:ascii="Times New Roman" w:eastAsia="Calibri" w:hAnsi="Times New Roman" w:cs="Times New Roman"/>
          <w:bCs/>
          <w:color w:val="000000"/>
          <w:sz w:val="24"/>
          <w:szCs w:val="24"/>
        </w:rPr>
        <w:t>Počet dotknutých subjektov závisí od charakteru činnosti</w:t>
      </w:r>
      <w:r w:rsidR="009E45D6" w:rsidRPr="00BC5E60">
        <w:rPr>
          <w:rFonts w:ascii="Times New Roman" w:eastAsia="Calibri" w:hAnsi="Times New Roman" w:cs="Times New Roman"/>
          <w:bCs/>
          <w:color w:val="000000"/>
          <w:sz w:val="24"/>
          <w:szCs w:val="24"/>
        </w:rPr>
        <w:t xml:space="preserve">, funkcie alebo služby správcovskej spoločnosti a od zameranie a typy fondu, či ide o alternatívny investičný fond alebo štandardný podielový fond. </w:t>
      </w:r>
      <w:r w:rsidR="006C447F" w:rsidRPr="00BC5E60">
        <w:rPr>
          <w:rFonts w:ascii="Times New Roman" w:eastAsia="Calibri" w:hAnsi="Times New Roman" w:cs="Times New Roman"/>
          <w:bCs/>
          <w:color w:val="000000"/>
          <w:sz w:val="24"/>
          <w:szCs w:val="24"/>
        </w:rPr>
        <w:t xml:space="preserve"> </w:t>
      </w:r>
      <w:r w:rsidRPr="00BC5E60">
        <w:rPr>
          <w:rFonts w:ascii="Times New Roman" w:eastAsia="Calibri" w:hAnsi="Times New Roman" w:cs="Times New Roman"/>
          <w:bCs/>
          <w:color w:val="000000"/>
          <w:sz w:val="24"/>
          <w:szCs w:val="24"/>
        </w:rPr>
        <w:t xml:space="preserve">Predpokladáme </w:t>
      </w:r>
      <w:r w:rsidR="006C447F" w:rsidRPr="00BC5E60">
        <w:rPr>
          <w:rFonts w:ascii="Times New Roman" w:eastAsia="Calibri" w:hAnsi="Times New Roman" w:cs="Times New Roman"/>
          <w:bCs/>
          <w:color w:val="000000"/>
          <w:sz w:val="24"/>
          <w:szCs w:val="24"/>
        </w:rPr>
        <w:t xml:space="preserve">negatívne vplyvy </w:t>
      </w:r>
      <w:r w:rsidR="009E45D6" w:rsidRPr="00BC5E60">
        <w:rPr>
          <w:rFonts w:ascii="Times New Roman" w:eastAsia="Calibri" w:hAnsi="Times New Roman" w:cs="Times New Roman"/>
          <w:bCs/>
          <w:color w:val="000000"/>
          <w:sz w:val="24"/>
          <w:szCs w:val="24"/>
        </w:rPr>
        <w:t xml:space="preserve">v podobe rastu nákladov </w:t>
      </w:r>
      <w:r w:rsidR="006C447F" w:rsidRPr="00BC5E60">
        <w:rPr>
          <w:rFonts w:ascii="Times New Roman" w:eastAsia="Calibri" w:hAnsi="Times New Roman" w:cs="Times New Roman"/>
          <w:bCs/>
          <w:color w:val="000000"/>
          <w:sz w:val="24"/>
          <w:szCs w:val="24"/>
        </w:rPr>
        <w:t>na všetky subjekty kolektívneho investovania</w:t>
      </w:r>
      <w:r w:rsidR="009E45D6" w:rsidRPr="00BC5E60">
        <w:rPr>
          <w:rFonts w:ascii="Times New Roman" w:eastAsia="Calibri" w:hAnsi="Times New Roman" w:cs="Times New Roman"/>
          <w:bCs/>
          <w:color w:val="000000"/>
          <w:sz w:val="24"/>
          <w:szCs w:val="24"/>
        </w:rPr>
        <w:t xml:space="preserve">, </w:t>
      </w:r>
      <w:r w:rsidR="006C447F" w:rsidRPr="00BC5E60">
        <w:rPr>
          <w:rFonts w:ascii="Times New Roman" w:eastAsia="Calibri" w:hAnsi="Times New Roman" w:cs="Times New Roman"/>
          <w:bCs/>
          <w:color w:val="000000"/>
          <w:sz w:val="24"/>
          <w:szCs w:val="24"/>
        </w:rPr>
        <w:t>teda</w:t>
      </w:r>
      <w:r w:rsidR="009E45D6" w:rsidRPr="00BC5E60">
        <w:rPr>
          <w:rFonts w:ascii="Times New Roman" w:eastAsia="Calibri" w:hAnsi="Times New Roman" w:cs="Times New Roman"/>
          <w:bCs/>
          <w:color w:val="000000"/>
          <w:sz w:val="24"/>
          <w:szCs w:val="24"/>
        </w:rPr>
        <w:t xml:space="preserve"> na</w:t>
      </w:r>
      <w:r w:rsidR="006C447F" w:rsidRPr="00BC5E60">
        <w:rPr>
          <w:rFonts w:ascii="Times New Roman" w:eastAsia="Calibri" w:hAnsi="Times New Roman" w:cs="Times New Roman"/>
          <w:bCs/>
          <w:color w:val="000000"/>
          <w:sz w:val="24"/>
          <w:szCs w:val="24"/>
        </w:rPr>
        <w:t xml:space="preserve"> všetky správcovské spoločnosti spravujúce 62 štandardných fondov a 68 alternatívnych investičných fondov</w:t>
      </w:r>
      <w:r w:rsidRPr="00BC5E60">
        <w:rPr>
          <w:rFonts w:ascii="Times New Roman" w:eastAsia="Calibri" w:hAnsi="Times New Roman" w:cs="Times New Roman"/>
          <w:bCs/>
          <w:color w:val="000000"/>
          <w:sz w:val="24"/>
          <w:szCs w:val="24"/>
        </w:rPr>
        <w:t>.</w:t>
      </w:r>
      <w:r w:rsidR="006C447F" w:rsidRPr="00BC5E60">
        <w:rPr>
          <w:rFonts w:ascii="Times New Roman" w:eastAsia="Calibri" w:hAnsi="Times New Roman" w:cs="Times New Roman"/>
          <w:bCs/>
          <w:color w:val="000000"/>
          <w:sz w:val="24"/>
          <w:szCs w:val="24"/>
        </w:rPr>
        <w:t xml:space="preserve"> Zároveň predpokladáme, že </w:t>
      </w:r>
      <w:r w:rsidR="009E45D6" w:rsidRPr="00BC5E60">
        <w:rPr>
          <w:rFonts w:ascii="Times New Roman" w:eastAsia="Calibri" w:hAnsi="Times New Roman" w:cs="Times New Roman"/>
          <w:bCs/>
          <w:color w:val="000000"/>
          <w:sz w:val="24"/>
          <w:szCs w:val="24"/>
        </w:rPr>
        <w:t>3</w:t>
      </w:r>
      <w:r w:rsidR="006C447F" w:rsidRPr="00BC5E60">
        <w:rPr>
          <w:rFonts w:ascii="Times New Roman" w:eastAsia="Calibri" w:hAnsi="Times New Roman" w:cs="Times New Roman"/>
          <w:bCs/>
          <w:color w:val="000000"/>
          <w:sz w:val="24"/>
          <w:szCs w:val="24"/>
        </w:rPr>
        <w:t xml:space="preserve"> správcovsk</w:t>
      </w:r>
      <w:r w:rsidR="009E45D6" w:rsidRPr="00BC5E60">
        <w:rPr>
          <w:rFonts w:ascii="Times New Roman" w:eastAsia="Calibri" w:hAnsi="Times New Roman" w:cs="Times New Roman"/>
          <w:bCs/>
          <w:color w:val="000000"/>
          <w:sz w:val="24"/>
          <w:szCs w:val="24"/>
        </w:rPr>
        <w:t>é</w:t>
      </w:r>
      <w:r w:rsidR="006C447F" w:rsidRPr="00BC5E60">
        <w:rPr>
          <w:rFonts w:ascii="Times New Roman" w:eastAsia="Calibri" w:hAnsi="Times New Roman" w:cs="Times New Roman"/>
          <w:bCs/>
          <w:color w:val="000000"/>
          <w:sz w:val="24"/>
          <w:szCs w:val="24"/>
        </w:rPr>
        <w:t xml:space="preserve"> spoločnost</w:t>
      </w:r>
      <w:r w:rsidR="009E45D6" w:rsidRPr="00BC5E60">
        <w:rPr>
          <w:rFonts w:ascii="Times New Roman" w:eastAsia="Calibri" w:hAnsi="Times New Roman" w:cs="Times New Roman"/>
          <w:bCs/>
          <w:color w:val="000000"/>
          <w:sz w:val="24"/>
          <w:szCs w:val="24"/>
        </w:rPr>
        <w:t>i</w:t>
      </w:r>
      <w:r w:rsidR="006C447F" w:rsidRPr="00BC5E60">
        <w:rPr>
          <w:rFonts w:ascii="Times New Roman" w:eastAsia="Calibri" w:hAnsi="Times New Roman" w:cs="Times New Roman"/>
          <w:bCs/>
          <w:color w:val="000000"/>
          <w:sz w:val="24"/>
          <w:szCs w:val="24"/>
        </w:rPr>
        <w:t xml:space="preserve"> v prípade </w:t>
      </w:r>
      <w:r w:rsidR="009E45D6" w:rsidRPr="00BC5E60">
        <w:rPr>
          <w:rFonts w:ascii="Times New Roman" w:eastAsia="Calibri" w:hAnsi="Times New Roman" w:cs="Times New Roman"/>
          <w:bCs/>
          <w:color w:val="000000"/>
          <w:sz w:val="24"/>
          <w:szCs w:val="24"/>
        </w:rPr>
        <w:t>3</w:t>
      </w:r>
      <w:r w:rsidR="006C447F" w:rsidRPr="00BC5E60">
        <w:rPr>
          <w:rFonts w:ascii="Times New Roman" w:eastAsia="Calibri" w:hAnsi="Times New Roman" w:cs="Times New Roman"/>
          <w:bCs/>
          <w:color w:val="000000"/>
          <w:sz w:val="24"/>
          <w:szCs w:val="24"/>
        </w:rPr>
        <w:t xml:space="preserve"> alternatívnych investičných fondov využij</w:t>
      </w:r>
      <w:r w:rsidR="009E45D6" w:rsidRPr="00BC5E60">
        <w:rPr>
          <w:rFonts w:ascii="Times New Roman" w:eastAsia="Calibri" w:hAnsi="Times New Roman" w:cs="Times New Roman"/>
          <w:bCs/>
          <w:color w:val="000000"/>
          <w:sz w:val="24"/>
          <w:szCs w:val="24"/>
        </w:rPr>
        <w:t>ú</w:t>
      </w:r>
      <w:r w:rsidR="006C447F" w:rsidRPr="00BC5E60">
        <w:rPr>
          <w:rFonts w:ascii="Times New Roman" w:eastAsia="Calibri" w:hAnsi="Times New Roman" w:cs="Times New Roman"/>
          <w:bCs/>
          <w:color w:val="000000"/>
          <w:sz w:val="24"/>
          <w:szCs w:val="24"/>
        </w:rPr>
        <w:t xml:space="preserve"> možnosť poskytovať úvery a spravovať úvery poskytované podnikateľskému sektoru.    </w:t>
      </w:r>
      <w:r w:rsidRPr="00BC5E60">
        <w:rPr>
          <w:rFonts w:ascii="Times New Roman" w:eastAsia="Calibri" w:hAnsi="Times New Roman" w:cs="Times New Roman"/>
          <w:bCs/>
          <w:color w:val="000000"/>
          <w:sz w:val="24"/>
          <w:szCs w:val="24"/>
        </w:rPr>
        <w:t xml:space="preserve"> </w:t>
      </w:r>
    </w:p>
    <w:p w14:paraId="19ABB890" w14:textId="592BE899" w:rsidR="006C447F" w:rsidRPr="00BC5E60" w:rsidRDefault="00CD49B8" w:rsidP="00054C41">
      <w:pPr>
        <w:jc w:val="both"/>
        <w:rPr>
          <w:rFonts w:ascii="Times New Roman" w:eastAsia="Calibri" w:hAnsi="Times New Roman" w:cs="Times New Roman"/>
          <w:bCs/>
          <w:color w:val="000000"/>
          <w:sz w:val="24"/>
          <w:szCs w:val="24"/>
        </w:rPr>
      </w:pPr>
      <w:r w:rsidRPr="00BC5E60">
        <w:rPr>
          <w:rFonts w:ascii="Times New Roman" w:eastAsia="Calibri" w:hAnsi="Times New Roman" w:cs="Times New Roman"/>
          <w:bCs/>
          <w:color w:val="000000"/>
          <w:sz w:val="24"/>
          <w:szCs w:val="24"/>
        </w:rPr>
        <w:t>Návrhom predmetného zákona sa zároveň využíva možnosť voľby členského štátu zakázať poskytovanie niektorých typov úverov. Nakoľko si poskytovanie úverov a spravovanie úverov vyžadujú zo strany správcovských spoločností zavedenie účinných politík, postupov a procesov posudzovania úverového rizika, aby sa odstránili riziká plynúce pre investorov do alternatívnych investičných fondov poskytujúcich úvery, v Slovenskej republike bude poskytovanie úverov a spravovanie úverov možné až po zosúladení vnútroštátnych právnych noriem</w:t>
      </w:r>
      <w:r w:rsidR="00DD0798" w:rsidRPr="00BC5E60">
        <w:rPr>
          <w:rFonts w:ascii="Times New Roman" w:eastAsia="Calibri" w:hAnsi="Times New Roman" w:cs="Times New Roman"/>
          <w:bCs/>
          <w:color w:val="000000"/>
          <w:sz w:val="24"/>
          <w:szCs w:val="24"/>
        </w:rPr>
        <w:t xml:space="preserve"> s európskymi právnymi normami</w:t>
      </w:r>
      <w:r w:rsidRPr="00BC5E60">
        <w:rPr>
          <w:rFonts w:ascii="Times New Roman" w:eastAsia="Calibri" w:hAnsi="Times New Roman" w:cs="Times New Roman"/>
          <w:bCs/>
          <w:color w:val="000000"/>
          <w:sz w:val="24"/>
          <w:szCs w:val="24"/>
        </w:rPr>
        <w:t>, keďže vzhľadom na širokú problematiku poskytovania úverov je potrebné zaviesť jasn</w:t>
      </w:r>
      <w:r w:rsidR="00DD0798" w:rsidRPr="00BC5E60">
        <w:rPr>
          <w:rFonts w:ascii="Times New Roman" w:eastAsia="Calibri" w:hAnsi="Times New Roman" w:cs="Times New Roman"/>
          <w:bCs/>
          <w:color w:val="000000"/>
          <w:sz w:val="24"/>
          <w:szCs w:val="24"/>
        </w:rPr>
        <w:t>ý</w:t>
      </w:r>
      <w:r w:rsidRPr="00BC5E60">
        <w:rPr>
          <w:rFonts w:ascii="Times New Roman" w:eastAsia="Calibri" w:hAnsi="Times New Roman" w:cs="Times New Roman"/>
          <w:bCs/>
          <w:color w:val="000000"/>
          <w:sz w:val="24"/>
          <w:szCs w:val="24"/>
        </w:rPr>
        <w:t xml:space="preserve"> a jednoznačne aplikovateľný právny rámec pre poskytovanie úverov zo strany alternatívnych investičných fondov poskytujúcich úvery. Odo dňa účinnosti tejto novely zákona o kolektívnom investovaní nebude zo zákona umožnené správcovským spoločnostiam spravujúcim alternatívne investičné fondy poskytujúce úvery  poskytovať špecifické typy úverov, ako sú spotrebiteľské úvery a úvery na bývanie.</w:t>
      </w:r>
      <w:r w:rsidR="00DD0798" w:rsidRPr="00BC5E60">
        <w:rPr>
          <w:rFonts w:ascii="Times New Roman" w:eastAsia="Calibri" w:hAnsi="Times New Roman" w:cs="Times New Roman"/>
          <w:bCs/>
          <w:color w:val="000000"/>
          <w:sz w:val="24"/>
          <w:szCs w:val="24"/>
        </w:rPr>
        <w:t xml:space="preserve"> Alternatívne investičné fondy poskytujúce úvery budú môcť poskytovať len úvery podnikateľským subjektom. Keďže správcovské spoločnosti predbežne neprejavili záujem rozšíriť svoje činnosti o poskytovanie úverov, v tomto materiál</w:t>
      </w:r>
      <w:r w:rsidR="00316BAF" w:rsidRPr="00BC5E60">
        <w:rPr>
          <w:rFonts w:ascii="Times New Roman" w:eastAsia="Calibri" w:hAnsi="Times New Roman" w:cs="Times New Roman"/>
          <w:bCs/>
          <w:color w:val="000000"/>
          <w:sz w:val="24"/>
          <w:szCs w:val="24"/>
        </w:rPr>
        <w:t>i</w:t>
      </w:r>
      <w:r w:rsidR="00DD0798" w:rsidRPr="00BC5E60">
        <w:rPr>
          <w:rFonts w:ascii="Times New Roman" w:eastAsia="Calibri" w:hAnsi="Times New Roman" w:cs="Times New Roman"/>
          <w:bCs/>
          <w:color w:val="000000"/>
          <w:sz w:val="24"/>
          <w:szCs w:val="24"/>
        </w:rPr>
        <w:t xml:space="preserve"> uvažujeme, že postupom času vzniknú len 3 alternatívne investičné fondy poskytujúce úvery.  </w:t>
      </w:r>
      <w:r w:rsidRPr="00BC5E60">
        <w:rPr>
          <w:rFonts w:ascii="Times New Roman" w:eastAsia="Calibri" w:hAnsi="Times New Roman" w:cs="Times New Roman"/>
          <w:bCs/>
          <w:color w:val="000000"/>
          <w:sz w:val="24"/>
          <w:szCs w:val="24"/>
        </w:rPr>
        <w:t xml:space="preserve">                         </w:t>
      </w:r>
      <w:r w:rsidR="006C447F" w:rsidRPr="00BC5E60">
        <w:rPr>
          <w:rFonts w:ascii="Times New Roman" w:eastAsia="Calibri" w:hAnsi="Times New Roman" w:cs="Times New Roman"/>
          <w:bCs/>
          <w:color w:val="000000"/>
          <w:sz w:val="24"/>
          <w:szCs w:val="24"/>
        </w:rPr>
        <w:t xml:space="preserve">  </w:t>
      </w:r>
    </w:p>
    <w:p w14:paraId="2E7BEB67" w14:textId="2B766157" w:rsidR="00890340" w:rsidRPr="00BC5E60" w:rsidRDefault="00DD0798" w:rsidP="00890340">
      <w:pPr>
        <w:spacing w:after="12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V predkladanom návrhu zákona bolo identifikovaných 1</w:t>
      </w:r>
      <w:r w:rsidR="00D57490" w:rsidRPr="00BC5E60">
        <w:rPr>
          <w:rFonts w:ascii="Times New Roman" w:eastAsia="Calibri" w:hAnsi="Times New Roman" w:cs="Times New Roman"/>
          <w:iCs/>
          <w:sz w:val="24"/>
          <w:szCs w:val="24"/>
        </w:rPr>
        <w:t>6</w:t>
      </w:r>
      <w:r w:rsidRPr="00BC5E60">
        <w:rPr>
          <w:rFonts w:ascii="Times New Roman" w:eastAsia="Calibri" w:hAnsi="Times New Roman" w:cs="Times New Roman"/>
          <w:iCs/>
          <w:color w:val="0070C0"/>
          <w:sz w:val="24"/>
          <w:szCs w:val="24"/>
        </w:rPr>
        <w:t xml:space="preserve"> </w:t>
      </w:r>
      <w:r w:rsidRPr="00BC5E60">
        <w:rPr>
          <w:rFonts w:ascii="Times New Roman" w:eastAsia="Calibri" w:hAnsi="Times New Roman" w:cs="Times New Roman"/>
          <w:iCs/>
          <w:sz w:val="24"/>
          <w:szCs w:val="24"/>
        </w:rPr>
        <w:t xml:space="preserve">regulácií s vplyvom na správcovské spoločnosti a nimi spravované alternatívne investičné fondy alebo štandardné podielové fondy.  Predmetom kalkulačky nákladov je výpočet vplyvov jednotlivých regulácií z dôvodu zvýšenia alebo zníženia administratívnej záťaže správcovských spoločností, ktoré vykonávajú činnosti, funkcie alebo služby podľa príslušných ustanovení návrhu novely zákona o kolektívnom investovaní v znení neskorších predpisov. </w:t>
      </w:r>
    </w:p>
    <w:p w14:paraId="2A222555" w14:textId="24B6AB99" w:rsidR="00DD0798" w:rsidRPr="00BC5E60" w:rsidRDefault="007E4558" w:rsidP="00890340">
      <w:pPr>
        <w:pStyle w:val="Odsekzoznamu"/>
        <w:numPr>
          <w:ilvl w:val="0"/>
          <w:numId w:val="15"/>
        </w:numPr>
        <w:spacing w:after="12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Regulácia uvedená v § 28(7) zákona č. 203/2011 - informácie o zmenách podmienok, na základe ktorých bolo vydané pôvodné povolenie pre správcovské</w:t>
      </w:r>
      <w:r w:rsidR="0027019F" w:rsidRPr="00BC5E60">
        <w:rPr>
          <w:rFonts w:ascii="Times New Roman" w:eastAsia="Calibri" w:hAnsi="Times New Roman" w:cs="Times New Roman"/>
          <w:iCs/>
          <w:sz w:val="24"/>
          <w:szCs w:val="24"/>
        </w:rPr>
        <w:t xml:space="preserve"> </w:t>
      </w:r>
      <w:r w:rsidRPr="00BC5E60">
        <w:rPr>
          <w:rFonts w:ascii="Times New Roman" w:eastAsia="Calibri" w:hAnsi="Times New Roman" w:cs="Times New Roman"/>
          <w:iCs/>
          <w:sz w:val="24"/>
          <w:szCs w:val="24"/>
        </w:rPr>
        <w:t xml:space="preserve">spoločnosti spravujúce </w:t>
      </w:r>
      <w:r w:rsidRPr="00BC5E60">
        <w:rPr>
          <w:rFonts w:ascii="Times New Roman" w:eastAsia="Calibri" w:hAnsi="Times New Roman" w:cs="Times New Roman"/>
          <w:iCs/>
          <w:sz w:val="24"/>
          <w:szCs w:val="24"/>
        </w:rPr>
        <w:lastRenderedPageBreak/>
        <w:t>štandardné podielové fondy</w:t>
      </w:r>
      <w:r w:rsidR="00587B63" w:rsidRPr="00BC5E60">
        <w:rPr>
          <w:rFonts w:ascii="Times New Roman" w:eastAsia="Calibri" w:hAnsi="Times New Roman" w:cs="Times New Roman"/>
          <w:iCs/>
          <w:sz w:val="24"/>
          <w:szCs w:val="24"/>
        </w:rPr>
        <w:t xml:space="preserve">. </w:t>
      </w:r>
      <w:r w:rsidR="00DD0798" w:rsidRPr="00BC5E60">
        <w:rPr>
          <w:rFonts w:ascii="Times New Roman" w:eastAsia="Calibri" w:hAnsi="Times New Roman" w:cs="Times New Roman"/>
          <w:iCs/>
          <w:sz w:val="24"/>
          <w:szCs w:val="24"/>
        </w:rPr>
        <w:t>Časová náročnosť pre administratívne náklady je uvažovaná ako jednorazový náklad v podobe oboznámenia sa s</w:t>
      </w:r>
      <w:r w:rsidRPr="00BC5E60">
        <w:rPr>
          <w:rFonts w:ascii="Times New Roman" w:eastAsia="Calibri" w:hAnsi="Times New Roman" w:cs="Times New Roman"/>
          <w:iCs/>
          <w:sz w:val="24"/>
          <w:szCs w:val="24"/>
        </w:rPr>
        <w:t> novými požiadavkami, porovnaním zmeneného stavu oproti</w:t>
      </w:r>
      <w:r w:rsidR="00587B63" w:rsidRPr="00BC5E60">
        <w:rPr>
          <w:rFonts w:ascii="Times New Roman" w:eastAsia="Calibri" w:hAnsi="Times New Roman" w:cs="Times New Roman"/>
          <w:iCs/>
          <w:sz w:val="24"/>
          <w:szCs w:val="24"/>
        </w:rPr>
        <w:t xml:space="preserve"> pôvodnému povoleniu, a predložením oznámenia. Novelou tohto zákona sa požaduje aktualizácia údajov o zverení a druhotnom zverení činností, funkcií a služieb zo správcovskej spoločnosti na tretie osoby</w:t>
      </w:r>
      <w:r w:rsidR="00DD0798" w:rsidRPr="00BC5E60">
        <w:rPr>
          <w:rFonts w:ascii="Times New Roman" w:eastAsia="Calibri" w:hAnsi="Times New Roman" w:cs="Times New Roman"/>
          <w:iCs/>
          <w:sz w:val="24"/>
          <w:szCs w:val="24"/>
        </w:rPr>
        <w:t xml:space="preserve">. </w:t>
      </w:r>
      <w:r w:rsidR="00587B63" w:rsidRPr="00BC5E60">
        <w:rPr>
          <w:rFonts w:ascii="Times New Roman" w:eastAsia="Calibri" w:hAnsi="Times New Roman" w:cs="Times New Roman"/>
          <w:iCs/>
          <w:sz w:val="24"/>
          <w:szCs w:val="24"/>
        </w:rPr>
        <w:t xml:space="preserve">Nepriame náklady sme odhadli na 150 eur, čo </w:t>
      </w:r>
      <w:r w:rsidR="00BC5E60" w:rsidRPr="00BC5E60">
        <w:rPr>
          <w:rFonts w:ascii="Times New Roman" w:eastAsia="Calibri" w:hAnsi="Times New Roman" w:cs="Times New Roman"/>
          <w:iCs/>
          <w:sz w:val="24"/>
          <w:szCs w:val="24"/>
        </w:rPr>
        <w:t>zahŕňa</w:t>
      </w:r>
      <w:r w:rsidR="00587B63" w:rsidRPr="00BC5E60">
        <w:rPr>
          <w:rFonts w:ascii="Times New Roman" w:eastAsia="Calibri" w:hAnsi="Times New Roman" w:cs="Times New Roman"/>
          <w:iCs/>
          <w:sz w:val="24"/>
          <w:szCs w:val="24"/>
        </w:rPr>
        <w:t xml:space="preserve"> náklady na jedného zamestnanca, ktorý preverí súlad aktuálnych podmienok s platným povolením, vypracuje informáciu o zmenách podmienok a predlož</w:t>
      </w:r>
      <w:r w:rsidR="00133340" w:rsidRPr="00BC5E60">
        <w:rPr>
          <w:rFonts w:ascii="Times New Roman" w:eastAsia="Calibri" w:hAnsi="Times New Roman" w:cs="Times New Roman"/>
          <w:iCs/>
          <w:sz w:val="24"/>
          <w:szCs w:val="24"/>
        </w:rPr>
        <w:t>í</w:t>
      </w:r>
      <w:r w:rsidR="00587B63" w:rsidRPr="00BC5E60">
        <w:rPr>
          <w:rFonts w:ascii="Times New Roman" w:eastAsia="Calibri" w:hAnsi="Times New Roman" w:cs="Times New Roman"/>
          <w:iCs/>
          <w:sz w:val="24"/>
          <w:szCs w:val="24"/>
        </w:rPr>
        <w:t xml:space="preserve"> túto informáciu orgánu dohľadu. </w:t>
      </w:r>
      <w:r w:rsidR="00DD0798" w:rsidRPr="00BC5E60">
        <w:rPr>
          <w:rFonts w:ascii="Times New Roman" w:eastAsia="Calibri" w:hAnsi="Times New Roman" w:cs="Times New Roman"/>
          <w:iCs/>
          <w:sz w:val="24"/>
          <w:szCs w:val="24"/>
        </w:rPr>
        <w:t xml:space="preserve">     </w:t>
      </w:r>
    </w:p>
    <w:p w14:paraId="20FAAB5C" w14:textId="7DDBCA6E" w:rsidR="0084498B" w:rsidRPr="00BC5E60" w:rsidRDefault="0084498B" w:rsidP="0084498B">
      <w:pPr>
        <w:pStyle w:val="Odsekzoznamu"/>
        <w:numPr>
          <w:ilvl w:val="0"/>
          <w:numId w:val="15"/>
        </w:numPr>
        <w:spacing w:after="12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Regulácia podľa § 28(4) zákona č. 203/2011 – uvedenie nových informácií v žiadosti o udelenie povolenia pre správcovskú spoločnosť spravujúcu štandardný podielový fond – sa týka nových žiadostí o udelenie povolenia, a zvyšuje náklady. Počet správcovských spoločností je už ustálený, predpokladáme, že v najbližších rokoch by mohla pribudnúť len jedna správcovská spoločnosť, na ktorú by sa vzťahovali nové požiadavky podľa tejto regulácie. Predpokladáme vynaloženie jednorazových nákladov pred získaním povolenia podľa § 28 zákona o kolektívnom investovaní. Pri kvantifikácii bol zvolený postup na základe alternatívy č. 2 pre administratívne náklady. Typ administratívnych nákladov bol určený ako náklady súvisiace s oboznámením sa s reguláciou a jej implementáciou do vnútorných noriem a procesov správcovskej spoločnosti, pri frekvencii plnenia jednorazovo ešte pred udelením povolenia pre správcovskú spoločnosť. </w:t>
      </w:r>
      <w:r w:rsidR="0027019F" w:rsidRPr="00BC5E60">
        <w:rPr>
          <w:rFonts w:ascii="Times New Roman" w:eastAsia="Calibri" w:hAnsi="Times New Roman" w:cs="Times New Roman"/>
          <w:iCs/>
          <w:sz w:val="24"/>
          <w:szCs w:val="24"/>
        </w:rPr>
        <w:t xml:space="preserve">Informácie sa týkajú nového povolenia, je potrebná súčinnosť s právnym útvarom, bol použitý expertný odhad. </w:t>
      </w:r>
      <w:r w:rsidR="00133340" w:rsidRPr="00BC5E60">
        <w:rPr>
          <w:rFonts w:ascii="Times New Roman" w:eastAsia="Calibri" w:hAnsi="Times New Roman" w:cs="Times New Roman"/>
          <w:iCs/>
          <w:sz w:val="24"/>
          <w:szCs w:val="24"/>
        </w:rPr>
        <w:t xml:space="preserve">Odhadnuté nepriame náklady zahŕňajú náklady na zamestnancov, ktorí sa budú podieľať na príprave nových požadovaných informácií do žiadosti o udelenie povolenia pre správcovskú spoločnosť podľa  § 28, pričom predpokladáme, že vznik len jednej novej správcovskej spoločnosti, ktorá bude chcieť spravovať štandardné podielové fondy.   </w:t>
      </w:r>
      <w:r w:rsidR="0027019F" w:rsidRPr="00BC5E60">
        <w:rPr>
          <w:rFonts w:ascii="Times New Roman" w:eastAsia="Calibri" w:hAnsi="Times New Roman" w:cs="Times New Roman"/>
          <w:iCs/>
          <w:sz w:val="24"/>
          <w:szCs w:val="24"/>
        </w:rPr>
        <w:t xml:space="preserve"> </w:t>
      </w:r>
      <w:r w:rsidRPr="00BC5E60">
        <w:rPr>
          <w:rFonts w:ascii="Times New Roman" w:eastAsia="Calibri" w:hAnsi="Times New Roman" w:cs="Times New Roman"/>
          <w:iCs/>
          <w:sz w:val="24"/>
          <w:szCs w:val="24"/>
        </w:rPr>
        <w:t xml:space="preserve">        </w:t>
      </w:r>
    </w:p>
    <w:p w14:paraId="42AEE502" w14:textId="60F1A0C8" w:rsidR="00890340" w:rsidRPr="00BC5E60" w:rsidRDefault="00DD0798" w:rsidP="00890340">
      <w:pPr>
        <w:pStyle w:val="Odsekzoznamu"/>
        <w:numPr>
          <w:ilvl w:val="0"/>
          <w:numId w:val="15"/>
        </w:numPr>
        <w:spacing w:after="12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Regulácia podľa </w:t>
      </w:r>
      <w:r w:rsidR="00F070BC" w:rsidRPr="00BC5E60">
        <w:rPr>
          <w:rFonts w:ascii="Times New Roman" w:eastAsia="Calibri" w:hAnsi="Times New Roman" w:cs="Times New Roman"/>
          <w:iCs/>
          <w:sz w:val="24"/>
          <w:szCs w:val="24"/>
        </w:rPr>
        <w:t>§ 28</w:t>
      </w:r>
      <w:r w:rsidRPr="00BC5E60">
        <w:rPr>
          <w:rFonts w:ascii="Times New Roman" w:eastAsia="Calibri" w:hAnsi="Times New Roman" w:cs="Times New Roman"/>
          <w:iCs/>
          <w:sz w:val="24"/>
          <w:szCs w:val="24"/>
        </w:rPr>
        <w:t>a</w:t>
      </w:r>
      <w:r w:rsidR="00F070BC" w:rsidRPr="00BC5E60">
        <w:rPr>
          <w:rFonts w:ascii="Times New Roman" w:eastAsia="Calibri" w:hAnsi="Times New Roman" w:cs="Times New Roman"/>
          <w:iCs/>
          <w:sz w:val="24"/>
          <w:szCs w:val="24"/>
        </w:rPr>
        <w:t>(4)</w:t>
      </w:r>
      <w:r w:rsidR="0027019F" w:rsidRPr="00BC5E60">
        <w:rPr>
          <w:rFonts w:ascii="Times New Roman" w:eastAsia="Calibri" w:hAnsi="Times New Roman" w:cs="Times New Roman"/>
          <w:iCs/>
          <w:sz w:val="24"/>
          <w:szCs w:val="24"/>
        </w:rPr>
        <w:t>(f)</w:t>
      </w:r>
      <w:r w:rsidR="00F070BC" w:rsidRPr="00BC5E60">
        <w:rPr>
          <w:rFonts w:ascii="Times New Roman" w:eastAsia="Calibri" w:hAnsi="Times New Roman" w:cs="Times New Roman"/>
          <w:iCs/>
          <w:sz w:val="24"/>
          <w:szCs w:val="24"/>
        </w:rPr>
        <w:t xml:space="preserve"> zákona č. 203/2011 – uvedenie nových informácií v žiadosti o udelenie povolenia pre správc</w:t>
      </w:r>
      <w:r w:rsidRPr="00BC5E60">
        <w:rPr>
          <w:rFonts w:ascii="Times New Roman" w:eastAsia="Calibri" w:hAnsi="Times New Roman" w:cs="Times New Roman"/>
          <w:iCs/>
          <w:sz w:val="24"/>
          <w:szCs w:val="24"/>
        </w:rPr>
        <w:t>ovskú spoločnosť spravujúcu alternatívny investičný fond</w:t>
      </w:r>
      <w:r w:rsidR="00F070BC" w:rsidRPr="00BC5E60">
        <w:rPr>
          <w:rFonts w:ascii="Times New Roman" w:eastAsia="Calibri" w:hAnsi="Times New Roman" w:cs="Times New Roman"/>
          <w:iCs/>
          <w:sz w:val="24"/>
          <w:szCs w:val="24"/>
        </w:rPr>
        <w:t xml:space="preserve"> </w:t>
      </w:r>
      <w:r w:rsidRPr="00BC5E60">
        <w:rPr>
          <w:rFonts w:ascii="Times New Roman" w:eastAsia="Calibri" w:hAnsi="Times New Roman" w:cs="Times New Roman"/>
          <w:iCs/>
          <w:sz w:val="24"/>
          <w:szCs w:val="24"/>
        </w:rPr>
        <w:t>–</w:t>
      </w:r>
      <w:r w:rsidR="00890340" w:rsidRPr="00BC5E60">
        <w:rPr>
          <w:rFonts w:ascii="Times New Roman" w:eastAsia="Calibri" w:hAnsi="Times New Roman" w:cs="Times New Roman"/>
          <w:iCs/>
          <w:sz w:val="24"/>
          <w:szCs w:val="24"/>
        </w:rPr>
        <w:t xml:space="preserve"> </w:t>
      </w:r>
      <w:r w:rsidRPr="00BC5E60">
        <w:rPr>
          <w:rFonts w:ascii="Times New Roman" w:eastAsia="Calibri" w:hAnsi="Times New Roman" w:cs="Times New Roman"/>
          <w:iCs/>
          <w:sz w:val="24"/>
          <w:szCs w:val="24"/>
        </w:rPr>
        <w:t xml:space="preserve">sa týka nových žiadostí o udelenie povolenia a zvyšuje náklady. Počet správcovských spoločností je už ustálený, predpokladáme, že v najbližších rokoch by mohla pribudnúť len jedna správcovská spoločnosť, na ktorú by sa vzťahovali nové požiadavky podľa tejto regulácie. Predpokladáme vynaloženie jednorazových nákladov pred získaním povolenia podľa § 28a zákona o kolektívnom investovaní. Pri kvantifikácii bol zvolený postup na základe alternatívy č. 2 pre administratívne náklady. Typ administratívnych nákladov bol určený ako náklady súvisiace s oboznámením sa s reguláciou a jej implementáciou do vnútorných noriem a procesov správcovskej spoločnosti, pri frekvencii plnenia jednorazovo ešte pred udelením povolenia pre správcovskú spoločnosť. </w:t>
      </w:r>
      <w:r w:rsidR="00133340" w:rsidRPr="00BC5E60">
        <w:rPr>
          <w:rFonts w:ascii="Times New Roman" w:eastAsia="Calibri" w:hAnsi="Times New Roman" w:cs="Times New Roman"/>
          <w:iCs/>
          <w:sz w:val="24"/>
          <w:szCs w:val="24"/>
        </w:rPr>
        <w:t xml:space="preserve">Odhadnuté nepriame náklady zahŕňajú náklady na zamestnancov, ktorí sa budú podieľať na príprave nových požadovaných informácií do žiadosti o udelenie povolenia pre správcovskú spoločnosť podľa § 28a, pričom predpokladáme, že vznik deviatich správcovských spoločností, ktoré budú chcieť spravovať alternatívne investičné fondy.  </w:t>
      </w:r>
    </w:p>
    <w:p w14:paraId="4A945F82" w14:textId="3EFFEC0B" w:rsidR="00890340" w:rsidRPr="00BC5E60" w:rsidRDefault="00DD0798" w:rsidP="00890340">
      <w:pPr>
        <w:pStyle w:val="Odsekzoznamu"/>
        <w:numPr>
          <w:ilvl w:val="0"/>
          <w:numId w:val="15"/>
        </w:numPr>
        <w:spacing w:after="12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Regulácia uvedená v § 28(4)(i) a v </w:t>
      </w:r>
      <w:r w:rsidR="00F070BC" w:rsidRPr="00BC5E60">
        <w:rPr>
          <w:rFonts w:ascii="Times New Roman" w:eastAsia="Calibri" w:hAnsi="Times New Roman" w:cs="Times New Roman"/>
          <w:iCs/>
          <w:sz w:val="24"/>
          <w:szCs w:val="24"/>
        </w:rPr>
        <w:t xml:space="preserve">§ </w:t>
      </w:r>
      <w:r w:rsidRPr="00BC5E60">
        <w:rPr>
          <w:rFonts w:ascii="Times New Roman" w:eastAsia="Calibri" w:hAnsi="Times New Roman" w:cs="Times New Roman"/>
          <w:iCs/>
          <w:sz w:val="24"/>
          <w:szCs w:val="24"/>
        </w:rPr>
        <w:t>28a</w:t>
      </w:r>
      <w:r w:rsidR="00F070BC" w:rsidRPr="00BC5E60">
        <w:rPr>
          <w:rFonts w:ascii="Times New Roman" w:eastAsia="Calibri" w:hAnsi="Times New Roman" w:cs="Times New Roman"/>
          <w:iCs/>
          <w:sz w:val="24"/>
          <w:szCs w:val="24"/>
        </w:rPr>
        <w:t>(</w:t>
      </w:r>
      <w:r w:rsidRPr="00BC5E60">
        <w:rPr>
          <w:rFonts w:ascii="Times New Roman" w:eastAsia="Calibri" w:hAnsi="Times New Roman" w:cs="Times New Roman"/>
          <w:iCs/>
          <w:sz w:val="24"/>
          <w:szCs w:val="24"/>
        </w:rPr>
        <w:t>4</w:t>
      </w:r>
      <w:r w:rsidR="00F070BC" w:rsidRPr="00BC5E60">
        <w:rPr>
          <w:rFonts w:ascii="Times New Roman" w:eastAsia="Calibri" w:hAnsi="Times New Roman" w:cs="Times New Roman"/>
          <w:iCs/>
          <w:sz w:val="24"/>
          <w:szCs w:val="24"/>
        </w:rPr>
        <w:t>)</w:t>
      </w:r>
      <w:r w:rsidRPr="00BC5E60">
        <w:rPr>
          <w:rFonts w:ascii="Times New Roman" w:eastAsia="Calibri" w:hAnsi="Times New Roman" w:cs="Times New Roman"/>
          <w:iCs/>
          <w:sz w:val="24"/>
          <w:szCs w:val="24"/>
        </w:rPr>
        <w:t>(f)</w:t>
      </w:r>
      <w:r w:rsidR="00F070BC" w:rsidRPr="00BC5E60">
        <w:rPr>
          <w:rFonts w:ascii="Times New Roman" w:eastAsia="Calibri" w:hAnsi="Times New Roman" w:cs="Times New Roman"/>
          <w:iCs/>
          <w:sz w:val="24"/>
          <w:szCs w:val="24"/>
        </w:rPr>
        <w:t xml:space="preserve"> zákona č. 203/2011 – informácie o opatreniach prijatých na zverenie funkcií </w:t>
      </w:r>
      <w:r w:rsidR="00890340" w:rsidRPr="00BC5E60">
        <w:rPr>
          <w:rFonts w:ascii="Times New Roman" w:eastAsia="Calibri" w:hAnsi="Times New Roman" w:cs="Times New Roman"/>
          <w:iCs/>
          <w:sz w:val="24"/>
          <w:szCs w:val="24"/>
        </w:rPr>
        <w:t xml:space="preserve">-  </w:t>
      </w:r>
      <w:r w:rsidRPr="00BC5E60">
        <w:rPr>
          <w:rFonts w:ascii="Times New Roman" w:eastAsia="Calibri" w:hAnsi="Times New Roman" w:cs="Times New Roman"/>
          <w:iCs/>
          <w:sz w:val="24"/>
          <w:szCs w:val="24"/>
        </w:rPr>
        <w:t xml:space="preserve">zvyšuje náklady všetkým správcovským spoločnostiam, ktoré sa rozhodli zveriť výkon činností a funkcií a poskytovanie služieb na tretiu osobu. Táto regulácia sa vzťahuje na všetky správcovské spoločnosti, ktoré musia informovať Národnú banku Slovenska o zverení činností, funkcií a služieb. Pri </w:t>
      </w:r>
      <w:r w:rsidRPr="00BC5E60">
        <w:rPr>
          <w:rFonts w:ascii="Times New Roman" w:eastAsia="Calibri" w:hAnsi="Times New Roman" w:cs="Times New Roman"/>
          <w:iCs/>
          <w:sz w:val="24"/>
          <w:szCs w:val="24"/>
        </w:rPr>
        <w:lastRenderedPageBreak/>
        <w:t xml:space="preserve">kvantifikácii bol zvolený postup na základe alternatívy č. 2 pre administratívne náklady. Typ administratívnych nákladov bol určený ako náklady súvisiace s oboznámením sa s reguláciou a jej implementáciou do vnútorných noriem a procesov správcovskej spoločnosti, pri frekvencii plnenia jednorazovo ešte pred uzavretím zmluvy o zverení činností, funkcií a služieb tretej osobe. </w:t>
      </w:r>
      <w:r w:rsidR="00133340" w:rsidRPr="00BC5E60">
        <w:rPr>
          <w:rFonts w:ascii="Times New Roman" w:eastAsia="Calibri" w:hAnsi="Times New Roman" w:cs="Times New Roman"/>
          <w:iCs/>
          <w:sz w:val="24"/>
          <w:szCs w:val="24"/>
        </w:rPr>
        <w:t xml:space="preserve">Odhadnuté náklady zahŕňajú náklady na zamestnancov, ktorí pripravia príslušné informácie o opatreniach prijatých na zverenie funkcií, vrátane zmluvnej dokumentácie a prípadnej zmeny vnútorných procesov, ktoré sa týkajú monitorovania činností tretej osoby, ktorej správcovská spoločnosť zverila výkon časti jej činností, funkcií a služieb.    </w:t>
      </w:r>
      <w:r w:rsidRPr="00BC5E60">
        <w:rPr>
          <w:rFonts w:ascii="Times New Roman" w:eastAsia="Calibri" w:hAnsi="Times New Roman" w:cs="Times New Roman"/>
          <w:iCs/>
          <w:sz w:val="24"/>
          <w:szCs w:val="24"/>
        </w:rPr>
        <w:t xml:space="preserve">        </w:t>
      </w:r>
    </w:p>
    <w:p w14:paraId="3920D9A4" w14:textId="1AD0303F" w:rsidR="00890340" w:rsidRPr="00BC5E60" w:rsidRDefault="001D4060" w:rsidP="00890340">
      <w:pPr>
        <w:pStyle w:val="Odsekzoznamu"/>
        <w:numPr>
          <w:ilvl w:val="0"/>
          <w:numId w:val="15"/>
        </w:numPr>
        <w:spacing w:after="12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Regulácia podľa </w:t>
      </w:r>
      <w:r w:rsidR="00F070BC" w:rsidRPr="00BC5E60">
        <w:rPr>
          <w:rFonts w:ascii="Times New Roman" w:eastAsia="Calibri" w:hAnsi="Times New Roman" w:cs="Times New Roman"/>
          <w:iCs/>
          <w:sz w:val="24"/>
          <w:szCs w:val="24"/>
        </w:rPr>
        <w:t xml:space="preserve">§ 45a(8) zákona č. 203/2011 – </w:t>
      </w:r>
      <w:r w:rsidR="008D55B4" w:rsidRPr="00BC5E60">
        <w:rPr>
          <w:rFonts w:ascii="Times New Roman" w:eastAsia="Calibri" w:hAnsi="Times New Roman" w:cs="Times New Roman"/>
          <w:iCs/>
          <w:sz w:val="24"/>
          <w:szCs w:val="24"/>
        </w:rPr>
        <w:t>správa alternatívneho investičného fondu na podnet tretej osoby</w:t>
      </w:r>
      <w:r w:rsidR="00F070BC" w:rsidRPr="00BC5E60">
        <w:rPr>
          <w:rFonts w:ascii="Times New Roman" w:eastAsia="Calibri" w:hAnsi="Times New Roman" w:cs="Times New Roman"/>
          <w:iCs/>
          <w:sz w:val="24"/>
          <w:szCs w:val="24"/>
        </w:rPr>
        <w:t xml:space="preserve"> </w:t>
      </w:r>
      <w:r w:rsidR="00890340" w:rsidRPr="00BC5E60">
        <w:rPr>
          <w:rFonts w:ascii="Times New Roman" w:eastAsia="Calibri" w:hAnsi="Times New Roman" w:cs="Times New Roman"/>
          <w:iCs/>
          <w:sz w:val="24"/>
          <w:szCs w:val="24"/>
        </w:rPr>
        <w:t xml:space="preserve">-  </w:t>
      </w:r>
      <w:r w:rsidR="008D55B4" w:rsidRPr="00BC5E60">
        <w:rPr>
          <w:rFonts w:ascii="Times New Roman" w:eastAsia="Calibri" w:hAnsi="Times New Roman" w:cs="Times New Roman"/>
          <w:iCs/>
          <w:sz w:val="24"/>
          <w:szCs w:val="24"/>
        </w:rPr>
        <w:t>zvyšuje náklady každej správcovskej spoločnosti, ktorá spravuje alternatívny investičný fond na podnet a v mene tretej osoby, predovšetkým z dôvodu predchádzania konfliktu záujmov a riadenia konfliktu záujmov v prípade, ak konflikt záujmov nie je možné úplne odstrániť. To isté sa týka zverenia činností, funkcií a služieb tretej osobe. Regulácia má dopad len na správcovské spoločnosti, ktoré spravujú alternatívny investičný fond v mene tretej osoby alebo zverili niektoré činnosti, funkcie a služby tretej osobe. Pri kvantifikácii bol zvolený postup na základe alternatívy č. 2 pre administratívne náklady. Abstrahujeme od priebežných poplatkov za správu takéhoto fondu. Typ administratívnych nákladov bol určený ako náklady súvisiace s oboznámením sa s reguláciou a s podaním podrobných vysvetlení a dôkazov, že s</w:t>
      </w:r>
      <w:r w:rsidR="008D55B4" w:rsidRPr="00BC5E60">
        <w:rPr>
          <w:rStyle w:val="y2iqfc"/>
          <w:rFonts w:ascii="Times New Roman" w:eastAsia="Times New Roman" w:hAnsi="Times New Roman" w:cs="Times New Roman"/>
          <w:sz w:val="24"/>
          <w:szCs w:val="24"/>
          <w:lang w:eastAsia="sk-SK"/>
        </w:rPr>
        <w:t>právcovská spoločnosť prijala opatrenia na prevenciu konfliktov záujmov a ich riadenie</w:t>
      </w:r>
      <w:r w:rsidR="008D55B4" w:rsidRPr="00BC5E60">
        <w:rPr>
          <w:rFonts w:ascii="Times New Roman" w:eastAsia="Calibri" w:hAnsi="Times New Roman" w:cs="Times New Roman"/>
          <w:iCs/>
          <w:sz w:val="24"/>
          <w:szCs w:val="24"/>
        </w:rPr>
        <w:t>.</w:t>
      </w:r>
      <w:r w:rsidR="00890340" w:rsidRPr="00BC5E60">
        <w:rPr>
          <w:rFonts w:ascii="Times New Roman" w:eastAsia="Calibri" w:hAnsi="Times New Roman" w:cs="Times New Roman"/>
          <w:iCs/>
          <w:sz w:val="24"/>
          <w:szCs w:val="24"/>
        </w:rPr>
        <w:t xml:space="preserve"> </w:t>
      </w:r>
      <w:r w:rsidR="00A5195B" w:rsidRPr="00BC5E60">
        <w:rPr>
          <w:rFonts w:ascii="Times New Roman" w:eastAsia="Calibri" w:hAnsi="Times New Roman" w:cs="Times New Roman"/>
          <w:iCs/>
          <w:sz w:val="24"/>
          <w:szCs w:val="24"/>
        </w:rPr>
        <w:t xml:space="preserve">Náklady sa odhadujú v celkovej výške  na prípravu všetkých procesov súvisiacich so správou alternatívneho investičného fondu na podnet tretej osoby, vrátane zmluvnej dokumentácie, a prípravy zakladajúcich dokumentov, štatútu a predajného prospektu. Predpokladáme vynaloženie týchto nákladov ešte pred zriadením spravovaného alternatívneho investičného fondu.    </w:t>
      </w:r>
      <w:r w:rsidR="00890340" w:rsidRPr="00BC5E60">
        <w:rPr>
          <w:rFonts w:ascii="Times New Roman" w:eastAsia="Calibri" w:hAnsi="Times New Roman" w:cs="Times New Roman"/>
          <w:iCs/>
          <w:sz w:val="24"/>
          <w:szCs w:val="24"/>
        </w:rPr>
        <w:t xml:space="preserve">      </w:t>
      </w:r>
    </w:p>
    <w:p w14:paraId="3C4A3322" w14:textId="159302DF" w:rsidR="00890340" w:rsidRPr="00BC5E60" w:rsidRDefault="001D4060" w:rsidP="00890340">
      <w:pPr>
        <w:pStyle w:val="Odsekzoznamu"/>
        <w:numPr>
          <w:ilvl w:val="0"/>
          <w:numId w:val="15"/>
        </w:numPr>
        <w:spacing w:after="12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Regulácia podľa </w:t>
      </w:r>
      <w:r w:rsidR="00F070BC" w:rsidRPr="00BC5E60">
        <w:rPr>
          <w:rFonts w:ascii="Times New Roman" w:eastAsia="Calibri" w:hAnsi="Times New Roman" w:cs="Times New Roman"/>
          <w:iCs/>
          <w:sz w:val="24"/>
          <w:szCs w:val="24"/>
        </w:rPr>
        <w:t>§ 37a (4)(e),  § 37</w:t>
      </w:r>
      <w:r w:rsidR="008D55B4" w:rsidRPr="00BC5E60">
        <w:rPr>
          <w:rFonts w:ascii="Times New Roman" w:eastAsia="Calibri" w:hAnsi="Times New Roman" w:cs="Times New Roman"/>
          <w:iCs/>
          <w:sz w:val="24"/>
          <w:szCs w:val="24"/>
        </w:rPr>
        <w:t>e</w:t>
      </w:r>
      <w:r w:rsidR="00F070BC" w:rsidRPr="00BC5E60">
        <w:rPr>
          <w:rFonts w:ascii="Times New Roman" w:eastAsia="Calibri" w:hAnsi="Times New Roman" w:cs="Times New Roman"/>
          <w:iCs/>
          <w:sz w:val="24"/>
          <w:szCs w:val="24"/>
        </w:rPr>
        <w:t xml:space="preserve"> zákona č. 203/2011 – zavedenie účinných politík, postupov  a procesov posudzovania úverového rizika a správy úverového portfólia </w:t>
      </w:r>
      <w:r w:rsidR="00890340" w:rsidRPr="00BC5E60">
        <w:rPr>
          <w:rFonts w:ascii="Times New Roman" w:eastAsia="Calibri" w:hAnsi="Times New Roman" w:cs="Times New Roman"/>
          <w:iCs/>
          <w:sz w:val="24"/>
          <w:szCs w:val="24"/>
        </w:rPr>
        <w:t xml:space="preserve">– </w:t>
      </w:r>
      <w:r w:rsidR="008D55B4" w:rsidRPr="00BC5E60">
        <w:rPr>
          <w:rFonts w:ascii="Times New Roman" w:eastAsia="Calibri" w:hAnsi="Times New Roman" w:cs="Times New Roman"/>
          <w:iCs/>
          <w:sz w:val="24"/>
          <w:szCs w:val="24"/>
        </w:rPr>
        <w:t>prispeje k nárastu nákladov tých správcovských spoločností, ktoré budú spravovať alternatívny investičný fond poskytujúci úvery. Predpokladáme, že takéto fondy vzniknú v najbližších rokoch len tri, a budú ich spravovať 3 správcovské spoločnosti. Pri kvantifikácii bol zvolený postup na základe alternatívy č. 2 pre administratívne náklady. Typ administratívnych nákladov bol určený ako náklady súvisiace s oboznámením sa s reguláciou a so zmenou vnútorných procesov.</w:t>
      </w:r>
      <w:r w:rsidR="00A5195B" w:rsidRPr="00BC5E60">
        <w:rPr>
          <w:rFonts w:ascii="Times New Roman" w:eastAsia="Calibri" w:hAnsi="Times New Roman" w:cs="Times New Roman"/>
          <w:iCs/>
          <w:sz w:val="24"/>
          <w:szCs w:val="24"/>
        </w:rPr>
        <w:t xml:space="preserve"> Zároveň predpokladáme, že len tri najväčšie správcovské spoločnosti zriadia alternatívny investičný fond poskytujúci úvery, keďže pôjde o implementáciu náročných postupov poskytovania úverov, správy úverov a riadenia kreditných rizík. </w:t>
      </w:r>
      <w:r w:rsidR="008D55B4" w:rsidRPr="00BC5E60">
        <w:rPr>
          <w:rFonts w:ascii="Times New Roman" w:eastAsia="Calibri" w:hAnsi="Times New Roman" w:cs="Times New Roman"/>
          <w:iCs/>
          <w:sz w:val="24"/>
          <w:szCs w:val="24"/>
        </w:rPr>
        <w:t xml:space="preserve"> </w:t>
      </w:r>
      <w:r w:rsidR="00B57D2A" w:rsidRPr="00BC5E60">
        <w:rPr>
          <w:rFonts w:ascii="Times New Roman" w:eastAsia="Calibri" w:hAnsi="Times New Roman" w:cs="Times New Roman"/>
          <w:iCs/>
          <w:sz w:val="24"/>
          <w:szCs w:val="24"/>
        </w:rPr>
        <w:t xml:space="preserve">Do nepriamych nákladov sme započítali náklady na technickú prípravu informačného systému na poskytovanie úverov a správu úverov a jeho naprogramovanie  vrátane prípravy dokumentácie fondu a štatútu fondu. Všetky tieto nepriame náklady vzniknú pred zriadením alternatívneho investičného fondu poskytujúceho úvery.  </w:t>
      </w:r>
      <w:r w:rsidR="008D55B4" w:rsidRPr="00BC5E60">
        <w:rPr>
          <w:rFonts w:ascii="Times New Roman" w:eastAsia="Calibri" w:hAnsi="Times New Roman" w:cs="Times New Roman"/>
          <w:iCs/>
          <w:sz w:val="24"/>
          <w:szCs w:val="24"/>
        </w:rPr>
        <w:t xml:space="preserve">   </w:t>
      </w:r>
      <w:r w:rsidR="00890340" w:rsidRPr="00BC5E60">
        <w:rPr>
          <w:rFonts w:ascii="Times New Roman" w:eastAsia="Calibri" w:hAnsi="Times New Roman" w:cs="Times New Roman"/>
          <w:iCs/>
          <w:sz w:val="24"/>
          <w:szCs w:val="24"/>
        </w:rPr>
        <w:t xml:space="preserve">   </w:t>
      </w:r>
    </w:p>
    <w:p w14:paraId="05986EEE" w14:textId="3E327658" w:rsidR="00890340" w:rsidRPr="00BC5E60" w:rsidRDefault="008D55B4" w:rsidP="00890340">
      <w:pPr>
        <w:pStyle w:val="Odsekzoznamu"/>
        <w:numPr>
          <w:ilvl w:val="0"/>
          <w:numId w:val="15"/>
        </w:numPr>
        <w:spacing w:after="12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Regulácia podľa </w:t>
      </w:r>
      <w:r w:rsidR="00F070BC" w:rsidRPr="00BC5E60">
        <w:rPr>
          <w:rFonts w:ascii="Times New Roman" w:eastAsia="Calibri" w:hAnsi="Times New Roman" w:cs="Times New Roman"/>
          <w:iCs/>
          <w:sz w:val="24"/>
          <w:szCs w:val="24"/>
        </w:rPr>
        <w:t xml:space="preserve">§ 14a zákona č. 203/2011 – implementácia politík a postupov na aktiváciu a deaktiváciu nástrojov riadenia likvidity </w:t>
      </w:r>
      <w:r w:rsidR="00E824F7" w:rsidRPr="00BC5E60">
        <w:rPr>
          <w:rFonts w:ascii="Times New Roman" w:eastAsia="Calibri" w:hAnsi="Times New Roman" w:cs="Times New Roman"/>
          <w:iCs/>
          <w:sz w:val="24"/>
          <w:szCs w:val="24"/>
        </w:rPr>
        <w:t>–</w:t>
      </w:r>
      <w:r w:rsidR="00890340" w:rsidRPr="00BC5E60">
        <w:rPr>
          <w:rFonts w:ascii="Times New Roman" w:eastAsia="Calibri" w:hAnsi="Times New Roman" w:cs="Times New Roman"/>
          <w:iCs/>
          <w:sz w:val="24"/>
          <w:szCs w:val="24"/>
        </w:rPr>
        <w:t xml:space="preserve"> </w:t>
      </w:r>
      <w:r w:rsidR="00E824F7" w:rsidRPr="00BC5E60">
        <w:rPr>
          <w:rFonts w:ascii="Times New Roman" w:eastAsia="Calibri" w:hAnsi="Times New Roman" w:cs="Times New Roman"/>
          <w:iCs/>
          <w:sz w:val="24"/>
          <w:szCs w:val="24"/>
        </w:rPr>
        <w:t xml:space="preserve">zvyšuje náklady všetkým správcovským spoločnostiam, keďže všetky sa musia prispôsobiť novej regulácii pri spravovaní alternatívnych investičných fondov a štandardných podielových fondov. Pri kvantifikácii bol zvolený postup na základe alternatívy č. 2 pre administratívne náklady. </w:t>
      </w:r>
      <w:r w:rsidR="00E824F7" w:rsidRPr="00BC5E60">
        <w:rPr>
          <w:rFonts w:ascii="Times New Roman" w:eastAsia="Calibri" w:hAnsi="Times New Roman" w:cs="Times New Roman"/>
          <w:iCs/>
          <w:sz w:val="24"/>
          <w:szCs w:val="24"/>
        </w:rPr>
        <w:lastRenderedPageBreak/>
        <w:t xml:space="preserve">Typ administratívnych nákladov bol určený ako náklady súvisiace s oboznámením sa s reguláciou, so zmenou vnútorných procesov ako aj s overením súladu vnútorných procesov s novou reguláciou. </w:t>
      </w:r>
      <w:r w:rsidR="00A5195B" w:rsidRPr="00BC5E60">
        <w:rPr>
          <w:rFonts w:ascii="Times New Roman" w:eastAsia="Calibri" w:hAnsi="Times New Roman" w:cs="Times New Roman"/>
          <w:iCs/>
          <w:sz w:val="24"/>
          <w:szCs w:val="24"/>
        </w:rPr>
        <w:t xml:space="preserve">Ide o jednorazové náklady na zamestnancov pripravujúcich možné využitie nástrojov riadenia likvidity, vrátane úpravy informačného systému. </w:t>
      </w:r>
      <w:r w:rsidR="00E824F7" w:rsidRPr="00BC5E60">
        <w:rPr>
          <w:rFonts w:ascii="Times New Roman" w:eastAsia="Calibri" w:hAnsi="Times New Roman" w:cs="Times New Roman"/>
          <w:iCs/>
          <w:sz w:val="24"/>
          <w:szCs w:val="24"/>
        </w:rPr>
        <w:t xml:space="preserve">      </w:t>
      </w:r>
      <w:r w:rsidR="00890340" w:rsidRPr="00BC5E60">
        <w:rPr>
          <w:rFonts w:ascii="Times New Roman" w:eastAsia="Calibri" w:hAnsi="Times New Roman" w:cs="Times New Roman"/>
          <w:iCs/>
          <w:sz w:val="24"/>
          <w:szCs w:val="24"/>
        </w:rPr>
        <w:t xml:space="preserve">    </w:t>
      </w:r>
    </w:p>
    <w:p w14:paraId="5782DA3C" w14:textId="1D93C087" w:rsidR="00E824F7" w:rsidRPr="00BC5E60" w:rsidRDefault="001D4060" w:rsidP="00E824F7">
      <w:pPr>
        <w:pStyle w:val="Odsekzoznamu"/>
        <w:numPr>
          <w:ilvl w:val="0"/>
          <w:numId w:val="15"/>
        </w:numPr>
        <w:spacing w:after="12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Regulácia podľa </w:t>
      </w:r>
      <w:r w:rsidR="00F070BC" w:rsidRPr="00BC5E60">
        <w:rPr>
          <w:rFonts w:ascii="Times New Roman" w:eastAsia="Calibri" w:hAnsi="Times New Roman" w:cs="Times New Roman"/>
          <w:iCs/>
          <w:sz w:val="24"/>
          <w:szCs w:val="24"/>
        </w:rPr>
        <w:t>§</w:t>
      </w:r>
      <w:r w:rsidR="00E824F7" w:rsidRPr="00BC5E60">
        <w:rPr>
          <w:rFonts w:ascii="Times New Roman" w:eastAsia="Calibri" w:hAnsi="Times New Roman" w:cs="Times New Roman"/>
          <w:iCs/>
          <w:sz w:val="24"/>
          <w:szCs w:val="24"/>
        </w:rPr>
        <w:t xml:space="preserve"> 57 a</w:t>
      </w:r>
      <w:r w:rsidR="00F070BC" w:rsidRPr="00BC5E60">
        <w:rPr>
          <w:rFonts w:ascii="Times New Roman" w:eastAsia="Calibri" w:hAnsi="Times New Roman" w:cs="Times New Roman"/>
          <w:iCs/>
          <w:sz w:val="24"/>
          <w:szCs w:val="24"/>
        </w:rPr>
        <w:t xml:space="preserve"> 57a zákona č. 203/2011 – uzavretie dohody o zverení činností</w:t>
      </w:r>
      <w:r w:rsidRPr="00BC5E60">
        <w:rPr>
          <w:rFonts w:ascii="Times New Roman" w:eastAsia="Calibri" w:hAnsi="Times New Roman" w:cs="Times New Roman"/>
          <w:iCs/>
          <w:sz w:val="24"/>
          <w:szCs w:val="24"/>
        </w:rPr>
        <w:t>, funkcií a služieb</w:t>
      </w:r>
      <w:r w:rsidR="00F070BC" w:rsidRPr="00BC5E60">
        <w:rPr>
          <w:rFonts w:ascii="Times New Roman" w:eastAsia="Calibri" w:hAnsi="Times New Roman" w:cs="Times New Roman"/>
          <w:iCs/>
          <w:sz w:val="24"/>
          <w:szCs w:val="24"/>
        </w:rPr>
        <w:t xml:space="preserve"> </w:t>
      </w:r>
      <w:r w:rsidR="00E824F7" w:rsidRPr="00BC5E60">
        <w:rPr>
          <w:rFonts w:ascii="Times New Roman" w:eastAsia="Times New Roman" w:hAnsi="Times New Roman" w:cs="Times New Roman"/>
          <w:color w:val="000000"/>
          <w:sz w:val="24"/>
          <w:szCs w:val="24"/>
          <w:lang w:eastAsia="sk-SK"/>
        </w:rPr>
        <w:t xml:space="preserve">– zvyšuje náklady, ktoré sú vyvolané povinnosťou prispôsobiť sa tejto regulácii a informovať Národnú banku Slovenska o zverení a druhotnom zverení činností, funkcií a služieb na tretiu osobu. Táto regulácia sa vzťahuje na všetky správcovské spoločnosti, a to ešte pred momentom zverenia a druhotného zverenia činností, funkcií a služieb na tretiu osobu, náklady sú teda jednorazové a súvisia s uzavretím dohody o zverení činností, funkcií a služieb, a prispôsobením všetkých vnútorných procesov.  </w:t>
      </w:r>
      <w:r w:rsidR="00E824F7" w:rsidRPr="00BC5E60">
        <w:rPr>
          <w:rFonts w:ascii="Times New Roman" w:eastAsia="Calibri" w:hAnsi="Times New Roman" w:cs="Times New Roman"/>
          <w:iCs/>
          <w:sz w:val="24"/>
          <w:szCs w:val="24"/>
        </w:rPr>
        <w:t xml:space="preserve">Pri kvantifikácii bol zvolený postup na základe alternatívy č. 2 pre administratívne náklady. Typ administratívnych nákladov bol určený ako náklady súvisiace s oboznámením sa s reguláciou a so zmenou vnútorných procesov. </w:t>
      </w:r>
      <w:r w:rsidR="00944682" w:rsidRPr="00BC5E60">
        <w:rPr>
          <w:rFonts w:ascii="Times New Roman" w:eastAsia="Calibri" w:hAnsi="Times New Roman" w:cs="Times New Roman"/>
          <w:iCs/>
          <w:sz w:val="24"/>
          <w:szCs w:val="24"/>
        </w:rPr>
        <w:t xml:space="preserve">Odhadnuté náklady predstavujú náklady na zamestnancov, ktorí pripravia dohodu o zverení činností, funkcií a služieb tretej osobe. </w:t>
      </w:r>
      <w:r w:rsidR="00E824F7" w:rsidRPr="00BC5E60">
        <w:rPr>
          <w:rFonts w:ascii="Times New Roman" w:eastAsia="Calibri" w:hAnsi="Times New Roman" w:cs="Times New Roman"/>
          <w:iCs/>
          <w:sz w:val="24"/>
          <w:szCs w:val="24"/>
        </w:rPr>
        <w:t xml:space="preserve">        </w:t>
      </w:r>
    </w:p>
    <w:p w14:paraId="28E53654" w14:textId="175D03FD" w:rsidR="00890340" w:rsidRPr="00BC5E60" w:rsidRDefault="00E824F7" w:rsidP="004A06DB">
      <w:pPr>
        <w:pStyle w:val="Odsekzoznamu"/>
        <w:numPr>
          <w:ilvl w:val="0"/>
          <w:numId w:val="15"/>
        </w:numPr>
        <w:spacing w:after="12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Reguláciou v </w:t>
      </w:r>
      <w:r w:rsidR="00F070BC" w:rsidRPr="00BC5E60">
        <w:rPr>
          <w:rFonts w:ascii="Times New Roman" w:eastAsia="Calibri" w:hAnsi="Times New Roman" w:cs="Times New Roman"/>
          <w:iCs/>
          <w:sz w:val="24"/>
          <w:szCs w:val="24"/>
        </w:rPr>
        <w:t>§ 159</w:t>
      </w:r>
      <w:r w:rsidR="00D2003A" w:rsidRPr="00BC5E60">
        <w:rPr>
          <w:rFonts w:ascii="Times New Roman" w:eastAsia="Calibri" w:hAnsi="Times New Roman" w:cs="Times New Roman"/>
          <w:iCs/>
          <w:sz w:val="24"/>
          <w:szCs w:val="24"/>
        </w:rPr>
        <w:t>a</w:t>
      </w:r>
      <w:r w:rsidR="00F070BC" w:rsidRPr="00BC5E60">
        <w:rPr>
          <w:rFonts w:ascii="Times New Roman" w:eastAsia="Calibri" w:hAnsi="Times New Roman" w:cs="Times New Roman"/>
          <w:iCs/>
          <w:sz w:val="24"/>
          <w:szCs w:val="24"/>
        </w:rPr>
        <w:t xml:space="preserve">(1)(p) zákona č. 203/2011 – zoznam poplatkov, </w:t>
      </w:r>
      <w:r w:rsidR="00944682" w:rsidRPr="00BC5E60">
        <w:rPr>
          <w:rFonts w:ascii="Times New Roman" w:eastAsia="Calibri" w:hAnsi="Times New Roman" w:cs="Times New Roman"/>
          <w:iCs/>
          <w:sz w:val="24"/>
          <w:szCs w:val="24"/>
        </w:rPr>
        <w:t>platieb</w:t>
      </w:r>
      <w:r w:rsidR="00F070BC" w:rsidRPr="00BC5E60">
        <w:rPr>
          <w:rFonts w:ascii="Times New Roman" w:eastAsia="Calibri" w:hAnsi="Times New Roman" w:cs="Times New Roman"/>
          <w:iCs/>
          <w:sz w:val="24"/>
          <w:szCs w:val="24"/>
        </w:rPr>
        <w:t xml:space="preserve"> a výdavkov </w:t>
      </w:r>
      <w:r w:rsidR="00890340" w:rsidRPr="00BC5E60">
        <w:rPr>
          <w:rFonts w:ascii="Times New Roman" w:eastAsia="Calibri" w:hAnsi="Times New Roman" w:cs="Times New Roman"/>
          <w:iCs/>
          <w:sz w:val="24"/>
          <w:szCs w:val="24"/>
        </w:rPr>
        <w:t xml:space="preserve">– </w:t>
      </w:r>
      <w:r w:rsidRPr="00BC5E60">
        <w:rPr>
          <w:rFonts w:ascii="Times New Roman" w:eastAsia="Calibri" w:hAnsi="Times New Roman" w:cs="Times New Roman"/>
          <w:iCs/>
          <w:sz w:val="24"/>
          <w:szCs w:val="24"/>
        </w:rPr>
        <w:t>sa zvyšujú náklady súvisiace s vypracovaní a poskytovaním uvedeného zoznamu. Týka sa to všetkých správcovských spoločností</w:t>
      </w:r>
      <w:r w:rsidR="00D2003A" w:rsidRPr="00BC5E60">
        <w:rPr>
          <w:rFonts w:ascii="Times New Roman" w:eastAsia="Calibri" w:hAnsi="Times New Roman" w:cs="Times New Roman"/>
          <w:iCs/>
          <w:sz w:val="24"/>
          <w:szCs w:val="24"/>
        </w:rPr>
        <w:t xml:space="preserve">, ktoré spravujú alternatívne investičné fondy. Pri kvantifikácii bol zvolený postup na základe alternatívy č. 2 pre administratívne náklady. Typ administratívnych nákladov bol určený ako jednorazové náklady súvisiace s oboznámením sa s reguláciou a so zmenou vnútorných procesov. </w:t>
      </w:r>
      <w:r w:rsidR="00944682" w:rsidRPr="00BC5E60">
        <w:rPr>
          <w:rFonts w:ascii="Times New Roman" w:eastAsia="Calibri" w:hAnsi="Times New Roman" w:cs="Times New Roman"/>
          <w:iCs/>
          <w:sz w:val="24"/>
          <w:szCs w:val="24"/>
        </w:rPr>
        <w:t xml:space="preserve">Odhadnuté náklady zahŕňajú náklady na zamestnancov, ktorí pripravia požadovanú informáciu, vrátane nákladov na zmeny v informačnom systéme. </w:t>
      </w:r>
      <w:r w:rsidR="00D2003A" w:rsidRPr="00BC5E60">
        <w:rPr>
          <w:rFonts w:ascii="Times New Roman" w:eastAsia="Calibri" w:hAnsi="Times New Roman" w:cs="Times New Roman"/>
          <w:iCs/>
          <w:sz w:val="24"/>
          <w:szCs w:val="24"/>
        </w:rPr>
        <w:t xml:space="preserve"> </w:t>
      </w:r>
      <w:r w:rsidR="00890340" w:rsidRPr="00BC5E60">
        <w:rPr>
          <w:rFonts w:ascii="Times New Roman" w:eastAsia="Calibri" w:hAnsi="Times New Roman" w:cs="Times New Roman"/>
          <w:iCs/>
          <w:sz w:val="24"/>
          <w:szCs w:val="24"/>
        </w:rPr>
        <w:t xml:space="preserve">         </w:t>
      </w:r>
    </w:p>
    <w:p w14:paraId="7C61F5C6" w14:textId="50226101" w:rsidR="00890340" w:rsidRPr="00BC5E60" w:rsidRDefault="00D2003A" w:rsidP="00890340">
      <w:pPr>
        <w:pStyle w:val="Odsekzoznamu"/>
        <w:numPr>
          <w:ilvl w:val="0"/>
          <w:numId w:val="15"/>
        </w:numPr>
        <w:spacing w:after="12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Regulácia podľa </w:t>
      </w:r>
      <w:r w:rsidR="00F070BC" w:rsidRPr="00BC5E60">
        <w:rPr>
          <w:rFonts w:ascii="Times New Roman" w:eastAsia="Calibri" w:hAnsi="Times New Roman" w:cs="Times New Roman"/>
          <w:iCs/>
          <w:sz w:val="24"/>
          <w:szCs w:val="24"/>
        </w:rPr>
        <w:t xml:space="preserve">§ 159a(4) zákona č. 203/2011 – informácie o zložení portfólia úverov </w:t>
      </w:r>
      <w:r w:rsidR="00890340" w:rsidRPr="00BC5E60">
        <w:rPr>
          <w:rFonts w:ascii="Times New Roman" w:eastAsia="Calibri" w:hAnsi="Times New Roman" w:cs="Times New Roman"/>
          <w:iCs/>
          <w:sz w:val="24"/>
          <w:szCs w:val="24"/>
        </w:rPr>
        <w:t xml:space="preserve">– </w:t>
      </w:r>
      <w:r w:rsidRPr="00BC5E60">
        <w:rPr>
          <w:rFonts w:ascii="Times New Roman" w:eastAsia="Calibri" w:hAnsi="Times New Roman" w:cs="Times New Roman"/>
          <w:iCs/>
          <w:sz w:val="24"/>
          <w:szCs w:val="24"/>
        </w:rPr>
        <w:t>zvyšuje náklady pre všetky alternatívne investičné fondy poskytujúce úvery. I</w:t>
      </w:r>
      <w:r w:rsidR="00890340" w:rsidRPr="00BC5E60">
        <w:rPr>
          <w:rFonts w:ascii="Times New Roman" w:eastAsia="Calibri" w:hAnsi="Times New Roman" w:cs="Times New Roman"/>
          <w:iCs/>
          <w:sz w:val="24"/>
          <w:szCs w:val="24"/>
        </w:rPr>
        <w:t>de o veľmi pod</w:t>
      </w:r>
      <w:r w:rsidRPr="00BC5E60">
        <w:rPr>
          <w:rFonts w:ascii="Times New Roman" w:eastAsia="Calibri" w:hAnsi="Times New Roman" w:cs="Times New Roman"/>
          <w:iCs/>
          <w:sz w:val="24"/>
          <w:szCs w:val="24"/>
        </w:rPr>
        <w:t xml:space="preserve">robné informácie pravidelne aktualizované. Pri kvantifikácii bol zvolený postup na základe alternatívy č. 2 pre administratívne náklady. Typ administratívnych nákladov bol určený ako náklady súvisiace s oboznámením sa s reguláciou, zmenou vnútorných procesov a s poskytnutím takejto informácie Národnej banke Slovenska. </w:t>
      </w:r>
      <w:r w:rsidR="00944682" w:rsidRPr="00BC5E60">
        <w:rPr>
          <w:rFonts w:ascii="Times New Roman" w:eastAsia="Calibri" w:hAnsi="Times New Roman" w:cs="Times New Roman"/>
          <w:iCs/>
          <w:sz w:val="24"/>
          <w:szCs w:val="24"/>
        </w:rPr>
        <w:t xml:space="preserve">Táto povinnosť by sa mala týkať len troch najväčších správcovských spoločností, ktoré budú spravovať alternatívny investičný fond poskytujúci úvery. Odhadnuté náklady zahŕňajú náklady na zamestnancov a procesy, ktoré sa použijú na prípravu požadovanej informácie o zložení portfólia úverov. </w:t>
      </w:r>
      <w:r w:rsidRPr="00BC5E60">
        <w:rPr>
          <w:rFonts w:ascii="Times New Roman" w:eastAsia="Calibri" w:hAnsi="Times New Roman" w:cs="Times New Roman"/>
          <w:iCs/>
          <w:sz w:val="24"/>
          <w:szCs w:val="24"/>
        </w:rPr>
        <w:t xml:space="preserve">           </w:t>
      </w:r>
      <w:r w:rsidR="00890340" w:rsidRPr="00BC5E60">
        <w:rPr>
          <w:rFonts w:ascii="Times New Roman" w:eastAsia="Calibri" w:hAnsi="Times New Roman" w:cs="Times New Roman"/>
          <w:iCs/>
          <w:sz w:val="24"/>
          <w:szCs w:val="24"/>
        </w:rPr>
        <w:t xml:space="preserve">   </w:t>
      </w:r>
    </w:p>
    <w:p w14:paraId="551EB526" w14:textId="02AB86E1" w:rsidR="00890340" w:rsidRPr="00BC5E60" w:rsidRDefault="00D2003A" w:rsidP="00890340">
      <w:pPr>
        <w:pStyle w:val="Odsekzoznamu"/>
        <w:numPr>
          <w:ilvl w:val="0"/>
          <w:numId w:val="15"/>
        </w:numPr>
        <w:spacing w:after="12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Regulácia podľa </w:t>
      </w:r>
      <w:r w:rsidR="00F070BC" w:rsidRPr="00BC5E60">
        <w:rPr>
          <w:rFonts w:ascii="Times New Roman" w:eastAsia="Calibri" w:hAnsi="Times New Roman" w:cs="Times New Roman"/>
          <w:iCs/>
          <w:sz w:val="24"/>
          <w:szCs w:val="24"/>
        </w:rPr>
        <w:t xml:space="preserve">148(12) zákona č. 203/2011 – ponúkanie </w:t>
      </w:r>
      <w:r w:rsidRPr="00BC5E60">
        <w:rPr>
          <w:rFonts w:ascii="Times New Roman" w:eastAsia="Calibri" w:hAnsi="Times New Roman" w:cs="Times New Roman"/>
          <w:iCs/>
          <w:sz w:val="24"/>
          <w:szCs w:val="24"/>
        </w:rPr>
        <w:t xml:space="preserve">podielových listov európskych alternatívnych investičných fondov </w:t>
      </w:r>
      <w:r w:rsidR="00F070BC" w:rsidRPr="00BC5E60">
        <w:rPr>
          <w:rFonts w:ascii="Times New Roman" w:eastAsia="Calibri" w:hAnsi="Times New Roman" w:cs="Times New Roman"/>
          <w:iCs/>
          <w:sz w:val="24"/>
          <w:szCs w:val="24"/>
        </w:rPr>
        <w:t xml:space="preserve">v rámci sporenia zamestnancov </w:t>
      </w:r>
      <w:r w:rsidR="00890340" w:rsidRPr="00BC5E60">
        <w:rPr>
          <w:rFonts w:ascii="Times New Roman" w:eastAsia="Calibri" w:hAnsi="Times New Roman" w:cs="Times New Roman"/>
          <w:iCs/>
          <w:sz w:val="24"/>
          <w:szCs w:val="24"/>
        </w:rPr>
        <w:t xml:space="preserve">– </w:t>
      </w:r>
      <w:r w:rsidRPr="00BC5E60">
        <w:rPr>
          <w:rFonts w:ascii="Times New Roman" w:eastAsia="Calibri" w:hAnsi="Times New Roman" w:cs="Times New Roman"/>
          <w:iCs/>
          <w:sz w:val="24"/>
          <w:szCs w:val="24"/>
        </w:rPr>
        <w:t xml:space="preserve">zvyšuje náklady na samotné zavedenie </w:t>
      </w:r>
      <w:r w:rsidR="0006398C" w:rsidRPr="00BC5E60">
        <w:rPr>
          <w:rFonts w:ascii="Times New Roman" w:eastAsia="Calibri" w:hAnsi="Times New Roman" w:cs="Times New Roman"/>
          <w:iCs/>
          <w:sz w:val="24"/>
          <w:szCs w:val="24"/>
        </w:rPr>
        <w:t>takéhoto investičného systému, aj na jeho dlhodobé udržiavanie. Správcovské spoločnosti nie sú nútenú túto možnosť využívať, keďže súčasne existuje mnoho ďalších možností príspevku zamestnávateľa svojim zamestnancov na dôchodkové zabezpečenie, preto predpokladáme, že takáto regulácia sa bude vzťahovať len na jednu správcovskú spoločnosť. Pri kvantifikácii bol zvolený postup na základe alternatívy č. 2 pre administratívne náklady. Typ administratívnych nákladov bol určený ako náklady súvisiace s oboznámením sa s reguláciou a so zmenou vnútorných procesov správcovskej spoločnosti.</w:t>
      </w:r>
      <w:r w:rsidR="00890340" w:rsidRPr="00BC5E60">
        <w:rPr>
          <w:rFonts w:ascii="Times New Roman" w:eastAsia="Calibri" w:hAnsi="Times New Roman" w:cs="Times New Roman"/>
          <w:iCs/>
          <w:sz w:val="24"/>
          <w:szCs w:val="24"/>
        </w:rPr>
        <w:t xml:space="preserve"> </w:t>
      </w:r>
      <w:r w:rsidR="00944682" w:rsidRPr="00BC5E60">
        <w:rPr>
          <w:rFonts w:ascii="Times New Roman" w:eastAsia="Calibri" w:hAnsi="Times New Roman" w:cs="Times New Roman"/>
          <w:iCs/>
          <w:sz w:val="24"/>
          <w:szCs w:val="24"/>
        </w:rPr>
        <w:t xml:space="preserve">Do odhadnutých nákladov sme započítali náklady na interné procesy, na informačný systém, na oboznámenie sa </w:t>
      </w:r>
      <w:r w:rsidR="00944682" w:rsidRPr="00BC5E60">
        <w:rPr>
          <w:rFonts w:ascii="Times New Roman" w:eastAsia="Calibri" w:hAnsi="Times New Roman" w:cs="Times New Roman"/>
          <w:iCs/>
          <w:sz w:val="24"/>
          <w:szCs w:val="24"/>
        </w:rPr>
        <w:lastRenderedPageBreak/>
        <w:t xml:space="preserve">s reguláciou, a aj na zamestnancov, ktorí budú riadiť a spravovať dôchodkový program pre zamestnancov.    </w:t>
      </w:r>
    </w:p>
    <w:p w14:paraId="0C0C6B81" w14:textId="77777777" w:rsidR="0006398C" w:rsidRPr="00BC5E60" w:rsidRDefault="0006398C" w:rsidP="0006398C">
      <w:pPr>
        <w:pStyle w:val="Odsekzoznamu"/>
        <w:numPr>
          <w:ilvl w:val="0"/>
          <w:numId w:val="16"/>
        </w:numPr>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Regulácia podľa § 161a zákona č. 203/2011 zvyšuje náklady tým, že vyžaduje pravidelne podávať správy o trhoch, na ktorých správcovská spoločnosť obchoduje a nástrojoch, s ktorými obchoduje. Táto regulácia sa týka všetkých správcovských spoločností, ktoré spravujú štandardné podielové fondy. Pri kvantifikácii bol zvolený postup na základe alternatívy č. 2 pre administratívne náklady. Typ administratívnych nákladov bol určený ako náklady súvisiace s oboznámením sa s reguláciou a s podaním danej správy v mesačnej frekvencii.              </w:t>
      </w:r>
    </w:p>
    <w:p w14:paraId="580B4DA4" w14:textId="72105E2C" w:rsidR="00890340" w:rsidRPr="00BC5E60" w:rsidRDefault="003C75A5" w:rsidP="00702877">
      <w:pPr>
        <w:pStyle w:val="Odsekzoznamu"/>
        <w:numPr>
          <w:ilvl w:val="0"/>
          <w:numId w:val="16"/>
        </w:numPr>
        <w:spacing w:after="0"/>
        <w:jc w:val="both"/>
        <w:rPr>
          <w:rFonts w:ascii="Arial Narrow" w:eastAsia="Calibri" w:hAnsi="Arial Narrow" w:cs="Times New Roman"/>
          <w:bCs/>
          <w:color w:val="000000"/>
          <w:sz w:val="24"/>
          <w:szCs w:val="24"/>
        </w:rPr>
      </w:pPr>
      <w:r w:rsidRPr="00BC5E60">
        <w:rPr>
          <w:rFonts w:ascii="Times New Roman" w:eastAsia="Calibri" w:hAnsi="Times New Roman" w:cs="Times New Roman"/>
          <w:iCs/>
          <w:sz w:val="24"/>
          <w:szCs w:val="24"/>
        </w:rPr>
        <w:t xml:space="preserve">Regulácia </w:t>
      </w:r>
      <w:r w:rsidR="003B58AD" w:rsidRPr="00BC5E60">
        <w:rPr>
          <w:rFonts w:ascii="Times New Roman" w:eastAsia="Calibri" w:hAnsi="Times New Roman" w:cs="Times New Roman"/>
          <w:iCs/>
          <w:sz w:val="24"/>
          <w:szCs w:val="24"/>
        </w:rPr>
        <w:t xml:space="preserve">podľa </w:t>
      </w:r>
      <w:r w:rsidR="00F070BC" w:rsidRPr="00BC5E60">
        <w:rPr>
          <w:rFonts w:ascii="Times New Roman" w:eastAsia="Calibri" w:hAnsi="Times New Roman" w:cs="Times New Roman"/>
          <w:iCs/>
          <w:sz w:val="24"/>
          <w:szCs w:val="24"/>
        </w:rPr>
        <w:t xml:space="preserve">§  44(6) zákona č. 203/2011 – správa </w:t>
      </w:r>
      <w:r w:rsidR="003B58AD" w:rsidRPr="00BC5E60">
        <w:rPr>
          <w:rFonts w:ascii="Times New Roman" w:eastAsia="Calibri" w:hAnsi="Times New Roman" w:cs="Times New Roman"/>
          <w:iCs/>
          <w:sz w:val="24"/>
          <w:szCs w:val="24"/>
        </w:rPr>
        <w:t>štandardného podielového fondu</w:t>
      </w:r>
      <w:r w:rsidR="00F070BC" w:rsidRPr="00BC5E60">
        <w:rPr>
          <w:rFonts w:ascii="Times New Roman" w:eastAsia="Calibri" w:hAnsi="Times New Roman" w:cs="Times New Roman"/>
          <w:iCs/>
          <w:sz w:val="24"/>
          <w:szCs w:val="24"/>
        </w:rPr>
        <w:t xml:space="preserve"> na podnet tretej osoby</w:t>
      </w:r>
      <w:r w:rsidR="003B58AD" w:rsidRPr="00BC5E60">
        <w:rPr>
          <w:rFonts w:ascii="Times New Roman" w:eastAsia="Calibri" w:hAnsi="Times New Roman" w:cs="Times New Roman"/>
          <w:iCs/>
          <w:sz w:val="24"/>
          <w:szCs w:val="24"/>
        </w:rPr>
        <w:t xml:space="preserve"> – zvyšuje náklady každej správcovskej spoločnosti, ktorá spravuje štandardný podielový fond na podnet a v mene tretej osoby, predovšetkým z dôvodu predchádzania konfliktu záujmov a riadenia konfliktu záujmov v prípade, ak konflikt záujmov nie je možné úplne odstrániť. To isté sa týka zverenia činností, funkcií a služieb tretej osobe. Regulácia má dopad len na správcovské spoločnosti, ktoré spravujú podielový fond v mene tretej osoby alebo zverili niektoré činnosti, funkcie a služby tretej osobe. Pri kvantifikácii bol zvolený postup na základe alternatívy č. 2 pre administratívne náklady. Abstrahujeme od priebežných poplatkov za správu takéhoto fondu.</w:t>
      </w:r>
      <w:r w:rsidR="0006398C" w:rsidRPr="00BC5E60">
        <w:rPr>
          <w:rFonts w:ascii="Times New Roman" w:eastAsia="Calibri" w:hAnsi="Times New Roman" w:cs="Times New Roman"/>
          <w:iCs/>
          <w:sz w:val="24"/>
          <w:szCs w:val="24"/>
        </w:rPr>
        <w:t xml:space="preserve"> </w:t>
      </w:r>
      <w:r w:rsidR="003B58AD" w:rsidRPr="00BC5E60">
        <w:rPr>
          <w:rFonts w:ascii="Times New Roman" w:eastAsia="Calibri" w:hAnsi="Times New Roman" w:cs="Times New Roman"/>
          <w:iCs/>
          <w:sz w:val="24"/>
          <w:szCs w:val="24"/>
        </w:rPr>
        <w:t>Typ administratívnych nákladov bol určený ako náklady súvisiace s oboznámením sa s reguláciou a s podaním podrobných vysvetlení a dôkazov, že s</w:t>
      </w:r>
      <w:r w:rsidR="003B58AD" w:rsidRPr="00BC5E60">
        <w:rPr>
          <w:rStyle w:val="y2iqfc"/>
          <w:rFonts w:ascii="Times New Roman" w:eastAsia="Times New Roman" w:hAnsi="Times New Roman" w:cs="Times New Roman"/>
          <w:sz w:val="24"/>
          <w:szCs w:val="24"/>
          <w:lang w:eastAsia="sk-SK"/>
        </w:rPr>
        <w:t>právcovská spoločnosť prijala opatrenia na prevenciu konfliktov záujmov a ich riadenie</w:t>
      </w:r>
      <w:r w:rsidR="003B58AD" w:rsidRPr="00BC5E60">
        <w:rPr>
          <w:rFonts w:ascii="Times New Roman" w:eastAsia="Calibri" w:hAnsi="Times New Roman" w:cs="Times New Roman"/>
          <w:iCs/>
          <w:sz w:val="24"/>
          <w:szCs w:val="24"/>
        </w:rPr>
        <w:t xml:space="preserve">. </w:t>
      </w:r>
      <w:r w:rsidR="00944682" w:rsidRPr="00BC5E60">
        <w:rPr>
          <w:rFonts w:ascii="Times New Roman" w:eastAsia="Calibri" w:hAnsi="Times New Roman" w:cs="Times New Roman"/>
          <w:iCs/>
          <w:sz w:val="24"/>
          <w:szCs w:val="24"/>
        </w:rPr>
        <w:t xml:space="preserve">Náklady sa odhadujú v celkovej výške  na prípravu všetkých procesov súvisiacich so správou štandardného podielového  fondu na podnet tretej osoby, vrátane zmluvnej dokumentácie, a prípravy zakladajúcich dokumentov, štatútu a predajného prospektu. Predpokladáme vynaloženie týchto nákladov ešte pred zriadením spravovaného štandardného podielového fondu.          </w:t>
      </w:r>
      <w:r w:rsidR="003B58AD" w:rsidRPr="00BC5E60">
        <w:rPr>
          <w:rFonts w:ascii="Times New Roman" w:eastAsia="Calibri" w:hAnsi="Times New Roman" w:cs="Times New Roman"/>
          <w:iCs/>
          <w:sz w:val="24"/>
          <w:szCs w:val="24"/>
        </w:rPr>
        <w:t xml:space="preserve">                 </w:t>
      </w:r>
    </w:p>
    <w:p w14:paraId="3018CE29" w14:textId="50F5FBDF" w:rsidR="008D307B" w:rsidRPr="00BC5E60" w:rsidRDefault="00944682" w:rsidP="00BC5E60">
      <w:pPr>
        <w:spacing w:after="0"/>
        <w:ind w:left="709" w:hanging="425"/>
        <w:jc w:val="both"/>
        <w:rPr>
          <w:rFonts w:ascii="Times New Roman" w:eastAsia="Calibri" w:hAnsi="Times New Roman" w:cs="Times New Roman"/>
          <w:iCs/>
          <w:sz w:val="24"/>
          <w:szCs w:val="24"/>
        </w:rPr>
      </w:pPr>
      <w:r w:rsidRPr="00BC5E60">
        <w:rPr>
          <w:rFonts w:ascii="Times New Roman" w:eastAsia="Calibri" w:hAnsi="Times New Roman" w:cs="Times New Roman"/>
          <w:iCs/>
        </w:rPr>
        <w:t>14.</w:t>
      </w:r>
      <w:r w:rsidR="00776537" w:rsidRPr="00BC5E60">
        <w:rPr>
          <w:rFonts w:ascii="Times New Roman" w:eastAsia="Calibri" w:hAnsi="Times New Roman" w:cs="Times New Roman"/>
          <w:iCs/>
        </w:rPr>
        <w:t xml:space="preserve">    </w:t>
      </w:r>
      <w:r w:rsidR="008D307B" w:rsidRPr="00BC5E60">
        <w:rPr>
          <w:rFonts w:ascii="Times New Roman" w:eastAsia="Calibri" w:hAnsi="Times New Roman" w:cs="Times New Roman"/>
          <w:iCs/>
          <w:sz w:val="24"/>
          <w:szCs w:val="24"/>
        </w:rPr>
        <w:t xml:space="preserve">Regulácia podľa §  31b zákona č. 203/2011 -  zmena obchodného mena registrovaného správcu s doplnením </w:t>
      </w:r>
      <w:r w:rsidR="00BC5E60" w:rsidRPr="00BC5E60">
        <w:rPr>
          <w:rFonts w:ascii="Times New Roman" w:eastAsia="Calibri" w:hAnsi="Times New Roman" w:cs="Times New Roman"/>
          <w:iCs/>
          <w:sz w:val="24"/>
          <w:szCs w:val="24"/>
        </w:rPr>
        <w:t>označenia</w:t>
      </w:r>
      <w:r w:rsidR="008D307B" w:rsidRPr="00BC5E60">
        <w:rPr>
          <w:rFonts w:ascii="Times New Roman" w:eastAsia="Calibri" w:hAnsi="Times New Roman" w:cs="Times New Roman"/>
          <w:iCs/>
          <w:sz w:val="24"/>
          <w:szCs w:val="24"/>
        </w:rPr>
        <w:t xml:space="preserve"> "správca </w:t>
      </w:r>
      <w:r w:rsidR="006C42CC">
        <w:rPr>
          <w:rFonts w:ascii="Times New Roman" w:eastAsia="Calibri" w:hAnsi="Times New Roman" w:cs="Times New Roman"/>
          <w:iCs/>
          <w:sz w:val="24"/>
          <w:szCs w:val="24"/>
        </w:rPr>
        <w:t>podlimitných rizikových fondov</w:t>
      </w:r>
      <w:r w:rsidR="008D307B" w:rsidRPr="00BC5E60">
        <w:rPr>
          <w:rFonts w:ascii="Times New Roman" w:eastAsia="Calibri" w:hAnsi="Times New Roman" w:cs="Times New Roman"/>
          <w:iCs/>
          <w:sz w:val="24"/>
          <w:szCs w:val="24"/>
        </w:rPr>
        <w:t xml:space="preserve">" predstavuje náklady na zmenu obchodného mena rozhodnutím valného zhromaždenia, zmenu stanov a zápis nového obchodného mena do obchodného registra. Táto regulácia sa týka </w:t>
      </w:r>
      <w:r w:rsidR="00F02FC0" w:rsidRPr="00BC5E60">
        <w:rPr>
          <w:rFonts w:ascii="Times New Roman" w:eastAsia="Calibri" w:hAnsi="Times New Roman" w:cs="Times New Roman"/>
          <w:iCs/>
          <w:sz w:val="24"/>
          <w:szCs w:val="24"/>
        </w:rPr>
        <w:t>36</w:t>
      </w:r>
      <w:r w:rsidR="008D307B" w:rsidRPr="00BC5E60">
        <w:rPr>
          <w:rFonts w:ascii="Times New Roman" w:eastAsia="Calibri" w:hAnsi="Times New Roman" w:cs="Times New Roman"/>
          <w:iCs/>
          <w:sz w:val="24"/>
          <w:szCs w:val="24"/>
        </w:rPr>
        <w:t xml:space="preserve"> registrovaných správcov uvedených v registri NBS. Pri kvantifikácii bol zvolený postup na základe alternatívy č. 2 pre administratívne náklady. Typ administratívnych nákladov bol určený ako náklady súvisiace s oboznámením sa s reguláciou, so zmenou vnútorných procesov a zápisom do príslušného registra.</w:t>
      </w:r>
      <w:r w:rsidR="00C60F3D" w:rsidRPr="00BC5E60">
        <w:rPr>
          <w:rFonts w:ascii="Times New Roman" w:eastAsia="Calibri" w:hAnsi="Times New Roman" w:cs="Times New Roman"/>
          <w:iCs/>
          <w:sz w:val="24"/>
          <w:szCs w:val="24"/>
        </w:rPr>
        <w:t xml:space="preserve"> Ide o náklady na zamestnancov, ktorí pripravia príslušné podklady na zmenu názvu, a tiež náklady na zmenu a schválenie všetkých dokumentov, ktoré sa poskytujú klientom. </w:t>
      </w:r>
      <w:r w:rsidR="008D307B" w:rsidRPr="00BC5E60">
        <w:rPr>
          <w:rFonts w:ascii="Times New Roman" w:eastAsia="Calibri" w:hAnsi="Times New Roman" w:cs="Times New Roman"/>
          <w:iCs/>
          <w:sz w:val="24"/>
          <w:szCs w:val="24"/>
        </w:rPr>
        <w:t xml:space="preserve"> </w:t>
      </w:r>
    </w:p>
    <w:p w14:paraId="42A9D136" w14:textId="0FA96EC0" w:rsidR="008D307B" w:rsidRPr="00BC5E60" w:rsidRDefault="008D307B" w:rsidP="00E01887">
      <w:pPr>
        <w:pStyle w:val="Odsekzoznamu"/>
        <w:numPr>
          <w:ilvl w:val="0"/>
          <w:numId w:val="18"/>
        </w:numPr>
        <w:spacing w:after="0"/>
        <w:ind w:left="709"/>
        <w:jc w:val="both"/>
        <w:rPr>
          <w:rFonts w:ascii="Arial Narrow" w:eastAsia="Calibri" w:hAnsi="Arial Narrow" w:cs="Times New Roman"/>
          <w:bCs/>
          <w:color w:val="000000"/>
          <w:sz w:val="24"/>
          <w:szCs w:val="24"/>
        </w:rPr>
      </w:pPr>
      <w:r w:rsidRPr="00BC5E60">
        <w:rPr>
          <w:rFonts w:ascii="Times New Roman" w:eastAsia="Calibri" w:hAnsi="Times New Roman" w:cs="Times New Roman"/>
          <w:iCs/>
          <w:sz w:val="24"/>
          <w:szCs w:val="24"/>
        </w:rPr>
        <w:t xml:space="preserve">Regulácia podľa §  191 ods. 1 zákona č. 203/2011 – </w:t>
      </w:r>
      <w:r w:rsidR="00C60F3D" w:rsidRPr="00BC5E60">
        <w:rPr>
          <w:rFonts w:ascii="Times New Roman" w:eastAsia="Calibri" w:hAnsi="Times New Roman" w:cs="Times New Roman"/>
          <w:iCs/>
          <w:sz w:val="24"/>
          <w:szCs w:val="24"/>
        </w:rPr>
        <w:t xml:space="preserve">zavádza sa </w:t>
      </w:r>
      <w:r w:rsidRPr="00BC5E60">
        <w:rPr>
          <w:rFonts w:ascii="Times New Roman" w:eastAsia="Calibri" w:hAnsi="Times New Roman" w:cs="Times New Roman"/>
          <w:iCs/>
          <w:sz w:val="24"/>
          <w:szCs w:val="24"/>
        </w:rPr>
        <w:t>základné pravidlo, že  Národnej banke Slovenska sa predkladajú informácie a dokumenty v elektronickej podobe, ibaže tento alebo osobitný zákon určuje povinnosť predloženia informácií v listinnej podobe alebo tak uvedie Národná banka Slovenska vo výzve. Regulácia má pozitívny dlhodobý dopad na správcovské spoločnosti a registrovaných správcov</w:t>
      </w:r>
      <w:r w:rsidR="00E00560" w:rsidRPr="00BC5E60">
        <w:rPr>
          <w:rFonts w:ascii="Times New Roman" w:eastAsia="Calibri" w:hAnsi="Times New Roman" w:cs="Times New Roman"/>
          <w:iCs/>
          <w:sz w:val="24"/>
          <w:szCs w:val="24"/>
        </w:rPr>
        <w:t>, keďže všetky požadované dokumenty bude možné predkladať elektronicky</w:t>
      </w:r>
      <w:r w:rsidRPr="00BC5E60">
        <w:rPr>
          <w:rFonts w:ascii="Times New Roman" w:eastAsia="Calibri" w:hAnsi="Times New Roman" w:cs="Times New Roman"/>
          <w:iCs/>
          <w:sz w:val="24"/>
          <w:szCs w:val="24"/>
        </w:rPr>
        <w:t>. Pri kvantifikácii bol zvolený postup na základe alternatívy č. 2 pre administratívne náklady.</w:t>
      </w:r>
      <w:r w:rsidR="00C60F3D" w:rsidRPr="00BC5E60">
        <w:rPr>
          <w:rFonts w:ascii="Times New Roman" w:eastAsia="Calibri" w:hAnsi="Times New Roman" w:cs="Times New Roman"/>
          <w:iCs/>
          <w:sz w:val="24"/>
          <w:szCs w:val="24"/>
        </w:rPr>
        <w:t xml:space="preserve"> Napriek skráteniu lehoty potrebnej na doručenie príslušných dokumentov Národnej banke Slovenska, elektronizácia podaní je spojená s nákladmi na odosielajúcich zamestnancov a nákladmi na informačný a komunikačný systém. </w:t>
      </w:r>
      <w:r w:rsidR="00823BC3" w:rsidRPr="00BC5E60">
        <w:rPr>
          <w:rFonts w:ascii="Times New Roman" w:eastAsia="Calibri" w:hAnsi="Times New Roman" w:cs="Times New Roman"/>
          <w:iCs/>
          <w:sz w:val="24"/>
          <w:szCs w:val="24"/>
        </w:rPr>
        <w:t xml:space="preserve">Tieto náklady sú </w:t>
      </w:r>
      <w:r w:rsidR="00823BC3" w:rsidRPr="00BC5E60">
        <w:rPr>
          <w:rFonts w:ascii="Times New Roman" w:eastAsia="Calibri" w:hAnsi="Times New Roman" w:cs="Times New Roman"/>
          <w:iCs/>
          <w:sz w:val="24"/>
          <w:szCs w:val="24"/>
        </w:rPr>
        <w:lastRenderedPageBreak/>
        <w:t>zanedbateľ</w:t>
      </w:r>
      <w:r w:rsidR="00BC5E60" w:rsidRPr="00BC5E60">
        <w:rPr>
          <w:rFonts w:ascii="Times New Roman" w:eastAsia="Calibri" w:hAnsi="Times New Roman" w:cs="Times New Roman"/>
          <w:iCs/>
          <w:sz w:val="24"/>
          <w:szCs w:val="24"/>
        </w:rPr>
        <w:t>n</w:t>
      </w:r>
      <w:r w:rsidR="00823BC3" w:rsidRPr="00BC5E60">
        <w:rPr>
          <w:rFonts w:ascii="Times New Roman" w:eastAsia="Calibri" w:hAnsi="Times New Roman" w:cs="Times New Roman"/>
          <w:iCs/>
          <w:sz w:val="24"/>
          <w:szCs w:val="24"/>
        </w:rPr>
        <w:t xml:space="preserve">é oproti súčasným nákladom na poštové služby a tlač predkladaných materiálov. Toto opatrenie správcovským spoločnostiam znižuje celkové náklady na predkladanie požadovaných materiálov do Národnej banky Slovenska. </w:t>
      </w:r>
      <w:r w:rsidR="00AF3B2F">
        <w:rPr>
          <w:rFonts w:ascii="Times New Roman" w:eastAsia="Calibri" w:hAnsi="Times New Roman" w:cs="Times New Roman"/>
          <w:iCs/>
          <w:sz w:val="24"/>
          <w:szCs w:val="24"/>
        </w:rPr>
        <w:t xml:space="preserve">Započítali sa náklady na predkladanie informácií v elektronickej podobe. </w:t>
      </w:r>
      <w:r w:rsidR="00823BC3" w:rsidRPr="00BC5E60">
        <w:rPr>
          <w:rFonts w:ascii="Times New Roman" w:eastAsia="Calibri" w:hAnsi="Times New Roman" w:cs="Times New Roman"/>
          <w:iCs/>
          <w:sz w:val="24"/>
          <w:szCs w:val="24"/>
        </w:rPr>
        <w:t xml:space="preserve"> </w:t>
      </w:r>
    </w:p>
    <w:p w14:paraId="7AA46C06" w14:textId="3E902D1E" w:rsidR="00D57490" w:rsidRPr="00BC5E60" w:rsidRDefault="00D57490" w:rsidP="00D57490">
      <w:pPr>
        <w:pStyle w:val="Odsekzoznamu"/>
        <w:numPr>
          <w:ilvl w:val="0"/>
          <w:numId w:val="18"/>
        </w:numPr>
        <w:spacing w:after="12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Regulácia podľa § 70(8) zákona č. 203/2011 – umožnenie určiť zahraničného depozitára po jeho schválení Národnou bankou Slovenska. </w:t>
      </w:r>
      <w:r w:rsidR="00B20660" w:rsidRPr="00BC5E60">
        <w:rPr>
          <w:rFonts w:ascii="Times New Roman" w:eastAsia="Calibri" w:hAnsi="Times New Roman" w:cs="Times New Roman"/>
          <w:iCs/>
          <w:sz w:val="24"/>
          <w:szCs w:val="24"/>
        </w:rPr>
        <w:t xml:space="preserve">Využívanie služieb zahraničného depozitára  má zmysel v prípade, že lokálny depozitár nedokáže kontrolovať špecifické aktíva, ako sú napríklad zahraničné nehnuteľnosti. Predpokladáme, že možnosť požiadať o určenie zahraničného depozitára využijú dve správcovské spoločnosti pre svoje alternatívne investičné fondy zamerané na investície do nehnuteľností. </w:t>
      </w:r>
      <w:r w:rsidRPr="00BC5E60">
        <w:rPr>
          <w:rFonts w:ascii="Times New Roman" w:eastAsia="Calibri" w:hAnsi="Times New Roman" w:cs="Times New Roman"/>
          <w:iCs/>
          <w:sz w:val="24"/>
          <w:szCs w:val="24"/>
        </w:rPr>
        <w:t>Náklady na túto povinnosť zahŕňajú náklady</w:t>
      </w:r>
      <w:r w:rsidR="00B20660" w:rsidRPr="00BC5E60">
        <w:rPr>
          <w:rFonts w:ascii="Times New Roman" w:eastAsia="Calibri" w:hAnsi="Times New Roman" w:cs="Times New Roman"/>
          <w:iCs/>
          <w:sz w:val="24"/>
          <w:szCs w:val="24"/>
        </w:rPr>
        <w:t xml:space="preserve"> na oboznámenie sa s regulačnými požiadavkami a náklady </w:t>
      </w:r>
      <w:r w:rsidRPr="00BC5E60">
        <w:rPr>
          <w:rFonts w:ascii="Times New Roman" w:eastAsia="Calibri" w:hAnsi="Times New Roman" w:cs="Times New Roman"/>
          <w:iCs/>
          <w:sz w:val="24"/>
          <w:szCs w:val="24"/>
        </w:rPr>
        <w:t xml:space="preserve">na podanie odôvodnenej žiadosti o určenie zahraničného depozitára do Národnej banky Slovenska. Pri kvantifikácii bol zvolený postup na základe alternatívy č. 2 pre administratívne náklady. Typ administratívnych nákladov bol určený ako náklady súvisiace s oboznámením sa s reguláciou </w:t>
      </w:r>
      <w:r w:rsidR="00B20660" w:rsidRPr="00BC5E60">
        <w:rPr>
          <w:rFonts w:ascii="Times New Roman" w:eastAsia="Calibri" w:hAnsi="Times New Roman" w:cs="Times New Roman"/>
          <w:iCs/>
          <w:sz w:val="24"/>
          <w:szCs w:val="24"/>
        </w:rPr>
        <w:t>a náklady súvisiace s podaním žiadosti</w:t>
      </w:r>
      <w:r w:rsidRPr="00BC5E60">
        <w:rPr>
          <w:rFonts w:ascii="Times New Roman" w:eastAsia="Calibri" w:hAnsi="Times New Roman" w:cs="Times New Roman"/>
          <w:iCs/>
          <w:sz w:val="24"/>
          <w:szCs w:val="24"/>
        </w:rPr>
        <w:t xml:space="preserve">, pri frekvencii plnenia jednorazovo ešte pred </w:t>
      </w:r>
      <w:r w:rsidR="00B20660" w:rsidRPr="00BC5E60">
        <w:rPr>
          <w:rFonts w:ascii="Times New Roman" w:eastAsia="Calibri" w:hAnsi="Times New Roman" w:cs="Times New Roman"/>
          <w:iCs/>
          <w:sz w:val="24"/>
          <w:szCs w:val="24"/>
        </w:rPr>
        <w:t>začatím využívania služieb zahraničného depozitára. Na určenie cel</w:t>
      </w:r>
      <w:r w:rsidR="00BC5E60" w:rsidRPr="00BC5E60">
        <w:rPr>
          <w:rFonts w:ascii="Times New Roman" w:eastAsia="Calibri" w:hAnsi="Times New Roman" w:cs="Times New Roman"/>
          <w:iCs/>
          <w:sz w:val="24"/>
          <w:szCs w:val="24"/>
        </w:rPr>
        <w:t>k</w:t>
      </w:r>
      <w:r w:rsidR="00B20660" w:rsidRPr="00BC5E60">
        <w:rPr>
          <w:rFonts w:ascii="Times New Roman" w:eastAsia="Calibri" w:hAnsi="Times New Roman" w:cs="Times New Roman"/>
          <w:iCs/>
          <w:sz w:val="24"/>
          <w:szCs w:val="24"/>
        </w:rPr>
        <w:t xml:space="preserve">ovej výšky nepriamych nákladov </w:t>
      </w:r>
      <w:r w:rsidRPr="00BC5E60">
        <w:rPr>
          <w:rFonts w:ascii="Times New Roman" w:eastAsia="Calibri" w:hAnsi="Times New Roman" w:cs="Times New Roman"/>
          <w:iCs/>
          <w:sz w:val="24"/>
          <w:szCs w:val="24"/>
        </w:rPr>
        <w:t xml:space="preserve">bol použitý expertný odhad. Odhadnuté nepriame náklady zahŕňajú náklady na zamestnancov, ktorí sa budú podieľať na príprave </w:t>
      </w:r>
      <w:proofErr w:type="spellStart"/>
      <w:r w:rsidR="00B20660" w:rsidRPr="00BC5E60">
        <w:rPr>
          <w:rFonts w:ascii="Times New Roman" w:eastAsia="Calibri" w:hAnsi="Times New Roman" w:cs="Times New Roman"/>
          <w:iCs/>
          <w:sz w:val="24"/>
          <w:szCs w:val="24"/>
        </w:rPr>
        <w:t>depozitárskej</w:t>
      </w:r>
      <w:proofErr w:type="spellEnd"/>
      <w:r w:rsidR="00B20660" w:rsidRPr="00BC5E60">
        <w:rPr>
          <w:rFonts w:ascii="Times New Roman" w:eastAsia="Calibri" w:hAnsi="Times New Roman" w:cs="Times New Roman"/>
          <w:iCs/>
          <w:sz w:val="24"/>
          <w:szCs w:val="24"/>
        </w:rPr>
        <w:t xml:space="preserve"> zmluvy so zahraničným depozitárom a na vypracovaní odôvodnenej žiadosti pre Národnú banku Slovenska.</w:t>
      </w:r>
      <w:r w:rsidRPr="00BC5E60">
        <w:rPr>
          <w:rFonts w:ascii="Times New Roman" w:eastAsia="Calibri" w:hAnsi="Times New Roman" w:cs="Times New Roman"/>
          <w:iCs/>
          <w:sz w:val="24"/>
          <w:szCs w:val="24"/>
        </w:rPr>
        <w:t xml:space="preserve">            </w:t>
      </w:r>
    </w:p>
    <w:p w14:paraId="000C77E3" w14:textId="1238DD79" w:rsidR="00F070BC" w:rsidRPr="00BC5E60" w:rsidRDefault="00776537" w:rsidP="0006398C">
      <w:pPr>
        <w:ind w:left="360"/>
        <w:jc w:val="both"/>
        <w:rPr>
          <w:rFonts w:ascii="Times New Roman" w:eastAsia="Calibri" w:hAnsi="Times New Roman" w:cs="Times New Roman"/>
          <w:iCs/>
        </w:rPr>
      </w:pPr>
      <w:r w:rsidRPr="00BC5E60">
        <w:rPr>
          <w:rFonts w:ascii="Times New Roman" w:eastAsia="Calibri" w:hAnsi="Times New Roman" w:cs="Times New Roman"/>
          <w:iCs/>
        </w:rPr>
        <w:t xml:space="preserve">  </w:t>
      </w:r>
      <w:r w:rsidR="004B4D44" w:rsidRPr="00BC5E60">
        <w:rPr>
          <w:rFonts w:ascii="Times New Roman" w:eastAsia="Calibri" w:hAnsi="Times New Roman" w:cs="Times New Roman"/>
          <w:iCs/>
        </w:rPr>
        <w:t xml:space="preserve"> </w:t>
      </w:r>
    </w:p>
    <w:p w14:paraId="0C83BF71" w14:textId="77777777" w:rsidR="00F94938" w:rsidRPr="00BC5E60" w:rsidRDefault="00F94938" w:rsidP="00054C41">
      <w:pPr>
        <w:jc w:val="both"/>
        <w:rPr>
          <w:rFonts w:ascii="Arial Narrow" w:eastAsia="Calibri" w:hAnsi="Arial Narrow" w:cs="Times New Roman"/>
          <w:bCs/>
          <w:color w:val="000000"/>
          <w:sz w:val="24"/>
          <w:szCs w:val="24"/>
        </w:rPr>
      </w:pPr>
    </w:p>
    <w:p w14:paraId="0EB298DB" w14:textId="77777777" w:rsidR="00512BA7" w:rsidRPr="00BC5E60" w:rsidRDefault="00511F8F" w:rsidP="00512BA7">
      <w:pPr>
        <w:jc w:val="both"/>
        <w:rPr>
          <w:rFonts w:ascii="Times New Roman" w:eastAsia="Calibri" w:hAnsi="Times New Roman" w:cs="Times New Roman"/>
          <w:b/>
          <w:bCs/>
          <w:i/>
          <w:sz w:val="24"/>
          <w:szCs w:val="24"/>
          <w:u w:val="single"/>
        </w:rPr>
      </w:pPr>
      <w:r w:rsidRPr="00BC5E60">
        <w:rPr>
          <w:rFonts w:ascii="Times New Roman" w:eastAsia="Calibri" w:hAnsi="Times New Roman" w:cs="Times New Roman"/>
          <w:b/>
          <w:bCs/>
          <w:i/>
          <w:sz w:val="24"/>
          <w:szCs w:val="24"/>
          <w:u w:val="single"/>
        </w:rPr>
        <w:t xml:space="preserve">3.1.4 </w:t>
      </w:r>
      <w:r w:rsidR="001E24E8" w:rsidRPr="00BC5E60">
        <w:rPr>
          <w:rFonts w:ascii="Times New Roman" w:eastAsia="Calibri" w:hAnsi="Times New Roman" w:cs="Times New Roman"/>
          <w:b/>
          <w:bCs/>
          <w:i/>
          <w:sz w:val="24"/>
          <w:szCs w:val="24"/>
          <w:u w:val="single"/>
        </w:rPr>
        <w:t>Odôvodnenie</w:t>
      </w:r>
      <w:r w:rsidR="008F6ADE" w:rsidRPr="00BC5E60">
        <w:rPr>
          <w:rFonts w:ascii="Times New Roman" w:eastAsia="Calibri" w:hAnsi="Times New Roman" w:cs="Times New Roman"/>
          <w:b/>
          <w:bCs/>
          <w:i/>
          <w:sz w:val="24"/>
          <w:szCs w:val="24"/>
          <w:u w:val="single"/>
        </w:rPr>
        <w:t xml:space="preserve"> </w:t>
      </w:r>
      <w:proofErr w:type="spellStart"/>
      <w:r w:rsidR="008F6ADE" w:rsidRPr="00BC5E60">
        <w:rPr>
          <w:rFonts w:ascii="Times New Roman" w:eastAsia="Calibri" w:hAnsi="Times New Roman" w:cs="Times New Roman"/>
          <w:b/>
          <w:bCs/>
          <w:i/>
          <w:sz w:val="24"/>
          <w:szCs w:val="24"/>
          <w:u w:val="single"/>
        </w:rPr>
        <w:t>goldplating</w:t>
      </w:r>
      <w:r w:rsidR="0016512E" w:rsidRPr="00BC5E60">
        <w:rPr>
          <w:rFonts w:ascii="Times New Roman" w:eastAsia="Calibri" w:hAnsi="Times New Roman" w:cs="Times New Roman"/>
          <w:b/>
          <w:bCs/>
          <w:i/>
          <w:sz w:val="24"/>
          <w:szCs w:val="24"/>
          <w:u w:val="single"/>
        </w:rPr>
        <w:t>u</w:t>
      </w:r>
      <w:proofErr w:type="spellEnd"/>
      <w:r w:rsidR="001E24E8" w:rsidRPr="00BC5E60">
        <w:rPr>
          <w:rFonts w:ascii="Times New Roman" w:eastAsia="Calibri" w:hAnsi="Times New Roman" w:cs="Times New Roman"/>
          <w:b/>
          <w:bCs/>
          <w:i/>
          <w:sz w:val="24"/>
          <w:szCs w:val="24"/>
          <w:u w:val="single"/>
        </w:rPr>
        <w:t xml:space="preserve"> </w:t>
      </w:r>
      <w:r w:rsidR="008F6ADE" w:rsidRPr="00BC5E60">
        <w:rPr>
          <w:rFonts w:ascii="Times New Roman" w:eastAsia="Calibri" w:hAnsi="Times New Roman" w:cs="Times New Roman"/>
          <w:b/>
          <w:bCs/>
          <w:i/>
          <w:sz w:val="24"/>
          <w:szCs w:val="24"/>
          <w:u w:val="single"/>
        </w:rPr>
        <w:t xml:space="preserve">podľa bodu 4 časti III </w:t>
      </w:r>
      <w:r w:rsidR="00FA6FFE" w:rsidRPr="00BC5E60">
        <w:rPr>
          <w:rFonts w:ascii="Times New Roman" w:eastAsia="Calibri" w:hAnsi="Times New Roman" w:cs="Times New Roman"/>
          <w:b/>
          <w:bCs/>
          <w:i/>
          <w:sz w:val="24"/>
          <w:szCs w:val="24"/>
          <w:u w:val="single"/>
        </w:rPr>
        <w:t>j</w:t>
      </w:r>
      <w:r w:rsidR="001E24E8" w:rsidRPr="00BC5E60">
        <w:rPr>
          <w:rFonts w:ascii="Times New Roman" w:eastAsia="Calibri" w:hAnsi="Times New Roman" w:cs="Times New Roman"/>
          <w:b/>
          <w:bCs/>
          <w:i/>
          <w:sz w:val="24"/>
          <w:szCs w:val="24"/>
          <w:u w:val="single"/>
        </w:rPr>
        <w:t xml:space="preserve">ednotnej metodiky </w:t>
      </w:r>
      <w:r w:rsidR="00400BA5" w:rsidRPr="00BC5E60">
        <w:rPr>
          <w:rFonts w:ascii="Times New Roman" w:eastAsia="Calibri" w:hAnsi="Times New Roman" w:cs="Times New Roman"/>
          <w:b/>
          <w:bCs/>
          <w:i/>
          <w:sz w:val="24"/>
          <w:szCs w:val="24"/>
          <w:u w:val="single"/>
        </w:rPr>
        <w:t>a </w:t>
      </w:r>
      <w:r w:rsidR="00B21D1F" w:rsidRPr="00BC5E60">
        <w:rPr>
          <w:rFonts w:ascii="Times New Roman" w:eastAsia="Calibri" w:hAnsi="Times New Roman" w:cs="Times New Roman"/>
          <w:b/>
          <w:bCs/>
          <w:i/>
          <w:sz w:val="24"/>
          <w:szCs w:val="24"/>
          <w:u w:val="single"/>
        </w:rPr>
        <w:t>ďalšie</w:t>
      </w:r>
      <w:r w:rsidR="00400BA5" w:rsidRPr="00BC5E60">
        <w:rPr>
          <w:rFonts w:ascii="Times New Roman" w:eastAsia="Calibri" w:hAnsi="Times New Roman" w:cs="Times New Roman"/>
          <w:b/>
          <w:bCs/>
          <w:i/>
          <w:sz w:val="24"/>
          <w:szCs w:val="24"/>
          <w:u w:val="single"/>
        </w:rPr>
        <w:t xml:space="preserve"> d</w:t>
      </w:r>
      <w:r w:rsidR="00512BA7" w:rsidRPr="00BC5E60">
        <w:rPr>
          <w:rFonts w:ascii="Times New Roman" w:eastAsia="Calibri" w:hAnsi="Times New Roman" w:cs="Times New Roman"/>
          <w:b/>
          <w:bCs/>
          <w:i/>
          <w:sz w:val="24"/>
          <w:szCs w:val="24"/>
          <w:u w:val="single"/>
        </w:rPr>
        <w:t>oplňujúce informácie</w:t>
      </w:r>
      <w:r w:rsidR="00512BA7" w:rsidRPr="00BC5E60">
        <w:rPr>
          <w:rStyle w:val="Odkaznapoznmkupodiarou"/>
          <w:rFonts w:ascii="Times New Roman" w:eastAsia="Calibri" w:hAnsi="Times New Roman" w:cs="Times New Roman"/>
          <w:b/>
          <w:bCs/>
          <w:i/>
          <w:sz w:val="24"/>
          <w:szCs w:val="24"/>
          <w:u w:val="single"/>
        </w:rPr>
        <w:footnoteReference w:id="2"/>
      </w:r>
      <w:r w:rsidR="00512BA7" w:rsidRPr="00BC5E60">
        <w:rPr>
          <w:rFonts w:ascii="Times New Roman" w:eastAsia="Calibri" w:hAnsi="Times New Roman" w:cs="Times New Roman"/>
          <w:b/>
          <w:bCs/>
          <w:i/>
          <w:sz w:val="24"/>
          <w:szCs w:val="24"/>
          <w:u w:val="single"/>
        </w:rPr>
        <w:t xml:space="preserve"> </w:t>
      </w:r>
    </w:p>
    <w:p w14:paraId="749EC593" w14:textId="77777777" w:rsidR="000C5419" w:rsidRPr="00BC5E60" w:rsidRDefault="000C5419" w:rsidP="000C5419">
      <w:pPr>
        <w:jc w:val="both"/>
        <w:rPr>
          <w:rFonts w:ascii="Times New Roman" w:eastAsia="Calibri" w:hAnsi="Times New Roman" w:cs="Times New Roman"/>
          <w:bCs/>
          <w:i/>
          <w:iCs/>
          <w:color w:val="000000"/>
          <w:sz w:val="24"/>
          <w:szCs w:val="24"/>
        </w:rPr>
      </w:pPr>
      <w:r w:rsidRPr="00BC5E60">
        <w:rPr>
          <w:rFonts w:ascii="Times New Roman" w:eastAsia="Calibri" w:hAnsi="Times New Roman" w:cs="Times New Roman"/>
          <w:bCs/>
          <w:i/>
          <w:iCs/>
          <w:color w:val="000000"/>
          <w:sz w:val="24"/>
          <w:szCs w:val="24"/>
        </w:rPr>
        <w:t xml:space="preserve">Požadované informácie </w:t>
      </w:r>
      <w:r w:rsidR="00F153D7" w:rsidRPr="00BC5E60">
        <w:rPr>
          <w:rFonts w:ascii="Times New Roman" w:eastAsia="Calibri" w:hAnsi="Times New Roman" w:cs="Times New Roman"/>
          <w:bCs/>
          <w:i/>
          <w:iCs/>
          <w:color w:val="000000"/>
          <w:sz w:val="24"/>
          <w:szCs w:val="24"/>
        </w:rPr>
        <w:t>uveďte</w:t>
      </w:r>
      <w:r w:rsidRPr="00BC5E60">
        <w:rPr>
          <w:rFonts w:ascii="Times New Roman" w:eastAsia="Calibri" w:hAnsi="Times New Roman" w:cs="Times New Roman"/>
          <w:bCs/>
          <w:i/>
          <w:iCs/>
          <w:color w:val="000000"/>
          <w:sz w:val="24"/>
          <w:szCs w:val="24"/>
        </w:rPr>
        <w:t xml:space="preserve"> osobitne ku každému identifikovanému </w:t>
      </w:r>
      <w:proofErr w:type="spellStart"/>
      <w:r w:rsidRPr="00BC5E60">
        <w:rPr>
          <w:rFonts w:ascii="Times New Roman" w:eastAsia="Calibri" w:hAnsi="Times New Roman" w:cs="Times New Roman"/>
          <w:bCs/>
          <w:i/>
          <w:iCs/>
          <w:color w:val="000000"/>
          <w:sz w:val="24"/>
          <w:szCs w:val="24"/>
        </w:rPr>
        <w:t>goldplatingu</w:t>
      </w:r>
      <w:proofErr w:type="spellEnd"/>
      <w:r w:rsidRPr="00BC5E60">
        <w:rPr>
          <w:rFonts w:ascii="Times New Roman" w:eastAsia="Calibri" w:hAnsi="Times New Roman" w:cs="Times New Roman"/>
          <w:bCs/>
          <w:i/>
          <w:iCs/>
          <w:color w:val="000000"/>
          <w:sz w:val="24"/>
          <w:szCs w:val="24"/>
        </w:rPr>
        <w:t xml:space="preserve"> (ku každej hodnotenej regulácii s </w:t>
      </w:r>
      <w:proofErr w:type="spellStart"/>
      <w:r w:rsidRPr="00BC5E60">
        <w:rPr>
          <w:rFonts w:ascii="Times New Roman" w:eastAsia="Calibri" w:hAnsi="Times New Roman" w:cs="Times New Roman"/>
          <w:bCs/>
          <w:i/>
          <w:iCs/>
          <w:color w:val="000000"/>
          <w:sz w:val="24"/>
          <w:szCs w:val="24"/>
        </w:rPr>
        <w:t>goldplatingom</w:t>
      </w:r>
      <w:proofErr w:type="spellEnd"/>
      <w:r w:rsidRPr="00BC5E60">
        <w:rPr>
          <w:rFonts w:ascii="Times New Roman" w:eastAsia="Calibri" w:hAnsi="Times New Roman" w:cs="Times New Roman"/>
          <w:bCs/>
          <w:i/>
          <w:iCs/>
          <w:color w:val="000000"/>
          <w:sz w:val="24"/>
          <w:szCs w:val="24"/>
        </w:rPr>
        <w:t xml:space="preserve"> osobitne). </w:t>
      </w:r>
    </w:p>
    <w:p w14:paraId="0A0E8534" w14:textId="77777777" w:rsidR="0016512E" w:rsidRPr="00BC5E60" w:rsidRDefault="0016512E" w:rsidP="0016512E">
      <w:pPr>
        <w:jc w:val="both"/>
        <w:rPr>
          <w:rFonts w:ascii="Times New Roman" w:eastAsia="Calibri" w:hAnsi="Times New Roman" w:cs="Times New Roman"/>
          <w:bCs/>
          <w:i/>
          <w:iCs/>
          <w:color w:val="000000"/>
          <w:sz w:val="24"/>
          <w:szCs w:val="24"/>
        </w:rPr>
      </w:pPr>
      <w:r w:rsidRPr="00BC5E60">
        <w:rPr>
          <w:rFonts w:ascii="Times New Roman" w:eastAsia="Calibri" w:hAnsi="Times New Roman" w:cs="Times New Roman"/>
          <w:bCs/>
          <w:i/>
          <w:iCs/>
          <w:color w:val="000000"/>
          <w:sz w:val="24"/>
          <w:szCs w:val="24"/>
        </w:rPr>
        <w:t>Uveďte</w:t>
      </w:r>
      <w:r w:rsidR="004239D1" w:rsidRPr="00BC5E60">
        <w:rPr>
          <w:rFonts w:ascii="Times New Roman" w:eastAsia="Calibri" w:hAnsi="Times New Roman" w:cs="Times New Roman"/>
          <w:bCs/>
          <w:i/>
          <w:iCs/>
          <w:color w:val="000000"/>
          <w:sz w:val="24"/>
          <w:szCs w:val="24"/>
        </w:rPr>
        <w:t xml:space="preserve"> odôvodnenie </w:t>
      </w:r>
      <w:proofErr w:type="spellStart"/>
      <w:r w:rsidR="004239D1" w:rsidRPr="00BC5E60">
        <w:rPr>
          <w:rFonts w:ascii="Times New Roman" w:eastAsia="Calibri" w:hAnsi="Times New Roman" w:cs="Times New Roman"/>
          <w:bCs/>
          <w:i/>
          <w:iCs/>
          <w:color w:val="000000"/>
          <w:sz w:val="24"/>
          <w:szCs w:val="24"/>
        </w:rPr>
        <w:t>goldplatingu</w:t>
      </w:r>
      <w:proofErr w:type="spellEnd"/>
      <w:r w:rsidR="004239D1" w:rsidRPr="00BC5E60">
        <w:rPr>
          <w:rFonts w:ascii="Times New Roman" w:eastAsia="Calibri" w:hAnsi="Times New Roman" w:cs="Times New Roman"/>
          <w:bCs/>
          <w:i/>
          <w:iCs/>
          <w:color w:val="000000"/>
          <w:sz w:val="24"/>
          <w:szCs w:val="24"/>
        </w:rPr>
        <w:t xml:space="preserve"> z hľadiska jeho nespochybniteľnej nevyhnutnosti.</w:t>
      </w:r>
      <w:r w:rsidRPr="00BC5E60">
        <w:rPr>
          <w:rFonts w:ascii="Times New Roman" w:eastAsia="Calibri" w:hAnsi="Times New Roman" w:cs="Times New Roman"/>
          <w:bCs/>
          <w:i/>
          <w:iCs/>
          <w:color w:val="000000"/>
          <w:sz w:val="24"/>
          <w:szCs w:val="24"/>
        </w:rPr>
        <w:t xml:space="preserve"> Odôvodnenie doložte dôkladným hodnotením prínosov a</w:t>
      </w:r>
      <w:r w:rsidR="005D39D8" w:rsidRPr="00BC5E60">
        <w:rPr>
          <w:rFonts w:ascii="Times New Roman" w:eastAsia="Calibri" w:hAnsi="Times New Roman" w:cs="Times New Roman"/>
          <w:bCs/>
          <w:i/>
          <w:iCs/>
          <w:color w:val="000000"/>
          <w:sz w:val="24"/>
          <w:szCs w:val="24"/>
        </w:rPr>
        <w:t> </w:t>
      </w:r>
      <w:r w:rsidRPr="00BC5E60">
        <w:rPr>
          <w:rFonts w:ascii="Times New Roman" w:eastAsia="Calibri" w:hAnsi="Times New Roman" w:cs="Times New Roman"/>
          <w:bCs/>
          <w:i/>
          <w:iCs/>
          <w:color w:val="000000"/>
          <w:sz w:val="24"/>
          <w:szCs w:val="24"/>
        </w:rPr>
        <w:t>nákladov</w:t>
      </w:r>
      <w:r w:rsidR="005D39D8" w:rsidRPr="00BC5E60">
        <w:rPr>
          <w:rFonts w:ascii="Times New Roman" w:eastAsia="Calibri" w:hAnsi="Times New Roman" w:cs="Times New Roman"/>
          <w:bCs/>
          <w:i/>
          <w:iCs/>
          <w:color w:val="000000"/>
          <w:sz w:val="24"/>
          <w:szCs w:val="24"/>
        </w:rPr>
        <w:t>. Uveďte zvážené alternatívne riešenia.</w:t>
      </w:r>
      <w:r w:rsidRPr="00BC5E60">
        <w:rPr>
          <w:rFonts w:ascii="Times New Roman" w:eastAsia="Calibri" w:hAnsi="Times New Roman" w:cs="Times New Roman"/>
          <w:bCs/>
          <w:i/>
          <w:iCs/>
          <w:color w:val="000000"/>
          <w:sz w:val="24"/>
          <w:szCs w:val="24"/>
        </w:rPr>
        <w:t>.</w:t>
      </w:r>
    </w:p>
    <w:p w14:paraId="6A18C579" w14:textId="0633763E" w:rsidR="000C5419" w:rsidRPr="00BC5E60" w:rsidRDefault="00990813" w:rsidP="000C5419">
      <w:pPr>
        <w:jc w:val="both"/>
        <w:rPr>
          <w:rFonts w:ascii="Times New Roman" w:eastAsia="Calibri" w:hAnsi="Times New Roman" w:cs="Times New Roman"/>
          <w:bCs/>
          <w:i/>
          <w:iCs/>
          <w:color w:val="000000"/>
          <w:sz w:val="24"/>
          <w:szCs w:val="24"/>
        </w:rPr>
      </w:pPr>
      <w:r w:rsidRPr="00BC5E60">
        <w:rPr>
          <w:rFonts w:ascii="Times New Roman" w:eastAsia="Calibri" w:hAnsi="Times New Roman" w:cs="Times New Roman"/>
          <w:bCs/>
          <w:i/>
          <w:iCs/>
          <w:color w:val="000000"/>
          <w:sz w:val="24"/>
          <w:szCs w:val="24"/>
        </w:rPr>
        <w:t xml:space="preserve">Zároveň </w:t>
      </w:r>
      <w:r w:rsidR="00D5309D" w:rsidRPr="00BC5E60">
        <w:rPr>
          <w:rFonts w:ascii="Times New Roman" w:eastAsia="Calibri" w:hAnsi="Times New Roman" w:cs="Times New Roman"/>
          <w:bCs/>
          <w:i/>
          <w:iCs/>
          <w:color w:val="000000"/>
          <w:sz w:val="24"/>
          <w:szCs w:val="24"/>
        </w:rPr>
        <w:t>uveďte</w:t>
      </w:r>
      <w:r w:rsidR="000C5419" w:rsidRPr="00BC5E60">
        <w:rPr>
          <w:rFonts w:ascii="Times New Roman" w:eastAsia="Calibri" w:hAnsi="Times New Roman" w:cs="Times New Roman"/>
          <w:bCs/>
          <w:i/>
          <w:iCs/>
          <w:color w:val="000000"/>
          <w:sz w:val="24"/>
          <w:szCs w:val="24"/>
        </w:rPr>
        <w:t xml:space="preserve"> konkrétne informácie súvisiace s </w:t>
      </w:r>
      <w:r w:rsidRPr="00BC5E60">
        <w:rPr>
          <w:rFonts w:ascii="Times New Roman" w:eastAsia="Calibri" w:hAnsi="Times New Roman" w:cs="Times New Roman"/>
          <w:bCs/>
          <w:i/>
          <w:iCs/>
          <w:color w:val="000000"/>
          <w:sz w:val="24"/>
          <w:szCs w:val="24"/>
        </w:rPr>
        <w:t xml:space="preserve">kategóriou </w:t>
      </w:r>
      <w:proofErr w:type="spellStart"/>
      <w:r w:rsidR="000C5419" w:rsidRPr="00BC5E60">
        <w:rPr>
          <w:rFonts w:ascii="Times New Roman" w:eastAsia="Calibri" w:hAnsi="Times New Roman" w:cs="Times New Roman"/>
          <w:bCs/>
          <w:i/>
          <w:iCs/>
          <w:color w:val="000000"/>
          <w:sz w:val="24"/>
          <w:szCs w:val="24"/>
        </w:rPr>
        <w:t>goldplatingu</w:t>
      </w:r>
      <w:proofErr w:type="spellEnd"/>
      <w:r w:rsidRPr="00BC5E60">
        <w:rPr>
          <w:rFonts w:ascii="Times New Roman" w:eastAsia="Calibri" w:hAnsi="Times New Roman" w:cs="Times New Roman"/>
          <w:bCs/>
          <w:i/>
          <w:iCs/>
          <w:color w:val="000000"/>
          <w:sz w:val="24"/>
          <w:szCs w:val="24"/>
        </w:rPr>
        <w:t xml:space="preserve"> podľa </w:t>
      </w:r>
      <w:r w:rsidR="00D114ED" w:rsidRPr="00BC5E60">
        <w:rPr>
          <w:rFonts w:ascii="Times New Roman" w:eastAsia="Calibri" w:hAnsi="Times New Roman" w:cs="Times New Roman"/>
          <w:bCs/>
          <w:i/>
          <w:iCs/>
          <w:color w:val="000000"/>
          <w:sz w:val="24"/>
          <w:szCs w:val="24"/>
        </w:rPr>
        <w:t>jednotnej metodiky</w:t>
      </w:r>
      <w:r w:rsidR="000C5419" w:rsidRPr="00BC5E60">
        <w:rPr>
          <w:rFonts w:ascii="Times New Roman" w:eastAsia="Calibri" w:hAnsi="Times New Roman" w:cs="Times New Roman"/>
          <w:bCs/>
          <w:i/>
          <w:iCs/>
          <w:color w:val="000000"/>
          <w:sz w:val="24"/>
          <w:szCs w:val="24"/>
        </w:rPr>
        <w:t xml:space="preserve">,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 </w:t>
      </w:r>
    </w:p>
    <w:p w14:paraId="535CABE4" w14:textId="77777777" w:rsidR="00D114ED" w:rsidRPr="00BC5E60" w:rsidRDefault="00D114ED" w:rsidP="00751DA9">
      <w:pPr>
        <w:jc w:val="both"/>
        <w:rPr>
          <w:rFonts w:ascii="Times New Roman" w:eastAsia="Calibri" w:hAnsi="Times New Roman" w:cs="Times New Roman"/>
          <w:bCs/>
          <w:i/>
          <w:iCs/>
          <w:sz w:val="24"/>
          <w:szCs w:val="24"/>
        </w:rPr>
      </w:pPr>
      <w:r w:rsidRPr="00BC5E60">
        <w:rPr>
          <w:rFonts w:ascii="Times New Roman" w:eastAsia="Calibri" w:hAnsi="Times New Roman" w:cs="Times New Roman"/>
          <w:bCs/>
          <w:i/>
          <w:iCs/>
          <w:sz w:val="24"/>
          <w:szCs w:val="24"/>
        </w:rPr>
        <w:lastRenderedPageBreak/>
        <w:t xml:space="preserve">Využitie </w:t>
      </w:r>
      <w:proofErr w:type="spellStart"/>
      <w:r w:rsidRPr="00BC5E60">
        <w:rPr>
          <w:rFonts w:ascii="Times New Roman" w:eastAsia="Calibri" w:hAnsi="Times New Roman" w:cs="Times New Roman"/>
          <w:bCs/>
          <w:i/>
          <w:iCs/>
          <w:sz w:val="24"/>
          <w:szCs w:val="24"/>
        </w:rPr>
        <w:t>goldplatingu</w:t>
      </w:r>
      <w:proofErr w:type="spellEnd"/>
      <w:r w:rsidRPr="00BC5E60">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BC5E60">
        <w:rPr>
          <w:rFonts w:ascii="Times New Roman" w:eastAsia="Calibri" w:hAnsi="Times New Roman" w:cs="Times New Roman"/>
          <w:bCs/>
          <w:i/>
          <w:iCs/>
          <w:sz w:val="24"/>
          <w:szCs w:val="24"/>
        </w:rPr>
        <w:t>goldplatingu</w:t>
      </w:r>
      <w:proofErr w:type="spellEnd"/>
      <w:r w:rsidRPr="00BC5E60">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2DA79E3D" w14:textId="0FD3929F" w:rsidR="00194B43" w:rsidRPr="00BC5E60" w:rsidRDefault="007B267B" w:rsidP="00C527D9">
      <w:pPr>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V</w:t>
      </w:r>
      <w:r w:rsidR="00194B43" w:rsidRPr="00BC5E60">
        <w:rPr>
          <w:rFonts w:ascii="Times New Roman" w:eastAsia="Calibri" w:hAnsi="Times New Roman" w:cs="Times New Roman"/>
          <w:iCs/>
          <w:sz w:val="24"/>
          <w:szCs w:val="24"/>
        </w:rPr>
        <w:t xml:space="preserve"> návrhu zákona boli identifikované nasledovné prípady </w:t>
      </w:r>
      <w:proofErr w:type="spellStart"/>
      <w:r w:rsidR="00194B43" w:rsidRPr="00BC5E60">
        <w:rPr>
          <w:rFonts w:ascii="Times New Roman" w:eastAsia="Calibri" w:hAnsi="Times New Roman" w:cs="Times New Roman"/>
          <w:iCs/>
          <w:sz w:val="24"/>
          <w:szCs w:val="24"/>
        </w:rPr>
        <w:t>goldplatingu</w:t>
      </w:r>
      <w:proofErr w:type="spellEnd"/>
      <w:r w:rsidR="00194B43" w:rsidRPr="00BC5E60">
        <w:rPr>
          <w:rFonts w:ascii="Times New Roman" w:eastAsia="Calibri" w:hAnsi="Times New Roman" w:cs="Times New Roman"/>
          <w:iCs/>
          <w:sz w:val="24"/>
          <w:szCs w:val="24"/>
        </w:rPr>
        <w:t>, v</w:t>
      </w:r>
      <w:r w:rsidR="00BC5E60">
        <w:rPr>
          <w:rFonts w:ascii="Times New Roman" w:eastAsia="Calibri" w:hAnsi="Times New Roman" w:cs="Times New Roman"/>
          <w:iCs/>
          <w:sz w:val="24"/>
          <w:szCs w:val="24"/>
        </w:rPr>
        <w:t>o všetkých troch</w:t>
      </w:r>
      <w:r w:rsidR="00194B43" w:rsidRPr="00BC5E60">
        <w:rPr>
          <w:rFonts w:ascii="Times New Roman" w:eastAsia="Calibri" w:hAnsi="Times New Roman" w:cs="Times New Roman"/>
          <w:iCs/>
          <w:sz w:val="24"/>
          <w:szCs w:val="24"/>
        </w:rPr>
        <w:t xml:space="preserve"> prípadoch ide o navýšenie požiadaviek oproti minimálnemu zneniu smernice (EÚ) 2024/927</w:t>
      </w:r>
      <w:r w:rsidR="00BC5E60">
        <w:rPr>
          <w:rFonts w:ascii="Times New Roman" w:eastAsia="Calibri" w:hAnsi="Times New Roman" w:cs="Times New Roman"/>
          <w:iCs/>
          <w:sz w:val="24"/>
          <w:szCs w:val="24"/>
        </w:rPr>
        <w:t xml:space="preserve"> a smernice (EÚ) 2024/2994</w:t>
      </w:r>
      <w:r w:rsidR="00194B43" w:rsidRPr="00BC5E60">
        <w:rPr>
          <w:rFonts w:ascii="Times New Roman" w:eastAsia="Calibri" w:hAnsi="Times New Roman" w:cs="Times New Roman"/>
          <w:iCs/>
          <w:sz w:val="24"/>
          <w:szCs w:val="24"/>
        </w:rPr>
        <w:t>. V</w:t>
      </w:r>
      <w:r w:rsidR="00BC5E60">
        <w:rPr>
          <w:rFonts w:ascii="Times New Roman" w:eastAsia="Calibri" w:hAnsi="Times New Roman" w:cs="Times New Roman"/>
          <w:iCs/>
          <w:sz w:val="24"/>
          <w:szCs w:val="24"/>
        </w:rPr>
        <w:t xml:space="preserve">o všetkých uvedených </w:t>
      </w:r>
      <w:r w:rsidR="00194B43" w:rsidRPr="00BC5E60">
        <w:rPr>
          <w:rFonts w:ascii="Times New Roman" w:eastAsia="Calibri" w:hAnsi="Times New Roman" w:cs="Times New Roman"/>
          <w:iCs/>
          <w:sz w:val="24"/>
          <w:szCs w:val="24"/>
        </w:rPr>
        <w:t xml:space="preserve">prípadoch goldplating znamená zhoršenie situácie pre dohliadané subjekty oproti zahraničným subjektom kolektívneho investovania.  </w:t>
      </w:r>
    </w:p>
    <w:p w14:paraId="4C7E4635" w14:textId="77777777" w:rsidR="00BC5E60" w:rsidRDefault="00BC5E60" w:rsidP="00194B43">
      <w:pPr>
        <w:jc w:val="both"/>
        <w:rPr>
          <w:rFonts w:ascii="Arial Narrow" w:hAnsi="Arial Narrow"/>
          <w:b/>
          <w:bCs/>
        </w:rPr>
      </w:pPr>
    </w:p>
    <w:p w14:paraId="4AC26349" w14:textId="75E42577" w:rsidR="00194B43" w:rsidRPr="00BC5E60" w:rsidRDefault="00194B43" w:rsidP="00194B43">
      <w:pPr>
        <w:jc w:val="both"/>
        <w:rPr>
          <w:rFonts w:ascii="Times New Roman" w:hAnsi="Times New Roman" w:cs="Times New Roman"/>
          <w:b/>
          <w:bCs/>
          <w:sz w:val="24"/>
          <w:szCs w:val="24"/>
        </w:rPr>
      </w:pPr>
      <w:r w:rsidRPr="00BC5E60">
        <w:rPr>
          <w:rFonts w:ascii="Times New Roman" w:hAnsi="Times New Roman" w:cs="Times New Roman"/>
          <w:b/>
          <w:bCs/>
          <w:sz w:val="24"/>
          <w:szCs w:val="24"/>
        </w:rPr>
        <w:t>Návrhom zákona sa zavádza národná úprava, ktorá ide nad rámec minimálnych požiadaviek stanovených v smernici (EÚ) 2024/927</w:t>
      </w:r>
    </w:p>
    <w:p w14:paraId="0C71E39B" w14:textId="34EE8CA7" w:rsidR="00194B43" w:rsidRPr="00BC5E60" w:rsidRDefault="00194B43" w:rsidP="00194B43">
      <w:pPr>
        <w:jc w:val="both"/>
        <w:rPr>
          <w:rFonts w:ascii="Times New Roman" w:hAnsi="Times New Roman" w:cs="Times New Roman"/>
          <w:sz w:val="24"/>
          <w:szCs w:val="24"/>
        </w:rPr>
      </w:pPr>
      <w:r w:rsidRPr="00BC5E60">
        <w:rPr>
          <w:rFonts w:ascii="Times New Roman" w:hAnsi="Times New Roman" w:cs="Times New Roman"/>
          <w:sz w:val="24"/>
          <w:szCs w:val="24"/>
        </w:rPr>
        <w:t xml:space="preserve">Odôvodnenie </w:t>
      </w:r>
      <w:proofErr w:type="spellStart"/>
      <w:r w:rsidRPr="00BC5E60">
        <w:rPr>
          <w:rFonts w:ascii="Times New Roman" w:hAnsi="Times New Roman" w:cs="Times New Roman"/>
          <w:sz w:val="24"/>
          <w:szCs w:val="24"/>
        </w:rPr>
        <w:t>goldplatingu</w:t>
      </w:r>
      <w:proofErr w:type="spellEnd"/>
      <w:r w:rsidRPr="00BC5E60">
        <w:rPr>
          <w:rFonts w:ascii="Times New Roman" w:hAnsi="Times New Roman" w:cs="Times New Roman"/>
          <w:sz w:val="24"/>
          <w:szCs w:val="24"/>
        </w:rPr>
        <w:t xml:space="preserve"> vo vzťahu k </w:t>
      </w:r>
      <w:r w:rsidRPr="00BC5E60">
        <w:rPr>
          <w:rFonts w:ascii="Times New Roman" w:hAnsi="Times New Roman" w:cs="Times New Roman"/>
          <w:b/>
          <w:bCs/>
          <w:sz w:val="24"/>
          <w:szCs w:val="24"/>
        </w:rPr>
        <w:t>čl. 1 bod 7 smernice</w:t>
      </w:r>
      <w:r w:rsidRPr="00BC5E60">
        <w:rPr>
          <w:rFonts w:ascii="Times New Roman" w:hAnsi="Times New Roman" w:cs="Times New Roman"/>
          <w:sz w:val="24"/>
          <w:szCs w:val="24"/>
        </w:rPr>
        <w:t xml:space="preserve"> </w:t>
      </w:r>
      <w:r w:rsidRPr="00BC5E60">
        <w:rPr>
          <w:rFonts w:ascii="Times New Roman" w:hAnsi="Times New Roman" w:cs="Times New Roman"/>
          <w:b/>
          <w:bCs/>
          <w:sz w:val="24"/>
          <w:szCs w:val="24"/>
        </w:rPr>
        <w:t>2024/927</w:t>
      </w:r>
      <w:r w:rsidRPr="00BC5E60">
        <w:rPr>
          <w:rFonts w:ascii="Times New Roman" w:hAnsi="Times New Roman" w:cs="Times New Roman"/>
          <w:sz w:val="24"/>
          <w:szCs w:val="24"/>
        </w:rPr>
        <w:t xml:space="preserve"> (§ 37e ods. 15 návrhu zákona) -  Slovenská republika návrhom zákona zakázala alternatívnym investičným fondom poskytujúcim úvery, aby poskytovali úvery spotrebiteľom v zmysle vymedzenia v článku 3 písm. a) smernice (EÚ) 2008/48/ES na svojom území, a tiež zakázala, aby spravovali úvery poskytnuté takýmto spotrebiteľov na jej území.  Ustanovenie § 37e ods. 15 návrhu zákona predstavuje vnútroštátnu úpravu poskytovania úverov spotrebiteľom. V Slovenskej  republike sa v prvej fáze alternatívnym investičným fondom umožňuje, aby poskytovali len úvery podnikom, vrátane malých a stredných podnikov. V druhej fáze, po zvážení okolností a vývoja pri poskytovaní úverov zo strany alternatívnych investičných fondov, sa prehodnotí toto obmedzenie poskytovania úverov spotrebiteľom. Zákaz poskytovania úverov spotrebiteľom zo strany alternatívnych investičných fondov nie je v rozpore so smernicou (EÚ) 2024/927. Z hľadiska rozsahu </w:t>
      </w:r>
      <w:proofErr w:type="spellStart"/>
      <w:r w:rsidRPr="00BC5E60">
        <w:rPr>
          <w:rFonts w:ascii="Times New Roman" w:hAnsi="Times New Roman" w:cs="Times New Roman"/>
          <w:sz w:val="24"/>
          <w:szCs w:val="24"/>
        </w:rPr>
        <w:t>goldplatingu</w:t>
      </w:r>
      <w:proofErr w:type="spellEnd"/>
      <w:r w:rsidRPr="00BC5E60">
        <w:rPr>
          <w:rFonts w:ascii="Times New Roman" w:hAnsi="Times New Roman" w:cs="Times New Roman"/>
          <w:sz w:val="24"/>
          <w:szCs w:val="24"/>
        </w:rPr>
        <w:t xml:space="preserve"> a jeho dopadu na trhové subjekty nepredpokladáme významný negatívny dopad tohto </w:t>
      </w:r>
      <w:proofErr w:type="spellStart"/>
      <w:r w:rsidRPr="00BC5E60">
        <w:rPr>
          <w:rFonts w:ascii="Times New Roman" w:hAnsi="Times New Roman" w:cs="Times New Roman"/>
          <w:sz w:val="24"/>
          <w:szCs w:val="24"/>
        </w:rPr>
        <w:t>goldplatingu</w:t>
      </w:r>
      <w:proofErr w:type="spellEnd"/>
      <w:r w:rsidRPr="00BC5E60">
        <w:rPr>
          <w:rFonts w:ascii="Times New Roman" w:hAnsi="Times New Roman" w:cs="Times New Roman"/>
          <w:sz w:val="24"/>
          <w:szCs w:val="24"/>
        </w:rPr>
        <w:t xml:space="preserve">, nakoľko na stretnutí so Slovenskou asociáciou správcovských spoločností bol prezentovaný nezáujem slovenských správcovských spoločností zriadiť alternatívne investičné fondy poskytujúce úvery vrátane poskytovania úverov spotrebiteľom.            </w:t>
      </w:r>
    </w:p>
    <w:p w14:paraId="0690005B" w14:textId="64506ED7" w:rsidR="00194B43" w:rsidRPr="00BC5E60" w:rsidRDefault="00194B43" w:rsidP="00194B43">
      <w:pPr>
        <w:jc w:val="both"/>
        <w:rPr>
          <w:rFonts w:ascii="Times New Roman" w:hAnsi="Times New Roman" w:cs="Times New Roman"/>
          <w:sz w:val="24"/>
          <w:szCs w:val="24"/>
        </w:rPr>
      </w:pPr>
      <w:r w:rsidRPr="00BC5E60">
        <w:rPr>
          <w:rFonts w:ascii="Times New Roman" w:hAnsi="Times New Roman" w:cs="Times New Roman"/>
          <w:sz w:val="24"/>
          <w:szCs w:val="24"/>
        </w:rPr>
        <w:t xml:space="preserve">Odôvodnenie </w:t>
      </w:r>
      <w:proofErr w:type="spellStart"/>
      <w:r w:rsidRPr="00BC5E60">
        <w:rPr>
          <w:rFonts w:ascii="Times New Roman" w:hAnsi="Times New Roman" w:cs="Times New Roman"/>
          <w:sz w:val="24"/>
          <w:szCs w:val="24"/>
        </w:rPr>
        <w:t>goldplatingu</w:t>
      </w:r>
      <w:proofErr w:type="spellEnd"/>
      <w:r w:rsidRPr="00BC5E60">
        <w:rPr>
          <w:rFonts w:ascii="Times New Roman" w:hAnsi="Times New Roman" w:cs="Times New Roman"/>
          <w:sz w:val="24"/>
          <w:szCs w:val="24"/>
        </w:rPr>
        <w:t xml:space="preserve"> vo vzťahu k </w:t>
      </w:r>
      <w:r w:rsidRPr="00BC5E60">
        <w:rPr>
          <w:rFonts w:ascii="Times New Roman" w:hAnsi="Times New Roman" w:cs="Times New Roman"/>
          <w:b/>
          <w:bCs/>
          <w:sz w:val="24"/>
          <w:szCs w:val="24"/>
        </w:rPr>
        <w:t>čl. 1 bod 10 smernice</w:t>
      </w:r>
      <w:r w:rsidRPr="00BC5E60">
        <w:rPr>
          <w:rFonts w:ascii="Times New Roman" w:hAnsi="Times New Roman" w:cs="Times New Roman"/>
          <w:sz w:val="24"/>
          <w:szCs w:val="24"/>
        </w:rPr>
        <w:t xml:space="preserve"> </w:t>
      </w:r>
      <w:r w:rsidRPr="00BC5E60">
        <w:rPr>
          <w:rFonts w:ascii="Times New Roman" w:hAnsi="Times New Roman" w:cs="Times New Roman"/>
          <w:b/>
          <w:bCs/>
          <w:sz w:val="24"/>
          <w:szCs w:val="24"/>
        </w:rPr>
        <w:t>2024/927</w:t>
      </w:r>
      <w:r w:rsidRPr="00BC5E60">
        <w:rPr>
          <w:rFonts w:ascii="Times New Roman" w:hAnsi="Times New Roman" w:cs="Times New Roman"/>
          <w:sz w:val="24"/>
          <w:szCs w:val="24"/>
        </w:rPr>
        <w:t xml:space="preserve"> (§ 70 ods. 8 návrhu zákona) -  Slovenská republika návrhom zákona umožňuje, aby Národná banka Slovenska povolila za depozitára alternatívneho investičného fondu určiť zahraničného depozitára. Ustanovenie § 70 ods. 8 návrhu zákona predstavuje vnútroštátnu úpravu využitia služieb zahraničného depozitára v prípade, ak správcovská spoločnosť predloží Národnej banke Slovenska odôvodnenú žiadosť o určenie zahraničného depozitára. V Slovenskej republike v súčasnosti nie je nedostatok služieb depozitára, avšak s ohľadom na špecifiká zahraničných aktív vzniká predpoklad využitia služieb zahraničného depozitára, ktorý bude vedieť lepšie kontrolovať zahraničné aktíva v štáte jeho pôsobnosti. Možnosť povoliť využívanie služieb zahraničného depozitára nie je v rozpore  so smernicou (EÚ) 2024/927. Využitie možnosti určiť zahraničného depozitára predpokladáme u dvoch správcovských spoločností, a to pre lepšiu  kontrolu zahraničných nehnuteľností.           </w:t>
      </w:r>
    </w:p>
    <w:p w14:paraId="0734210A" w14:textId="77777777" w:rsidR="00BC5E60" w:rsidRPr="00BC5E60" w:rsidRDefault="00BC5E60" w:rsidP="00BC5E60">
      <w:pPr>
        <w:jc w:val="both"/>
        <w:rPr>
          <w:rFonts w:ascii="Times New Roman" w:hAnsi="Times New Roman" w:cs="Times New Roman"/>
          <w:b/>
          <w:bCs/>
          <w:sz w:val="24"/>
          <w:szCs w:val="24"/>
        </w:rPr>
      </w:pPr>
    </w:p>
    <w:p w14:paraId="454B3AB1" w14:textId="2A973E0C" w:rsidR="00BC5E60" w:rsidRPr="00BC5E60" w:rsidRDefault="00BC5E60" w:rsidP="00BC5E60">
      <w:pPr>
        <w:jc w:val="both"/>
        <w:rPr>
          <w:rFonts w:ascii="Times New Roman" w:hAnsi="Times New Roman" w:cs="Times New Roman"/>
          <w:b/>
          <w:bCs/>
          <w:sz w:val="24"/>
          <w:szCs w:val="24"/>
        </w:rPr>
      </w:pPr>
      <w:r w:rsidRPr="00BC5E60">
        <w:rPr>
          <w:rFonts w:ascii="Times New Roman" w:hAnsi="Times New Roman" w:cs="Times New Roman"/>
          <w:b/>
          <w:bCs/>
          <w:sz w:val="24"/>
          <w:szCs w:val="24"/>
        </w:rPr>
        <w:lastRenderedPageBreak/>
        <w:t>Návrhom zákona sa zavádza národná úprava, ktorá ide nad rámec minimálnych požiadaviek stanovených v smernici (EÚ) 2024/2994</w:t>
      </w:r>
    </w:p>
    <w:p w14:paraId="42741DB7" w14:textId="6EEF90CF" w:rsidR="00BC5E60" w:rsidRPr="00BC5E60" w:rsidRDefault="00BC5E60" w:rsidP="00BC5E60">
      <w:pPr>
        <w:jc w:val="both"/>
        <w:rPr>
          <w:rFonts w:ascii="Times New Roman" w:hAnsi="Times New Roman" w:cs="Times New Roman"/>
          <w:sz w:val="24"/>
          <w:szCs w:val="24"/>
        </w:rPr>
      </w:pPr>
      <w:r w:rsidRPr="00BC5E60">
        <w:rPr>
          <w:rFonts w:ascii="Times New Roman" w:hAnsi="Times New Roman" w:cs="Times New Roman"/>
          <w:sz w:val="24"/>
          <w:szCs w:val="24"/>
        </w:rPr>
        <w:t xml:space="preserve">Odôvodnenie </w:t>
      </w:r>
      <w:proofErr w:type="spellStart"/>
      <w:r w:rsidRPr="00BC5E60">
        <w:rPr>
          <w:rFonts w:ascii="Times New Roman" w:hAnsi="Times New Roman" w:cs="Times New Roman"/>
          <w:sz w:val="24"/>
          <w:szCs w:val="24"/>
        </w:rPr>
        <w:t>goldplatingu</w:t>
      </w:r>
      <w:proofErr w:type="spellEnd"/>
      <w:r w:rsidRPr="00BC5E60">
        <w:rPr>
          <w:rFonts w:ascii="Times New Roman" w:hAnsi="Times New Roman" w:cs="Times New Roman"/>
          <w:sz w:val="24"/>
          <w:szCs w:val="24"/>
        </w:rPr>
        <w:t xml:space="preserve"> vo vzťahu k </w:t>
      </w:r>
      <w:r w:rsidRPr="00BC5E60">
        <w:rPr>
          <w:rFonts w:ascii="Times New Roman" w:hAnsi="Times New Roman" w:cs="Times New Roman"/>
          <w:b/>
          <w:bCs/>
          <w:sz w:val="24"/>
          <w:szCs w:val="24"/>
        </w:rPr>
        <w:t>čl. 1 bod 2 smernice</w:t>
      </w:r>
      <w:r w:rsidRPr="00BC5E60">
        <w:rPr>
          <w:rFonts w:ascii="Times New Roman" w:hAnsi="Times New Roman" w:cs="Times New Roman"/>
          <w:sz w:val="24"/>
          <w:szCs w:val="24"/>
        </w:rPr>
        <w:t xml:space="preserve"> </w:t>
      </w:r>
      <w:r w:rsidRPr="00BC5E60">
        <w:rPr>
          <w:rFonts w:ascii="Times New Roman" w:hAnsi="Times New Roman" w:cs="Times New Roman"/>
          <w:b/>
          <w:bCs/>
          <w:sz w:val="24"/>
          <w:szCs w:val="24"/>
        </w:rPr>
        <w:t>2024/2994</w:t>
      </w:r>
      <w:r w:rsidRPr="00BC5E60">
        <w:rPr>
          <w:rFonts w:ascii="Times New Roman" w:hAnsi="Times New Roman" w:cs="Times New Roman"/>
          <w:sz w:val="24"/>
          <w:szCs w:val="24"/>
        </w:rPr>
        <w:t xml:space="preserve"> (§ 89 ods. 4 návrhu zákona) -  umožňuje sa, aby podľa § 89 ods. 4 zákona o kolektívnom investovaní a po schválení štatútu mohol štandardný podielový fond zvýšiť hodnotu jeho aktív investovaných  do prevoditeľných cenných papieroch alebo nástrojov peňažného trhu vydaných tou istou osobou z 5 % na 10 %. Uvedenú výnimku môže využiť každý štandardný podielový fond po schválení jeho štatútu Národnou bankou Slovenska ako povoľovacím orgánom. Možnosť využiť výnimku podľa § 89 ods. 4 zákona nie je v rozpore so smernicou (EÚ) 2024/2994.  V praxi sa však táto výnimka využíva len výnimočne, keďže zvýšením daného limitu sa zároveň zdvojnásobuje expozícia rizika voči jednému emitentovi. Tento goldplating tak v praxi nebude mať takmer žiaden dopad na štandardné podielové fondy. V už účinnom zákone táto výnimka je už zavedená, súčasný návrh novely zákona túto výnimku umožňuje naďalej, a teda goldplating vo vnútroštátnej právnej úprave bude pretrvávať.   </w:t>
      </w:r>
    </w:p>
    <w:p w14:paraId="33E2C5D0" w14:textId="77777777" w:rsidR="00B50882" w:rsidRPr="00BC5E60" w:rsidRDefault="00B50882" w:rsidP="00842759">
      <w:pPr>
        <w:pStyle w:val="Bezriadkovania"/>
      </w:pPr>
    </w:p>
    <w:p w14:paraId="3A771FC0" w14:textId="77777777" w:rsidR="00B50882" w:rsidRPr="00BC5E60" w:rsidRDefault="00B50882" w:rsidP="00842759">
      <w:pPr>
        <w:pStyle w:val="Bezriadkovania"/>
      </w:pPr>
    </w:p>
    <w:p w14:paraId="39D55FBC" w14:textId="44B0C098" w:rsidR="00054C41" w:rsidRPr="00BC5E60" w:rsidRDefault="00054C41" w:rsidP="00F94938">
      <w:pPr>
        <w:spacing w:after="0"/>
        <w:jc w:val="both"/>
        <w:rPr>
          <w:rFonts w:ascii="Times New Roman" w:eastAsia="Calibri" w:hAnsi="Times New Roman" w:cs="Times New Roman"/>
          <w:b/>
          <w:sz w:val="24"/>
          <w:szCs w:val="24"/>
        </w:rPr>
      </w:pPr>
      <w:r w:rsidRPr="00BC5E60">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BC5E60" w:rsidRDefault="00054C41"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BC5E60">
        <w:rPr>
          <w:rFonts w:ascii="Times New Roman" w:eastAsia="Calibri" w:hAnsi="Times New Roman" w:cs="Times New Roman"/>
          <w:i/>
          <w:sz w:val="24"/>
          <w:szCs w:val="24"/>
        </w:rPr>
        <w:t>link</w:t>
      </w:r>
      <w:proofErr w:type="spellEnd"/>
      <w:r w:rsidRPr="00BC5E60">
        <w:rPr>
          <w:rFonts w:ascii="Times New Roman" w:eastAsia="Calibri" w:hAnsi="Times New Roman" w:cs="Times New Roman"/>
          <w:i/>
          <w:sz w:val="24"/>
          <w:szCs w:val="24"/>
        </w:rPr>
        <w:t xml:space="preserve"> na webovú stránku, na ktorej boli konzultácie zverejnené. </w:t>
      </w:r>
    </w:p>
    <w:p w14:paraId="5DDE9409" w14:textId="77777777" w:rsidR="00054C41" w:rsidRPr="00BC5E60" w:rsidRDefault="00054C41"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 xml:space="preserve">Uveďte hlavné body konzultácií a ich závery. </w:t>
      </w:r>
    </w:p>
    <w:p w14:paraId="3EE20844" w14:textId="77777777" w:rsidR="00054C41" w:rsidRPr="00BC5E60" w:rsidRDefault="00054C41"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BC5E60" w:rsidRDefault="00054C41"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424E35CB" w:rsidR="00054C41" w:rsidRPr="00BC5E60" w:rsidRDefault="00054C41" w:rsidP="00054C41">
      <w:pPr>
        <w:spacing w:after="0"/>
        <w:jc w:val="both"/>
        <w:rPr>
          <w:rFonts w:ascii="Times New Roman" w:eastAsia="Calibri" w:hAnsi="Times New Roman" w:cs="Times New Roman"/>
          <w:i/>
          <w:sz w:val="24"/>
          <w:szCs w:val="24"/>
        </w:rPr>
      </w:pPr>
    </w:p>
    <w:p w14:paraId="61DF7F49" w14:textId="77777777" w:rsidR="00830A4D" w:rsidRPr="00BC5E60" w:rsidRDefault="007B267B" w:rsidP="00054C41">
      <w:pPr>
        <w:spacing w:after="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K zverejnenej predbežnej informácii k návrhu zákona MFSR nedostalo žiadne podnety od trhových subjektov, ktorých by sa navrhovaná reguláci</w:t>
      </w:r>
      <w:r w:rsidR="00890340" w:rsidRPr="00BC5E60">
        <w:rPr>
          <w:rFonts w:ascii="Times New Roman" w:eastAsia="Calibri" w:hAnsi="Times New Roman" w:cs="Times New Roman"/>
          <w:iCs/>
          <w:sz w:val="24"/>
          <w:szCs w:val="24"/>
        </w:rPr>
        <w:t>a</w:t>
      </w:r>
      <w:r w:rsidRPr="00BC5E60">
        <w:rPr>
          <w:rFonts w:ascii="Times New Roman" w:eastAsia="Calibri" w:hAnsi="Times New Roman" w:cs="Times New Roman"/>
          <w:iCs/>
          <w:sz w:val="24"/>
          <w:szCs w:val="24"/>
        </w:rPr>
        <w:t xml:space="preserve"> mohla týkať.</w:t>
      </w:r>
    </w:p>
    <w:p w14:paraId="1C43EF21" w14:textId="77777777" w:rsidR="00F02FC0" w:rsidRPr="00BC5E60" w:rsidRDefault="00830A4D" w:rsidP="00054C41">
      <w:pPr>
        <w:spacing w:after="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MFSR zároveň v auguste 2025 uskutočnilo konzultáciu so Slovenskou asociáciou správcovských spoločností, na ktorej správcovské spoločnosti vyjadrili postoj, že nemajú v úmysle vytvárať a spravovať alternatívne investičné fondy poskytujúce úvery, vzhľadom na náročnosť interných procesov. Napriek tejto skutočnosti predpokladáme, že v najbližších rokoch s ohľadom na vývoj v Európskej únii môžu vzniknúť 3 alternatívne investičné fondy poskytujúce úvery. Uvedený predpoklad vychádza z </w:t>
      </w:r>
      <w:r w:rsidR="00245BED" w:rsidRPr="00BC5E60">
        <w:rPr>
          <w:rFonts w:ascii="Times New Roman" w:eastAsia="Calibri" w:hAnsi="Times New Roman" w:cs="Times New Roman"/>
          <w:iCs/>
          <w:sz w:val="24"/>
          <w:szCs w:val="24"/>
        </w:rPr>
        <w:t>premisy</w:t>
      </w:r>
      <w:r w:rsidRPr="00BC5E60">
        <w:rPr>
          <w:rFonts w:ascii="Times New Roman" w:eastAsia="Calibri" w:hAnsi="Times New Roman" w:cs="Times New Roman"/>
          <w:iCs/>
          <w:sz w:val="24"/>
          <w:szCs w:val="24"/>
        </w:rPr>
        <w:t>, že domáce správcovské spoločnosti vyvinú úsilie vytvoriť takéto fondy ako alternatívu k zahraničným alternatívnym investičným fondom poskytujúcim úvery, ktoré budú distribuované na území Slovenskej republiky.</w:t>
      </w:r>
    </w:p>
    <w:p w14:paraId="4D727786" w14:textId="156B0CA0" w:rsidR="007B267B" w:rsidRPr="00BC5E60" w:rsidRDefault="00F02FC0" w:rsidP="00054C41">
      <w:pPr>
        <w:spacing w:after="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Dňa 11. septembra 2025 sa uskutočnilo stretnutie zástupcov Ministerstva financií SR, Národnej banky Slovenska, Slovenskej asociácie správcovských spoločností a Ministerstva hospodárstva SR k prediskutovaniu vplyvov návrhu novely zákona o kolektívom investovaní. Poznatky z tohto stretnutia boli zapracované do analýzy vplyvov na podnikateľské prostredie. Slovenská asociácia správcovských spoločností nenavrhla odhadnúť zmenu nákladov v dôsledku vplyvu </w:t>
      </w:r>
      <w:r w:rsidRPr="00BC5E60">
        <w:rPr>
          <w:rFonts w:ascii="Times New Roman" w:eastAsia="Calibri" w:hAnsi="Times New Roman" w:cs="Times New Roman"/>
          <w:iCs/>
          <w:sz w:val="24"/>
          <w:szCs w:val="24"/>
        </w:rPr>
        <w:lastRenderedPageBreak/>
        <w:t>žiadne ďalších zákonných povinností, a návrh Národnej banky Slovenska zahrnúť do výpočtu vplyvov  opatrenia č. 14 a</w:t>
      </w:r>
      <w:r w:rsidR="00842759" w:rsidRPr="00BC5E60">
        <w:rPr>
          <w:rFonts w:ascii="Times New Roman" w:eastAsia="Calibri" w:hAnsi="Times New Roman" w:cs="Times New Roman"/>
          <w:iCs/>
          <w:sz w:val="24"/>
          <w:szCs w:val="24"/>
        </w:rPr>
        <w:t> </w:t>
      </w:r>
      <w:r w:rsidRPr="00BC5E60">
        <w:rPr>
          <w:rFonts w:ascii="Times New Roman" w:eastAsia="Calibri" w:hAnsi="Times New Roman" w:cs="Times New Roman"/>
          <w:iCs/>
          <w:sz w:val="24"/>
          <w:szCs w:val="24"/>
        </w:rPr>
        <w:t>15</w:t>
      </w:r>
      <w:r w:rsidR="00842759" w:rsidRPr="00BC5E60">
        <w:rPr>
          <w:rFonts w:ascii="Times New Roman" w:eastAsia="Calibri" w:hAnsi="Times New Roman" w:cs="Times New Roman"/>
          <w:iCs/>
          <w:sz w:val="24"/>
          <w:szCs w:val="24"/>
        </w:rPr>
        <w:t xml:space="preserve"> boli akceptované. </w:t>
      </w:r>
      <w:r w:rsidRPr="00BC5E60">
        <w:rPr>
          <w:rFonts w:ascii="Times New Roman" w:eastAsia="Calibri" w:hAnsi="Times New Roman" w:cs="Times New Roman"/>
          <w:iCs/>
          <w:sz w:val="24"/>
          <w:szCs w:val="24"/>
        </w:rPr>
        <w:t xml:space="preserve">               </w:t>
      </w:r>
      <w:r w:rsidR="00830A4D" w:rsidRPr="00BC5E60">
        <w:rPr>
          <w:rFonts w:ascii="Times New Roman" w:eastAsia="Calibri" w:hAnsi="Times New Roman" w:cs="Times New Roman"/>
          <w:iCs/>
          <w:sz w:val="24"/>
          <w:szCs w:val="24"/>
        </w:rPr>
        <w:t xml:space="preserve">                           </w:t>
      </w:r>
      <w:r w:rsidR="007B267B" w:rsidRPr="00BC5E60">
        <w:rPr>
          <w:rFonts w:ascii="Times New Roman" w:eastAsia="Calibri" w:hAnsi="Times New Roman" w:cs="Times New Roman"/>
          <w:iCs/>
          <w:sz w:val="24"/>
          <w:szCs w:val="24"/>
        </w:rPr>
        <w:t xml:space="preserve">   </w:t>
      </w:r>
    </w:p>
    <w:p w14:paraId="08FCAD96" w14:textId="77777777" w:rsidR="00054C41" w:rsidRPr="00BC5E60" w:rsidRDefault="00054C41" w:rsidP="00054C41">
      <w:pPr>
        <w:spacing w:after="0"/>
        <w:jc w:val="both"/>
        <w:rPr>
          <w:rFonts w:ascii="Times New Roman" w:eastAsia="Calibri" w:hAnsi="Times New Roman" w:cs="Times New Roman"/>
          <w:i/>
          <w:sz w:val="24"/>
          <w:szCs w:val="24"/>
        </w:rPr>
      </w:pPr>
    </w:p>
    <w:p w14:paraId="609C066C" w14:textId="77777777" w:rsidR="00054C41" w:rsidRPr="00BC5E60" w:rsidRDefault="00054C41" w:rsidP="00054C41">
      <w:pPr>
        <w:jc w:val="both"/>
        <w:rPr>
          <w:rFonts w:ascii="Times New Roman" w:eastAsia="Calibri" w:hAnsi="Times New Roman" w:cs="Times New Roman"/>
          <w:b/>
          <w:sz w:val="24"/>
          <w:szCs w:val="24"/>
        </w:rPr>
      </w:pPr>
      <w:bookmarkStart w:id="0" w:name="_Hlk47698091"/>
      <w:r w:rsidRPr="00BC5E60">
        <w:rPr>
          <w:rFonts w:ascii="Times New Roman" w:eastAsia="Calibri" w:hAnsi="Times New Roman" w:cs="Times New Roman"/>
          <w:b/>
          <w:sz w:val="24"/>
          <w:szCs w:val="24"/>
        </w:rPr>
        <w:t>3.3 Vplyvy na konkurencieschopnosť a produktivitu</w:t>
      </w:r>
    </w:p>
    <w:bookmarkEnd w:id="0"/>
    <w:p w14:paraId="5CAF52B4" w14:textId="77777777" w:rsidR="00054C41" w:rsidRPr="00BC5E60" w:rsidRDefault="00054C41"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 xml:space="preserve">Dochádza k vytvoreniu resp. k zmene bariér na trhu? </w:t>
      </w:r>
    </w:p>
    <w:p w14:paraId="4D049DE7" w14:textId="77777777" w:rsidR="00054C41" w:rsidRPr="00BC5E60" w:rsidRDefault="00054C41"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BC5E60">
        <w:rPr>
          <w:rFonts w:ascii="Times New Roman" w:eastAsia="Calibri" w:hAnsi="Times New Roman" w:cs="Times New Roman"/>
          <w:i/>
          <w:sz w:val="24"/>
          <w:szCs w:val="24"/>
        </w:rPr>
        <w:t>mikro</w:t>
      </w:r>
      <w:proofErr w:type="spellEnd"/>
      <w:r w:rsidRPr="00BC5E60">
        <w:rPr>
          <w:rFonts w:ascii="Times New Roman" w:eastAsia="Calibri" w:hAnsi="Times New Roman" w:cs="Times New Roman"/>
          <w:i/>
          <w:sz w:val="24"/>
          <w:szCs w:val="24"/>
        </w:rPr>
        <w:t xml:space="preserve">, malé a stredné podniky tzv. MSP)? </w:t>
      </w:r>
    </w:p>
    <w:p w14:paraId="452A90F1" w14:textId="77777777" w:rsidR="00054C41" w:rsidRPr="00BC5E60" w:rsidRDefault="00054C41"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Pr="00BC5E60" w:rsidRDefault="00054C41"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Pr="00BC5E60" w:rsidRDefault="007259CB"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Ovplyvňuje zmena regulácie inovácie, vedu a výskum?</w:t>
      </w:r>
    </w:p>
    <w:p w14:paraId="64E2FB2F" w14:textId="77777777" w:rsidR="00BA19B0" w:rsidRPr="00BC5E60" w:rsidRDefault="00BA19B0"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Ak bol identifikovaný goldplating</w:t>
      </w:r>
      <w:r w:rsidR="00581EB9" w:rsidRPr="00BC5E60">
        <w:rPr>
          <w:rFonts w:ascii="Times New Roman" w:eastAsia="Calibri" w:hAnsi="Times New Roman" w:cs="Times New Roman"/>
          <w:i/>
          <w:sz w:val="24"/>
          <w:szCs w:val="24"/>
        </w:rPr>
        <w:t>,</w:t>
      </w:r>
      <w:r w:rsidR="00C14655" w:rsidRPr="00BC5E60">
        <w:rPr>
          <w:rFonts w:ascii="Times New Roman" w:eastAsia="Calibri" w:hAnsi="Times New Roman" w:cs="Times New Roman"/>
          <w:i/>
          <w:sz w:val="24"/>
          <w:szCs w:val="24"/>
        </w:rPr>
        <w:t xml:space="preserve"> prispieva k zníženiu konkurencieschopnosti a produktivity?</w:t>
      </w:r>
      <w:r w:rsidR="00581EB9" w:rsidRPr="00BC5E60">
        <w:rPr>
          <w:rFonts w:ascii="Times New Roman" w:eastAsia="Calibri" w:hAnsi="Times New Roman" w:cs="Times New Roman"/>
          <w:i/>
          <w:sz w:val="24"/>
          <w:szCs w:val="24"/>
        </w:rPr>
        <w:t xml:space="preserve"> Akým spôsobom?</w:t>
      </w:r>
    </w:p>
    <w:p w14:paraId="72CB32C8" w14:textId="77777777" w:rsidR="00054C41" w:rsidRPr="00BC5E60" w:rsidRDefault="00054C41"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4F3B2D2" w14:textId="77777777" w:rsidR="005C1139" w:rsidRPr="00BC5E60" w:rsidRDefault="005C1139" w:rsidP="00054C41">
      <w:pPr>
        <w:spacing w:after="0"/>
        <w:jc w:val="both"/>
        <w:rPr>
          <w:rFonts w:ascii="Times New Roman" w:eastAsia="Calibri" w:hAnsi="Times New Roman" w:cs="Times New Roman"/>
          <w:iCs/>
          <w:sz w:val="24"/>
          <w:szCs w:val="24"/>
        </w:rPr>
      </w:pPr>
    </w:p>
    <w:p w14:paraId="78681465" w14:textId="77B26F3F" w:rsidR="00054C41" w:rsidRPr="00BC5E60" w:rsidRDefault="007B267B" w:rsidP="00054C41">
      <w:pPr>
        <w:spacing w:after="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Navrhnuté zmeny vychádzajú zo znenia príslušných smerníc (EÚ) a vzťahujú sa v rovn</w:t>
      </w:r>
      <w:r w:rsidR="00D01650" w:rsidRPr="00BC5E60">
        <w:rPr>
          <w:rFonts w:ascii="Times New Roman" w:eastAsia="Calibri" w:hAnsi="Times New Roman" w:cs="Times New Roman"/>
          <w:iCs/>
          <w:sz w:val="24"/>
          <w:szCs w:val="24"/>
        </w:rPr>
        <w:t>ak</w:t>
      </w:r>
      <w:r w:rsidRPr="00BC5E60">
        <w:rPr>
          <w:rFonts w:ascii="Times New Roman" w:eastAsia="Calibri" w:hAnsi="Times New Roman" w:cs="Times New Roman"/>
          <w:iCs/>
          <w:sz w:val="24"/>
          <w:szCs w:val="24"/>
        </w:rPr>
        <w:t>ej miere na všetky dotknuté subjekty. Princíp proporcionality nebol zohľadnený</w:t>
      </w:r>
      <w:r w:rsidR="005C1139" w:rsidRPr="00BC5E60">
        <w:rPr>
          <w:rFonts w:ascii="Times New Roman" w:eastAsia="Calibri" w:hAnsi="Times New Roman" w:cs="Times New Roman"/>
          <w:iCs/>
          <w:sz w:val="24"/>
          <w:szCs w:val="24"/>
        </w:rPr>
        <w:t xml:space="preserve"> už na európskej úrovni</w:t>
      </w:r>
      <w:r w:rsidRPr="00BC5E60">
        <w:rPr>
          <w:rFonts w:ascii="Times New Roman" w:eastAsia="Calibri" w:hAnsi="Times New Roman" w:cs="Times New Roman"/>
          <w:iCs/>
          <w:sz w:val="24"/>
          <w:szCs w:val="24"/>
        </w:rPr>
        <w:t>,</w:t>
      </w:r>
      <w:r w:rsidR="005C1139" w:rsidRPr="00BC5E60">
        <w:rPr>
          <w:rFonts w:ascii="Times New Roman" w:eastAsia="Calibri" w:hAnsi="Times New Roman" w:cs="Times New Roman"/>
          <w:iCs/>
          <w:sz w:val="24"/>
          <w:szCs w:val="24"/>
        </w:rPr>
        <w:t xml:space="preserve"> možno teda predpokladať percentuálne vyšší podiel nákladov vyvolaných zmenou regulácie u menších subjektov. </w:t>
      </w:r>
      <w:r w:rsidRPr="00BC5E60">
        <w:rPr>
          <w:rFonts w:ascii="Times New Roman" w:eastAsia="Calibri" w:hAnsi="Times New Roman" w:cs="Times New Roman"/>
          <w:iCs/>
          <w:sz w:val="24"/>
          <w:szCs w:val="24"/>
        </w:rPr>
        <w:t xml:space="preserve">         </w:t>
      </w:r>
    </w:p>
    <w:p w14:paraId="4E570074" w14:textId="7AB95274" w:rsidR="007B267B" w:rsidRPr="00BC5E60" w:rsidRDefault="007B267B" w:rsidP="00054C41">
      <w:pPr>
        <w:spacing w:after="0"/>
        <w:jc w:val="both"/>
        <w:rPr>
          <w:rFonts w:ascii="Times New Roman" w:eastAsia="Calibri" w:hAnsi="Times New Roman" w:cs="Times New Roman"/>
          <w:i/>
          <w:sz w:val="24"/>
          <w:szCs w:val="24"/>
        </w:rPr>
      </w:pPr>
    </w:p>
    <w:p w14:paraId="329D370F" w14:textId="77777777" w:rsidR="007B267B" w:rsidRPr="00BC5E60" w:rsidRDefault="007B267B" w:rsidP="00054C41">
      <w:pPr>
        <w:spacing w:after="0"/>
        <w:jc w:val="both"/>
        <w:rPr>
          <w:rFonts w:ascii="Times New Roman" w:eastAsia="Calibri" w:hAnsi="Times New Roman" w:cs="Times New Roman"/>
          <w:i/>
          <w:sz w:val="24"/>
          <w:szCs w:val="24"/>
        </w:rPr>
      </w:pPr>
    </w:p>
    <w:p w14:paraId="4BE35CB4" w14:textId="77777777" w:rsidR="00054C41" w:rsidRPr="00BC5E60" w:rsidRDefault="00054C41" w:rsidP="00054C41">
      <w:pPr>
        <w:spacing w:after="0"/>
        <w:jc w:val="both"/>
        <w:rPr>
          <w:rFonts w:ascii="Times New Roman" w:eastAsia="Calibri" w:hAnsi="Times New Roman" w:cs="Times New Roman"/>
          <w:b/>
          <w:i/>
          <w:sz w:val="24"/>
          <w:szCs w:val="24"/>
        </w:rPr>
      </w:pPr>
      <w:r w:rsidRPr="00BC5E60">
        <w:rPr>
          <w:rFonts w:ascii="Times New Roman" w:eastAsia="Calibri" w:hAnsi="Times New Roman" w:cs="Times New Roman"/>
          <w:b/>
          <w:i/>
          <w:sz w:val="24"/>
          <w:szCs w:val="24"/>
        </w:rPr>
        <w:t>Konkurencieschopnosť:</w:t>
      </w:r>
    </w:p>
    <w:p w14:paraId="6C684286" w14:textId="77777777" w:rsidR="00054C41" w:rsidRPr="00BC5E60" w:rsidRDefault="00054C41"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Na základe uvedených odpovedí zaškrtnite a popíšte, či materiál konkurencieschopnosť:</w:t>
      </w:r>
    </w:p>
    <w:p w14:paraId="76CD0669" w14:textId="74753E5D" w:rsidR="00054C41" w:rsidRPr="00BC5E60"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00C66511" w:rsidRPr="00BC5E60">
                <w:rPr>
                  <w:rFonts w:ascii="Segoe UI Symbol" w:eastAsia="Calibri" w:hAnsi="Segoe UI Symbol" w:cs="Segoe UI Symbol"/>
                  <w:i/>
                  <w:sz w:val="24"/>
                  <w:szCs w:val="24"/>
                </w:rPr>
                <w:t>x</w:t>
              </w:r>
            </w:sdtContent>
          </w:sdt>
        </w:sdtContent>
      </w:sdt>
      <w:r w:rsidR="00054C41" w:rsidRPr="00BC5E60">
        <w:rPr>
          <w:rFonts w:ascii="Times New Roman" w:eastAsia="Calibri" w:hAnsi="Times New Roman" w:cs="Times New Roman"/>
          <w:i/>
          <w:sz w:val="24"/>
          <w:szCs w:val="24"/>
        </w:rPr>
        <w:t xml:space="preserve"> zvyšuje  </w:t>
      </w:r>
      <w:r w:rsidR="00054C41" w:rsidRPr="00BC5E60">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Content>
          <w:sdt>
            <w:sdtPr>
              <w:rPr>
                <w:rFonts w:ascii="Times New Roman" w:eastAsia="Calibri" w:hAnsi="Times New Roman" w:cs="Times New Roman"/>
                <w:i/>
                <w:sz w:val="24"/>
                <w:szCs w:val="24"/>
              </w:rPr>
              <w:id w:val="-80300261"/>
            </w:sdtPr>
            <w:sdtContent>
              <w:r w:rsidR="00054C41" w:rsidRPr="00BC5E60">
                <w:rPr>
                  <w:rFonts w:ascii="Segoe UI Symbol" w:eastAsia="Calibri" w:hAnsi="Segoe UI Symbol" w:cs="Segoe UI Symbol"/>
                  <w:i/>
                  <w:sz w:val="24"/>
                  <w:szCs w:val="24"/>
                </w:rPr>
                <w:t>☐</w:t>
              </w:r>
            </w:sdtContent>
          </w:sdt>
        </w:sdtContent>
      </w:sdt>
      <w:r w:rsidR="00054C41" w:rsidRPr="00BC5E60">
        <w:rPr>
          <w:rFonts w:ascii="Times New Roman" w:eastAsia="Calibri" w:hAnsi="Times New Roman" w:cs="Times New Roman"/>
          <w:i/>
          <w:sz w:val="24"/>
          <w:szCs w:val="24"/>
        </w:rPr>
        <w:t xml:space="preserve"> nemení</w:t>
      </w:r>
      <w:r w:rsidR="00054C41" w:rsidRPr="00BC5E60">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054C41" w:rsidRPr="00BC5E60">
                <w:rPr>
                  <w:rFonts w:ascii="Segoe UI Symbol" w:eastAsia="Calibri" w:hAnsi="Segoe UI Symbol" w:cs="Segoe UI Symbol"/>
                  <w:i/>
                  <w:sz w:val="24"/>
                  <w:szCs w:val="24"/>
                </w:rPr>
                <w:t>☐</w:t>
              </w:r>
            </w:sdtContent>
          </w:sdt>
        </w:sdtContent>
      </w:sdt>
      <w:r w:rsidR="00054C41" w:rsidRPr="00BC5E60">
        <w:rPr>
          <w:rFonts w:ascii="Times New Roman" w:eastAsia="Calibri" w:hAnsi="Times New Roman" w:cs="Times New Roman"/>
          <w:i/>
          <w:sz w:val="24"/>
          <w:szCs w:val="24"/>
        </w:rPr>
        <w:t xml:space="preserve"> znižuje</w:t>
      </w:r>
    </w:p>
    <w:p w14:paraId="327BF48A" w14:textId="442014EE" w:rsidR="00054C41" w:rsidRPr="00BC5E60" w:rsidRDefault="00054C41" w:rsidP="00054C41">
      <w:pPr>
        <w:spacing w:after="0"/>
        <w:jc w:val="both"/>
        <w:rPr>
          <w:rFonts w:ascii="Times New Roman" w:eastAsia="Calibri" w:hAnsi="Times New Roman" w:cs="Times New Roman"/>
          <w:i/>
          <w:sz w:val="24"/>
          <w:szCs w:val="24"/>
        </w:rPr>
      </w:pPr>
    </w:p>
    <w:p w14:paraId="15E584E6" w14:textId="22D819BF" w:rsidR="008D307B" w:rsidRPr="00BC5E60" w:rsidRDefault="008D307B" w:rsidP="008D307B">
      <w:pPr>
        <w:spacing w:after="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Návrh zákona prináša predovšetkým možnosť poskytovať úvery a spravovať úvery zo strany alternatívnych investičných fondov poskytujúcich úvery. To má dopad na interné prevádzkové procesy na strane správcovských spoločností spravujúcich alternatívne investičné fondy poskytujúce úvery. Využitím  možnosti poskytovať úvery a spravovať úvery správcovskými spoločnosťami spravujúcimi alternatívne investičné fondy poskytujúce úvery možno predpokladať pozitívny vplyv na nárast konkurencie pri poskytovaní úverov, v prvotnej fáze len v oblasti poskytovania úverov podnikateľským subjektom, ako alternatíva k bankovému financovaniu podnikov. </w:t>
      </w:r>
      <w:r w:rsidR="00842759" w:rsidRPr="00BC5E60">
        <w:rPr>
          <w:rFonts w:ascii="Times New Roman" w:eastAsia="Calibri" w:hAnsi="Times New Roman" w:cs="Times New Roman"/>
          <w:iCs/>
          <w:sz w:val="24"/>
          <w:szCs w:val="24"/>
        </w:rPr>
        <w:t xml:space="preserve">Zástupcovia Slovenskej asociácie správcovských spoločností predbežne nepredpokladajú vznik alternatívnych investičných fondov poskytujúcich úvery.  </w:t>
      </w:r>
      <w:r w:rsidRPr="00BC5E60">
        <w:rPr>
          <w:rFonts w:ascii="Times New Roman" w:eastAsia="Calibri" w:hAnsi="Times New Roman" w:cs="Times New Roman"/>
          <w:iCs/>
          <w:sz w:val="24"/>
          <w:szCs w:val="24"/>
        </w:rPr>
        <w:t xml:space="preserve">              </w:t>
      </w:r>
    </w:p>
    <w:p w14:paraId="23327725" w14:textId="77777777" w:rsidR="005C1139" w:rsidRPr="00BC5E60" w:rsidRDefault="005C1139" w:rsidP="00054C41">
      <w:pPr>
        <w:spacing w:after="0"/>
        <w:jc w:val="both"/>
        <w:rPr>
          <w:rFonts w:ascii="Times New Roman" w:eastAsia="Calibri" w:hAnsi="Times New Roman" w:cs="Times New Roman"/>
          <w:i/>
          <w:sz w:val="24"/>
          <w:szCs w:val="24"/>
        </w:rPr>
      </w:pPr>
    </w:p>
    <w:p w14:paraId="5861187D" w14:textId="77777777" w:rsidR="00054C41" w:rsidRPr="00BC5E60" w:rsidRDefault="00054C41" w:rsidP="00054C41">
      <w:pPr>
        <w:spacing w:after="0"/>
        <w:jc w:val="both"/>
        <w:rPr>
          <w:rFonts w:ascii="Times New Roman" w:eastAsia="Calibri" w:hAnsi="Times New Roman" w:cs="Times New Roman"/>
          <w:b/>
          <w:i/>
          <w:sz w:val="24"/>
          <w:szCs w:val="24"/>
        </w:rPr>
      </w:pPr>
      <w:r w:rsidRPr="00BC5E60">
        <w:rPr>
          <w:rFonts w:ascii="Times New Roman" w:eastAsia="Calibri" w:hAnsi="Times New Roman" w:cs="Times New Roman"/>
          <w:b/>
          <w:i/>
          <w:sz w:val="24"/>
          <w:szCs w:val="24"/>
        </w:rPr>
        <w:t>Produktivita:</w:t>
      </w:r>
    </w:p>
    <w:p w14:paraId="1FF562C2" w14:textId="77777777" w:rsidR="00054C41" w:rsidRPr="00BC5E60" w:rsidRDefault="00054C41"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BC5E60" w:rsidRDefault="00054C41" w:rsidP="00054C41">
      <w:pPr>
        <w:spacing w:after="0"/>
        <w:jc w:val="both"/>
        <w:rPr>
          <w:rFonts w:ascii="Times New Roman" w:eastAsia="Calibri" w:hAnsi="Times New Roman" w:cs="Times New Roman"/>
          <w:i/>
          <w:sz w:val="24"/>
          <w:szCs w:val="24"/>
        </w:rPr>
      </w:pPr>
    </w:p>
    <w:p w14:paraId="0B272ABF" w14:textId="77777777" w:rsidR="00054C41" w:rsidRPr="00BC5E60" w:rsidRDefault="00054C41" w:rsidP="00054C41">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Na základe uvedenej odpovede zaškrtnite a popíšte, či materiál produktivitu:</w:t>
      </w:r>
    </w:p>
    <w:p w14:paraId="789FA80A" w14:textId="22221421" w:rsidR="00054C41" w:rsidRPr="00BC5E60"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00C66511" w:rsidRPr="00BC5E60">
                <w:rPr>
                  <w:rFonts w:ascii="Segoe UI Symbol" w:eastAsia="Calibri" w:hAnsi="Segoe UI Symbol" w:cs="Segoe UI Symbol"/>
                  <w:i/>
                  <w:sz w:val="24"/>
                  <w:szCs w:val="24"/>
                </w:rPr>
                <w:t>x</w:t>
              </w:r>
            </w:sdtContent>
          </w:sdt>
        </w:sdtContent>
      </w:sdt>
      <w:r w:rsidR="00054C41" w:rsidRPr="00BC5E60">
        <w:rPr>
          <w:rFonts w:ascii="Times New Roman" w:eastAsia="Calibri" w:hAnsi="Times New Roman" w:cs="Times New Roman"/>
          <w:i/>
          <w:sz w:val="24"/>
          <w:szCs w:val="24"/>
        </w:rPr>
        <w:t xml:space="preserve"> zvyšuje  </w:t>
      </w:r>
      <w:r w:rsidR="00054C41" w:rsidRPr="00BC5E60">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Content>
          <w:sdt>
            <w:sdtPr>
              <w:rPr>
                <w:rFonts w:ascii="Times New Roman" w:eastAsia="Calibri" w:hAnsi="Times New Roman" w:cs="Times New Roman"/>
                <w:i/>
                <w:sz w:val="24"/>
                <w:szCs w:val="24"/>
              </w:rPr>
              <w:id w:val="-1222205104"/>
            </w:sdtPr>
            <w:sdtContent>
              <w:r w:rsidR="00054C41" w:rsidRPr="00BC5E60">
                <w:rPr>
                  <w:rFonts w:ascii="Segoe UI Symbol" w:eastAsia="Calibri" w:hAnsi="Segoe UI Symbol" w:cs="Segoe UI Symbol"/>
                  <w:i/>
                  <w:sz w:val="24"/>
                  <w:szCs w:val="24"/>
                </w:rPr>
                <w:t>☐</w:t>
              </w:r>
            </w:sdtContent>
          </w:sdt>
        </w:sdtContent>
      </w:sdt>
      <w:r w:rsidR="00054C41" w:rsidRPr="00BC5E60">
        <w:rPr>
          <w:rFonts w:ascii="Times New Roman" w:eastAsia="Calibri" w:hAnsi="Times New Roman" w:cs="Times New Roman"/>
          <w:i/>
          <w:sz w:val="24"/>
          <w:szCs w:val="24"/>
        </w:rPr>
        <w:t xml:space="preserve"> nemení</w:t>
      </w:r>
      <w:r w:rsidR="00054C41" w:rsidRPr="00BC5E60">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054C41" w:rsidRPr="00BC5E60">
                <w:rPr>
                  <w:rFonts w:ascii="Segoe UI Symbol" w:eastAsia="Calibri" w:hAnsi="Segoe UI Symbol" w:cs="Segoe UI Symbol"/>
                  <w:i/>
                  <w:sz w:val="24"/>
                  <w:szCs w:val="24"/>
                </w:rPr>
                <w:t>☐</w:t>
              </w:r>
            </w:sdtContent>
          </w:sdt>
        </w:sdtContent>
      </w:sdt>
      <w:r w:rsidR="00054C41" w:rsidRPr="00BC5E60">
        <w:rPr>
          <w:rFonts w:ascii="Times New Roman" w:eastAsia="Calibri" w:hAnsi="Times New Roman" w:cs="Times New Roman"/>
          <w:i/>
          <w:sz w:val="24"/>
          <w:szCs w:val="24"/>
        </w:rPr>
        <w:t xml:space="preserve"> znižuje</w:t>
      </w:r>
    </w:p>
    <w:p w14:paraId="1FFE92DA" w14:textId="77777777" w:rsidR="00054C41" w:rsidRPr="00BC5E60" w:rsidRDefault="00054C41" w:rsidP="00054C41">
      <w:pPr>
        <w:spacing w:after="0"/>
        <w:jc w:val="both"/>
        <w:rPr>
          <w:rFonts w:ascii="Times New Roman" w:eastAsia="Calibri" w:hAnsi="Times New Roman" w:cs="Times New Roman"/>
          <w:i/>
          <w:sz w:val="24"/>
          <w:szCs w:val="24"/>
        </w:rPr>
      </w:pPr>
    </w:p>
    <w:p w14:paraId="04547B8F" w14:textId="540283AE" w:rsidR="00054C41" w:rsidRPr="00BC5E60" w:rsidRDefault="005C1139" w:rsidP="00054C41">
      <w:pPr>
        <w:spacing w:after="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lastRenderedPageBreak/>
        <w:t xml:space="preserve">Zastávame názor, že návrh zákona prináša veľa príležitostí na skvalitnenie </w:t>
      </w:r>
      <w:r w:rsidR="00245BED" w:rsidRPr="00BC5E60">
        <w:rPr>
          <w:rFonts w:ascii="Times New Roman" w:eastAsia="Calibri" w:hAnsi="Times New Roman" w:cs="Times New Roman"/>
          <w:iCs/>
          <w:sz w:val="24"/>
          <w:szCs w:val="24"/>
        </w:rPr>
        <w:t>správy alternatívnych investičných fondov a štandardných podielových fondov</w:t>
      </w:r>
      <w:r w:rsidRPr="00BC5E60">
        <w:rPr>
          <w:rFonts w:ascii="Times New Roman" w:eastAsia="Calibri" w:hAnsi="Times New Roman" w:cs="Times New Roman"/>
          <w:iCs/>
          <w:sz w:val="24"/>
          <w:szCs w:val="24"/>
        </w:rPr>
        <w:t>, čo sa môže pozitívne prejaviť aj na pomere tržieb oproti nákladom.</w:t>
      </w:r>
      <w:r w:rsidR="00DC477D" w:rsidRPr="00BC5E60">
        <w:rPr>
          <w:rFonts w:ascii="Times New Roman" w:eastAsia="Calibri" w:hAnsi="Times New Roman" w:cs="Times New Roman"/>
          <w:iCs/>
          <w:sz w:val="24"/>
          <w:szCs w:val="24"/>
        </w:rPr>
        <w:t xml:space="preserve"> </w:t>
      </w:r>
      <w:r w:rsidRPr="00BC5E60">
        <w:rPr>
          <w:rFonts w:ascii="Times New Roman" w:eastAsia="Calibri" w:hAnsi="Times New Roman" w:cs="Times New Roman"/>
          <w:iCs/>
          <w:sz w:val="24"/>
          <w:szCs w:val="24"/>
        </w:rPr>
        <w:t xml:space="preserve">  </w:t>
      </w:r>
      <w:r w:rsidR="00DC477D" w:rsidRPr="00BC5E60">
        <w:rPr>
          <w:rFonts w:ascii="Times New Roman" w:eastAsia="Calibri" w:hAnsi="Times New Roman" w:cs="Times New Roman"/>
          <w:iCs/>
          <w:sz w:val="24"/>
          <w:szCs w:val="24"/>
        </w:rPr>
        <w:t xml:space="preserve">   </w:t>
      </w:r>
      <w:r w:rsidRPr="00BC5E60">
        <w:rPr>
          <w:rFonts w:ascii="Times New Roman" w:eastAsia="Calibri" w:hAnsi="Times New Roman" w:cs="Times New Roman"/>
          <w:iCs/>
          <w:sz w:val="24"/>
          <w:szCs w:val="24"/>
        </w:rPr>
        <w:t xml:space="preserve"> </w:t>
      </w:r>
    </w:p>
    <w:p w14:paraId="3814BF91" w14:textId="77777777" w:rsidR="00E30D85" w:rsidRPr="00BC5E60" w:rsidRDefault="00E30D85" w:rsidP="00054C41">
      <w:pPr>
        <w:spacing w:after="0"/>
        <w:jc w:val="both"/>
        <w:rPr>
          <w:rFonts w:ascii="Times New Roman" w:eastAsia="Calibri" w:hAnsi="Times New Roman" w:cs="Times New Roman"/>
          <w:iCs/>
          <w:sz w:val="24"/>
          <w:szCs w:val="24"/>
        </w:rPr>
      </w:pPr>
    </w:p>
    <w:p w14:paraId="0F05F45F" w14:textId="77777777" w:rsidR="00054C41" w:rsidRPr="00BC5E60" w:rsidRDefault="00054C41" w:rsidP="00054C41">
      <w:pPr>
        <w:jc w:val="both"/>
        <w:rPr>
          <w:rFonts w:ascii="Times New Roman" w:eastAsia="Calibri" w:hAnsi="Times New Roman" w:cs="Times New Roman"/>
          <w:b/>
          <w:sz w:val="24"/>
          <w:szCs w:val="24"/>
        </w:rPr>
      </w:pPr>
      <w:r w:rsidRPr="00BC5E60">
        <w:rPr>
          <w:rFonts w:ascii="Times New Roman" w:eastAsia="Calibri" w:hAnsi="Times New Roman" w:cs="Times New Roman"/>
          <w:b/>
          <w:sz w:val="24"/>
          <w:szCs w:val="24"/>
        </w:rPr>
        <w:t xml:space="preserve">3.4  Iné vplyvy na podnikateľské prostredie </w:t>
      </w:r>
    </w:p>
    <w:p w14:paraId="727C9A0E" w14:textId="77777777" w:rsidR="00FF414B" w:rsidRPr="00BC5E60" w:rsidRDefault="00FF414B" w:rsidP="00FF414B">
      <w:pPr>
        <w:spacing w:after="0"/>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Pr="00BC5E60"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Pr="00BC5E60"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regulované ceny podľa zákona č. 18/1996 Z. z. o cenách;</w:t>
      </w:r>
    </w:p>
    <w:p w14:paraId="46E907D6" w14:textId="77777777" w:rsidR="00FF414B" w:rsidRPr="00BC5E60"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iné vplyvy, ktoré predpokladá materiál, ale nemožno ich zaradiť do častí 3.1 a 3.3.</w:t>
      </w:r>
      <w:r w:rsidR="00E214C0" w:rsidRPr="00BC5E60">
        <w:rPr>
          <w:rFonts w:ascii="Times New Roman" w:eastAsia="Calibri" w:hAnsi="Times New Roman" w:cs="Times New Roman"/>
          <w:i/>
          <w:sz w:val="24"/>
          <w:szCs w:val="24"/>
        </w:rPr>
        <w:t>,</w:t>
      </w:r>
    </w:p>
    <w:p w14:paraId="74DE7A2D" w14:textId="77777777" w:rsidR="00D114ED" w:rsidRPr="00BC5E60"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BC5E60">
        <w:rPr>
          <w:rFonts w:ascii="Times New Roman" w:eastAsia="Calibri" w:hAnsi="Times New Roman" w:cs="Times New Roman"/>
          <w:i/>
          <w:sz w:val="24"/>
          <w:szCs w:val="24"/>
        </w:rPr>
        <w:t xml:space="preserve">iné vplyvy podľa písm. a) až c), ktoré sú </w:t>
      </w:r>
      <w:proofErr w:type="spellStart"/>
      <w:r w:rsidRPr="00BC5E60">
        <w:rPr>
          <w:rFonts w:ascii="Times New Roman" w:eastAsia="Calibri" w:hAnsi="Times New Roman" w:cs="Times New Roman"/>
          <w:i/>
          <w:sz w:val="24"/>
          <w:szCs w:val="24"/>
        </w:rPr>
        <w:t>goldplatingom</w:t>
      </w:r>
      <w:proofErr w:type="spellEnd"/>
      <w:r w:rsidRPr="00BC5E60">
        <w:rPr>
          <w:rFonts w:ascii="Times New Roman" w:eastAsia="Calibri" w:hAnsi="Times New Roman" w:cs="Times New Roman"/>
          <w:i/>
          <w:sz w:val="24"/>
          <w:szCs w:val="24"/>
        </w:rPr>
        <w:t>.</w:t>
      </w:r>
    </w:p>
    <w:p w14:paraId="656A83C3" w14:textId="3D3CE315" w:rsidR="00B21D1F" w:rsidRPr="00BC5E60" w:rsidRDefault="00B21D1F" w:rsidP="00054C41">
      <w:pPr>
        <w:spacing w:after="0" w:line="240" w:lineRule="auto"/>
        <w:jc w:val="center"/>
        <w:rPr>
          <w:rFonts w:ascii="Times New Roman" w:eastAsia="Times New Roman" w:hAnsi="Times New Roman" w:cs="Times New Roman"/>
          <w:b/>
          <w:sz w:val="28"/>
          <w:szCs w:val="28"/>
          <w:lang w:eastAsia="sk-SK"/>
        </w:rPr>
      </w:pPr>
    </w:p>
    <w:p w14:paraId="724BB7BA" w14:textId="7791BB17" w:rsidR="00C66511" w:rsidRPr="00BC5E60" w:rsidRDefault="00E01887" w:rsidP="005C1139">
      <w:pPr>
        <w:spacing w:after="0" w:line="240" w:lineRule="auto"/>
        <w:rPr>
          <w:rFonts w:ascii="Times New Roman" w:eastAsia="Times New Roman" w:hAnsi="Times New Roman" w:cs="Times New Roman"/>
          <w:bCs/>
          <w:sz w:val="24"/>
          <w:szCs w:val="24"/>
          <w:lang w:eastAsia="sk-SK"/>
        </w:rPr>
      </w:pPr>
      <w:r w:rsidRPr="00BC5E60">
        <w:rPr>
          <w:rFonts w:ascii="Times New Roman" w:eastAsia="Times New Roman" w:hAnsi="Times New Roman" w:cs="Times New Roman"/>
          <w:bCs/>
          <w:sz w:val="24"/>
          <w:szCs w:val="24"/>
          <w:lang w:eastAsia="sk-SK"/>
        </w:rPr>
        <w:t>Nižšie uvádzame popis 7 regulácií, ktoré nebolo možné kvantifikovať:</w:t>
      </w:r>
    </w:p>
    <w:p w14:paraId="01197642" w14:textId="5BFBF432" w:rsidR="008D307B" w:rsidRPr="00BC5E60" w:rsidRDefault="008D307B" w:rsidP="00C60F3D">
      <w:pPr>
        <w:pStyle w:val="Odsekzoznamu"/>
        <w:numPr>
          <w:ilvl w:val="0"/>
          <w:numId w:val="19"/>
        </w:numPr>
        <w:spacing w:after="0"/>
        <w:jc w:val="both"/>
        <w:rPr>
          <w:rFonts w:ascii="Times New Roman" w:eastAsia="Calibri" w:hAnsi="Times New Roman" w:cs="Times New Roman"/>
          <w:iCs/>
          <w:sz w:val="24"/>
          <w:szCs w:val="24"/>
        </w:rPr>
      </w:pPr>
      <w:r w:rsidRPr="00BC5E60">
        <w:rPr>
          <w:rFonts w:ascii="Times New Roman" w:eastAsia="Calibri" w:hAnsi="Times New Roman" w:cs="Times New Roman"/>
          <w:iCs/>
          <w:sz w:val="24"/>
          <w:szCs w:val="24"/>
        </w:rPr>
        <w:t xml:space="preserve">Regulácia uvedená v § 27(6)(f) zákona č. 203/2011 - správa referenčných hodnôt – sa týka len úzkeho okruhu správcovských spoločností, ktoré by spravovali referenčné hodnoty podľa nariadenia (EÚ) 2016/1011 o indexoch používaných ako referenčné hodnoty vo finančných nástrojoch a finančných zmluvách. Správcovská spoločnosť musí mať zavedený spoľahlivý systém správy a riadenia, ktorý zahŕňa jasnú organizačnú štruktúru s jasne vymedzenými transparentnými a konzistentnými úlohami a zodpovednosťami pre všetky osoby zapojené do poskytovania referenčnej hodnoty, musí spĺňať požiadavky na riadenie konfliktov záujmov ako aj na uchovávanie záznamov týkajúcich sa určenia referenčnej hodnoty. Časová náročnosť pre administratívne náklady je uvažovaná ako jednorazový náklad v podobe oboznámenia sa s reguláciou a jej implementáciou v riadení správcovskej spoločnosti. Vzhľadom na nulový počet správcovských spoločností spravujúcich referenčné hodnoty je dopad tohto opatrenia na náklady správcovských spoločností taktiež nulový.     </w:t>
      </w:r>
    </w:p>
    <w:p w14:paraId="48DA6677" w14:textId="7F8413CF" w:rsidR="008D307B" w:rsidRPr="00BC5E60" w:rsidRDefault="008D307B" w:rsidP="00C60F3D">
      <w:pPr>
        <w:pStyle w:val="Odsekzoznamu"/>
        <w:numPr>
          <w:ilvl w:val="0"/>
          <w:numId w:val="19"/>
        </w:numPr>
        <w:spacing w:after="0" w:line="240" w:lineRule="auto"/>
        <w:jc w:val="both"/>
        <w:rPr>
          <w:rFonts w:ascii="Times New Roman" w:eastAsia="Times New Roman" w:hAnsi="Times New Roman" w:cs="Times New Roman"/>
          <w:bCs/>
          <w:sz w:val="24"/>
          <w:szCs w:val="24"/>
          <w:lang w:eastAsia="sk-SK"/>
        </w:rPr>
      </w:pPr>
      <w:r w:rsidRPr="00BC5E60">
        <w:rPr>
          <w:rFonts w:ascii="Times New Roman" w:eastAsia="Times New Roman" w:hAnsi="Times New Roman" w:cs="Times New Roman"/>
          <w:bCs/>
          <w:sz w:val="24"/>
          <w:szCs w:val="24"/>
          <w:lang w:eastAsia="sk-SK"/>
        </w:rPr>
        <w:t>§ 27 ods. 5 – novela zákona o kolektívnom investovaní nezakladá vznik osobitného povolenia alebo rozšírenia povolenia na činnosť správcovskej spoločnosti podľa § 28a</w:t>
      </w:r>
      <w:r w:rsidR="00C60F3D" w:rsidRPr="00BC5E60">
        <w:rPr>
          <w:rFonts w:ascii="Times New Roman" w:eastAsia="Times New Roman" w:hAnsi="Times New Roman" w:cs="Times New Roman"/>
          <w:bCs/>
          <w:sz w:val="24"/>
          <w:szCs w:val="24"/>
          <w:lang w:eastAsia="sk-SK"/>
        </w:rPr>
        <w:t xml:space="preserve">, preto ani nepredpokladáme citeľný vplyv na rast nákladov.   </w:t>
      </w:r>
      <w:r w:rsidRPr="00BC5E60">
        <w:rPr>
          <w:rFonts w:ascii="Times New Roman" w:eastAsia="Times New Roman" w:hAnsi="Times New Roman" w:cs="Times New Roman"/>
          <w:bCs/>
          <w:sz w:val="24"/>
          <w:szCs w:val="24"/>
          <w:lang w:eastAsia="sk-SK"/>
        </w:rPr>
        <w:t xml:space="preserve"> </w:t>
      </w:r>
    </w:p>
    <w:p w14:paraId="7D99CEAD" w14:textId="11C8A36C" w:rsidR="008D307B" w:rsidRPr="00BC5E60" w:rsidRDefault="008D307B" w:rsidP="00C60F3D">
      <w:pPr>
        <w:pStyle w:val="Odsekzoznamu"/>
        <w:numPr>
          <w:ilvl w:val="0"/>
          <w:numId w:val="19"/>
        </w:numPr>
        <w:spacing w:after="0" w:line="240" w:lineRule="auto"/>
        <w:jc w:val="both"/>
        <w:rPr>
          <w:rFonts w:ascii="Times New Roman" w:eastAsia="Times New Roman" w:hAnsi="Times New Roman" w:cs="Times New Roman"/>
          <w:bCs/>
          <w:sz w:val="24"/>
          <w:szCs w:val="24"/>
          <w:lang w:eastAsia="sk-SK"/>
        </w:rPr>
      </w:pPr>
      <w:r w:rsidRPr="00BC5E60">
        <w:rPr>
          <w:rFonts w:ascii="Times New Roman" w:eastAsia="Times New Roman" w:hAnsi="Times New Roman" w:cs="Times New Roman"/>
          <w:bCs/>
          <w:sz w:val="24"/>
          <w:szCs w:val="24"/>
          <w:lang w:eastAsia="sk-SK"/>
        </w:rPr>
        <w:t>Podľa § 28 ods. 2 sa požaduje, aby aspoň dve fyzické osoby skutočne riadili podnikanie správcovskej spoločnosti, ktorá spravuje štandardné podielové fondy. Táto požiadavka je už v súčasnosti splnená u všetkých správcovských spoločností, keďže podľa Obchodného zákonníka sa vyžaduje, aby predstavenstvo správcovskej spoločnosti bolo aspoň trojčlenné.</w:t>
      </w:r>
      <w:r w:rsidR="00C60F3D" w:rsidRPr="00BC5E60">
        <w:rPr>
          <w:rFonts w:ascii="Times New Roman" w:eastAsia="Times New Roman" w:hAnsi="Times New Roman" w:cs="Times New Roman"/>
          <w:bCs/>
          <w:sz w:val="24"/>
          <w:szCs w:val="24"/>
          <w:lang w:eastAsia="sk-SK"/>
        </w:rPr>
        <w:t xml:space="preserve"> Táto požiadavka je teda podľa slovenského právneho poriadku už splnená. </w:t>
      </w:r>
    </w:p>
    <w:p w14:paraId="62CE3B9A" w14:textId="77777777" w:rsidR="00C60F3D" w:rsidRPr="00BC5E60" w:rsidRDefault="008D307B" w:rsidP="00C60F3D">
      <w:pPr>
        <w:pStyle w:val="Odsekzoznamu"/>
        <w:numPr>
          <w:ilvl w:val="0"/>
          <w:numId w:val="19"/>
        </w:numPr>
        <w:spacing w:after="0" w:line="240" w:lineRule="auto"/>
        <w:jc w:val="both"/>
        <w:rPr>
          <w:rFonts w:ascii="Times New Roman" w:eastAsia="Times New Roman" w:hAnsi="Times New Roman" w:cs="Times New Roman"/>
          <w:bCs/>
          <w:sz w:val="24"/>
          <w:szCs w:val="24"/>
          <w:lang w:eastAsia="sk-SK"/>
        </w:rPr>
      </w:pPr>
      <w:r w:rsidRPr="00BC5E60">
        <w:rPr>
          <w:rFonts w:ascii="Times New Roman" w:eastAsia="Times New Roman" w:hAnsi="Times New Roman" w:cs="Times New Roman"/>
          <w:bCs/>
          <w:sz w:val="24"/>
          <w:szCs w:val="24"/>
          <w:lang w:eastAsia="sk-SK"/>
        </w:rPr>
        <w:t>Podľa § 28a ods. 2 sa požaduje, aby aspoň dve fyzické osoby skutočne riadili podnikanie správcovskej spoločnosti, ktorá spravuje alternatívne investičné fondy. Táto požiadavka je už v súčasnosti splnená u všetkých správcovských spoločností, keďže podľa Obchodného zákonníka sa vyžaduje, aby predstavenstvo správcovskej spoločnosti bolo aspoň trojčlenné.</w:t>
      </w:r>
      <w:r w:rsidR="00C60F3D" w:rsidRPr="00BC5E60">
        <w:rPr>
          <w:rFonts w:ascii="Times New Roman" w:eastAsia="Times New Roman" w:hAnsi="Times New Roman" w:cs="Times New Roman"/>
          <w:bCs/>
          <w:sz w:val="24"/>
          <w:szCs w:val="24"/>
          <w:lang w:eastAsia="sk-SK"/>
        </w:rPr>
        <w:t xml:space="preserve"> Táto požiadavka je teda podľa slovenského právneho poriadku už splnená. </w:t>
      </w:r>
    </w:p>
    <w:p w14:paraId="1AE94AAE" w14:textId="4F3C3CE1" w:rsidR="008D307B" w:rsidRPr="00BC5E60" w:rsidRDefault="008D307B" w:rsidP="00C60F3D">
      <w:pPr>
        <w:pStyle w:val="Odsekzoznamu"/>
        <w:numPr>
          <w:ilvl w:val="0"/>
          <w:numId w:val="19"/>
        </w:numPr>
        <w:spacing w:after="0" w:line="240" w:lineRule="auto"/>
        <w:jc w:val="both"/>
        <w:rPr>
          <w:rFonts w:ascii="Times New Roman" w:eastAsia="Times New Roman" w:hAnsi="Times New Roman" w:cs="Times New Roman"/>
          <w:bCs/>
          <w:sz w:val="24"/>
          <w:szCs w:val="24"/>
          <w:lang w:eastAsia="sk-SK"/>
        </w:rPr>
      </w:pPr>
      <w:r w:rsidRPr="00BC5E60">
        <w:rPr>
          <w:rFonts w:ascii="Times New Roman" w:eastAsia="Times New Roman" w:hAnsi="Times New Roman" w:cs="Times New Roman"/>
          <w:bCs/>
          <w:sz w:val="24"/>
          <w:szCs w:val="24"/>
          <w:lang w:eastAsia="sk-SK"/>
        </w:rPr>
        <w:t xml:space="preserve">Podľa § 28a ods. 4 písm. k) a l) sa rozširujú požiadavky na informácie, ktoré je povinný predložiť žiadateľ. Ide však len o upresnenie už v súčasnosti požadovaných informácií, týkajúcich sa zverenia a druhotného zverenia činností, funkcií a služieb, ktorých výkon </w:t>
      </w:r>
      <w:r w:rsidRPr="00BC5E60">
        <w:rPr>
          <w:rFonts w:ascii="Times New Roman" w:eastAsia="Times New Roman" w:hAnsi="Times New Roman" w:cs="Times New Roman"/>
          <w:bCs/>
          <w:sz w:val="24"/>
          <w:szCs w:val="24"/>
          <w:lang w:eastAsia="sk-SK"/>
        </w:rPr>
        <w:lastRenderedPageBreak/>
        <w:t>správcovská spoločnosť zveruje tretej osobe.</w:t>
      </w:r>
      <w:r w:rsidR="00C60F3D" w:rsidRPr="00BC5E60">
        <w:rPr>
          <w:rFonts w:ascii="Times New Roman" w:eastAsia="Times New Roman" w:hAnsi="Times New Roman" w:cs="Times New Roman"/>
          <w:bCs/>
          <w:sz w:val="24"/>
          <w:szCs w:val="24"/>
          <w:lang w:eastAsia="sk-SK"/>
        </w:rPr>
        <w:t xml:space="preserve"> Preto nepredpokladáme žiaden dopad na rast nákladov. </w:t>
      </w:r>
    </w:p>
    <w:p w14:paraId="02E2A59E" w14:textId="50D6120D" w:rsidR="008D307B" w:rsidRPr="00BC5E60" w:rsidRDefault="008D307B" w:rsidP="005E49F0">
      <w:pPr>
        <w:pStyle w:val="Odsekzoznamu"/>
        <w:numPr>
          <w:ilvl w:val="0"/>
          <w:numId w:val="19"/>
        </w:numPr>
        <w:spacing w:after="0" w:line="240" w:lineRule="auto"/>
        <w:jc w:val="both"/>
        <w:rPr>
          <w:rFonts w:ascii="Times New Roman" w:eastAsia="Times New Roman" w:hAnsi="Times New Roman" w:cs="Times New Roman"/>
          <w:bCs/>
          <w:sz w:val="24"/>
          <w:szCs w:val="24"/>
          <w:lang w:eastAsia="sk-SK"/>
        </w:rPr>
      </w:pPr>
      <w:r w:rsidRPr="00BC5E60">
        <w:rPr>
          <w:rFonts w:ascii="Times New Roman" w:eastAsia="Times New Roman" w:hAnsi="Times New Roman" w:cs="Times New Roman"/>
          <w:bCs/>
          <w:sz w:val="24"/>
          <w:szCs w:val="24"/>
          <w:lang w:eastAsia="sk-SK"/>
        </w:rPr>
        <w:t>V § 37d sa zavádza rotácia nezávislých externých oceňovateľov nehnuteľností v real</w:t>
      </w:r>
      <w:r w:rsidR="00C60F3D" w:rsidRPr="00BC5E60">
        <w:rPr>
          <w:rFonts w:ascii="Times New Roman" w:eastAsia="Times New Roman" w:hAnsi="Times New Roman" w:cs="Times New Roman"/>
          <w:bCs/>
          <w:sz w:val="24"/>
          <w:szCs w:val="24"/>
          <w:lang w:eastAsia="sk-SK"/>
        </w:rPr>
        <w:t>i</w:t>
      </w:r>
      <w:r w:rsidRPr="00BC5E60">
        <w:rPr>
          <w:rFonts w:ascii="Times New Roman" w:eastAsia="Times New Roman" w:hAnsi="Times New Roman" w:cs="Times New Roman"/>
          <w:bCs/>
          <w:sz w:val="24"/>
          <w:szCs w:val="24"/>
          <w:lang w:eastAsia="sk-SK"/>
        </w:rPr>
        <w:t>tných fondoch, ktorá by mala prispieť k reálnejšiemu určeniu hodnoty nehnuteľností. Táto rotácia nemá vplyv na náklady správcovskej spoločnosti, aj v súčasnosti už nehnuteľnosti oceňuje externý oceňovateľ. Zákonom sa určuje 5 ročné obdobie, počas ktorého môže tú istú nehnuteľnosť v realitnom fonde oceňovať jeden externý oceňovateľ, po uplynutí 5 rokov sa musí zmeniť externý oceňovateľ. Správcovská spoločnosť môže naďalej využívať služby viacerých externých oceňovateľov, keďže vo fonde môžu byť viaceré kategórie nehnuteľností – komerčné budovy na prenájom, obytné budovy, atď.</w:t>
      </w:r>
      <w:r w:rsidR="00C60F3D" w:rsidRPr="00BC5E60">
        <w:rPr>
          <w:rFonts w:ascii="Times New Roman" w:eastAsia="Times New Roman" w:hAnsi="Times New Roman" w:cs="Times New Roman"/>
          <w:bCs/>
          <w:sz w:val="24"/>
          <w:szCs w:val="24"/>
          <w:lang w:eastAsia="sk-SK"/>
        </w:rPr>
        <w:t xml:space="preserve"> Využívanie nezávislých externých oceňovateľov je síce nákladom, ich rotácia však celkovú výšku nákladov nemení.   </w:t>
      </w:r>
      <w:r w:rsidRPr="00BC5E60">
        <w:rPr>
          <w:rFonts w:ascii="Times New Roman" w:eastAsia="Times New Roman" w:hAnsi="Times New Roman" w:cs="Times New Roman"/>
          <w:bCs/>
          <w:sz w:val="24"/>
          <w:szCs w:val="24"/>
          <w:lang w:eastAsia="sk-SK"/>
        </w:rPr>
        <w:t xml:space="preserve"> </w:t>
      </w:r>
    </w:p>
    <w:p w14:paraId="4BF85EE9" w14:textId="3457F2C0" w:rsidR="008D307B" w:rsidRPr="00BC5E60" w:rsidRDefault="008D307B" w:rsidP="005E49F0">
      <w:pPr>
        <w:pStyle w:val="Odsekzoznamu"/>
        <w:numPr>
          <w:ilvl w:val="0"/>
          <w:numId w:val="19"/>
        </w:numPr>
        <w:spacing w:after="0" w:line="240" w:lineRule="auto"/>
        <w:jc w:val="both"/>
        <w:rPr>
          <w:rFonts w:ascii="Times New Roman" w:eastAsia="Times New Roman" w:hAnsi="Times New Roman" w:cs="Times New Roman"/>
          <w:bCs/>
          <w:sz w:val="24"/>
          <w:szCs w:val="24"/>
          <w:lang w:eastAsia="sk-SK"/>
        </w:rPr>
      </w:pPr>
      <w:r w:rsidRPr="00BC5E60">
        <w:rPr>
          <w:rFonts w:ascii="Times New Roman" w:eastAsia="Times New Roman" w:hAnsi="Times New Roman" w:cs="Times New Roman"/>
          <w:bCs/>
          <w:sz w:val="24"/>
          <w:szCs w:val="24"/>
          <w:lang w:eastAsia="sk-SK"/>
        </w:rPr>
        <w:t xml:space="preserve">V § 80 ods. 4 sa </w:t>
      </w:r>
      <w:r w:rsidR="005E49F0" w:rsidRPr="00BC5E60">
        <w:rPr>
          <w:rFonts w:ascii="Times New Roman" w:eastAsia="Times New Roman" w:hAnsi="Times New Roman" w:cs="Times New Roman"/>
          <w:bCs/>
          <w:sz w:val="24"/>
          <w:szCs w:val="24"/>
          <w:lang w:eastAsia="sk-SK"/>
        </w:rPr>
        <w:t xml:space="preserve">síce </w:t>
      </w:r>
      <w:r w:rsidRPr="00BC5E60">
        <w:rPr>
          <w:rFonts w:ascii="Times New Roman" w:eastAsia="Times New Roman" w:hAnsi="Times New Roman" w:cs="Times New Roman"/>
          <w:bCs/>
          <w:sz w:val="24"/>
          <w:szCs w:val="24"/>
          <w:lang w:eastAsia="sk-SK"/>
        </w:rPr>
        <w:t>rozširuje informačná povinnosť depozitára voči Národnej banke Slovenska</w:t>
      </w:r>
      <w:r w:rsidR="005E49F0" w:rsidRPr="00BC5E60">
        <w:rPr>
          <w:rFonts w:ascii="Times New Roman" w:eastAsia="Times New Roman" w:hAnsi="Times New Roman" w:cs="Times New Roman"/>
          <w:bCs/>
          <w:sz w:val="24"/>
          <w:szCs w:val="24"/>
          <w:lang w:eastAsia="sk-SK"/>
        </w:rPr>
        <w:t xml:space="preserve">, avšak len </w:t>
      </w:r>
      <w:bookmarkStart w:id="1" w:name="_Hlk204423669"/>
      <w:r w:rsidR="005E49F0" w:rsidRPr="00BC5E60">
        <w:rPr>
          <w:rFonts w:ascii="Times New Roman" w:eastAsia="Times New Roman" w:hAnsi="Times New Roman" w:cs="Times New Roman"/>
          <w:bCs/>
          <w:sz w:val="24"/>
          <w:szCs w:val="24"/>
          <w:lang w:eastAsia="sk-SK"/>
        </w:rPr>
        <w:t xml:space="preserve">v prípadoch, ak </w:t>
      </w:r>
      <w:r w:rsidR="005E49F0" w:rsidRPr="00BC5E60">
        <w:rPr>
          <w:rFonts w:ascii="Times New Roman" w:hAnsi="Times New Roman" w:cs="Times New Roman"/>
          <w:sz w:val="24"/>
          <w:szCs w:val="24"/>
        </w:rPr>
        <w:t>mu správcovská spoločnosť opakovane a bez vážneho dôvodu odmietne predložiť požadované údaje a doklady</w:t>
      </w:r>
      <w:bookmarkEnd w:id="1"/>
      <w:r w:rsidRPr="00BC5E60">
        <w:rPr>
          <w:rFonts w:ascii="Times New Roman" w:eastAsia="Times New Roman" w:hAnsi="Times New Roman" w:cs="Times New Roman"/>
          <w:bCs/>
          <w:sz w:val="24"/>
          <w:szCs w:val="24"/>
          <w:lang w:eastAsia="sk-SK"/>
        </w:rPr>
        <w:t>.</w:t>
      </w:r>
      <w:r w:rsidR="005E49F0" w:rsidRPr="00BC5E60">
        <w:rPr>
          <w:rFonts w:ascii="Times New Roman" w:eastAsia="Times New Roman" w:hAnsi="Times New Roman" w:cs="Times New Roman"/>
          <w:bCs/>
          <w:sz w:val="24"/>
          <w:szCs w:val="24"/>
          <w:lang w:eastAsia="sk-SK"/>
        </w:rPr>
        <w:t xml:space="preserve"> V praxi nepoznáme žiaden prípad, kedy by správcovská spoločnosť odmietla poskytnúť depozitárovi požadované dokumenty a doklady, preto predpokladáme, že táto povinnosť nebude vplývať na rast nákladov ani na strane správcovskej spoločnosti, ani na strane depozitára.  </w:t>
      </w:r>
      <w:r w:rsidR="00C60F3D" w:rsidRPr="00BC5E60">
        <w:rPr>
          <w:rFonts w:ascii="Times New Roman" w:eastAsia="Times New Roman" w:hAnsi="Times New Roman" w:cs="Times New Roman"/>
          <w:bCs/>
          <w:sz w:val="24"/>
          <w:szCs w:val="24"/>
          <w:lang w:eastAsia="sk-SK"/>
        </w:rPr>
        <w:t xml:space="preserve"> </w:t>
      </w:r>
      <w:r w:rsidRPr="00BC5E60">
        <w:rPr>
          <w:rFonts w:ascii="Times New Roman" w:eastAsia="Times New Roman" w:hAnsi="Times New Roman" w:cs="Times New Roman"/>
          <w:bCs/>
          <w:sz w:val="24"/>
          <w:szCs w:val="24"/>
          <w:lang w:eastAsia="sk-SK"/>
        </w:rPr>
        <w:t xml:space="preserve">         </w:t>
      </w:r>
    </w:p>
    <w:p w14:paraId="125DF98D" w14:textId="77777777" w:rsidR="008D307B" w:rsidRPr="00BC5E60" w:rsidRDefault="008D307B" w:rsidP="008D307B">
      <w:pPr>
        <w:spacing w:after="0" w:line="240" w:lineRule="auto"/>
        <w:rPr>
          <w:rFonts w:ascii="Times New Roman" w:eastAsia="Times New Roman" w:hAnsi="Times New Roman" w:cs="Times New Roman"/>
          <w:bCs/>
          <w:color w:val="0070C0"/>
          <w:sz w:val="24"/>
          <w:szCs w:val="24"/>
          <w:lang w:eastAsia="sk-SK"/>
        </w:rPr>
      </w:pPr>
    </w:p>
    <w:p w14:paraId="188ACCE2" w14:textId="77777777" w:rsidR="00E00560" w:rsidRPr="00BC5E60" w:rsidRDefault="00E00560" w:rsidP="008D307B">
      <w:pPr>
        <w:spacing w:after="0" w:line="240" w:lineRule="auto"/>
        <w:rPr>
          <w:rFonts w:ascii="Times New Roman" w:eastAsia="Times New Roman" w:hAnsi="Times New Roman" w:cs="Times New Roman"/>
          <w:bCs/>
          <w:color w:val="0070C0"/>
          <w:sz w:val="24"/>
          <w:szCs w:val="24"/>
          <w:lang w:eastAsia="sk-SK"/>
        </w:rPr>
      </w:pPr>
    </w:p>
    <w:p w14:paraId="59D00E68" w14:textId="77777777" w:rsidR="00E00560" w:rsidRPr="00BC5E60" w:rsidRDefault="00E00560" w:rsidP="008D307B">
      <w:pPr>
        <w:spacing w:after="0" w:line="240" w:lineRule="auto"/>
        <w:rPr>
          <w:rFonts w:ascii="Times New Roman" w:eastAsia="Times New Roman" w:hAnsi="Times New Roman" w:cs="Times New Roman"/>
          <w:bCs/>
          <w:color w:val="0070C0"/>
          <w:sz w:val="24"/>
          <w:szCs w:val="24"/>
          <w:lang w:eastAsia="sk-SK"/>
        </w:rPr>
      </w:pPr>
    </w:p>
    <w:p w14:paraId="3E141164" w14:textId="77777777" w:rsidR="00E00560" w:rsidRPr="00BC5E60" w:rsidRDefault="00E00560" w:rsidP="008D307B">
      <w:pPr>
        <w:spacing w:after="0" w:line="240" w:lineRule="auto"/>
        <w:rPr>
          <w:rFonts w:ascii="Times New Roman" w:eastAsia="Times New Roman" w:hAnsi="Times New Roman" w:cs="Times New Roman"/>
          <w:bCs/>
          <w:color w:val="0070C0"/>
          <w:sz w:val="24"/>
          <w:szCs w:val="24"/>
          <w:lang w:eastAsia="sk-SK"/>
        </w:rPr>
      </w:pPr>
    </w:p>
    <w:p w14:paraId="521A479D" w14:textId="77777777" w:rsidR="00E00560" w:rsidRPr="00BC5E60" w:rsidRDefault="00E00560" w:rsidP="008D307B">
      <w:pPr>
        <w:spacing w:after="0" w:line="240" w:lineRule="auto"/>
        <w:rPr>
          <w:rFonts w:ascii="Times New Roman" w:eastAsia="Times New Roman" w:hAnsi="Times New Roman" w:cs="Times New Roman"/>
          <w:bCs/>
          <w:color w:val="0070C0"/>
          <w:sz w:val="24"/>
          <w:szCs w:val="24"/>
          <w:lang w:eastAsia="sk-SK"/>
        </w:rPr>
      </w:pPr>
    </w:p>
    <w:p w14:paraId="33FF9E8E" w14:textId="77777777" w:rsidR="00E00560" w:rsidRPr="00BC5E60" w:rsidRDefault="00E00560" w:rsidP="008D307B">
      <w:pPr>
        <w:spacing w:after="0" w:line="240" w:lineRule="auto"/>
        <w:rPr>
          <w:rFonts w:ascii="Times New Roman" w:eastAsia="Times New Roman" w:hAnsi="Times New Roman" w:cs="Times New Roman"/>
          <w:bCs/>
          <w:color w:val="0070C0"/>
          <w:sz w:val="24"/>
          <w:szCs w:val="24"/>
          <w:lang w:eastAsia="sk-SK"/>
        </w:rPr>
      </w:pPr>
    </w:p>
    <w:p w14:paraId="517B01CC" w14:textId="77777777" w:rsidR="00E00560" w:rsidRPr="00BC5E60" w:rsidRDefault="00E00560" w:rsidP="008D307B">
      <w:pPr>
        <w:spacing w:after="0" w:line="240" w:lineRule="auto"/>
        <w:rPr>
          <w:rFonts w:ascii="Times New Roman" w:eastAsia="Times New Roman" w:hAnsi="Times New Roman" w:cs="Times New Roman"/>
          <w:bCs/>
          <w:color w:val="0070C0"/>
          <w:sz w:val="24"/>
          <w:szCs w:val="24"/>
          <w:lang w:eastAsia="sk-SK"/>
        </w:rPr>
      </w:pPr>
    </w:p>
    <w:p w14:paraId="7779DDCC" w14:textId="77777777" w:rsidR="00E00560" w:rsidRPr="00BC5E60" w:rsidRDefault="00E00560" w:rsidP="008D307B">
      <w:pPr>
        <w:spacing w:after="0" w:line="240" w:lineRule="auto"/>
        <w:rPr>
          <w:rFonts w:ascii="Times New Roman" w:eastAsia="Times New Roman" w:hAnsi="Times New Roman" w:cs="Times New Roman"/>
          <w:bCs/>
          <w:color w:val="0070C0"/>
          <w:sz w:val="24"/>
          <w:szCs w:val="24"/>
          <w:lang w:eastAsia="sk-SK"/>
        </w:rPr>
      </w:pPr>
    </w:p>
    <w:p w14:paraId="176B4C1C" w14:textId="77777777" w:rsidR="00E00560" w:rsidRDefault="00E00560" w:rsidP="008D307B">
      <w:pPr>
        <w:spacing w:after="0" w:line="240" w:lineRule="auto"/>
        <w:rPr>
          <w:rFonts w:ascii="Times New Roman" w:eastAsia="Times New Roman" w:hAnsi="Times New Roman" w:cs="Times New Roman"/>
          <w:bCs/>
          <w:color w:val="0070C0"/>
          <w:sz w:val="24"/>
          <w:szCs w:val="24"/>
          <w:lang w:eastAsia="sk-SK"/>
        </w:rPr>
      </w:pPr>
    </w:p>
    <w:p w14:paraId="2BD7CE01" w14:textId="77777777" w:rsidR="006E1588" w:rsidRDefault="006E1588" w:rsidP="008D307B">
      <w:pPr>
        <w:spacing w:after="0" w:line="240" w:lineRule="auto"/>
        <w:rPr>
          <w:rFonts w:ascii="Times New Roman" w:eastAsia="Times New Roman" w:hAnsi="Times New Roman" w:cs="Times New Roman"/>
          <w:bCs/>
          <w:color w:val="0070C0"/>
          <w:sz w:val="24"/>
          <w:szCs w:val="24"/>
          <w:lang w:eastAsia="sk-SK"/>
        </w:rPr>
      </w:pPr>
    </w:p>
    <w:p w14:paraId="4B872AD4" w14:textId="77777777" w:rsidR="006E1588" w:rsidRDefault="006E1588" w:rsidP="008D307B">
      <w:pPr>
        <w:spacing w:after="0" w:line="240" w:lineRule="auto"/>
        <w:rPr>
          <w:rFonts w:ascii="Times New Roman" w:eastAsia="Times New Roman" w:hAnsi="Times New Roman" w:cs="Times New Roman"/>
          <w:bCs/>
          <w:color w:val="0070C0"/>
          <w:sz w:val="24"/>
          <w:szCs w:val="24"/>
          <w:lang w:eastAsia="sk-SK"/>
        </w:rPr>
      </w:pPr>
    </w:p>
    <w:p w14:paraId="08A3DFFE" w14:textId="77777777" w:rsidR="006E1588" w:rsidRDefault="006E1588" w:rsidP="008D307B">
      <w:pPr>
        <w:spacing w:after="0" w:line="240" w:lineRule="auto"/>
        <w:rPr>
          <w:rFonts w:ascii="Times New Roman" w:eastAsia="Times New Roman" w:hAnsi="Times New Roman" w:cs="Times New Roman"/>
          <w:bCs/>
          <w:color w:val="0070C0"/>
          <w:sz w:val="24"/>
          <w:szCs w:val="24"/>
          <w:lang w:eastAsia="sk-SK"/>
        </w:rPr>
      </w:pPr>
    </w:p>
    <w:p w14:paraId="2A89090B" w14:textId="77777777" w:rsidR="006E1588" w:rsidRDefault="006E1588" w:rsidP="008D307B">
      <w:pPr>
        <w:spacing w:after="0" w:line="240" w:lineRule="auto"/>
        <w:rPr>
          <w:rFonts w:ascii="Times New Roman" w:eastAsia="Times New Roman" w:hAnsi="Times New Roman" w:cs="Times New Roman"/>
          <w:bCs/>
          <w:color w:val="0070C0"/>
          <w:sz w:val="24"/>
          <w:szCs w:val="24"/>
          <w:lang w:eastAsia="sk-SK"/>
        </w:rPr>
      </w:pPr>
    </w:p>
    <w:p w14:paraId="5E8257AC" w14:textId="77777777" w:rsidR="006E1588" w:rsidRDefault="006E1588" w:rsidP="008D307B">
      <w:pPr>
        <w:spacing w:after="0" w:line="240" w:lineRule="auto"/>
        <w:rPr>
          <w:rFonts w:ascii="Times New Roman" w:eastAsia="Times New Roman" w:hAnsi="Times New Roman" w:cs="Times New Roman"/>
          <w:bCs/>
          <w:color w:val="0070C0"/>
          <w:sz w:val="24"/>
          <w:szCs w:val="24"/>
          <w:lang w:eastAsia="sk-SK"/>
        </w:rPr>
      </w:pPr>
    </w:p>
    <w:p w14:paraId="0C9DA361" w14:textId="77777777" w:rsidR="006E1588" w:rsidRDefault="006E1588" w:rsidP="008D307B">
      <w:pPr>
        <w:spacing w:after="0" w:line="240" w:lineRule="auto"/>
        <w:rPr>
          <w:rFonts w:ascii="Times New Roman" w:eastAsia="Times New Roman" w:hAnsi="Times New Roman" w:cs="Times New Roman"/>
          <w:bCs/>
          <w:color w:val="0070C0"/>
          <w:sz w:val="24"/>
          <w:szCs w:val="24"/>
          <w:lang w:eastAsia="sk-SK"/>
        </w:rPr>
      </w:pPr>
    </w:p>
    <w:p w14:paraId="6402D14F" w14:textId="77777777" w:rsidR="006E1588" w:rsidRDefault="006E1588" w:rsidP="008D307B">
      <w:pPr>
        <w:spacing w:after="0" w:line="240" w:lineRule="auto"/>
        <w:rPr>
          <w:rFonts w:ascii="Times New Roman" w:eastAsia="Times New Roman" w:hAnsi="Times New Roman" w:cs="Times New Roman"/>
          <w:bCs/>
          <w:color w:val="0070C0"/>
          <w:sz w:val="24"/>
          <w:szCs w:val="24"/>
          <w:lang w:eastAsia="sk-SK"/>
        </w:rPr>
      </w:pPr>
    </w:p>
    <w:p w14:paraId="273B031E" w14:textId="77777777" w:rsidR="006E1588" w:rsidRDefault="006E1588" w:rsidP="008D307B">
      <w:pPr>
        <w:spacing w:after="0" w:line="240" w:lineRule="auto"/>
        <w:rPr>
          <w:rFonts w:ascii="Times New Roman" w:eastAsia="Times New Roman" w:hAnsi="Times New Roman" w:cs="Times New Roman"/>
          <w:bCs/>
          <w:color w:val="0070C0"/>
          <w:sz w:val="24"/>
          <w:szCs w:val="24"/>
          <w:lang w:eastAsia="sk-SK"/>
        </w:rPr>
      </w:pPr>
    </w:p>
    <w:p w14:paraId="1AD3E838" w14:textId="77777777" w:rsidR="006E1588" w:rsidRDefault="006E1588" w:rsidP="008D307B">
      <w:pPr>
        <w:spacing w:after="0" w:line="240" w:lineRule="auto"/>
        <w:rPr>
          <w:rFonts w:ascii="Times New Roman" w:eastAsia="Times New Roman" w:hAnsi="Times New Roman" w:cs="Times New Roman"/>
          <w:bCs/>
          <w:color w:val="0070C0"/>
          <w:sz w:val="24"/>
          <w:szCs w:val="24"/>
          <w:lang w:eastAsia="sk-SK"/>
        </w:rPr>
      </w:pPr>
    </w:p>
    <w:p w14:paraId="3152A5A6" w14:textId="77777777" w:rsidR="006E1588" w:rsidRDefault="006E1588" w:rsidP="008D307B">
      <w:pPr>
        <w:spacing w:after="0" w:line="240" w:lineRule="auto"/>
        <w:rPr>
          <w:rFonts w:ascii="Times New Roman" w:eastAsia="Times New Roman" w:hAnsi="Times New Roman" w:cs="Times New Roman"/>
          <w:bCs/>
          <w:color w:val="0070C0"/>
          <w:sz w:val="24"/>
          <w:szCs w:val="24"/>
          <w:lang w:eastAsia="sk-SK"/>
        </w:rPr>
      </w:pPr>
    </w:p>
    <w:p w14:paraId="66406857" w14:textId="77777777" w:rsidR="006E1588" w:rsidRDefault="006E1588" w:rsidP="008D307B">
      <w:pPr>
        <w:spacing w:after="0" w:line="240" w:lineRule="auto"/>
        <w:rPr>
          <w:rFonts w:ascii="Times New Roman" w:eastAsia="Times New Roman" w:hAnsi="Times New Roman" w:cs="Times New Roman"/>
          <w:bCs/>
          <w:color w:val="0070C0"/>
          <w:sz w:val="24"/>
          <w:szCs w:val="24"/>
          <w:lang w:eastAsia="sk-SK"/>
        </w:rPr>
      </w:pPr>
    </w:p>
    <w:p w14:paraId="3CBE55FA" w14:textId="77777777" w:rsidR="006E1588" w:rsidRDefault="006E1588" w:rsidP="008D307B">
      <w:pPr>
        <w:spacing w:after="0" w:line="240" w:lineRule="auto"/>
        <w:rPr>
          <w:rFonts w:ascii="Times New Roman" w:eastAsia="Times New Roman" w:hAnsi="Times New Roman" w:cs="Times New Roman"/>
          <w:bCs/>
          <w:color w:val="0070C0"/>
          <w:sz w:val="24"/>
          <w:szCs w:val="24"/>
          <w:lang w:eastAsia="sk-SK"/>
        </w:rPr>
      </w:pPr>
    </w:p>
    <w:p w14:paraId="15A73042" w14:textId="77777777" w:rsidR="006E1588" w:rsidRDefault="006E1588" w:rsidP="008D307B">
      <w:pPr>
        <w:spacing w:after="0" w:line="240" w:lineRule="auto"/>
        <w:rPr>
          <w:rFonts w:ascii="Times New Roman" w:eastAsia="Times New Roman" w:hAnsi="Times New Roman" w:cs="Times New Roman"/>
          <w:bCs/>
          <w:color w:val="0070C0"/>
          <w:sz w:val="24"/>
          <w:szCs w:val="24"/>
          <w:lang w:eastAsia="sk-SK"/>
        </w:rPr>
      </w:pPr>
    </w:p>
    <w:sectPr w:rsidR="006E1588"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0FDBE" w14:textId="77777777" w:rsidR="00725108" w:rsidRDefault="00725108" w:rsidP="00054C41">
      <w:pPr>
        <w:spacing w:after="0" w:line="240" w:lineRule="auto"/>
      </w:pPr>
      <w:r>
        <w:separator/>
      </w:r>
    </w:p>
  </w:endnote>
  <w:endnote w:type="continuationSeparator" w:id="0">
    <w:p w14:paraId="5349EAE9" w14:textId="77777777" w:rsidR="00725108" w:rsidRDefault="00725108"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Narrow">
    <w:altName w:val="Century Gothic"/>
    <w:panose1 w:val="020B0606020202030204"/>
    <w:charset w:val="EE"/>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AC497" w14:textId="78D49C65" w:rsidR="00444F4C" w:rsidRDefault="00444F4C">
    <w:pPr>
      <w:pStyle w:val="Pta"/>
    </w:pPr>
    <w:r>
      <w:rPr>
        <w:noProof/>
      </w:rPr>
      <mc:AlternateContent>
        <mc:Choice Requires="wps">
          <w:drawing>
            <wp:anchor distT="0" distB="0" distL="0" distR="0" simplePos="0" relativeHeight="251659264" behindDoc="0" locked="0" layoutInCell="1" allowOverlap="1" wp14:anchorId="0F80D351" wp14:editId="5F017971">
              <wp:simplePos x="635" y="635"/>
              <wp:positionH relativeFrom="page">
                <wp:align>left</wp:align>
              </wp:positionH>
              <wp:positionV relativeFrom="page">
                <wp:align>bottom</wp:align>
              </wp:positionV>
              <wp:extent cx="633095" cy="357505"/>
              <wp:effectExtent l="0" t="0" r="14605" b="0"/>
              <wp:wrapNone/>
              <wp:docPr id="1490672535"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33095" cy="357505"/>
                      </a:xfrm>
                      <a:prstGeom prst="rect">
                        <a:avLst/>
                      </a:prstGeom>
                      <a:noFill/>
                      <a:ln>
                        <a:noFill/>
                      </a:ln>
                    </wps:spPr>
                    <wps:txbx>
                      <w:txbxContent>
                        <w:p w14:paraId="27367DD2" w14:textId="70859DD4" w:rsidR="00444F4C" w:rsidRPr="00444F4C" w:rsidRDefault="00444F4C" w:rsidP="00444F4C">
                          <w:pPr>
                            <w:spacing w:after="0"/>
                            <w:rPr>
                              <w:rFonts w:ascii="Calibri" w:eastAsia="Calibri" w:hAnsi="Calibri" w:cs="Calibri"/>
                              <w:noProof/>
                              <w:color w:val="000000"/>
                              <w:sz w:val="20"/>
                              <w:szCs w:val="20"/>
                            </w:rPr>
                          </w:pPr>
                          <w:r w:rsidRPr="00444F4C">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F80D351" id="_x0000_t202" coordsize="21600,21600" o:spt="202" path="m,l,21600r21600,l21600,xe">
              <v:stroke joinstyle="miter"/>
              <v:path gradientshapeok="t" o:connecttype="rect"/>
            </v:shapetype>
            <v:shape id="Textové pole 2" o:spid="_x0000_s1083" type="#_x0000_t202" alt="Interné" style="position:absolute;margin-left:0;margin-top:0;width:49.8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" filled="f" stroked="f">
              <v:textbox style="mso-fit-shape-to-text:t" inset="20pt,0,0,15pt">
                <w:txbxContent>
                  <w:p w14:paraId="27367DD2" w14:textId="70859DD4" w:rsidR="00444F4C" w:rsidRPr="00444F4C" w:rsidRDefault="00444F4C" w:rsidP="00444F4C">
                    <w:pPr>
                      <w:spacing w:after="0"/>
                      <w:rPr>
                        <w:rFonts w:ascii="Calibri" w:eastAsia="Calibri" w:hAnsi="Calibri" w:cs="Calibri"/>
                        <w:noProof/>
                        <w:color w:val="000000"/>
                        <w:sz w:val="20"/>
                        <w:szCs w:val="20"/>
                      </w:rPr>
                    </w:pPr>
                    <w:r w:rsidRPr="00444F4C">
                      <w:rPr>
                        <w:rFonts w:ascii="Calibri" w:eastAsia="Calibri" w:hAnsi="Calibri" w:cs="Calibri"/>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F2F5" w14:textId="7B57B8DE" w:rsidR="00F244DC" w:rsidRPr="006045CB" w:rsidRDefault="00000000" w:rsidP="00054C41">
    <w:pPr>
      <w:pStyle w:val="Pta"/>
      <w:jc w:val="right"/>
      <w:rPr>
        <w:rFonts w:ascii="Times New Roman" w:hAnsi="Times New Roman" w:cs="Times New Roman"/>
        <w:sz w:val="24"/>
        <w:szCs w:val="24"/>
      </w:rPr>
    </w:pPr>
    <w:sdt>
      <w:sdtPr>
        <w:id w:val="726035099"/>
        <w:docPartObj>
          <w:docPartGallery w:val="Page Numbers (Bottom of Page)"/>
          <w:docPartUnique/>
        </w:docPartObj>
      </w:sdtPr>
      <w:sdtEndPr>
        <w:rPr>
          <w:rFonts w:ascii="Times New Roman" w:hAnsi="Times New Roman" w:cs="Times New Roman"/>
          <w:sz w:val="24"/>
          <w:szCs w:val="24"/>
        </w:rPr>
      </w:sdtEndPr>
      <w:sdtContent>
        <w:r w:rsidR="00F244DC" w:rsidRPr="006045CB">
          <w:rPr>
            <w:rFonts w:ascii="Times New Roman" w:hAnsi="Times New Roman" w:cs="Times New Roman"/>
            <w:sz w:val="24"/>
            <w:szCs w:val="24"/>
          </w:rPr>
          <w:fldChar w:fldCharType="begin"/>
        </w:r>
        <w:r w:rsidR="00F244DC" w:rsidRPr="006045CB">
          <w:rPr>
            <w:rFonts w:ascii="Times New Roman" w:hAnsi="Times New Roman" w:cs="Times New Roman"/>
            <w:sz w:val="24"/>
            <w:szCs w:val="24"/>
          </w:rPr>
          <w:instrText>PAGE   \* MERGEFORMAT</w:instrText>
        </w:r>
        <w:r w:rsidR="00F244DC" w:rsidRPr="006045CB">
          <w:rPr>
            <w:rFonts w:ascii="Times New Roman" w:hAnsi="Times New Roman" w:cs="Times New Roman"/>
            <w:sz w:val="24"/>
            <w:szCs w:val="24"/>
          </w:rPr>
          <w:fldChar w:fldCharType="separate"/>
        </w:r>
        <w:r w:rsidR="0048237B">
          <w:rPr>
            <w:rFonts w:ascii="Times New Roman" w:hAnsi="Times New Roman" w:cs="Times New Roman"/>
            <w:noProof/>
            <w:sz w:val="24"/>
            <w:szCs w:val="24"/>
          </w:rPr>
          <w:t>17</w:t>
        </w:r>
        <w:r w:rsidR="00F244DC" w:rsidRPr="006045CB">
          <w:rPr>
            <w:rFonts w:ascii="Times New Roman" w:hAnsi="Times New Roman" w:cs="Times New Roman"/>
            <w:sz w:val="24"/>
            <w:szCs w:val="24"/>
          </w:rPr>
          <w:fldChar w:fldCharType="end"/>
        </w:r>
      </w:sdtContent>
    </w:sdt>
  </w:p>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B3CFF" w14:textId="7A25413E" w:rsidR="00444F4C" w:rsidRDefault="00444F4C">
    <w:pPr>
      <w:pStyle w:val="Pta"/>
    </w:pPr>
    <w:r>
      <w:rPr>
        <w:noProof/>
      </w:rPr>
      <mc:AlternateContent>
        <mc:Choice Requires="wps">
          <w:drawing>
            <wp:anchor distT="0" distB="0" distL="0" distR="0" simplePos="0" relativeHeight="251658240" behindDoc="0" locked="0" layoutInCell="1" allowOverlap="1" wp14:anchorId="0244D752" wp14:editId="3A2B1F2D">
              <wp:simplePos x="635" y="635"/>
              <wp:positionH relativeFrom="page">
                <wp:align>left</wp:align>
              </wp:positionH>
              <wp:positionV relativeFrom="page">
                <wp:align>bottom</wp:align>
              </wp:positionV>
              <wp:extent cx="633095" cy="357505"/>
              <wp:effectExtent l="0" t="0" r="14605" b="0"/>
              <wp:wrapNone/>
              <wp:docPr id="332049021"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33095" cy="357505"/>
                      </a:xfrm>
                      <a:prstGeom prst="rect">
                        <a:avLst/>
                      </a:prstGeom>
                      <a:noFill/>
                      <a:ln>
                        <a:noFill/>
                      </a:ln>
                    </wps:spPr>
                    <wps:txbx>
                      <w:txbxContent>
                        <w:p w14:paraId="1A948CD5" w14:textId="4FEB8E09" w:rsidR="00444F4C" w:rsidRPr="00444F4C" w:rsidRDefault="00444F4C" w:rsidP="00444F4C">
                          <w:pPr>
                            <w:spacing w:after="0"/>
                            <w:rPr>
                              <w:rFonts w:ascii="Calibri" w:eastAsia="Calibri" w:hAnsi="Calibri" w:cs="Calibri"/>
                              <w:noProof/>
                              <w:color w:val="000000"/>
                              <w:sz w:val="20"/>
                              <w:szCs w:val="20"/>
                            </w:rPr>
                          </w:pPr>
                          <w:r w:rsidRPr="00444F4C">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244D752" id="_x0000_t202" coordsize="21600,21600" o:spt="202" path="m,l,21600r21600,l21600,xe">
              <v:stroke joinstyle="miter"/>
              <v:path gradientshapeok="t" o:connecttype="rect"/>
            </v:shapetype>
            <v:shape id="Textové pole 1" o:spid="_x0000_s1085" type="#_x0000_t202" alt="Interné" style="position:absolute;margin-left:0;margin-top:0;width:49.8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" filled="f" stroked="f">
              <v:textbox style="mso-fit-shape-to-text:t" inset="20pt,0,0,15pt">
                <w:txbxContent>
                  <w:p w14:paraId="1A948CD5" w14:textId="4FEB8E09" w:rsidR="00444F4C" w:rsidRPr="00444F4C" w:rsidRDefault="00444F4C" w:rsidP="00444F4C">
                    <w:pPr>
                      <w:spacing w:after="0"/>
                      <w:rPr>
                        <w:rFonts w:ascii="Calibri" w:eastAsia="Calibri" w:hAnsi="Calibri" w:cs="Calibri"/>
                        <w:noProof/>
                        <w:color w:val="000000"/>
                        <w:sz w:val="20"/>
                        <w:szCs w:val="20"/>
                      </w:rPr>
                    </w:pPr>
                    <w:r w:rsidRPr="00444F4C">
                      <w:rPr>
                        <w:rFonts w:ascii="Calibri" w:eastAsia="Calibri" w:hAnsi="Calibri" w:cs="Calibri"/>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6FD51" w14:textId="77777777" w:rsidR="00725108" w:rsidRDefault="00725108" w:rsidP="00054C41">
      <w:pPr>
        <w:spacing w:after="0" w:line="240" w:lineRule="auto"/>
      </w:pPr>
      <w:r>
        <w:separator/>
      </w:r>
    </w:p>
  </w:footnote>
  <w:footnote w:type="continuationSeparator" w:id="0">
    <w:p w14:paraId="77736C3C" w14:textId="77777777" w:rsidR="00725108" w:rsidRDefault="00725108"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6E96"/>
    <w:multiLevelType w:val="hybridMultilevel"/>
    <w:tmpl w:val="5B74053C"/>
    <w:lvl w:ilvl="0" w:tplc="C248F210">
      <w:start w:val="1"/>
      <w:numFmt w:val="decimal"/>
      <w:lvlText w:val="%1."/>
      <w:lvlJc w:val="left"/>
      <w:pPr>
        <w:ind w:left="643" w:hanging="360"/>
      </w:pPr>
      <w:rPr>
        <w:rFonts w:hint="default"/>
        <w:color w:val="auto"/>
      </w:r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29827A5"/>
    <w:multiLevelType w:val="hybridMultilevel"/>
    <w:tmpl w:val="A7BE92F0"/>
    <w:lvl w:ilvl="0" w:tplc="F57ADF26">
      <w:start w:val="1"/>
      <w:numFmt w:val="decimal"/>
      <w:lvlText w:val="%1."/>
      <w:lvlJc w:val="left"/>
      <w:pPr>
        <w:ind w:left="64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A5A161C"/>
    <w:multiLevelType w:val="hybridMultilevel"/>
    <w:tmpl w:val="BD363CD2"/>
    <w:lvl w:ilvl="0" w:tplc="416C51F6">
      <w:start w:val="1"/>
      <w:numFmt w:val="decimal"/>
      <w:lvlText w:val="%1."/>
      <w:lvlJc w:val="left"/>
      <w:pPr>
        <w:ind w:left="720" w:hanging="360"/>
      </w:pPr>
      <w:rPr>
        <w:rFonts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5C766430"/>
    <w:multiLevelType w:val="hybridMultilevel"/>
    <w:tmpl w:val="295ADB96"/>
    <w:lvl w:ilvl="0" w:tplc="F43AF958">
      <w:start w:val="12"/>
      <w:numFmt w:val="decimal"/>
      <w:lvlText w:val="%1."/>
      <w:lvlJc w:val="left"/>
      <w:pPr>
        <w:ind w:left="720" w:hanging="360"/>
      </w:pPr>
      <w:rPr>
        <w:rFonts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5D084666"/>
    <w:multiLevelType w:val="hybridMultilevel"/>
    <w:tmpl w:val="295ADB96"/>
    <w:lvl w:ilvl="0" w:tplc="FFFFFFFF">
      <w:start w:val="12"/>
      <w:numFmt w:val="decimal"/>
      <w:lvlText w:val="%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990409"/>
    <w:multiLevelType w:val="hybridMultilevel"/>
    <w:tmpl w:val="DF86B5EC"/>
    <w:lvl w:ilvl="0" w:tplc="3ED4AEB6">
      <w:start w:val="15"/>
      <w:numFmt w:val="decimal"/>
      <w:lvlText w:val="%1."/>
      <w:lvlJc w:val="left"/>
      <w:pPr>
        <w:ind w:left="720" w:hanging="360"/>
      </w:pPr>
      <w:rPr>
        <w:rFonts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6"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100985085">
    <w:abstractNumId w:val="2"/>
  </w:num>
  <w:num w:numId="2" w16cid:durableId="1200975304">
    <w:abstractNumId w:val="15"/>
  </w:num>
  <w:num w:numId="3" w16cid:durableId="1822959084">
    <w:abstractNumId w:val="16"/>
  </w:num>
  <w:num w:numId="4" w16cid:durableId="226771533">
    <w:abstractNumId w:val="14"/>
  </w:num>
  <w:num w:numId="5" w16cid:durableId="913272575">
    <w:abstractNumId w:val="9"/>
  </w:num>
  <w:num w:numId="6" w16cid:durableId="14912871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1142393">
    <w:abstractNumId w:val="16"/>
  </w:num>
  <w:num w:numId="8" w16cid:durableId="20784314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57966443">
    <w:abstractNumId w:val="13"/>
  </w:num>
  <w:num w:numId="10" w16cid:durableId="1228300987">
    <w:abstractNumId w:val="4"/>
  </w:num>
  <w:num w:numId="11" w16cid:durableId="228540543">
    <w:abstractNumId w:val="6"/>
  </w:num>
  <w:num w:numId="12" w16cid:durableId="675688442">
    <w:abstractNumId w:val="1"/>
  </w:num>
  <w:num w:numId="13" w16cid:durableId="1178471456">
    <w:abstractNumId w:val="17"/>
  </w:num>
  <w:num w:numId="14" w16cid:durableId="912349597">
    <w:abstractNumId w:val="8"/>
  </w:num>
  <w:num w:numId="15" w16cid:durableId="176044982">
    <w:abstractNumId w:val="5"/>
  </w:num>
  <w:num w:numId="16" w16cid:durableId="753549488">
    <w:abstractNumId w:val="10"/>
  </w:num>
  <w:num w:numId="17" w16cid:durableId="207032366">
    <w:abstractNumId w:val="11"/>
  </w:num>
  <w:num w:numId="18" w16cid:durableId="2077045548">
    <w:abstractNumId w:val="12"/>
  </w:num>
  <w:num w:numId="19" w16cid:durableId="1723140244">
    <w:abstractNumId w:val="7"/>
  </w:num>
  <w:num w:numId="20" w16cid:durableId="552622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425A"/>
    <w:rsid w:val="00024EE4"/>
    <w:rsid w:val="00047C70"/>
    <w:rsid w:val="00050AAB"/>
    <w:rsid w:val="00054A53"/>
    <w:rsid w:val="00054C41"/>
    <w:rsid w:val="00055144"/>
    <w:rsid w:val="00060DA1"/>
    <w:rsid w:val="00061E85"/>
    <w:rsid w:val="0006398C"/>
    <w:rsid w:val="00075BA5"/>
    <w:rsid w:val="000820E0"/>
    <w:rsid w:val="00091A43"/>
    <w:rsid w:val="0009490E"/>
    <w:rsid w:val="000A6B7F"/>
    <w:rsid w:val="000C5419"/>
    <w:rsid w:val="000C5E9A"/>
    <w:rsid w:val="000D15F0"/>
    <w:rsid w:val="000D6329"/>
    <w:rsid w:val="00100613"/>
    <w:rsid w:val="0011003B"/>
    <w:rsid w:val="001133DA"/>
    <w:rsid w:val="00126A2B"/>
    <w:rsid w:val="00133340"/>
    <w:rsid w:val="00135E18"/>
    <w:rsid w:val="00142154"/>
    <w:rsid w:val="001476A4"/>
    <w:rsid w:val="00162C6C"/>
    <w:rsid w:val="0016512E"/>
    <w:rsid w:val="0018715C"/>
    <w:rsid w:val="00194B43"/>
    <w:rsid w:val="00196830"/>
    <w:rsid w:val="001A1561"/>
    <w:rsid w:val="001A7CB0"/>
    <w:rsid w:val="001B4C03"/>
    <w:rsid w:val="001C7B91"/>
    <w:rsid w:val="001D1083"/>
    <w:rsid w:val="001D3FA0"/>
    <w:rsid w:val="001D4060"/>
    <w:rsid w:val="001D60B2"/>
    <w:rsid w:val="001E24E8"/>
    <w:rsid w:val="001E2661"/>
    <w:rsid w:val="001E53CB"/>
    <w:rsid w:val="0020639C"/>
    <w:rsid w:val="00207F43"/>
    <w:rsid w:val="002232D3"/>
    <w:rsid w:val="00225A83"/>
    <w:rsid w:val="00231B8F"/>
    <w:rsid w:val="00245BED"/>
    <w:rsid w:val="00250F54"/>
    <w:rsid w:val="0027019F"/>
    <w:rsid w:val="00270EA5"/>
    <w:rsid w:val="002712B9"/>
    <w:rsid w:val="00281A22"/>
    <w:rsid w:val="00284B8C"/>
    <w:rsid w:val="0029483F"/>
    <w:rsid w:val="002C2FC0"/>
    <w:rsid w:val="002E047D"/>
    <w:rsid w:val="00302A17"/>
    <w:rsid w:val="00314D25"/>
    <w:rsid w:val="00315BE2"/>
    <w:rsid w:val="00316BAF"/>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505E"/>
    <w:rsid w:val="003A686F"/>
    <w:rsid w:val="003B58AD"/>
    <w:rsid w:val="003C75A5"/>
    <w:rsid w:val="003E58B8"/>
    <w:rsid w:val="003F06D7"/>
    <w:rsid w:val="003F604D"/>
    <w:rsid w:val="00400224"/>
    <w:rsid w:val="00400BA5"/>
    <w:rsid w:val="00410E62"/>
    <w:rsid w:val="00414FA7"/>
    <w:rsid w:val="00420090"/>
    <w:rsid w:val="004239D1"/>
    <w:rsid w:val="004328DF"/>
    <w:rsid w:val="00444F4C"/>
    <w:rsid w:val="00445638"/>
    <w:rsid w:val="00446432"/>
    <w:rsid w:val="00446512"/>
    <w:rsid w:val="00451F43"/>
    <w:rsid w:val="00466D7A"/>
    <w:rsid w:val="0048237B"/>
    <w:rsid w:val="00484D16"/>
    <w:rsid w:val="00491853"/>
    <w:rsid w:val="004A14CD"/>
    <w:rsid w:val="004A2C6B"/>
    <w:rsid w:val="004B1078"/>
    <w:rsid w:val="004B4D44"/>
    <w:rsid w:val="004D20CB"/>
    <w:rsid w:val="004D65B2"/>
    <w:rsid w:val="004D681D"/>
    <w:rsid w:val="004E2324"/>
    <w:rsid w:val="004F63E6"/>
    <w:rsid w:val="005103DA"/>
    <w:rsid w:val="00511F8F"/>
    <w:rsid w:val="00512BA7"/>
    <w:rsid w:val="00515726"/>
    <w:rsid w:val="00562527"/>
    <w:rsid w:val="00562A1E"/>
    <w:rsid w:val="00563427"/>
    <w:rsid w:val="00581EB9"/>
    <w:rsid w:val="00587B63"/>
    <w:rsid w:val="005B4E6E"/>
    <w:rsid w:val="005B56E4"/>
    <w:rsid w:val="005C1139"/>
    <w:rsid w:val="005C7255"/>
    <w:rsid w:val="005C795C"/>
    <w:rsid w:val="005D0E50"/>
    <w:rsid w:val="005D39D8"/>
    <w:rsid w:val="005E49F0"/>
    <w:rsid w:val="0061097B"/>
    <w:rsid w:val="0061612F"/>
    <w:rsid w:val="006177C8"/>
    <w:rsid w:val="0062600A"/>
    <w:rsid w:val="0063287B"/>
    <w:rsid w:val="0063777D"/>
    <w:rsid w:val="00643358"/>
    <w:rsid w:val="0064468B"/>
    <w:rsid w:val="00646084"/>
    <w:rsid w:val="006564C3"/>
    <w:rsid w:val="006578CB"/>
    <w:rsid w:val="00684E8B"/>
    <w:rsid w:val="006A4E85"/>
    <w:rsid w:val="006A60C0"/>
    <w:rsid w:val="006A712F"/>
    <w:rsid w:val="006B5D74"/>
    <w:rsid w:val="006C25BE"/>
    <w:rsid w:val="006C42CC"/>
    <w:rsid w:val="006C447F"/>
    <w:rsid w:val="006D7AD8"/>
    <w:rsid w:val="006E1588"/>
    <w:rsid w:val="006E4796"/>
    <w:rsid w:val="006F1D57"/>
    <w:rsid w:val="006F3179"/>
    <w:rsid w:val="0070364C"/>
    <w:rsid w:val="00710EDF"/>
    <w:rsid w:val="0072221D"/>
    <w:rsid w:val="0072357C"/>
    <w:rsid w:val="00725108"/>
    <w:rsid w:val="007259CB"/>
    <w:rsid w:val="00726031"/>
    <w:rsid w:val="00751DA9"/>
    <w:rsid w:val="00755E69"/>
    <w:rsid w:val="007648EE"/>
    <w:rsid w:val="0077106D"/>
    <w:rsid w:val="00776537"/>
    <w:rsid w:val="00780ACC"/>
    <w:rsid w:val="00787A11"/>
    <w:rsid w:val="00797B40"/>
    <w:rsid w:val="007A0BC2"/>
    <w:rsid w:val="007A0C9D"/>
    <w:rsid w:val="007B1FDB"/>
    <w:rsid w:val="007B267B"/>
    <w:rsid w:val="007B40FB"/>
    <w:rsid w:val="007B62AF"/>
    <w:rsid w:val="007E24B2"/>
    <w:rsid w:val="007E2DA4"/>
    <w:rsid w:val="007E4558"/>
    <w:rsid w:val="007E6815"/>
    <w:rsid w:val="007E7632"/>
    <w:rsid w:val="007F1C84"/>
    <w:rsid w:val="007F409A"/>
    <w:rsid w:val="007F4579"/>
    <w:rsid w:val="00801596"/>
    <w:rsid w:val="00804BC8"/>
    <w:rsid w:val="00806E23"/>
    <w:rsid w:val="00807981"/>
    <w:rsid w:val="00823BC3"/>
    <w:rsid w:val="00823F5A"/>
    <w:rsid w:val="00830A4D"/>
    <w:rsid w:val="00842759"/>
    <w:rsid w:val="0084498B"/>
    <w:rsid w:val="00845D3B"/>
    <w:rsid w:val="008634E9"/>
    <w:rsid w:val="008648AB"/>
    <w:rsid w:val="008801B5"/>
    <w:rsid w:val="00880578"/>
    <w:rsid w:val="00882407"/>
    <w:rsid w:val="00890340"/>
    <w:rsid w:val="008920C3"/>
    <w:rsid w:val="00894052"/>
    <w:rsid w:val="008A7B87"/>
    <w:rsid w:val="008B2161"/>
    <w:rsid w:val="008B4AA1"/>
    <w:rsid w:val="008C1C71"/>
    <w:rsid w:val="008D307B"/>
    <w:rsid w:val="008D55B4"/>
    <w:rsid w:val="008D5F35"/>
    <w:rsid w:val="008E1AD0"/>
    <w:rsid w:val="008E315F"/>
    <w:rsid w:val="008E6B82"/>
    <w:rsid w:val="008F6ADE"/>
    <w:rsid w:val="0091269B"/>
    <w:rsid w:val="00923C0C"/>
    <w:rsid w:val="00944682"/>
    <w:rsid w:val="0095170D"/>
    <w:rsid w:val="00952CF6"/>
    <w:rsid w:val="00960413"/>
    <w:rsid w:val="0097770D"/>
    <w:rsid w:val="00981995"/>
    <w:rsid w:val="00981C7F"/>
    <w:rsid w:val="00985515"/>
    <w:rsid w:val="00986256"/>
    <w:rsid w:val="00990813"/>
    <w:rsid w:val="0099544D"/>
    <w:rsid w:val="00997513"/>
    <w:rsid w:val="009A0E2C"/>
    <w:rsid w:val="009A4D56"/>
    <w:rsid w:val="009B1F04"/>
    <w:rsid w:val="009C0503"/>
    <w:rsid w:val="009E09F7"/>
    <w:rsid w:val="009E2D5C"/>
    <w:rsid w:val="009E3E44"/>
    <w:rsid w:val="009E45D6"/>
    <w:rsid w:val="009F4175"/>
    <w:rsid w:val="009F66A4"/>
    <w:rsid w:val="009F6C80"/>
    <w:rsid w:val="00A000DA"/>
    <w:rsid w:val="00A1736E"/>
    <w:rsid w:val="00A216DF"/>
    <w:rsid w:val="00A33F2C"/>
    <w:rsid w:val="00A47F8C"/>
    <w:rsid w:val="00A50EE3"/>
    <w:rsid w:val="00A5195B"/>
    <w:rsid w:val="00A83E11"/>
    <w:rsid w:val="00A94A0F"/>
    <w:rsid w:val="00AA3C6D"/>
    <w:rsid w:val="00AB57C4"/>
    <w:rsid w:val="00AE300D"/>
    <w:rsid w:val="00AF3B2F"/>
    <w:rsid w:val="00B11CF5"/>
    <w:rsid w:val="00B20660"/>
    <w:rsid w:val="00B209FA"/>
    <w:rsid w:val="00B21D1F"/>
    <w:rsid w:val="00B3547C"/>
    <w:rsid w:val="00B410BA"/>
    <w:rsid w:val="00B43D68"/>
    <w:rsid w:val="00B44A3A"/>
    <w:rsid w:val="00B50882"/>
    <w:rsid w:val="00B5600C"/>
    <w:rsid w:val="00B57D2A"/>
    <w:rsid w:val="00B66E33"/>
    <w:rsid w:val="00B7029A"/>
    <w:rsid w:val="00B72FB1"/>
    <w:rsid w:val="00B953DA"/>
    <w:rsid w:val="00BA19B0"/>
    <w:rsid w:val="00BA1BF1"/>
    <w:rsid w:val="00BA7933"/>
    <w:rsid w:val="00BB3870"/>
    <w:rsid w:val="00BB45A7"/>
    <w:rsid w:val="00BC20E2"/>
    <w:rsid w:val="00BC526D"/>
    <w:rsid w:val="00BC5E60"/>
    <w:rsid w:val="00BD0EF7"/>
    <w:rsid w:val="00BD6778"/>
    <w:rsid w:val="00C01599"/>
    <w:rsid w:val="00C048D1"/>
    <w:rsid w:val="00C05563"/>
    <w:rsid w:val="00C11132"/>
    <w:rsid w:val="00C115B9"/>
    <w:rsid w:val="00C12FDD"/>
    <w:rsid w:val="00C145AA"/>
    <w:rsid w:val="00C14655"/>
    <w:rsid w:val="00C163B4"/>
    <w:rsid w:val="00C21399"/>
    <w:rsid w:val="00C251CA"/>
    <w:rsid w:val="00C446E2"/>
    <w:rsid w:val="00C527D9"/>
    <w:rsid w:val="00C535F5"/>
    <w:rsid w:val="00C560C4"/>
    <w:rsid w:val="00C60F3D"/>
    <w:rsid w:val="00C66511"/>
    <w:rsid w:val="00C6748F"/>
    <w:rsid w:val="00C74337"/>
    <w:rsid w:val="00C75DC8"/>
    <w:rsid w:val="00C929AE"/>
    <w:rsid w:val="00CA4344"/>
    <w:rsid w:val="00CA6348"/>
    <w:rsid w:val="00CB1232"/>
    <w:rsid w:val="00CB17A0"/>
    <w:rsid w:val="00CC3B7D"/>
    <w:rsid w:val="00CD49B8"/>
    <w:rsid w:val="00CD5AE4"/>
    <w:rsid w:val="00CD5E86"/>
    <w:rsid w:val="00CE3B21"/>
    <w:rsid w:val="00CF4D09"/>
    <w:rsid w:val="00D005F2"/>
    <w:rsid w:val="00D01650"/>
    <w:rsid w:val="00D03A8E"/>
    <w:rsid w:val="00D114ED"/>
    <w:rsid w:val="00D11F27"/>
    <w:rsid w:val="00D2003A"/>
    <w:rsid w:val="00D3032C"/>
    <w:rsid w:val="00D31A3B"/>
    <w:rsid w:val="00D34954"/>
    <w:rsid w:val="00D5309D"/>
    <w:rsid w:val="00D57490"/>
    <w:rsid w:val="00D631FA"/>
    <w:rsid w:val="00D71064"/>
    <w:rsid w:val="00D811BB"/>
    <w:rsid w:val="00D82356"/>
    <w:rsid w:val="00D82BA9"/>
    <w:rsid w:val="00D84EEE"/>
    <w:rsid w:val="00D90A61"/>
    <w:rsid w:val="00D946EF"/>
    <w:rsid w:val="00D95553"/>
    <w:rsid w:val="00DC355F"/>
    <w:rsid w:val="00DC477D"/>
    <w:rsid w:val="00DC669D"/>
    <w:rsid w:val="00DD0798"/>
    <w:rsid w:val="00DD1E4C"/>
    <w:rsid w:val="00DD5D63"/>
    <w:rsid w:val="00DE331A"/>
    <w:rsid w:val="00DE6ACB"/>
    <w:rsid w:val="00DF02CE"/>
    <w:rsid w:val="00DF1462"/>
    <w:rsid w:val="00E00560"/>
    <w:rsid w:val="00E01887"/>
    <w:rsid w:val="00E030DA"/>
    <w:rsid w:val="00E214C0"/>
    <w:rsid w:val="00E30D85"/>
    <w:rsid w:val="00E444EB"/>
    <w:rsid w:val="00E77A69"/>
    <w:rsid w:val="00E81A42"/>
    <w:rsid w:val="00E824F7"/>
    <w:rsid w:val="00E961E8"/>
    <w:rsid w:val="00E96244"/>
    <w:rsid w:val="00E96DE0"/>
    <w:rsid w:val="00EB2252"/>
    <w:rsid w:val="00EB2BEC"/>
    <w:rsid w:val="00EB74BF"/>
    <w:rsid w:val="00EC0704"/>
    <w:rsid w:val="00EC508B"/>
    <w:rsid w:val="00ED6B5D"/>
    <w:rsid w:val="00EE4C99"/>
    <w:rsid w:val="00F02FC0"/>
    <w:rsid w:val="00F03B2E"/>
    <w:rsid w:val="00F070BC"/>
    <w:rsid w:val="00F153D7"/>
    <w:rsid w:val="00F1599C"/>
    <w:rsid w:val="00F2433F"/>
    <w:rsid w:val="00F244DC"/>
    <w:rsid w:val="00F378F4"/>
    <w:rsid w:val="00F47912"/>
    <w:rsid w:val="00F541B6"/>
    <w:rsid w:val="00F54B12"/>
    <w:rsid w:val="00F57702"/>
    <w:rsid w:val="00F61361"/>
    <w:rsid w:val="00F613E8"/>
    <w:rsid w:val="00F74D3C"/>
    <w:rsid w:val="00F74FC9"/>
    <w:rsid w:val="00F91F47"/>
    <w:rsid w:val="00F94938"/>
    <w:rsid w:val="00FA4F36"/>
    <w:rsid w:val="00FA6FFE"/>
    <w:rsid w:val="00FC121B"/>
    <w:rsid w:val="00FD3DFB"/>
    <w:rsid w:val="00FF0272"/>
    <w:rsid w:val="00FF414B"/>
    <w:rsid w:val="00FF4B7A"/>
    <w:rsid w:val="00FF6FF5"/>
    <w:rsid w:val="00FF748F"/>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7B267B"/>
    <w:rPr>
      <w:color w:val="0563C1" w:themeColor="hyperlink"/>
      <w:u w:val="single"/>
    </w:rPr>
  </w:style>
  <w:style w:type="character" w:styleId="Nevyrieenzmienka">
    <w:name w:val="Unresolved Mention"/>
    <w:basedOn w:val="Predvolenpsmoodseku"/>
    <w:uiPriority w:val="99"/>
    <w:semiHidden/>
    <w:unhideWhenUsed/>
    <w:rsid w:val="007B267B"/>
    <w:rPr>
      <w:color w:val="605E5C"/>
      <w:shd w:val="clear" w:color="auto" w:fill="E1DFDD"/>
    </w:rPr>
  </w:style>
  <w:style w:type="character" w:customStyle="1" w:styleId="y2iqfc">
    <w:name w:val="y2iqfc"/>
    <w:basedOn w:val="Predvolenpsmoodseku"/>
    <w:rsid w:val="003B58AD"/>
  </w:style>
  <w:style w:type="paragraph" w:styleId="Bezriadkovania">
    <w:name w:val="No Spacing"/>
    <w:uiPriority w:val="1"/>
    <w:qFormat/>
    <w:rsid w:val="008427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98076332">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hyperlink" Target="http://www.nbs.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BF509634-EAD7-4553-A28C-7EA4AF6FF563}">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5992</Words>
  <Characters>34160</Characters>
  <Application>Microsoft Office Word</Application>
  <DocSecurity>0</DocSecurity>
  <Lines>284</Lines>
  <Paragraphs>80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40072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Vlkolinsky Robert</cp:lastModifiedBy>
  <cp:revision>6</cp:revision>
  <cp:lastPrinted>2025-07-28T07:07:00Z</cp:lastPrinted>
  <dcterms:created xsi:type="dcterms:W3CDTF">2025-10-22T09:08:00Z</dcterms:created>
  <dcterms:modified xsi:type="dcterms:W3CDTF">2025-12-02T15:12:00Z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y fmtid="{D5CDD505-2E9C-101B-9397-08002B2CF9AE}" pid="153" name="ClassificationContentMarkingFooterShapeIds">
    <vt:lpwstr>13caaa7d,58d9db97,1d75ef7f</vt:lpwstr>
  </property>
  <property fmtid="{D5CDD505-2E9C-101B-9397-08002B2CF9AE}" pid="154" name="ClassificationContentMarkingFooterFontProps">
    <vt:lpwstr>#000000,10,Calibri</vt:lpwstr>
  </property>
  <property fmtid="{D5CDD505-2E9C-101B-9397-08002B2CF9AE}" pid="155" name="ClassificationContentMarkingFooterText">
    <vt:lpwstr>Interné</vt:lpwstr>
  </property>
  <property fmtid="{D5CDD505-2E9C-101B-9397-08002B2CF9AE}" pid="156" name="MSIP_Label_4c805978-f532-4a1a-b9e1-4e19c2c6466f_Enabled">
    <vt:lpwstr>true</vt:lpwstr>
  </property>
  <property fmtid="{D5CDD505-2E9C-101B-9397-08002B2CF9AE}" pid="157" name="MSIP_Label_4c805978-f532-4a1a-b9e1-4e19c2c6466f_SetDate">
    <vt:lpwstr>2025-09-25T07:27:29Z</vt:lpwstr>
  </property>
  <property fmtid="{D5CDD505-2E9C-101B-9397-08002B2CF9AE}" pid="158" name="MSIP_Label_4c805978-f532-4a1a-b9e1-4e19c2c6466f_Method">
    <vt:lpwstr>Standard</vt:lpwstr>
  </property>
  <property fmtid="{D5CDD505-2E9C-101B-9397-08002B2CF9AE}" pid="159" name="MSIP_Label_4c805978-f532-4a1a-b9e1-4e19c2c6466f_Name">
    <vt:lpwstr>Internal</vt:lpwstr>
  </property>
  <property fmtid="{D5CDD505-2E9C-101B-9397-08002B2CF9AE}" pid="160" name="MSIP_Label_4c805978-f532-4a1a-b9e1-4e19c2c6466f_SiteId">
    <vt:lpwstr>579df390-dbff-49fd-8f10-624670566482</vt:lpwstr>
  </property>
  <property fmtid="{D5CDD505-2E9C-101B-9397-08002B2CF9AE}" pid="161" name="MSIP_Label_4c805978-f532-4a1a-b9e1-4e19c2c6466f_ActionId">
    <vt:lpwstr>4c3f129e-8b43-4060-8dd3-df0c7be6e926</vt:lpwstr>
  </property>
  <property fmtid="{D5CDD505-2E9C-101B-9397-08002B2CF9AE}" pid="162" name="MSIP_Label_4c805978-f532-4a1a-b9e1-4e19c2c6466f_ContentBits">
    <vt:lpwstr>2</vt:lpwstr>
  </property>
  <property fmtid="{D5CDD505-2E9C-101B-9397-08002B2CF9AE}" pid="163" name="MSIP_Label_4c805978-f532-4a1a-b9e1-4e19c2c6466f_Tag">
    <vt:lpwstr>10, 3, 0, 1</vt:lpwstr>
  </property>
</Properties>
</file>