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4CB430"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4EA95966"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51D76E3A"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06E564C8" w14:textId="77777777" w:rsidTr="000800FC">
        <w:tc>
          <w:tcPr>
            <w:tcW w:w="9180" w:type="dxa"/>
            <w:gridSpan w:val="11"/>
            <w:tcBorders>
              <w:bottom w:val="single" w:sz="4" w:space="0" w:color="FFFFFF"/>
            </w:tcBorders>
            <w:shd w:val="clear" w:color="auto" w:fill="E2E2E2"/>
          </w:tcPr>
          <w:p w14:paraId="50AC8E8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328DCD0E" w14:textId="77777777" w:rsidTr="000800FC">
        <w:tc>
          <w:tcPr>
            <w:tcW w:w="9180" w:type="dxa"/>
            <w:gridSpan w:val="11"/>
            <w:tcBorders>
              <w:bottom w:val="single" w:sz="4" w:space="0" w:color="FFFFFF"/>
            </w:tcBorders>
            <w:shd w:val="clear" w:color="auto" w:fill="E2E2E2"/>
          </w:tcPr>
          <w:p w14:paraId="295810EB"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5B368B1C" w14:textId="77777777" w:rsidTr="000800FC">
        <w:tc>
          <w:tcPr>
            <w:tcW w:w="9180" w:type="dxa"/>
            <w:gridSpan w:val="11"/>
            <w:tcBorders>
              <w:top w:val="single" w:sz="4" w:space="0" w:color="FFFFFF"/>
              <w:bottom w:val="single" w:sz="4" w:space="0" w:color="auto"/>
            </w:tcBorders>
          </w:tcPr>
          <w:p w14:paraId="05006915" w14:textId="77777777" w:rsidR="001B23B7" w:rsidRPr="00612E08" w:rsidRDefault="001524E2"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Návrh zákona, ktorým sa mení a dopĺňa zákon č. 300/2005 Z. z. Trestný zákon v znení neskorších predpisov a ktorým sa menia a dopĺňajú niektoré zákony</w:t>
            </w:r>
          </w:p>
          <w:p w14:paraId="7BCBF9AE"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115BAE0A"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56839799"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32145724"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053066DD" w14:textId="77777777" w:rsidR="001B23B7" w:rsidRPr="00612E08" w:rsidRDefault="001524E2"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spravodlivosti Slovenskej republiky</w:t>
            </w:r>
          </w:p>
          <w:p w14:paraId="2CE6ECBA"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0211875A"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515FC310"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61CB257C"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4969FCBC"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4952056F" w14:textId="77777777" w:rsidTr="000800FC">
        <w:tc>
          <w:tcPr>
            <w:tcW w:w="4212" w:type="dxa"/>
            <w:gridSpan w:val="2"/>
            <w:vMerge/>
            <w:tcBorders>
              <w:top w:val="nil"/>
              <w:left w:val="single" w:sz="4" w:space="0" w:color="auto"/>
              <w:bottom w:val="single" w:sz="4" w:space="0" w:color="FFFFFF"/>
            </w:tcBorders>
            <w:shd w:val="clear" w:color="auto" w:fill="E2E2E2"/>
          </w:tcPr>
          <w:p w14:paraId="75822D02"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E05911B" w14:textId="77777777" w:rsidR="001B23B7" w:rsidRPr="00612E08" w:rsidRDefault="001524E2"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569C6816"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37F12DD4" w14:textId="77777777" w:rsidTr="000800FC">
        <w:tc>
          <w:tcPr>
            <w:tcW w:w="4212" w:type="dxa"/>
            <w:gridSpan w:val="2"/>
            <w:vMerge/>
            <w:tcBorders>
              <w:top w:val="nil"/>
              <w:left w:val="single" w:sz="4" w:space="0" w:color="auto"/>
              <w:bottom w:val="single" w:sz="4" w:space="0" w:color="auto"/>
            </w:tcBorders>
            <w:shd w:val="clear" w:color="auto" w:fill="E2E2E2"/>
          </w:tcPr>
          <w:p w14:paraId="6AA74D50"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2F4DD5AC" w14:textId="77777777" w:rsidR="001B23B7" w:rsidRPr="00612E08" w:rsidRDefault="001524E2"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580AF8A1"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1F98D1B3"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3A77E2BA"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2441C2B4" w14:textId="77777777" w:rsidR="001524E2" w:rsidRPr="00612E08" w:rsidRDefault="001524E2" w:rsidP="000800FC">
            <w:pPr>
              <w:rPr>
                <w:rFonts w:ascii="Times New Roman" w:eastAsia="Times New Roman" w:hAnsi="Times New Roman" w:cs="Times New Roman"/>
                <w:i/>
                <w:sz w:val="20"/>
                <w:szCs w:val="20"/>
                <w:lang w:eastAsia="sk-SK"/>
              </w:rPr>
            </w:pPr>
          </w:p>
          <w:p w14:paraId="09D731A9" w14:textId="77777777" w:rsidR="001B23B7" w:rsidRPr="00612E08" w:rsidRDefault="001524E2"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Smernica</w:t>
            </w:r>
            <w:r>
              <w:t xml:space="preserve"> </w:t>
            </w:r>
            <w:r w:rsidRPr="001524E2">
              <w:rPr>
                <w:rFonts w:ascii="Times New Roman" w:eastAsia="Times New Roman" w:hAnsi="Times New Roman" w:cs="Times New Roman"/>
                <w:sz w:val="20"/>
                <w:szCs w:val="20"/>
                <w:lang w:eastAsia="sk-SK"/>
              </w:rPr>
              <w:t>Európskeho parlamentu a Rady (EÚ) 2024/1203 z 11. apríla 2024 o ochrane životného prostredia prostredníctvom trestného práva, ktorou sa nahrádzajú smernice 2008/99/ES a 2009/123/ES</w:t>
            </w:r>
            <w:r w:rsidR="00734086">
              <w:rPr>
                <w:rFonts w:ascii="Times New Roman" w:eastAsia="Times New Roman" w:hAnsi="Times New Roman" w:cs="Times New Roman"/>
                <w:sz w:val="20"/>
                <w:szCs w:val="20"/>
                <w:lang w:eastAsia="sk-SK"/>
              </w:rPr>
              <w:t xml:space="preserve"> (</w:t>
            </w:r>
            <w:r w:rsidR="00734086" w:rsidRPr="00734086">
              <w:rPr>
                <w:rFonts w:ascii="Times New Roman" w:eastAsia="Times New Roman" w:hAnsi="Times New Roman" w:cs="Times New Roman"/>
                <w:sz w:val="20"/>
                <w:szCs w:val="20"/>
                <w:lang w:eastAsia="sk-SK"/>
              </w:rPr>
              <w:t>Ú. v. EÚ L, 2024/1203, 30.4.2024</w:t>
            </w:r>
            <w:r w:rsidR="00734086">
              <w:rPr>
                <w:rFonts w:ascii="Times New Roman" w:eastAsia="Times New Roman" w:hAnsi="Times New Roman" w:cs="Times New Roman"/>
                <w:sz w:val="20"/>
                <w:szCs w:val="20"/>
                <w:lang w:eastAsia="sk-SK"/>
              </w:rPr>
              <w:t>) v platnom znení</w:t>
            </w:r>
          </w:p>
        </w:tc>
      </w:tr>
      <w:tr w:rsidR="00612E08" w:rsidRPr="00612E08" w14:paraId="0ED78114"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44B1876F"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69A58B22"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4366249E"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C7F9B0D"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466C4A2B" w14:textId="77777777" w:rsidR="001B23B7" w:rsidRPr="00612E08" w:rsidRDefault="001524E2"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október 2025</w:t>
            </w:r>
          </w:p>
        </w:tc>
      </w:tr>
      <w:tr w:rsidR="00612E08" w:rsidRPr="00612E08" w14:paraId="75C556FA"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097A8CD"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15338D6D"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307DA66A"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EA6A07E"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4967DC5D" w14:textId="77777777" w:rsidR="001B23B7" w:rsidRPr="00612E08" w:rsidRDefault="001524E2"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november 2025</w:t>
            </w:r>
          </w:p>
        </w:tc>
      </w:tr>
      <w:tr w:rsidR="00612E08" w:rsidRPr="00612E08" w14:paraId="68294FB1" w14:textId="77777777" w:rsidTr="000800FC">
        <w:tc>
          <w:tcPr>
            <w:tcW w:w="9180" w:type="dxa"/>
            <w:gridSpan w:val="11"/>
            <w:tcBorders>
              <w:top w:val="single" w:sz="4" w:space="0" w:color="auto"/>
              <w:left w:val="nil"/>
              <w:bottom w:val="single" w:sz="4" w:space="0" w:color="auto"/>
              <w:right w:val="nil"/>
            </w:tcBorders>
            <w:shd w:val="clear" w:color="auto" w:fill="FFFFFF"/>
          </w:tcPr>
          <w:p w14:paraId="5F66070C"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0D7E2E6C"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3E32E9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35EBDF4B"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3CC78C1F"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4E576584" w14:textId="77777777" w:rsidR="001524E2" w:rsidRDefault="001524E2" w:rsidP="000800FC">
            <w:pPr>
              <w:jc w:val="both"/>
              <w:rPr>
                <w:rFonts w:ascii="Times New Roman" w:eastAsia="Times New Roman" w:hAnsi="Times New Roman" w:cs="Times New Roman"/>
                <w:i/>
                <w:sz w:val="20"/>
                <w:szCs w:val="20"/>
                <w:lang w:eastAsia="sk-SK"/>
              </w:rPr>
            </w:pPr>
          </w:p>
          <w:p w14:paraId="09DE5425" w14:textId="77777777" w:rsidR="001524E2" w:rsidRPr="001524E2" w:rsidRDefault="001524E2" w:rsidP="000800FC">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Aktuálna právna úprava trestných činov proti životnému prostrediu nezabezpečuje súlad s novou právnou úpravou na úrovni Európskej únie, ktorá nadobudla účinnosť v roku 2024.</w:t>
            </w:r>
          </w:p>
          <w:p w14:paraId="314EC517"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6054B812"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34E2153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17FBA9CB"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2D266341"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34BA90DA" w14:textId="77777777" w:rsidR="001524E2" w:rsidRDefault="001524E2" w:rsidP="000800FC">
            <w:pPr>
              <w:rPr>
                <w:rFonts w:ascii="Times New Roman" w:eastAsia="Times New Roman" w:hAnsi="Times New Roman" w:cs="Times New Roman"/>
                <w:i/>
                <w:sz w:val="20"/>
                <w:szCs w:val="20"/>
                <w:lang w:eastAsia="sk-SK"/>
              </w:rPr>
            </w:pPr>
          </w:p>
          <w:p w14:paraId="4CD34674" w14:textId="77777777" w:rsidR="00681405" w:rsidRPr="00681405" w:rsidRDefault="00681405" w:rsidP="00681405">
            <w:pPr>
              <w:jc w:val="both"/>
              <w:rPr>
                <w:rFonts w:ascii="Times New Roman" w:eastAsia="Times New Roman" w:hAnsi="Times New Roman" w:cs="Times New Roman"/>
                <w:sz w:val="20"/>
                <w:szCs w:val="20"/>
                <w:lang w:eastAsia="sk-SK"/>
              </w:rPr>
            </w:pPr>
            <w:r w:rsidRPr="00681405">
              <w:rPr>
                <w:rFonts w:ascii="Times New Roman" w:eastAsia="Times New Roman" w:hAnsi="Times New Roman" w:cs="Times New Roman"/>
                <w:sz w:val="20"/>
                <w:szCs w:val="20"/>
                <w:lang w:eastAsia="sk-SK"/>
              </w:rPr>
              <w:t>Cieľom návrhu zákona je transpozícia Smernice Európskeho parlamentu a Rady (EÚ) 2024/1203 z 11. apríla 2024 o ochrane životného prostredia prostredníctvom trestného práva, ktorou sa nahrádzajú smernice 2008/99/ES a 2009/123/ES (Ú. v. EÚ L, 2024/1203, 30.4.</w:t>
            </w:r>
            <w:r>
              <w:rPr>
                <w:rFonts w:ascii="Times New Roman" w:eastAsia="Times New Roman" w:hAnsi="Times New Roman" w:cs="Times New Roman"/>
                <w:sz w:val="20"/>
                <w:szCs w:val="20"/>
                <w:lang w:eastAsia="sk-SK"/>
              </w:rPr>
              <w:t>2024)</w:t>
            </w:r>
            <w:r w:rsidRPr="00681405">
              <w:rPr>
                <w:rFonts w:ascii="Times New Roman" w:eastAsia="Times New Roman" w:hAnsi="Times New Roman" w:cs="Times New Roman"/>
                <w:sz w:val="20"/>
                <w:szCs w:val="20"/>
                <w:lang w:eastAsia="sk-SK"/>
              </w:rPr>
              <w:t xml:space="preserve"> (ďalej len ako „smernica“), ktorou sa stanovujú minimálne pravidlá, pokiaľ ide o vymedzenia trestných činov a sankcií v záujme účinnejšej ochrany životného prostredia, ako aj pokiaľ ide o opatrenia na prevenciu a boj proti trestnej činnosti v oblasti životného prostredia a na účinné presadzovanie práva Európskej únie (ďalej len ako „EÚ“) v oblasti životného prostredia.</w:t>
            </w:r>
          </w:p>
          <w:p w14:paraId="6042AA6D" w14:textId="77777777" w:rsidR="00681405" w:rsidRPr="00681405" w:rsidRDefault="00681405" w:rsidP="00681405">
            <w:pPr>
              <w:jc w:val="both"/>
              <w:rPr>
                <w:rFonts w:ascii="Times New Roman" w:eastAsia="Times New Roman" w:hAnsi="Times New Roman" w:cs="Times New Roman"/>
                <w:sz w:val="20"/>
                <w:szCs w:val="20"/>
                <w:lang w:eastAsia="sk-SK"/>
              </w:rPr>
            </w:pPr>
          </w:p>
          <w:p w14:paraId="78911314" w14:textId="77777777" w:rsidR="00681405" w:rsidRPr="00681405" w:rsidRDefault="00681405" w:rsidP="00681405">
            <w:pPr>
              <w:jc w:val="both"/>
              <w:rPr>
                <w:rFonts w:ascii="Times New Roman" w:eastAsia="Times New Roman" w:hAnsi="Times New Roman" w:cs="Times New Roman"/>
                <w:sz w:val="20"/>
                <w:szCs w:val="20"/>
                <w:lang w:eastAsia="sk-SK"/>
              </w:rPr>
            </w:pPr>
            <w:r w:rsidRPr="00681405">
              <w:rPr>
                <w:rFonts w:ascii="Times New Roman" w:eastAsia="Times New Roman" w:hAnsi="Times New Roman" w:cs="Times New Roman"/>
                <w:sz w:val="20"/>
                <w:szCs w:val="20"/>
                <w:lang w:eastAsia="sk-SK"/>
              </w:rPr>
              <w:t xml:space="preserve">Nosnou časťou návrhu zákona je novelizácia zákona č. 300/2005 Z. z. Trestný zákon v znení neskorších predpisov (ďalej len ako „Trestný zákon“) v čl. I. Nakoľko smernica v porovnaní s nahradenou Smernicou Európskeho parlamentu a Rady 2008/99/ES z 19. novembra 2008 o ochrane životného prostredia prostredníctvom trestného práva (Ú. v. EÚ L 328, 6.12.2008)  rozširuje katalóg trestných činov a stanovuje podrobnejšiu právnu úpravu trestania fyzických osôb a právnických osôb, návrh zákona zavádza nové skutkové podstaty trestných činov proti životnému prostrediu a zvyšuje horné hranice trestu odňatia slobody v základných skutkových podstatách. Súčasne sa pri všetkých trestných činoch proti životnému prostrediu zavádza jednotný kvalifikačný znak, ktorým je rozsah činu. Medzi ďalšie významné zmeny Trestného zákona patrí zavedenie nového alternatívneho trestu (trest zverejnenia odsudzujúceho rozsudku), ktorý bude možné uložiť fyzickej osobe, ktorá spáchala trestný čin proti životnému prostrediu. </w:t>
            </w:r>
          </w:p>
          <w:p w14:paraId="7095CD4A" w14:textId="77777777" w:rsidR="00681405" w:rsidRPr="00681405" w:rsidRDefault="00681405" w:rsidP="00681405">
            <w:pPr>
              <w:jc w:val="both"/>
              <w:rPr>
                <w:rFonts w:ascii="Times New Roman" w:eastAsia="Times New Roman" w:hAnsi="Times New Roman" w:cs="Times New Roman"/>
                <w:sz w:val="20"/>
                <w:szCs w:val="20"/>
                <w:lang w:eastAsia="sk-SK"/>
              </w:rPr>
            </w:pPr>
          </w:p>
          <w:p w14:paraId="3DF186CB" w14:textId="77777777" w:rsidR="00681405" w:rsidRPr="00681405" w:rsidRDefault="00681405" w:rsidP="00681405">
            <w:pPr>
              <w:jc w:val="both"/>
              <w:rPr>
                <w:rFonts w:ascii="Times New Roman" w:eastAsia="Times New Roman" w:hAnsi="Times New Roman" w:cs="Times New Roman"/>
                <w:sz w:val="20"/>
                <w:szCs w:val="20"/>
                <w:lang w:eastAsia="sk-SK"/>
              </w:rPr>
            </w:pPr>
            <w:r w:rsidRPr="00681405">
              <w:rPr>
                <w:rFonts w:ascii="Times New Roman" w:eastAsia="Times New Roman" w:hAnsi="Times New Roman" w:cs="Times New Roman"/>
                <w:sz w:val="20"/>
                <w:szCs w:val="20"/>
                <w:lang w:eastAsia="sk-SK"/>
              </w:rPr>
              <w:t xml:space="preserve">Návrh zákona rovnako nadväzuje na záväzok z Programového vyhlásenia vlády Slovenskej republiky na roky 2023 až 2027 „presadiť právnu úpravu zameranú na modernizáciu a humanizáciu inštitútov trestného práva so </w:t>
            </w:r>
            <w:r w:rsidRPr="00681405">
              <w:rPr>
                <w:rFonts w:ascii="Times New Roman" w:eastAsia="Times New Roman" w:hAnsi="Times New Roman" w:cs="Times New Roman"/>
                <w:sz w:val="20"/>
                <w:szCs w:val="20"/>
                <w:lang w:eastAsia="sk-SK"/>
              </w:rPr>
              <w:lastRenderedPageBreak/>
              <w:t xml:space="preserve">zameraním na zavádzanie prvkov restoratívnej justície a harmonizáciu s európskymi trestnoprávnymi štandardami“ tým, že zavádza viaceré opatrenia restoratívneho charakteru, ktorých cieľom je dosiahnuť nápravu škôd na životnom prostredí. Tento cieľ sa uprednostňuje pred ukladaním nepodmienečného trestu odňatia slobody. </w:t>
            </w:r>
          </w:p>
          <w:p w14:paraId="75CCFDC6" w14:textId="77777777" w:rsidR="00681405" w:rsidRPr="00681405" w:rsidRDefault="00681405" w:rsidP="00681405">
            <w:pPr>
              <w:jc w:val="both"/>
              <w:rPr>
                <w:rFonts w:ascii="Times New Roman" w:eastAsia="Times New Roman" w:hAnsi="Times New Roman" w:cs="Times New Roman"/>
                <w:sz w:val="20"/>
                <w:szCs w:val="20"/>
                <w:lang w:eastAsia="sk-SK"/>
              </w:rPr>
            </w:pPr>
          </w:p>
          <w:p w14:paraId="54308193" w14:textId="741C1069" w:rsidR="00681405" w:rsidRPr="00681405" w:rsidRDefault="00681405" w:rsidP="00681405">
            <w:pPr>
              <w:jc w:val="both"/>
              <w:rPr>
                <w:rFonts w:ascii="Times New Roman" w:eastAsia="Times New Roman" w:hAnsi="Times New Roman" w:cs="Times New Roman"/>
                <w:sz w:val="20"/>
                <w:szCs w:val="20"/>
                <w:lang w:eastAsia="sk-SK"/>
              </w:rPr>
            </w:pPr>
            <w:r w:rsidRPr="00681405">
              <w:rPr>
                <w:rFonts w:ascii="Times New Roman" w:eastAsia="Times New Roman" w:hAnsi="Times New Roman" w:cs="Times New Roman"/>
                <w:sz w:val="20"/>
                <w:szCs w:val="20"/>
                <w:lang w:eastAsia="sk-SK"/>
              </w:rPr>
              <w:t>Okrem novelizácie Trestného zákona je ne</w:t>
            </w:r>
            <w:r w:rsidR="00736CD6">
              <w:rPr>
                <w:rFonts w:ascii="Times New Roman" w:eastAsia="Times New Roman" w:hAnsi="Times New Roman" w:cs="Times New Roman"/>
                <w:sz w:val="20"/>
                <w:szCs w:val="20"/>
                <w:lang w:eastAsia="sk-SK"/>
              </w:rPr>
              <w:t>vyhnutné vykonať aj novelizáciu</w:t>
            </w:r>
            <w:r w:rsidRPr="00681405">
              <w:rPr>
                <w:rFonts w:ascii="Times New Roman" w:eastAsia="Times New Roman" w:hAnsi="Times New Roman" w:cs="Times New Roman"/>
                <w:sz w:val="20"/>
                <w:szCs w:val="20"/>
                <w:lang w:eastAsia="sk-SK"/>
              </w:rPr>
              <w:t xml:space="preserve"> nasledovných zákonov:</w:t>
            </w:r>
          </w:p>
          <w:p w14:paraId="63E7CCED" w14:textId="77777777" w:rsidR="00681405" w:rsidRPr="00681405" w:rsidRDefault="00681405" w:rsidP="00681405">
            <w:pPr>
              <w:jc w:val="both"/>
              <w:rPr>
                <w:rFonts w:ascii="Times New Roman" w:eastAsia="Times New Roman" w:hAnsi="Times New Roman" w:cs="Times New Roman"/>
                <w:sz w:val="20"/>
                <w:szCs w:val="20"/>
                <w:lang w:eastAsia="sk-SK"/>
              </w:rPr>
            </w:pPr>
            <w:r w:rsidRPr="00681405">
              <w:rPr>
                <w:rFonts w:ascii="Times New Roman" w:eastAsia="Times New Roman" w:hAnsi="Times New Roman" w:cs="Times New Roman"/>
                <w:sz w:val="20"/>
                <w:szCs w:val="20"/>
                <w:lang w:eastAsia="sk-SK"/>
              </w:rPr>
              <w:t>i.</w:t>
            </w:r>
            <w:r w:rsidRPr="00681405">
              <w:rPr>
                <w:rFonts w:ascii="Times New Roman" w:eastAsia="Times New Roman" w:hAnsi="Times New Roman" w:cs="Times New Roman"/>
                <w:sz w:val="20"/>
                <w:szCs w:val="20"/>
                <w:lang w:eastAsia="sk-SK"/>
              </w:rPr>
              <w:tab/>
              <w:t>Zákon č. 301/2005 Z. z. Trestný poriadok</w:t>
            </w:r>
          </w:p>
          <w:p w14:paraId="4EAD88D9" w14:textId="77777777" w:rsidR="00681405" w:rsidRPr="00681405" w:rsidRDefault="00681405" w:rsidP="00681405">
            <w:pPr>
              <w:jc w:val="both"/>
              <w:rPr>
                <w:rFonts w:ascii="Times New Roman" w:eastAsia="Times New Roman" w:hAnsi="Times New Roman" w:cs="Times New Roman"/>
                <w:sz w:val="20"/>
                <w:szCs w:val="20"/>
                <w:lang w:eastAsia="sk-SK"/>
              </w:rPr>
            </w:pPr>
            <w:r w:rsidRPr="00681405">
              <w:rPr>
                <w:rFonts w:ascii="Times New Roman" w:eastAsia="Times New Roman" w:hAnsi="Times New Roman" w:cs="Times New Roman"/>
                <w:sz w:val="20"/>
                <w:szCs w:val="20"/>
                <w:lang w:eastAsia="sk-SK"/>
              </w:rPr>
              <w:t>ii.</w:t>
            </w:r>
            <w:r w:rsidRPr="00681405">
              <w:rPr>
                <w:rFonts w:ascii="Times New Roman" w:eastAsia="Times New Roman" w:hAnsi="Times New Roman" w:cs="Times New Roman"/>
                <w:sz w:val="20"/>
                <w:szCs w:val="20"/>
                <w:lang w:eastAsia="sk-SK"/>
              </w:rPr>
              <w:tab/>
              <w:t>zákon č. 543/2002 Z. z. o ochrane prírody a krajiny</w:t>
            </w:r>
          </w:p>
          <w:p w14:paraId="7267C41F" w14:textId="77777777" w:rsidR="00681405" w:rsidRPr="00681405" w:rsidRDefault="00681405" w:rsidP="00681405">
            <w:pPr>
              <w:jc w:val="both"/>
              <w:rPr>
                <w:rFonts w:ascii="Times New Roman" w:eastAsia="Times New Roman" w:hAnsi="Times New Roman" w:cs="Times New Roman"/>
                <w:sz w:val="20"/>
                <w:szCs w:val="20"/>
                <w:lang w:eastAsia="sk-SK"/>
              </w:rPr>
            </w:pPr>
            <w:r w:rsidRPr="00681405">
              <w:rPr>
                <w:rFonts w:ascii="Times New Roman" w:eastAsia="Times New Roman" w:hAnsi="Times New Roman" w:cs="Times New Roman"/>
                <w:sz w:val="20"/>
                <w:szCs w:val="20"/>
                <w:lang w:eastAsia="sk-SK"/>
              </w:rPr>
              <w:t>iii.</w:t>
            </w:r>
            <w:r w:rsidRPr="00681405">
              <w:rPr>
                <w:rFonts w:ascii="Times New Roman" w:eastAsia="Times New Roman" w:hAnsi="Times New Roman" w:cs="Times New Roman"/>
                <w:sz w:val="20"/>
                <w:szCs w:val="20"/>
                <w:lang w:eastAsia="sk-SK"/>
              </w:rPr>
              <w:tab/>
              <w:t>zákon č. 587/2004 Z. z. o Environmentálnom fonde a o zmene a doplnení niektorých zákonov</w:t>
            </w:r>
          </w:p>
          <w:p w14:paraId="11DBCA8E" w14:textId="77777777" w:rsidR="00681405" w:rsidRPr="00681405" w:rsidRDefault="00681405" w:rsidP="00681405">
            <w:pPr>
              <w:jc w:val="both"/>
              <w:rPr>
                <w:rFonts w:ascii="Times New Roman" w:eastAsia="Times New Roman" w:hAnsi="Times New Roman" w:cs="Times New Roman"/>
                <w:sz w:val="20"/>
                <w:szCs w:val="20"/>
                <w:lang w:eastAsia="sk-SK"/>
              </w:rPr>
            </w:pPr>
            <w:r w:rsidRPr="00681405">
              <w:rPr>
                <w:rFonts w:ascii="Times New Roman" w:eastAsia="Times New Roman" w:hAnsi="Times New Roman" w:cs="Times New Roman"/>
                <w:sz w:val="20"/>
                <w:szCs w:val="20"/>
                <w:lang w:eastAsia="sk-SK"/>
              </w:rPr>
              <w:t>iv.</w:t>
            </w:r>
            <w:r w:rsidRPr="00681405">
              <w:rPr>
                <w:rFonts w:ascii="Times New Roman" w:eastAsia="Times New Roman" w:hAnsi="Times New Roman" w:cs="Times New Roman"/>
                <w:sz w:val="20"/>
                <w:szCs w:val="20"/>
                <w:lang w:eastAsia="sk-SK"/>
              </w:rPr>
              <w:tab/>
              <w:t>zákon č. 15/2005 Z. z. o ochrane druhov voľne žijúcich živočíchov a voľne rastúcich rastlín reguláciou obchodu s nimi a o zmene a doplnení niektorých zákonov</w:t>
            </w:r>
          </w:p>
          <w:p w14:paraId="37F675A4" w14:textId="77777777" w:rsidR="00681405" w:rsidRPr="00681405" w:rsidRDefault="00681405" w:rsidP="00681405">
            <w:pPr>
              <w:jc w:val="both"/>
              <w:rPr>
                <w:rFonts w:ascii="Times New Roman" w:eastAsia="Times New Roman" w:hAnsi="Times New Roman" w:cs="Times New Roman"/>
                <w:sz w:val="20"/>
                <w:szCs w:val="20"/>
                <w:lang w:eastAsia="sk-SK"/>
              </w:rPr>
            </w:pPr>
            <w:r w:rsidRPr="00681405">
              <w:rPr>
                <w:rFonts w:ascii="Times New Roman" w:eastAsia="Times New Roman" w:hAnsi="Times New Roman" w:cs="Times New Roman"/>
                <w:sz w:val="20"/>
                <w:szCs w:val="20"/>
                <w:lang w:eastAsia="sk-SK"/>
              </w:rPr>
              <w:t>v.</w:t>
            </w:r>
            <w:r w:rsidRPr="00681405">
              <w:rPr>
                <w:rFonts w:ascii="Times New Roman" w:eastAsia="Times New Roman" w:hAnsi="Times New Roman" w:cs="Times New Roman"/>
                <w:sz w:val="20"/>
                <w:szCs w:val="20"/>
                <w:lang w:eastAsia="sk-SK"/>
              </w:rPr>
              <w:tab/>
              <w:t xml:space="preserve">zákon č. 39/2007 Z. z. o veterinárnej starostlivosti </w:t>
            </w:r>
          </w:p>
          <w:p w14:paraId="050BD612" w14:textId="77777777" w:rsidR="00681405" w:rsidRPr="00681405" w:rsidRDefault="00681405" w:rsidP="00681405">
            <w:pPr>
              <w:jc w:val="both"/>
              <w:rPr>
                <w:rFonts w:ascii="Times New Roman" w:eastAsia="Times New Roman" w:hAnsi="Times New Roman" w:cs="Times New Roman"/>
                <w:sz w:val="20"/>
                <w:szCs w:val="20"/>
                <w:lang w:eastAsia="sk-SK"/>
              </w:rPr>
            </w:pPr>
            <w:r w:rsidRPr="00681405">
              <w:rPr>
                <w:rFonts w:ascii="Times New Roman" w:eastAsia="Times New Roman" w:hAnsi="Times New Roman" w:cs="Times New Roman"/>
                <w:sz w:val="20"/>
                <w:szCs w:val="20"/>
                <w:lang w:eastAsia="sk-SK"/>
              </w:rPr>
              <w:t>vi.</w:t>
            </w:r>
            <w:r w:rsidRPr="00681405">
              <w:rPr>
                <w:rFonts w:ascii="Times New Roman" w:eastAsia="Times New Roman" w:hAnsi="Times New Roman" w:cs="Times New Roman"/>
                <w:sz w:val="20"/>
                <w:szCs w:val="20"/>
                <w:lang w:eastAsia="sk-SK"/>
              </w:rPr>
              <w:tab/>
              <w:t>zákon č. 274/2009 Z. z. o poľovníctve a o zmene a doplnení niektorých zákonov</w:t>
            </w:r>
          </w:p>
          <w:p w14:paraId="32201A93" w14:textId="77777777" w:rsidR="00681405" w:rsidRPr="001524E2" w:rsidRDefault="00681405" w:rsidP="00681405">
            <w:pPr>
              <w:jc w:val="both"/>
              <w:rPr>
                <w:rFonts w:ascii="Times New Roman" w:eastAsia="Times New Roman" w:hAnsi="Times New Roman" w:cs="Times New Roman"/>
                <w:sz w:val="20"/>
                <w:szCs w:val="20"/>
                <w:lang w:eastAsia="sk-SK"/>
              </w:rPr>
            </w:pPr>
            <w:r w:rsidRPr="00681405">
              <w:rPr>
                <w:rFonts w:ascii="Times New Roman" w:eastAsia="Times New Roman" w:hAnsi="Times New Roman" w:cs="Times New Roman"/>
                <w:sz w:val="20"/>
                <w:szCs w:val="20"/>
                <w:lang w:eastAsia="sk-SK"/>
              </w:rPr>
              <w:t>vii.</w:t>
            </w:r>
            <w:r w:rsidRPr="00681405">
              <w:rPr>
                <w:rFonts w:ascii="Times New Roman" w:eastAsia="Times New Roman" w:hAnsi="Times New Roman" w:cs="Times New Roman"/>
                <w:sz w:val="20"/>
                <w:szCs w:val="20"/>
                <w:lang w:eastAsia="sk-SK"/>
              </w:rPr>
              <w:tab/>
              <w:t>zákon č. 91/2016 Z. z. o trestnej zodpovednosti právnických osôb a o zmene</w:t>
            </w:r>
            <w:r>
              <w:rPr>
                <w:rFonts w:ascii="Times New Roman" w:eastAsia="Times New Roman" w:hAnsi="Times New Roman" w:cs="Times New Roman"/>
                <w:sz w:val="20"/>
                <w:szCs w:val="20"/>
                <w:lang w:eastAsia="sk-SK"/>
              </w:rPr>
              <w:t xml:space="preserve"> a doplnení niektorých zákonov.</w:t>
            </w:r>
          </w:p>
          <w:p w14:paraId="14A84F6C" w14:textId="77777777" w:rsidR="001B23B7" w:rsidRPr="00612E08" w:rsidRDefault="001B23B7" w:rsidP="00681405">
            <w:pPr>
              <w:rPr>
                <w:rFonts w:ascii="Times New Roman" w:eastAsia="Times New Roman" w:hAnsi="Times New Roman" w:cs="Times New Roman"/>
                <w:sz w:val="20"/>
                <w:szCs w:val="20"/>
                <w:lang w:eastAsia="sk-SK"/>
              </w:rPr>
            </w:pPr>
          </w:p>
        </w:tc>
      </w:tr>
      <w:tr w:rsidR="00612E08" w:rsidRPr="00612E08" w14:paraId="1A655179"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2CAD962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164FB06B"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3BF34E7F"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0017392E" w14:textId="77777777" w:rsidR="001B23B7" w:rsidRDefault="001B23B7" w:rsidP="000800FC">
            <w:pPr>
              <w:rPr>
                <w:rFonts w:ascii="Times New Roman" w:eastAsia="Times New Roman" w:hAnsi="Times New Roman" w:cs="Times New Roman"/>
                <w:i/>
                <w:sz w:val="20"/>
                <w:szCs w:val="20"/>
                <w:lang w:eastAsia="sk-SK"/>
              </w:rPr>
            </w:pPr>
          </w:p>
          <w:p w14:paraId="15F9416D" w14:textId="77777777" w:rsidR="009927A5" w:rsidRPr="009927A5" w:rsidRDefault="009927A5"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Súdy, orgány činné v trestnom konaní, osoby, proti ktorým sa vedie trestné konanie, okresné úrady, Environmentálny fond</w:t>
            </w:r>
          </w:p>
        </w:tc>
      </w:tr>
      <w:tr w:rsidR="00612E08" w:rsidRPr="00612E08" w14:paraId="6327EE22"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0A2FB46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67A43C29"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0DE77088"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02D4BB12" w14:textId="77777777" w:rsidR="001B23B7" w:rsidRPr="00612E08" w:rsidRDefault="001B23B7" w:rsidP="000800FC">
            <w:pPr>
              <w:rPr>
                <w:rFonts w:ascii="Times New Roman" w:eastAsia="Times New Roman" w:hAnsi="Times New Roman" w:cs="Times New Roman"/>
                <w:i/>
                <w:sz w:val="20"/>
                <w:szCs w:val="20"/>
                <w:lang w:eastAsia="sk-SK"/>
              </w:rPr>
            </w:pPr>
          </w:p>
          <w:p w14:paraId="361954B7"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04D3CCA6" w14:textId="77777777" w:rsidR="009927A5" w:rsidRDefault="009927A5" w:rsidP="000800FC">
            <w:pPr>
              <w:jc w:val="both"/>
              <w:rPr>
                <w:rFonts w:ascii="Times New Roman" w:eastAsia="Times New Roman" w:hAnsi="Times New Roman" w:cs="Times New Roman"/>
                <w:i/>
                <w:sz w:val="20"/>
                <w:szCs w:val="20"/>
                <w:lang w:eastAsia="sk-SK"/>
              </w:rPr>
            </w:pPr>
          </w:p>
          <w:p w14:paraId="4C5EB074" w14:textId="77777777" w:rsidR="009927A5" w:rsidRPr="009927A5" w:rsidRDefault="009927A5" w:rsidP="000800FC">
            <w:pPr>
              <w:jc w:val="both"/>
              <w:rPr>
                <w:rFonts w:ascii="Times New Roman" w:eastAsia="Times New Roman" w:hAnsi="Times New Roman" w:cs="Times New Roman"/>
                <w:sz w:val="20"/>
                <w:szCs w:val="20"/>
                <w:lang w:eastAsia="sk-SK"/>
              </w:rPr>
            </w:pPr>
            <w:r w:rsidRPr="009927A5">
              <w:rPr>
                <w:rFonts w:ascii="Times New Roman" w:eastAsia="Times New Roman" w:hAnsi="Times New Roman" w:cs="Times New Roman"/>
                <w:sz w:val="20"/>
                <w:szCs w:val="20"/>
                <w:lang w:eastAsia="sk-SK"/>
              </w:rPr>
              <w:t>V prípade netrans</w:t>
            </w:r>
            <w:r>
              <w:rPr>
                <w:rFonts w:ascii="Times New Roman" w:eastAsia="Times New Roman" w:hAnsi="Times New Roman" w:cs="Times New Roman"/>
                <w:sz w:val="20"/>
                <w:szCs w:val="20"/>
                <w:lang w:eastAsia="sk-SK"/>
              </w:rPr>
              <w:t>ponovania smernice (EÚ) 2024/1203</w:t>
            </w:r>
            <w:r w:rsidRPr="009927A5">
              <w:rPr>
                <w:rFonts w:ascii="Times New Roman" w:eastAsia="Times New Roman" w:hAnsi="Times New Roman" w:cs="Times New Roman"/>
                <w:sz w:val="20"/>
                <w:szCs w:val="20"/>
                <w:lang w:eastAsia="sk-SK"/>
              </w:rPr>
              <w:t xml:space="preserve">, tzn. neuvedenia zákonov, iných právnych predpisov a správnych opatrení potrebných na dosiahnutie súladu </w:t>
            </w:r>
            <w:r>
              <w:rPr>
                <w:rFonts w:ascii="Times New Roman" w:eastAsia="Times New Roman" w:hAnsi="Times New Roman" w:cs="Times New Roman"/>
                <w:sz w:val="20"/>
                <w:szCs w:val="20"/>
                <w:lang w:eastAsia="sk-SK"/>
              </w:rPr>
              <w:t>s touto smernicou do účinnosti do 21. mája 2026</w:t>
            </w:r>
            <w:r w:rsidRPr="009927A5">
              <w:rPr>
                <w:rFonts w:ascii="Times New Roman" w:eastAsia="Times New Roman" w:hAnsi="Times New Roman" w:cs="Times New Roman"/>
                <w:sz w:val="20"/>
                <w:szCs w:val="20"/>
                <w:lang w:eastAsia="sk-SK"/>
              </w:rPr>
              <w:t xml:space="preserve"> je Európska Komisia oprávnená začať proti Slovenskej republike konanie o porušení povinnosti.</w:t>
            </w:r>
          </w:p>
        </w:tc>
      </w:tr>
      <w:tr w:rsidR="00612E08" w:rsidRPr="00612E08" w14:paraId="2CE1BC55"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2A4F1E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658344FD" w14:textId="77777777" w:rsidTr="000800FC">
        <w:tc>
          <w:tcPr>
            <w:tcW w:w="6203" w:type="dxa"/>
            <w:gridSpan w:val="7"/>
            <w:tcBorders>
              <w:top w:val="single" w:sz="4" w:space="0" w:color="FFFFFF"/>
              <w:left w:val="single" w:sz="4" w:space="0" w:color="auto"/>
              <w:bottom w:val="nil"/>
              <w:right w:val="nil"/>
            </w:tcBorders>
            <w:shd w:val="clear" w:color="auto" w:fill="FFFFFF"/>
          </w:tcPr>
          <w:p w14:paraId="6B02DB4C"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67A3EB51" w14:textId="1CECEBF6" w:rsidR="001B23B7" w:rsidRPr="00612E08" w:rsidRDefault="00491E1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736CD6">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1687743F" w14:textId="0544D95A" w:rsidR="001B23B7" w:rsidRPr="00612E08" w:rsidRDefault="00491E1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681405">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1A79F205"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7FA8F46"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625769D0" w14:textId="77777777" w:rsidR="001B23B7" w:rsidRDefault="001B23B7" w:rsidP="000800FC">
            <w:pPr>
              <w:rPr>
                <w:rFonts w:ascii="Times New Roman" w:eastAsia="Times New Roman" w:hAnsi="Times New Roman" w:cs="Times New Roman"/>
                <w:sz w:val="20"/>
                <w:szCs w:val="20"/>
                <w:lang w:eastAsia="sk-SK"/>
              </w:rPr>
            </w:pPr>
          </w:p>
          <w:p w14:paraId="4E83344B" w14:textId="5550FAF1" w:rsidR="009927A5" w:rsidRPr="00612E08" w:rsidRDefault="009927A5" w:rsidP="009D5EDE">
            <w:pPr>
              <w:rPr>
                <w:rFonts w:ascii="Times New Roman" w:eastAsia="Times New Roman" w:hAnsi="Times New Roman" w:cs="Times New Roman"/>
                <w:sz w:val="20"/>
                <w:szCs w:val="20"/>
                <w:lang w:eastAsia="sk-SK"/>
              </w:rPr>
            </w:pPr>
          </w:p>
        </w:tc>
      </w:tr>
      <w:tr w:rsidR="00612E08" w:rsidRPr="00612E08" w14:paraId="521BE260"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3467C50"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64DEFDE4"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2DAA5A03" w14:textId="77777777">
              <w:trPr>
                <w:trHeight w:val="90"/>
              </w:trPr>
              <w:tc>
                <w:tcPr>
                  <w:tcW w:w="8643" w:type="dxa"/>
                </w:tcPr>
                <w:p w14:paraId="12C86A80" w14:textId="77777777"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377087BD" w14:textId="77777777">
              <w:trPr>
                <w:trHeight w:val="296"/>
              </w:trPr>
              <w:tc>
                <w:tcPr>
                  <w:tcW w:w="8643" w:type="dxa"/>
                </w:tcPr>
                <w:p w14:paraId="7B4BF0B0"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EndPr/>
                    <w:sdtContent>
                      <w:r w:rsidR="009D5EDE">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Nie</w:t>
                  </w:r>
                </w:p>
                <w:p w14:paraId="2B5D9AB5" w14:textId="77777777" w:rsidR="00A7788F" w:rsidRPr="00612E08" w:rsidRDefault="00A7788F" w:rsidP="00A7788F">
                  <w:pPr>
                    <w:pStyle w:val="Default"/>
                    <w:rPr>
                      <w:i/>
                      <w:iCs/>
                      <w:color w:val="auto"/>
                      <w:sz w:val="20"/>
                      <w:szCs w:val="20"/>
                    </w:rPr>
                  </w:pPr>
                </w:p>
                <w:p w14:paraId="4104D484" w14:textId="77777777" w:rsidR="00A7788F" w:rsidRDefault="00A7788F" w:rsidP="00A7788F">
                  <w:pPr>
                    <w:pStyle w:val="Default"/>
                    <w:rPr>
                      <w:i/>
                      <w:iCs/>
                      <w:color w:val="auto"/>
                      <w:sz w:val="20"/>
                      <w:szCs w:val="20"/>
                    </w:rPr>
                  </w:pPr>
                  <w:r w:rsidRPr="00612E08">
                    <w:rPr>
                      <w:i/>
                      <w:iCs/>
                      <w:color w:val="auto"/>
                      <w:sz w:val="20"/>
                      <w:szCs w:val="20"/>
                    </w:rPr>
                    <w:t xml:space="preserve">Ak áno, uveďte, ktorých vplyvov podľa bodu 9 sa goldplating týka: </w:t>
                  </w:r>
                </w:p>
                <w:p w14:paraId="71599FB8" w14:textId="77777777" w:rsidR="005F42C6" w:rsidRDefault="005F42C6" w:rsidP="00A7788F">
                  <w:pPr>
                    <w:pStyle w:val="Default"/>
                    <w:rPr>
                      <w:i/>
                      <w:iCs/>
                      <w:color w:val="auto"/>
                      <w:sz w:val="20"/>
                      <w:szCs w:val="20"/>
                    </w:rPr>
                  </w:pPr>
                </w:p>
                <w:p w14:paraId="165158E5" w14:textId="77777777" w:rsidR="005F42C6" w:rsidRDefault="005F42C6" w:rsidP="00A7788F">
                  <w:pPr>
                    <w:pStyle w:val="Default"/>
                    <w:rPr>
                      <w:iCs/>
                      <w:color w:val="auto"/>
                      <w:sz w:val="20"/>
                      <w:szCs w:val="20"/>
                    </w:rPr>
                  </w:pPr>
                  <w:r>
                    <w:rPr>
                      <w:iCs/>
                      <w:color w:val="auto"/>
                      <w:sz w:val="20"/>
                      <w:szCs w:val="20"/>
                    </w:rPr>
                    <w:t>Ku goldplatingu dochádza pri nasledovných článkoch smernice:</w:t>
                  </w:r>
                </w:p>
                <w:p w14:paraId="49CC1731" w14:textId="77777777" w:rsidR="005F42C6" w:rsidRDefault="005F42C6" w:rsidP="00A7788F">
                  <w:pPr>
                    <w:pStyle w:val="Default"/>
                    <w:rPr>
                      <w:iCs/>
                      <w:color w:val="auto"/>
                      <w:sz w:val="20"/>
                      <w:szCs w:val="20"/>
                    </w:rPr>
                  </w:pPr>
                </w:p>
                <w:p w14:paraId="35A29003" w14:textId="77777777" w:rsidR="005F42C6" w:rsidRDefault="005F42C6" w:rsidP="005F42C6">
                  <w:pPr>
                    <w:pStyle w:val="Default"/>
                    <w:jc w:val="both"/>
                    <w:rPr>
                      <w:iCs/>
                      <w:color w:val="auto"/>
                      <w:sz w:val="20"/>
                      <w:szCs w:val="20"/>
                    </w:rPr>
                  </w:pPr>
                  <w:r>
                    <w:rPr>
                      <w:iCs/>
                      <w:color w:val="auto"/>
                      <w:sz w:val="20"/>
                      <w:szCs w:val="20"/>
                    </w:rPr>
                    <w:t xml:space="preserve">Čl. 3 ods. 3: </w:t>
                  </w:r>
                  <w:r w:rsidRPr="005F42C6">
                    <w:rPr>
                      <w:iCs/>
                      <w:color w:val="auto"/>
                      <w:sz w:val="20"/>
                      <w:szCs w:val="20"/>
                    </w:rPr>
                    <w:t>neimplementovanie podmienky „nezvratnej alebo dlhodobej škody“ sa navrhuje z dôvodu zachovania súčasného systému nastavenia skutkových podstát trestných činov, ktorý je postavený na kategóriách rozsahu (malý, väčší, značný a veľký), dá sa exaktne vyčísliť a v praxi sa osvedčil.</w:t>
                  </w:r>
                </w:p>
                <w:p w14:paraId="387B9B6E" w14:textId="77777777" w:rsidR="005F42C6" w:rsidRDefault="005F42C6" w:rsidP="005F42C6">
                  <w:pPr>
                    <w:pStyle w:val="Default"/>
                    <w:jc w:val="both"/>
                    <w:rPr>
                      <w:iCs/>
                      <w:color w:val="auto"/>
                      <w:sz w:val="20"/>
                      <w:szCs w:val="20"/>
                    </w:rPr>
                  </w:pPr>
                </w:p>
                <w:p w14:paraId="7906AAB7" w14:textId="5AF23B34" w:rsidR="005F42C6" w:rsidRDefault="005F42C6" w:rsidP="005F42C6">
                  <w:pPr>
                    <w:pStyle w:val="Default"/>
                    <w:jc w:val="both"/>
                    <w:rPr>
                      <w:color w:val="auto"/>
                      <w:sz w:val="20"/>
                      <w:szCs w:val="20"/>
                    </w:rPr>
                  </w:pPr>
                  <w:r>
                    <w:rPr>
                      <w:color w:val="auto"/>
                      <w:sz w:val="20"/>
                      <w:szCs w:val="20"/>
                    </w:rPr>
                    <w:t xml:space="preserve">Čl. 3 ods. 4: v § 285 a § 298 </w:t>
                  </w:r>
                  <w:r w:rsidRPr="005F42C6">
                    <w:rPr>
                      <w:color w:val="auto"/>
                      <w:sz w:val="20"/>
                      <w:szCs w:val="20"/>
                    </w:rPr>
                    <w:t xml:space="preserve">navrhujeme </w:t>
                  </w:r>
                  <w:bookmarkStart w:id="0" w:name="_GoBack"/>
                  <w:bookmarkEnd w:id="0"/>
                  <w:r>
                    <w:rPr>
                      <w:color w:val="auto"/>
                      <w:sz w:val="20"/>
                      <w:szCs w:val="20"/>
                    </w:rPr>
                    <w:t xml:space="preserve">nezavádzať hrubú nedbanlivosť </w:t>
                  </w:r>
                  <w:r w:rsidRPr="005F42C6">
                    <w:rPr>
                      <w:color w:val="auto"/>
                      <w:sz w:val="20"/>
                      <w:szCs w:val="20"/>
                    </w:rPr>
                    <w:t xml:space="preserve">z dôvodu, že </w:t>
                  </w:r>
                  <w:r>
                    <w:rPr>
                      <w:color w:val="auto"/>
                      <w:sz w:val="20"/>
                      <w:szCs w:val="20"/>
                    </w:rPr>
                    <w:t xml:space="preserve">tieto trestné činy </w:t>
                  </w:r>
                  <w:r w:rsidRPr="005F42C6">
                    <w:rPr>
                      <w:color w:val="auto"/>
                      <w:sz w:val="20"/>
                      <w:szCs w:val="20"/>
                    </w:rPr>
                    <w:t>postihujú aj iné typy protiprávneho konania ako tie, ktoré upravuje smernica a pri ktorých je obyčajná nedbanlivosť vhodnejšia.</w:t>
                  </w:r>
                </w:p>
                <w:p w14:paraId="0FD033EE" w14:textId="77777777" w:rsidR="005F42C6" w:rsidRDefault="005F42C6" w:rsidP="005F42C6">
                  <w:pPr>
                    <w:pStyle w:val="Default"/>
                    <w:jc w:val="both"/>
                    <w:rPr>
                      <w:color w:val="auto"/>
                      <w:sz w:val="20"/>
                      <w:szCs w:val="20"/>
                    </w:rPr>
                  </w:pPr>
                </w:p>
                <w:p w14:paraId="4164F845" w14:textId="77777777" w:rsidR="005F42C6" w:rsidRDefault="005F42C6" w:rsidP="005F42C6">
                  <w:pPr>
                    <w:pStyle w:val="Default"/>
                    <w:jc w:val="both"/>
                    <w:rPr>
                      <w:color w:val="auto"/>
                      <w:sz w:val="20"/>
                      <w:szCs w:val="20"/>
                    </w:rPr>
                  </w:pPr>
                  <w:r>
                    <w:rPr>
                      <w:color w:val="auto"/>
                      <w:sz w:val="20"/>
                      <w:szCs w:val="20"/>
                    </w:rPr>
                    <w:t xml:space="preserve">Čl. 5 ods. 5 písm. a): </w:t>
                  </w:r>
                  <w:r w:rsidRPr="005F42C6">
                    <w:rPr>
                      <w:color w:val="auto"/>
                      <w:sz w:val="20"/>
                      <w:szCs w:val="20"/>
                    </w:rPr>
                    <w:t>vyššie horné hranice trestnej sadzby nad rámec požadovaných 10 rokov trestu odňatia slobody v prípade spôsobenia smrti sa navrhuje zachovať pri trestných činoch podľa § 285 a § 298 z dôvodu, že postihujú aj iné typy protiprávneho konania ako tie, ktoré upravuje smernica. Zmena trestných sadzieb pri týchto trestných činoch by si vyžadovala širšiu diskusiu a prekračuje rámec transpozície.</w:t>
                  </w:r>
                </w:p>
                <w:p w14:paraId="59953B7E" w14:textId="77777777" w:rsidR="005F42C6" w:rsidRDefault="005F42C6" w:rsidP="005F42C6">
                  <w:pPr>
                    <w:pStyle w:val="Default"/>
                    <w:jc w:val="both"/>
                    <w:rPr>
                      <w:color w:val="auto"/>
                      <w:sz w:val="20"/>
                      <w:szCs w:val="20"/>
                    </w:rPr>
                  </w:pPr>
                </w:p>
                <w:p w14:paraId="4D18351A" w14:textId="77777777" w:rsidR="005F42C6" w:rsidRDefault="005F42C6" w:rsidP="005F42C6">
                  <w:pPr>
                    <w:pStyle w:val="Default"/>
                    <w:jc w:val="both"/>
                    <w:rPr>
                      <w:color w:val="auto"/>
                      <w:sz w:val="20"/>
                      <w:szCs w:val="20"/>
                    </w:rPr>
                  </w:pPr>
                  <w:r>
                    <w:rPr>
                      <w:color w:val="auto"/>
                      <w:sz w:val="20"/>
                      <w:szCs w:val="20"/>
                    </w:rPr>
                    <w:lastRenderedPageBreak/>
                    <w:t xml:space="preserve">Čl. </w:t>
                  </w:r>
                  <w:r w:rsidRPr="005F42C6">
                    <w:rPr>
                      <w:color w:val="auto"/>
                      <w:sz w:val="20"/>
                      <w:szCs w:val="20"/>
                    </w:rPr>
                    <w:t>5 ods. 5 písm. b): vyššie horné hranice trestnej sadzby pri viacerých trestných činoch (10 namiesto požadovaných 8 rokov) sa zavádzajú kvôli systematike trestných činov. Pravidlom je, že súčasťou každej kvalifikovanej skutkovej podstaty je niektorá z kategórií rozsahu, pričom veľký rozsah ako najvyššia kategória rozsahu je vždy súčasťou najprísnejšej kvalifikovanej skutkovej podstaty s hornou hranicou trestnej sadzby 10 rokov (spoločne so spôsobením ťažkej ujmy na zdraví alebo smrti a spáchaním trestného činu ako člen nebezpečného zoskupenia).</w:t>
                  </w:r>
                </w:p>
                <w:p w14:paraId="34BA089A" w14:textId="77777777" w:rsidR="005F42C6" w:rsidRDefault="005F42C6" w:rsidP="005F42C6">
                  <w:pPr>
                    <w:pStyle w:val="Default"/>
                    <w:jc w:val="both"/>
                    <w:rPr>
                      <w:color w:val="auto"/>
                      <w:sz w:val="20"/>
                      <w:szCs w:val="20"/>
                    </w:rPr>
                  </w:pPr>
                </w:p>
                <w:p w14:paraId="5FE8D3D6" w14:textId="77777777" w:rsidR="005F42C6" w:rsidRDefault="005F42C6" w:rsidP="005F42C6">
                  <w:pPr>
                    <w:pStyle w:val="Default"/>
                    <w:jc w:val="both"/>
                    <w:rPr>
                      <w:color w:val="auto"/>
                      <w:sz w:val="20"/>
                      <w:szCs w:val="20"/>
                    </w:rPr>
                  </w:pPr>
                  <w:r>
                    <w:rPr>
                      <w:color w:val="auto"/>
                      <w:sz w:val="20"/>
                      <w:szCs w:val="20"/>
                    </w:rPr>
                    <w:t xml:space="preserve">Čl. 5 ods. 5 písm. c): </w:t>
                  </w:r>
                  <w:r w:rsidRPr="005F42C6">
                    <w:rPr>
                      <w:color w:val="auto"/>
                      <w:sz w:val="20"/>
                      <w:szCs w:val="20"/>
                    </w:rPr>
                    <w:t>vyššie horné hranice trestnej sadzby pri viacerých trestných činoch (8 rokov namiesto požadovaných 5 rokov) sa zavádzajú kvôli systematike trestných činov. Spôsobenie smrti ako najzávažnejší následok trestného činu musí byť postihovaný najprísnejšie. Ak má trestný čin v najprísnejšej kvalifikovanej skutkovej podstate hornú hranicu trestnej sadzby rokov, následok spôsobenia ťažkej ujmy na zdraví alebo smrti sa z uvedeného dôvodu zaraďuje tam.</w:t>
                  </w:r>
                </w:p>
                <w:p w14:paraId="0213950F" w14:textId="77777777" w:rsidR="005F42C6" w:rsidRDefault="005F42C6" w:rsidP="005F42C6">
                  <w:pPr>
                    <w:pStyle w:val="Default"/>
                    <w:jc w:val="both"/>
                    <w:rPr>
                      <w:color w:val="auto"/>
                      <w:sz w:val="20"/>
                      <w:szCs w:val="20"/>
                    </w:rPr>
                  </w:pPr>
                </w:p>
                <w:p w14:paraId="444A0B88" w14:textId="77777777" w:rsidR="005F42C6" w:rsidRDefault="005F42C6" w:rsidP="005F42C6">
                  <w:pPr>
                    <w:pStyle w:val="Default"/>
                    <w:jc w:val="both"/>
                    <w:rPr>
                      <w:color w:val="auto"/>
                      <w:sz w:val="20"/>
                      <w:szCs w:val="20"/>
                    </w:rPr>
                  </w:pPr>
                  <w:r>
                    <w:rPr>
                      <w:color w:val="auto"/>
                      <w:sz w:val="20"/>
                      <w:szCs w:val="20"/>
                    </w:rPr>
                    <w:t>Č</w:t>
                  </w:r>
                  <w:r w:rsidRPr="005F42C6">
                    <w:rPr>
                      <w:color w:val="auto"/>
                      <w:sz w:val="20"/>
                      <w:szCs w:val="20"/>
                    </w:rPr>
                    <w:t>l. 5 ods. 5 písm. d): vyššie horné hranice trestnej sadzby pri trestných činoch podľa § 254 a § 298 sa navrhuje zachovať z dôvodu, že postihujú aj iné typy protiprávneho konania ako tie, ktoré upravuje smernica. Zmena trestných sadzieb pri týchto trestných činoch by si vyžadovala širšiu diskusiu a</w:t>
                  </w:r>
                  <w:r>
                    <w:rPr>
                      <w:color w:val="auto"/>
                      <w:sz w:val="20"/>
                      <w:szCs w:val="20"/>
                    </w:rPr>
                    <w:t xml:space="preserve"> prekračuje rámec transpozície.</w:t>
                  </w:r>
                </w:p>
                <w:p w14:paraId="67A94B41" w14:textId="77777777" w:rsidR="005F42C6" w:rsidRDefault="005F42C6" w:rsidP="005F42C6">
                  <w:pPr>
                    <w:pStyle w:val="Default"/>
                    <w:jc w:val="both"/>
                    <w:rPr>
                      <w:color w:val="auto"/>
                      <w:sz w:val="20"/>
                      <w:szCs w:val="20"/>
                    </w:rPr>
                  </w:pPr>
                </w:p>
                <w:p w14:paraId="64B8EE34" w14:textId="77777777" w:rsidR="005F42C6" w:rsidRDefault="005F42C6" w:rsidP="005F42C6">
                  <w:pPr>
                    <w:pStyle w:val="Default"/>
                    <w:jc w:val="both"/>
                    <w:rPr>
                      <w:color w:val="auto"/>
                      <w:sz w:val="20"/>
                      <w:szCs w:val="20"/>
                    </w:rPr>
                  </w:pPr>
                  <w:r>
                    <w:rPr>
                      <w:color w:val="auto"/>
                      <w:sz w:val="20"/>
                      <w:szCs w:val="20"/>
                    </w:rPr>
                    <w:t>Č</w:t>
                  </w:r>
                  <w:r w:rsidRPr="005F42C6">
                    <w:rPr>
                      <w:color w:val="auto"/>
                      <w:sz w:val="20"/>
                      <w:szCs w:val="20"/>
                    </w:rPr>
                    <w:t>l. 5 ods. 5 písm. e): vyššia horná hranica trestnej sadzby pri trestnom čine podľa § 305 ods. 2 (5 rokov namiesto požadovaných 3 rokov) sa navrhuje pre väčšie spoločenské odsúdenie činností súvisiacich s obchodovaním s chránenými rastlinami, chránenými živočíchmi a exemplármi. Rozdielna trestná sadzba v § 305 ods. 1 a 3 je aj v súčasnosti.</w:t>
                  </w:r>
                </w:p>
                <w:p w14:paraId="259728D1" w14:textId="77777777" w:rsidR="005F42C6" w:rsidRDefault="005F42C6" w:rsidP="005F42C6">
                  <w:pPr>
                    <w:pStyle w:val="Default"/>
                    <w:jc w:val="both"/>
                    <w:rPr>
                      <w:color w:val="auto"/>
                      <w:sz w:val="20"/>
                      <w:szCs w:val="20"/>
                    </w:rPr>
                  </w:pPr>
                </w:p>
                <w:p w14:paraId="3305B14B" w14:textId="77777777" w:rsidR="005F42C6" w:rsidRDefault="005F42C6" w:rsidP="005F42C6">
                  <w:pPr>
                    <w:pStyle w:val="Default"/>
                    <w:jc w:val="both"/>
                    <w:rPr>
                      <w:color w:val="auto"/>
                      <w:sz w:val="20"/>
                      <w:szCs w:val="20"/>
                    </w:rPr>
                  </w:pPr>
                  <w:r>
                    <w:rPr>
                      <w:color w:val="auto"/>
                      <w:sz w:val="20"/>
                      <w:szCs w:val="20"/>
                    </w:rPr>
                    <w:t>Č</w:t>
                  </w:r>
                  <w:r w:rsidRPr="005F42C6">
                    <w:rPr>
                      <w:color w:val="auto"/>
                      <w:sz w:val="20"/>
                      <w:szCs w:val="20"/>
                    </w:rPr>
                    <w:t>l. 11 ods. 3 písm. c): právna úprava premlčacích dôb je súčasťou všeobecnej časti Trestného zákona a platí pre všetky trestné činy. Vytvorenie novej, trojročnej  premlčacej doby pri odsúdení na trest odňatia slobody najviac na jeden rok nepovažujeme za nežiaduce, nakoľko by sa musela týkať všetkých trestných činov a presiahla by rámec transpozície.</w:t>
                  </w:r>
                </w:p>
                <w:p w14:paraId="7C6F5C24" w14:textId="77777777" w:rsidR="005F42C6" w:rsidRDefault="005F42C6" w:rsidP="005F42C6">
                  <w:pPr>
                    <w:pStyle w:val="Default"/>
                    <w:jc w:val="both"/>
                    <w:rPr>
                      <w:color w:val="auto"/>
                      <w:sz w:val="20"/>
                      <w:szCs w:val="20"/>
                    </w:rPr>
                  </w:pPr>
                </w:p>
                <w:p w14:paraId="572EBF5F" w14:textId="77777777" w:rsidR="005F42C6" w:rsidRPr="005F42C6" w:rsidRDefault="005F42C6" w:rsidP="005F42C6">
                  <w:pPr>
                    <w:pStyle w:val="Default"/>
                    <w:jc w:val="both"/>
                    <w:rPr>
                      <w:color w:val="auto"/>
                      <w:sz w:val="20"/>
                      <w:szCs w:val="20"/>
                    </w:rPr>
                  </w:pPr>
                  <w:r>
                    <w:rPr>
                      <w:color w:val="auto"/>
                      <w:sz w:val="20"/>
                      <w:szCs w:val="20"/>
                    </w:rPr>
                    <w:t>V zmysle uvedených dôvodov ide podľa názoru predkladateľa o opodstatnený goldplating.</w:t>
                  </w:r>
                </w:p>
              </w:tc>
            </w:tr>
            <w:tr w:rsidR="00612E08" w:rsidRPr="00612E08" w14:paraId="67B0B18B" w14:textId="77777777">
              <w:trPr>
                <w:trHeight w:val="296"/>
              </w:trPr>
              <w:tc>
                <w:tcPr>
                  <w:tcW w:w="8643" w:type="dxa"/>
                </w:tcPr>
                <w:p w14:paraId="73142A89" w14:textId="77777777" w:rsidR="00A7788F" w:rsidRPr="00612E08" w:rsidRDefault="00A7788F" w:rsidP="00A7788F">
                  <w:pPr>
                    <w:pStyle w:val="Default"/>
                    <w:rPr>
                      <w:rFonts w:ascii="Segoe UI Symbol" w:hAnsi="Segoe UI Symbol" w:cs="Segoe UI Symbol"/>
                      <w:color w:val="auto"/>
                      <w:sz w:val="20"/>
                      <w:szCs w:val="20"/>
                    </w:rPr>
                  </w:pPr>
                </w:p>
              </w:tc>
            </w:tr>
          </w:tbl>
          <w:p w14:paraId="0098115E"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0F067B5C"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59BEFD41"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3E9CEB63"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6B73C9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797B51DD"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24FF1014"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6818A44F"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14644AC3" w14:textId="77777777" w:rsidR="009D5EDE" w:rsidRDefault="009D5EDE" w:rsidP="000800FC">
            <w:pPr>
              <w:rPr>
                <w:rFonts w:ascii="Times New Roman" w:eastAsia="Times New Roman" w:hAnsi="Times New Roman" w:cs="Times New Roman"/>
                <w:i/>
                <w:sz w:val="20"/>
                <w:szCs w:val="20"/>
                <w:lang w:eastAsia="sk-SK"/>
              </w:rPr>
            </w:pPr>
          </w:p>
          <w:p w14:paraId="6694C912" w14:textId="77777777" w:rsidR="009D5EDE" w:rsidRDefault="009D5EDE" w:rsidP="000800FC">
            <w:pPr>
              <w:rPr>
                <w:rFonts w:ascii="Times New Roman" w:eastAsia="Times New Roman" w:hAnsi="Times New Roman" w:cs="Times New Roman"/>
                <w:sz w:val="20"/>
                <w:szCs w:val="20"/>
                <w:lang w:eastAsia="sk-SK"/>
              </w:rPr>
            </w:pPr>
            <w:r w:rsidRPr="009D5EDE">
              <w:rPr>
                <w:rFonts w:ascii="Times New Roman" w:eastAsia="Times New Roman" w:hAnsi="Times New Roman" w:cs="Times New Roman"/>
                <w:sz w:val="20"/>
                <w:szCs w:val="20"/>
                <w:lang w:eastAsia="sk-SK"/>
              </w:rPr>
              <w:t>Preskúmanie účelnosti navrhovaného zákona bude vykonávané priebežne po nadobudnutí jeho účinnosti, pričom sa budú zohľadňovať najmä skúsenosti aplikačnej praxe.</w:t>
            </w:r>
          </w:p>
          <w:p w14:paraId="74F29426" w14:textId="77777777" w:rsidR="009D5EDE" w:rsidRDefault="009D5EDE" w:rsidP="000800FC">
            <w:pPr>
              <w:rPr>
                <w:rFonts w:ascii="Times New Roman" w:eastAsia="Times New Roman" w:hAnsi="Times New Roman" w:cs="Times New Roman"/>
                <w:sz w:val="20"/>
                <w:szCs w:val="20"/>
                <w:lang w:eastAsia="sk-SK"/>
              </w:rPr>
            </w:pPr>
          </w:p>
          <w:p w14:paraId="192A6321" w14:textId="77777777" w:rsidR="009D5EDE" w:rsidRPr="009D5EDE" w:rsidRDefault="009D5EDE"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Európska Komisia do 21. mája 2031</w:t>
            </w:r>
            <w:r w:rsidRPr="009D5EDE">
              <w:rPr>
                <w:rFonts w:ascii="Times New Roman" w:eastAsia="Times New Roman" w:hAnsi="Times New Roman" w:cs="Times New Roman"/>
                <w:sz w:val="20"/>
                <w:szCs w:val="20"/>
                <w:lang w:eastAsia="sk-SK"/>
              </w:rPr>
              <w:t xml:space="preserve"> vyko</w:t>
            </w:r>
            <w:r>
              <w:rPr>
                <w:rFonts w:ascii="Times New Roman" w:eastAsia="Times New Roman" w:hAnsi="Times New Roman" w:cs="Times New Roman"/>
                <w:sz w:val="20"/>
                <w:szCs w:val="20"/>
                <w:lang w:eastAsia="sk-SK"/>
              </w:rPr>
              <w:t>ná hodnotenie vplyvu</w:t>
            </w:r>
            <w:r w:rsidR="00D14455">
              <w:rPr>
                <w:rFonts w:ascii="Times New Roman" w:eastAsia="Times New Roman" w:hAnsi="Times New Roman" w:cs="Times New Roman"/>
                <w:sz w:val="20"/>
                <w:szCs w:val="20"/>
                <w:lang w:eastAsia="sk-SK"/>
              </w:rPr>
              <w:t xml:space="preserve"> smernice (EÚ) 2024/1203</w:t>
            </w:r>
            <w:r w:rsidRPr="009D5EDE">
              <w:rPr>
                <w:rFonts w:ascii="Times New Roman" w:eastAsia="Times New Roman" w:hAnsi="Times New Roman" w:cs="Times New Roman"/>
                <w:sz w:val="20"/>
                <w:szCs w:val="20"/>
                <w:lang w:eastAsia="sk-SK"/>
              </w:rPr>
              <w:t xml:space="preserve"> </w:t>
            </w:r>
            <w:r w:rsidR="00D14455">
              <w:rPr>
                <w:rFonts w:ascii="Times New Roman" w:eastAsia="Times New Roman" w:hAnsi="Times New Roman" w:cs="Times New Roman"/>
                <w:sz w:val="20"/>
                <w:szCs w:val="20"/>
                <w:lang w:eastAsia="sk-SK"/>
              </w:rPr>
              <w:t xml:space="preserve">a </w:t>
            </w:r>
            <w:r w:rsidRPr="009D5EDE">
              <w:rPr>
                <w:rFonts w:ascii="Times New Roman" w:eastAsia="Times New Roman" w:hAnsi="Times New Roman" w:cs="Times New Roman"/>
                <w:sz w:val="20"/>
                <w:szCs w:val="20"/>
                <w:lang w:eastAsia="sk-SK"/>
              </w:rPr>
              <w:t xml:space="preserve">potreby aktualizovať zoznam trestných činov </w:t>
            </w:r>
            <w:r w:rsidR="00D14455">
              <w:rPr>
                <w:rFonts w:ascii="Times New Roman" w:eastAsia="Times New Roman" w:hAnsi="Times New Roman" w:cs="Times New Roman"/>
                <w:sz w:val="20"/>
                <w:szCs w:val="20"/>
                <w:lang w:eastAsia="sk-SK"/>
              </w:rPr>
              <w:t>proti životnému prostrediu</w:t>
            </w:r>
            <w:r w:rsidRPr="009D5EDE">
              <w:rPr>
                <w:rFonts w:ascii="Times New Roman" w:eastAsia="Times New Roman" w:hAnsi="Times New Roman" w:cs="Times New Roman"/>
                <w:sz w:val="20"/>
                <w:szCs w:val="20"/>
                <w:lang w:eastAsia="sk-SK"/>
              </w:rPr>
              <w:t>.</w:t>
            </w:r>
          </w:p>
          <w:p w14:paraId="0A299D11"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04A9669D" w14:textId="77777777" w:rsidTr="000800FC">
        <w:tc>
          <w:tcPr>
            <w:tcW w:w="9180" w:type="dxa"/>
            <w:gridSpan w:val="11"/>
            <w:tcBorders>
              <w:top w:val="nil"/>
              <w:left w:val="nil"/>
              <w:bottom w:val="single" w:sz="4" w:space="0" w:color="auto"/>
              <w:right w:val="nil"/>
            </w:tcBorders>
            <w:shd w:val="clear" w:color="auto" w:fill="FFFFFF"/>
          </w:tcPr>
          <w:p w14:paraId="0B009070" w14:textId="77777777" w:rsidR="001B23B7" w:rsidRPr="00612E08" w:rsidRDefault="001B23B7" w:rsidP="00A7788F">
            <w:pPr>
              <w:jc w:val="both"/>
              <w:rPr>
                <w:rFonts w:ascii="Times New Roman" w:eastAsia="Times New Roman" w:hAnsi="Times New Roman" w:cs="Times New Roman"/>
                <w:b/>
                <w:sz w:val="20"/>
                <w:szCs w:val="20"/>
                <w:lang w:eastAsia="sk-SK"/>
              </w:rPr>
            </w:pPr>
          </w:p>
          <w:p w14:paraId="2FB1C39F" w14:textId="77777777" w:rsidR="001B23B7" w:rsidRPr="00612E08" w:rsidRDefault="001B23B7" w:rsidP="00A7788F">
            <w:pPr>
              <w:jc w:val="both"/>
              <w:rPr>
                <w:rFonts w:ascii="Times New Roman" w:eastAsia="Times New Roman" w:hAnsi="Times New Roman" w:cs="Times New Roman"/>
                <w:b/>
                <w:sz w:val="20"/>
                <w:szCs w:val="20"/>
                <w:lang w:eastAsia="sk-SK"/>
              </w:rPr>
            </w:pPr>
          </w:p>
          <w:p w14:paraId="51AA87AC"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1623B451"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72C9514D"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3040FAEC" w14:textId="77777777" w:rsidR="004C6831" w:rsidRPr="00612E08" w:rsidRDefault="004C6831" w:rsidP="00A7788F">
            <w:pPr>
              <w:jc w:val="both"/>
              <w:rPr>
                <w:rFonts w:ascii="Times New Roman" w:eastAsia="Times New Roman" w:hAnsi="Times New Roman" w:cs="Times New Roman"/>
                <w:sz w:val="20"/>
                <w:szCs w:val="20"/>
                <w:lang w:eastAsia="sk-SK"/>
              </w:rPr>
            </w:pPr>
          </w:p>
          <w:p w14:paraId="47E704A1"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2BA79617"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71D24B8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7837913E"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5735BE81"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43DA4603"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27BCB131"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0CE65EF3" w14:textId="77777777" w:rsidR="001B23B7" w:rsidRPr="00612E08" w:rsidRDefault="00D14455"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7CD541F4"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1C5017E4" w14:textId="77777777" w:rsidR="001B23B7" w:rsidRPr="00612E08" w:rsidRDefault="00203EE3" w:rsidP="000800FC">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47B14F2F"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462FC44" w14:textId="77777777" w:rsidTr="004C6831">
        <w:tc>
          <w:tcPr>
            <w:tcW w:w="3812" w:type="dxa"/>
            <w:tcBorders>
              <w:top w:val="nil"/>
              <w:left w:val="single" w:sz="4" w:space="0" w:color="auto"/>
              <w:bottom w:val="nil"/>
              <w:right w:val="single" w:sz="4" w:space="0" w:color="auto"/>
            </w:tcBorders>
            <w:shd w:val="clear" w:color="auto" w:fill="E2E2E2"/>
          </w:tcPr>
          <w:p w14:paraId="06CBE932"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57BDC568"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264B00FF"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267204CA" w14:textId="77777777"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F2E7E2A"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35AB07B8"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D53FE6C"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1A547A9C"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35F07270"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3017C333" w14:textId="77777777" w:rsidTr="004C6831">
        <w:tc>
          <w:tcPr>
            <w:tcW w:w="3812" w:type="dxa"/>
            <w:tcBorders>
              <w:top w:val="nil"/>
              <w:left w:val="single" w:sz="4" w:space="0" w:color="auto"/>
              <w:bottom w:val="nil"/>
              <w:right w:val="single" w:sz="4" w:space="0" w:color="auto"/>
            </w:tcBorders>
            <w:shd w:val="clear" w:color="auto" w:fill="E2E2E2"/>
          </w:tcPr>
          <w:p w14:paraId="4474A4C7"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49E24B99"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097AF63D"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4D454AD7" w14:textId="77777777" w:rsidR="003145AE" w:rsidRPr="00612E08" w:rsidRDefault="00D14455"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7654FB49"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35390FEA"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6924492A"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FF03088"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1AA8476F"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44C920E0"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72FF0A03"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3D3010B9"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77FE57F4"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7381282B"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3CEEF5A1"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651ECA4"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FBEC636"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C82D342"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1EF5C94"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6BF45D3"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2E68201"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60161C61"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B4BA209" w14:textId="77777777" w:rsidR="00A7788F" w:rsidRPr="00612E08" w:rsidRDefault="00734086" w:rsidP="001B4FB5">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F941A39"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5A6228B"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4C6E6BA"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D8E30A1"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2EC8021"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25FC648E" w14:textId="77777777" w:rsidR="007F587A" w:rsidRPr="00612E08" w:rsidRDefault="00734086"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EAA6B02"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AD81A3F"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F73B9A7"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1B383F1"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0188176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5CF662E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733DBA6B"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22259981" w14:textId="77777777" w:rsidR="007F587A" w:rsidRPr="00612E08" w:rsidRDefault="0073408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177E9C7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6F4465D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2E035A7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88C285E" w14:textId="77777777" w:rsidTr="00203EE3">
        <w:tc>
          <w:tcPr>
            <w:tcW w:w="3812" w:type="dxa"/>
            <w:tcBorders>
              <w:top w:val="nil"/>
              <w:left w:val="single" w:sz="4" w:space="0" w:color="000000"/>
              <w:bottom w:val="nil"/>
              <w:right w:val="single" w:sz="4" w:space="0" w:color="000000"/>
            </w:tcBorders>
            <w:shd w:val="clear" w:color="auto" w:fill="E2E2E2"/>
          </w:tcPr>
          <w:p w14:paraId="6ED98B2A"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2ABCC990"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278D642B"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6488AB4"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57FE075C"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76D4AE2"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46DEA09C"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5C458B6"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3F52FA08"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73F5675A"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288AD34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70D8B7CA"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450FAE8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05A74B7C"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7E0790BC"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348817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F9AC3B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ADCFC41"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6D4ED86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4CFC20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1544B3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9D60BF8" w14:textId="77777777" w:rsidR="007F587A" w:rsidRPr="00612E08" w:rsidRDefault="0073408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395E928"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91E88F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37A034B"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8753D46"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0AC649A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404E8EE" w14:textId="77777777" w:rsidR="007F587A" w:rsidRPr="00612E08" w:rsidRDefault="0073408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B68DB0F"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0A8BE2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4944AD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808F8E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B42459B"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BE41E0C"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04BC8AEA" w14:textId="77777777" w:rsidR="007F587A" w:rsidRPr="00612E08" w:rsidRDefault="007F587A" w:rsidP="007F587A">
            <w:pPr>
              <w:rPr>
                <w:rFonts w:ascii="Times New Roman" w:eastAsia="Times New Roman" w:hAnsi="Times New Roman" w:cs="Times New Roman"/>
                <w:sz w:val="20"/>
                <w:szCs w:val="20"/>
                <w:lang w:eastAsia="sk-SK"/>
              </w:rPr>
            </w:pPr>
          </w:p>
          <w:p w14:paraId="5029D660"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011F08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B4521BD"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62C4094"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AB63D6B"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C5EE892" w14:textId="77777777" w:rsidR="007F587A" w:rsidRPr="00612E08" w:rsidRDefault="0073408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00CF372"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2835CDBE"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7961B70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4B8884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651C153"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9724E57" w14:textId="77777777" w:rsidR="007F587A" w:rsidRPr="00612E08" w:rsidRDefault="0073408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1343A7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BB4DA46"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4269BDB"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72724F10"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3322B9CE"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563EEE20"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474216BE"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4D6F5E0D"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4477E932"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473A0026"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17249B9B"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760E6E03" w14:textId="77777777" w:rsidTr="00B547F5">
        <w:tc>
          <w:tcPr>
            <w:tcW w:w="3812" w:type="dxa"/>
            <w:tcBorders>
              <w:top w:val="nil"/>
              <w:left w:val="single" w:sz="4" w:space="0" w:color="auto"/>
              <w:bottom w:val="nil"/>
              <w:right w:val="single" w:sz="4" w:space="0" w:color="auto"/>
            </w:tcBorders>
            <w:shd w:val="clear" w:color="auto" w:fill="E2E2E2"/>
          </w:tcPr>
          <w:p w14:paraId="26501D23"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6A7A9929"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7C52A4BD"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0986E79E" w14:textId="77777777" w:rsidR="000F2BE9" w:rsidRPr="00612E08" w:rsidRDefault="00734086"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17703CBE"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47D6FC2C"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1D94F1D6"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FF533F4" w14:textId="77777777" w:rsidTr="00B547F5">
        <w:tc>
          <w:tcPr>
            <w:tcW w:w="3812" w:type="dxa"/>
            <w:tcBorders>
              <w:top w:val="nil"/>
              <w:left w:val="single" w:sz="4" w:space="0" w:color="auto"/>
              <w:bottom w:val="nil"/>
              <w:right w:val="single" w:sz="4" w:space="0" w:color="auto"/>
            </w:tcBorders>
            <w:shd w:val="clear" w:color="auto" w:fill="E2E2E2"/>
          </w:tcPr>
          <w:p w14:paraId="229F700A"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5999E85A"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0073B1CC"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71787E34" w14:textId="77777777" w:rsidR="000F2BE9" w:rsidRPr="00612E08" w:rsidRDefault="00734086"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368E7958"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12D1EBEE"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1A54BD77"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1A4BFD66"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3CD6FA8C"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1E569DB6"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7BED0237"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4E7AF389" w14:textId="77777777" w:rsidR="00A340BB" w:rsidRPr="00612E08" w:rsidRDefault="00734086"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DDDBCD6"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1EA2576E"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500C9D6"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7044DFAF"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2865E92F"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1D462E2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4CEF547D" w14:textId="77777777"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14:paraId="68AF8770"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30EBCBF3" w14:textId="77777777" w:rsidR="004C6831" w:rsidRPr="00612E08" w:rsidRDefault="004C6831" w:rsidP="000800FC">
            <w:pPr>
              <w:jc w:val="both"/>
              <w:rPr>
                <w:rFonts w:ascii="Times New Roman" w:eastAsia="Times New Roman" w:hAnsi="Times New Roman" w:cs="Times New Roman"/>
                <w:i/>
                <w:sz w:val="20"/>
                <w:szCs w:val="20"/>
                <w:lang w:eastAsia="sk-SK"/>
              </w:rPr>
            </w:pPr>
          </w:p>
          <w:p w14:paraId="60FBF135"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3C61667B" w14:textId="77777777" w:rsidR="004C6831" w:rsidRPr="00612E08" w:rsidRDefault="004C6831" w:rsidP="000800FC">
            <w:pPr>
              <w:jc w:val="both"/>
              <w:rPr>
                <w:rFonts w:ascii="Times New Roman" w:eastAsia="Times New Roman" w:hAnsi="Times New Roman" w:cs="Times New Roman"/>
                <w:i/>
                <w:sz w:val="20"/>
                <w:szCs w:val="20"/>
                <w:lang w:eastAsia="sk-SK"/>
              </w:rPr>
            </w:pPr>
          </w:p>
          <w:p w14:paraId="7FA5498E"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0303DABB" w14:textId="77777777" w:rsidR="0098472E" w:rsidRPr="00612E08" w:rsidRDefault="0098472E" w:rsidP="000800FC">
            <w:pPr>
              <w:jc w:val="both"/>
              <w:rPr>
                <w:rFonts w:ascii="Times New Roman" w:eastAsia="Times New Roman" w:hAnsi="Times New Roman" w:cs="Times New Roman"/>
                <w:i/>
                <w:sz w:val="20"/>
                <w:szCs w:val="20"/>
                <w:lang w:eastAsia="sk-SK"/>
              </w:rPr>
            </w:pPr>
          </w:p>
          <w:p w14:paraId="45EADB13"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5DE34903" w14:textId="77777777" w:rsidR="0098472E" w:rsidRDefault="0098472E" w:rsidP="000800FC">
            <w:pPr>
              <w:jc w:val="both"/>
              <w:rPr>
                <w:rFonts w:ascii="Times New Roman" w:eastAsia="Times New Roman" w:hAnsi="Times New Roman" w:cs="Times New Roman"/>
                <w:i/>
                <w:sz w:val="20"/>
                <w:szCs w:val="20"/>
                <w:lang w:eastAsia="sk-SK"/>
              </w:rPr>
            </w:pPr>
          </w:p>
          <w:p w14:paraId="7374D227" w14:textId="77777777" w:rsidR="0093352A" w:rsidRPr="00C45DFF" w:rsidRDefault="00C45DFF" w:rsidP="000800FC">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Predkladaným materiálom sa zavádzajú nové trestné činy proti životnému prostrediu a menia sa hranice škody v existujúcich základných skutkových podstatách trestných činov. Uvedené bude mať vplyv na to, či bude konanie posúdené ako trestný čin a bude sa viesť trestné konanie, alebo ako priestupok a bude sa viesť správne konanie. V niektorých oblastiach sa predpokladá nárast nápadu v rámci trestných konaní, v iných k poklesu, čo bude mať zrkadlovo vplyv na správne orgány (najmä okresné úrady). </w:t>
            </w:r>
            <w:r w:rsidR="0093352A">
              <w:rPr>
                <w:rFonts w:ascii="Times New Roman" w:eastAsia="Times New Roman" w:hAnsi="Times New Roman" w:cs="Times New Roman"/>
                <w:sz w:val="20"/>
                <w:szCs w:val="20"/>
                <w:lang w:eastAsia="sk-SK"/>
              </w:rPr>
              <w:t xml:space="preserve">Z uvedeného dôvodu možno potenciálny vplyv predkladaného materiálu na rozpočet verejnej správy označiť ako marginálny. </w:t>
            </w:r>
          </w:p>
          <w:p w14:paraId="63AF08BE" w14:textId="77777777" w:rsidR="001B23B7" w:rsidRPr="00612E08" w:rsidRDefault="001B23B7" w:rsidP="000800FC">
            <w:pPr>
              <w:ind w:left="426"/>
              <w:contextualSpacing/>
              <w:rPr>
                <w:rFonts w:ascii="Times New Roman" w:eastAsia="Calibri" w:hAnsi="Times New Roman" w:cs="Times New Roman"/>
                <w:b/>
              </w:rPr>
            </w:pPr>
          </w:p>
        </w:tc>
      </w:tr>
      <w:tr w:rsidR="00612E08" w:rsidRPr="00612E08" w14:paraId="6A1363FF"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148915B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2D8D0CA7"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4F02F44"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0D520053" w14:textId="77777777" w:rsidR="0093352A" w:rsidRDefault="0093352A" w:rsidP="000800FC">
            <w:pPr>
              <w:rPr>
                <w:rFonts w:ascii="Times New Roman" w:eastAsia="Times New Roman" w:hAnsi="Times New Roman" w:cs="Times New Roman"/>
                <w:i/>
                <w:sz w:val="20"/>
                <w:szCs w:val="20"/>
                <w:lang w:eastAsia="sk-SK"/>
              </w:rPr>
            </w:pPr>
          </w:p>
          <w:p w14:paraId="1DE3219C" w14:textId="77777777" w:rsidR="0093352A" w:rsidRPr="0093352A" w:rsidRDefault="0093352A"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Mgr. Martin Lipták, odbor legislatívy trestného práva, Ministerstvo spravodlivosti Slovenskej republiky, </w:t>
            </w:r>
            <w:hyperlink r:id="rId9" w:history="1">
              <w:r w:rsidRPr="00780C12">
                <w:rPr>
                  <w:rStyle w:val="Hypertextovprepojenie"/>
                  <w:rFonts w:ascii="Times New Roman" w:eastAsia="Times New Roman" w:hAnsi="Times New Roman" w:cs="Times New Roman"/>
                  <w:sz w:val="20"/>
                  <w:szCs w:val="20"/>
                  <w:lang w:eastAsia="sk-SK"/>
                </w:rPr>
                <w:t>martin.liptak@justice.sk</w:t>
              </w:r>
            </w:hyperlink>
            <w:r>
              <w:rPr>
                <w:rFonts w:ascii="Times New Roman" w:eastAsia="Times New Roman" w:hAnsi="Times New Roman" w:cs="Times New Roman"/>
                <w:sz w:val="20"/>
                <w:szCs w:val="20"/>
                <w:lang w:eastAsia="sk-SK"/>
              </w:rPr>
              <w:t xml:space="preserve">, tel. </w:t>
            </w:r>
            <w:r w:rsidRPr="0093352A">
              <w:rPr>
                <w:rFonts w:ascii="Times New Roman" w:eastAsia="Times New Roman" w:hAnsi="Times New Roman" w:cs="Times New Roman"/>
                <w:sz w:val="20"/>
                <w:szCs w:val="20"/>
                <w:lang w:eastAsia="sk-SK"/>
              </w:rPr>
              <w:t>+421(0)2/888 91</w:t>
            </w:r>
            <w:r w:rsidR="00DD556F">
              <w:rPr>
                <w:rFonts w:ascii="Times New Roman" w:eastAsia="Times New Roman" w:hAnsi="Times New Roman" w:cs="Times New Roman"/>
                <w:sz w:val="20"/>
                <w:szCs w:val="20"/>
                <w:lang w:eastAsia="sk-SK"/>
              </w:rPr>
              <w:t>438</w:t>
            </w:r>
          </w:p>
        </w:tc>
      </w:tr>
      <w:tr w:rsidR="00612E08" w:rsidRPr="00612E08" w14:paraId="70194044"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172B383D"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3020C837"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3C3752E"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4C731E95" w14:textId="77777777" w:rsidR="001B23B7" w:rsidRDefault="001B23B7" w:rsidP="000800FC">
            <w:pPr>
              <w:rPr>
                <w:rFonts w:ascii="Times New Roman" w:eastAsia="Times New Roman" w:hAnsi="Times New Roman" w:cs="Times New Roman"/>
                <w:i/>
                <w:sz w:val="20"/>
                <w:szCs w:val="20"/>
                <w:lang w:eastAsia="sk-SK"/>
              </w:rPr>
            </w:pPr>
          </w:p>
          <w:p w14:paraId="77690ECB" w14:textId="1EDB22C7" w:rsidR="00DD556F" w:rsidRPr="00DD556F" w:rsidRDefault="00DD556F"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zákona je výstupom pracovnej skupiny zriadenej Ministerstvom spravodlivosti Slovenskej republiky pre transpozíciu smernice (EÚ) 2024/1203, ktorej súčasťou boli zástupcovia Generálnej prokuratúry Slovenskej republiky, Odboru odhaľovania nebezpečných materiálov a environmentálnej kriminality Prezídia Policajného zboru Slovenskej republiky, Ministerstva životného prostredia Slovenskej republiky, Ministerstva pôdohospodárstva Slovenskej republiky. Konzultácie prebehli aj s ďalšími štátnymi orgánmi, do ktorých vecnej pôsobnosti patria čiastkové otázky upravené v predkladanom </w:t>
            </w:r>
            <w:r w:rsidR="00681405">
              <w:rPr>
                <w:rFonts w:ascii="Times New Roman" w:eastAsia="Times New Roman" w:hAnsi="Times New Roman" w:cs="Times New Roman"/>
                <w:sz w:val="20"/>
                <w:szCs w:val="20"/>
                <w:lang w:eastAsia="sk-SK"/>
              </w:rPr>
              <w:t>materiáli</w:t>
            </w:r>
            <w:r>
              <w:rPr>
                <w:rFonts w:ascii="Times New Roman" w:eastAsia="Times New Roman" w:hAnsi="Times New Roman" w:cs="Times New Roman"/>
                <w:sz w:val="20"/>
                <w:szCs w:val="20"/>
                <w:lang w:eastAsia="sk-SK"/>
              </w:rPr>
              <w:t>.</w:t>
            </w:r>
          </w:p>
          <w:p w14:paraId="14698BB1"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1E99D956"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74ADA152" w14:textId="77777777"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 PPK č. ..........</w:t>
            </w:r>
            <w:r w:rsidRPr="00612E08">
              <w:rPr>
                <w:rFonts w:ascii="Calibri" w:eastAsia="Calibri" w:hAnsi="Calibri" w:cs="Times New Roman"/>
              </w:rPr>
              <w:t xml:space="preserve"> </w:t>
            </w:r>
          </w:p>
          <w:p w14:paraId="4412C199"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174C71F"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F33680D"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7DD0ED7" w14:textId="77777777" w:rsidTr="000800FC">
              <w:trPr>
                <w:trHeight w:val="396"/>
              </w:trPr>
              <w:tc>
                <w:tcPr>
                  <w:tcW w:w="2552" w:type="dxa"/>
                </w:tcPr>
                <w:p w14:paraId="422B69DA" w14:textId="77777777" w:rsidR="001B23B7" w:rsidRPr="00612E08" w:rsidRDefault="00491E1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688B3B4" w14:textId="77777777" w:rsidR="001B23B7" w:rsidRPr="00612E08" w:rsidRDefault="00491E1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1562BC43" w14:textId="77777777" w:rsidR="001B23B7" w:rsidRPr="00612E08" w:rsidRDefault="00491E1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468EFFEF"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6FD45A5" w14:textId="77777777" w:rsidR="001B23B7" w:rsidRPr="00612E08" w:rsidRDefault="001B23B7" w:rsidP="000800FC">
            <w:pPr>
              <w:rPr>
                <w:rFonts w:ascii="Times New Roman" w:eastAsia="Times New Roman" w:hAnsi="Times New Roman" w:cs="Times New Roman"/>
                <w:b/>
                <w:sz w:val="20"/>
                <w:szCs w:val="20"/>
                <w:lang w:eastAsia="sk-SK"/>
              </w:rPr>
            </w:pPr>
          </w:p>
          <w:p w14:paraId="6D65B244"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52AF61D7"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2807EA2C"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6FD0789A" w14:textId="77777777" w:rsidTr="000800FC">
        <w:tblPrEx>
          <w:tblBorders>
            <w:insideH w:val="single" w:sz="4" w:space="0" w:color="FFFFFF"/>
            <w:insideV w:val="single" w:sz="4" w:space="0" w:color="FFFFFF"/>
          </w:tblBorders>
        </w:tblPrEx>
        <w:tc>
          <w:tcPr>
            <w:tcW w:w="9176" w:type="dxa"/>
            <w:shd w:val="clear" w:color="auto" w:fill="FFFFFF"/>
          </w:tcPr>
          <w:p w14:paraId="2D49565D"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2F6469CD" w14:textId="77777777" w:rsidTr="000800FC">
              <w:trPr>
                <w:trHeight w:val="396"/>
              </w:trPr>
              <w:tc>
                <w:tcPr>
                  <w:tcW w:w="2552" w:type="dxa"/>
                </w:tcPr>
                <w:p w14:paraId="7182FEC8" w14:textId="77777777" w:rsidR="001B23B7" w:rsidRPr="00612E08" w:rsidRDefault="00491E1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4975260F" w14:textId="77777777" w:rsidR="001B23B7" w:rsidRPr="00612E08" w:rsidRDefault="00491E1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2E41DA67" w14:textId="77777777" w:rsidR="001B23B7" w:rsidRPr="00612E08" w:rsidRDefault="00491E1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3A3BA2C8"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1CE0AD2C" w14:textId="77777777" w:rsidR="001B23B7" w:rsidRPr="00612E08" w:rsidRDefault="001B23B7" w:rsidP="000800FC">
            <w:pPr>
              <w:rPr>
                <w:rFonts w:ascii="Times New Roman" w:eastAsia="Times New Roman" w:hAnsi="Times New Roman" w:cs="Times New Roman"/>
                <w:b/>
                <w:sz w:val="20"/>
                <w:szCs w:val="20"/>
                <w:lang w:eastAsia="sk-SK"/>
              </w:rPr>
            </w:pPr>
          </w:p>
          <w:p w14:paraId="726034A4" w14:textId="77777777" w:rsidR="001B23B7" w:rsidRPr="00612E08" w:rsidRDefault="001B23B7" w:rsidP="000800FC">
            <w:pPr>
              <w:rPr>
                <w:rFonts w:ascii="Times New Roman" w:eastAsia="Times New Roman" w:hAnsi="Times New Roman" w:cs="Times New Roman"/>
                <w:b/>
                <w:sz w:val="20"/>
                <w:szCs w:val="20"/>
                <w:lang w:eastAsia="sk-SK"/>
              </w:rPr>
            </w:pPr>
          </w:p>
        </w:tc>
      </w:tr>
    </w:tbl>
    <w:p w14:paraId="2BAFA40F" w14:textId="77777777" w:rsidR="00274130" w:rsidRPr="00612E08" w:rsidRDefault="00491E10"/>
    <w:sectPr w:rsidR="00274130" w:rsidRPr="00612E08" w:rsidSect="001E3562">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93845" w14:textId="77777777" w:rsidR="00491E10" w:rsidRDefault="00491E10" w:rsidP="001B23B7">
      <w:pPr>
        <w:spacing w:after="0" w:line="240" w:lineRule="auto"/>
      </w:pPr>
      <w:r>
        <w:separator/>
      </w:r>
    </w:p>
  </w:endnote>
  <w:endnote w:type="continuationSeparator" w:id="0">
    <w:p w14:paraId="67864D9E" w14:textId="77777777" w:rsidR="00491E10" w:rsidRDefault="00491E10"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5E7ACC0C" w14:textId="3A51B813"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A47FB6">
          <w:rPr>
            <w:rFonts w:ascii="Times New Roman" w:hAnsi="Times New Roman" w:cs="Times New Roman"/>
            <w:noProof/>
            <w:sz w:val="24"/>
            <w:szCs w:val="24"/>
          </w:rPr>
          <w:t>3</w:t>
        </w:r>
        <w:r w:rsidRPr="006045CB">
          <w:rPr>
            <w:rFonts w:ascii="Times New Roman" w:hAnsi="Times New Roman" w:cs="Times New Roman"/>
            <w:sz w:val="24"/>
            <w:szCs w:val="24"/>
          </w:rPr>
          <w:fldChar w:fldCharType="end"/>
        </w:r>
      </w:p>
    </w:sdtContent>
  </w:sdt>
  <w:p w14:paraId="27F2C74C"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A00EA4" w14:textId="77777777" w:rsidR="00491E10" w:rsidRDefault="00491E10" w:rsidP="001B23B7">
      <w:pPr>
        <w:spacing w:after="0" w:line="240" w:lineRule="auto"/>
      </w:pPr>
      <w:r>
        <w:separator/>
      </w:r>
    </w:p>
  </w:footnote>
  <w:footnote w:type="continuationSeparator" w:id="0">
    <w:p w14:paraId="040260D3" w14:textId="77777777" w:rsidR="00491E10" w:rsidRDefault="00491E10"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43706"/>
    <w:rsid w:val="00097069"/>
    <w:rsid w:val="000A7743"/>
    <w:rsid w:val="000D348F"/>
    <w:rsid w:val="000F2BE9"/>
    <w:rsid w:val="00113AE4"/>
    <w:rsid w:val="001524E2"/>
    <w:rsid w:val="00156064"/>
    <w:rsid w:val="00187182"/>
    <w:rsid w:val="001B23B7"/>
    <w:rsid w:val="001E3562"/>
    <w:rsid w:val="00203EE3"/>
    <w:rsid w:val="002243BB"/>
    <w:rsid w:val="0023360B"/>
    <w:rsid w:val="00243652"/>
    <w:rsid w:val="002F6ADB"/>
    <w:rsid w:val="003145AE"/>
    <w:rsid w:val="003553ED"/>
    <w:rsid w:val="003A057B"/>
    <w:rsid w:val="003A381E"/>
    <w:rsid w:val="00411898"/>
    <w:rsid w:val="00491E10"/>
    <w:rsid w:val="0049476D"/>
    <w:rsid w:val="004A4383"/>
    <w:rsid w:val="004C6831"/>
    <w:rsid w:val="00591EC6"/>
    <w:rsid w:val="00591ED3"/>
    <w:rsid w:val="005F42C6"/>
    <w:rsid w:val="00612E08"/>
    <w:rsid w:val="00681405"/>
    <w:rsid w:val="006F678E"/>
    <w:rsid w:val="006F6B62"/>
    <w:rsid w:val="00720322"/>
    <w:rsid w:val="00734086"/>
    <w:rsid w:val="00736CD6"/>
    <w:rsid w:val="0075197E"/>
    <w:rsid w:val="00761208"/>
    <w:rsid w:val="00762227"/>
    <w:rsid w:val="007756BE"/>
    <w:rsid w:val="007B40C1"/>
    <w:rsid w:val="007C5312"/>
    <w:rsid w:val="007D6F2C"/>
    <w:rsid w:val="007F587A"/>
    <w:rsid w:val="0080042A"/>
    <w:rsid w:val="00831FD4"/>
    <w:rsid w:val="00865E81"/>
    <w:rsid w:val="008801B5"/>
    <w:rsid w:val="00881E07"/>
    <w:rsid w:val="008B222D"/>
    <w:rsid w:val="008C79B7"/>
    <w:rsid w:val="009318DE"/>
    <w:rsid w:val="0093352A"/>
    <w:rsid w:val="009431E3"/>
    <w:rsid w:val="009475F5"/>
    <w:rsid w:val="009717F5"/>
    <w:rsid w:val="0098472E"/>
    <w:rsid w:val="009927A5"/>
    <w:rsid w:val="009C424C"/>
    <w:rsid w:val="009D5EDE"/>
    <w:rsid w:val="009E09F7"/>
    <w:rsid w:val="009F4832"/>
    <w:rsid w:val="00A340BB"/>
    <w:rsid w:val="00A47FB6"/>
    <w:rsid w:val="00A602A6"/>
    <w:rsid w:val="00A60413"/>
    <w:rsid w:val="00A7788F"/>
    <w:rsid w:val="00AC30D6"/>
    <w:rsid w:val="00B00B6E"/>
    <w:rsid w:val="00B547F5"/>
    <w:rsid w:val="00B84F87"/>
    <w:rsid w:val="00BA2BF4"/>
    <w:rsid w:val="00C45DFF"/>
    <w:rsid w:val="00C86714"/>
    <w:rsid w:val="00C94E4E"/>
    <w:rsid w:val="00CB08AE"/>
    <w:rsid w:val="00CD6E04"/>
    <w:rsid w:val="00CE6AAE"/>
    <w:rsid w:val="00CF1A25"/>
    <w:rsid w:val="00D14455"/>
    <w:rsid w:val="00D2313B"/>
    <w:rsid w:val="00D50F1E"/>
    <w:rsid w:val="00DD556F"/>
    <w:rsid w:val="00DF357C"/>
    <w:rsid w:val="00E440B4"/>
    <w:rsid w:val="00ED165A"/>
    <w:rsid w:val="00ED1AC0"/>
    <w:rsid w:val="00F50A84"/>
    <w:rsid w:val="00F87681"/>
    <w:rsid w:val="00FA02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AF7DB"/>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93352A"/>
    <w:rPr>
      <w:color w:val="0563C1" w:themeColor="hyperlink"/>
      <w:u w:val="single"/>
    </w:rPr>
  </w:style>
  <w:style w:type="character" w:styleId="Odkaznakomentr">
    <w:name w:val="annotation reference"/>
    <w:basedOn w:val="Predvolenpsmoodseku"/>
    <w:uiPriority w:val="99"/>
    <w:semiHidden/>
    <w:unhideWhenUsed/>
    <w:rsid w:val="00681405"/>
    <w:rPr>
      <w:sz w:val="16"/>
      <w:szCs w:val="16"/>
    </w:rPr>
  </w:style>
  <w:style w:type="paragraph" w:styleId="Textkomentra">
    <w:name w:val="annotation text"/>
    <w:basedOn w:val="Normlny"/>
    <w:link w:val="TextkomentraChar"/>
    <w:uiPriority w:val="99"/>
    <w:semiHidden/>
    <w:unhideWhenUsed/>
    <w:rsid w:val="00681405"/>
    <w:pPr>
      <w:spacing w:line="240" w:lineRule="auto"/>
    </w:pPr>
    <w:rPr>
      <w:sz w:val="20"/>
      <w:szCs w:val="20"/>
    </w:rPr>
  </w:style>
  <w:style w:type="character" w:customStyle="1" w:styleId="TextkomentraChar">
    <w:name w:val="Text komentára Char"/>
    <w:basedOn w:val="Predvolenpsmoodseku"/>
    <w:link w:val="Textkomentra"/>
    <w:uiPriority w:val="99"/>
    <w:semiHidden/>
    <w:rsid w:val="00681405"/>
    <w:rPr>
      <w:sz w:val="20"/>
      <w:szCs w:val="20"/>
    </w:rPr>
  </w:style>
  <w:style w:type="paragraph" w:styleId="Predmetkomentra">
    <w:name w:val="annotation subject"/>
    <w:basedOn w:val="Textkomentra"/>
    <w:next w:val="Textkomentra"/>
    <w:link w:val="PredmetkomentraChar"/>
    <w:uiPriority w:val="99"/>
    <w:semiHidden/>
    <w:unhideWhenUsed/>
    <w:rsid w:val="00681405"/>
    <w:rPr>
      <w:b/>
      <w:bCs/>
    </w:rPr>
  </w:style>
  <w:style w:type="character" w:customStyle="1" w:styleId="PredmetkomentraChar">
    <w:name w:val="Predmet komentára Char"/>
    <w:basedOn w:val="TextkomentraChar"/>
    <w:link w:val="Predmetkomentra"/>
    <w:uiPriority w:val="99"/>
    <w:semiHidden/>
    <w:rsid w:val="006814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martin.liptak@justice.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D30DEB30-5C8F-4B45-991E-A833C2A07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2216</Words>
  <Characters>12633</Characters>
  <Application>Microsoft Office Word</Application>
  <DocSecurity>0</DocSecurity>
  <Lines>105</Lines>
  <Paragraphs>29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LIPTÁK Martin</cp:lastModifiedBy>
  <cp:revision>2</cp:revision>
  <dcterms:created xsi:type="dcterms:W3CDTF">2025-10-13T14:56:00Z</dcterms:created>
  <dcterms:modified xsi:type="dcterms:W3CDTF">2025-10-13T14:56:00Z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