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972" w:rsidRPr="00BE336F" w:rsidRDefault="00133972" w:rsidP="001339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BE336F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PREDBEŽNÁ INFORMÁCIA</w:t>
      </w:r>
    </w:p>
    <w:p w:rsidR="00133972" w:rsidRPr="00BE336F" w:rsidRDefault="00133972" w:rsidP="001339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BE336F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(podľa § 9 zákona č. 400/2015 Z. z. o tvorbe právnych predpisov</w:t>
      </w:r>
    </w:p>
    <w:p w:rsidR="00133972" w:rsidRPr="00BE336F" w:rsidRDefault="00133972" w:rsidP="001339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BE336F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a o Zbierke zákonov Slovenskej republiky a o zmene a doplnení niektorých zákonov)</w:t>
      </w:r>
    </w:p>
    <w:p w:rsidR="00A05CF2" w:rsidRPr="00BE336F" w:rsidRDefault="00A05CF2" w:rsidP="001339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133972" w:rsidRPr="00BE336F" w:rsidRDefault="00133972" w:rsidP="001339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BE336F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1. Pripravovaný právny predpis:</w:t>
      </w:r>
    </w:p>
    <w:p w:rsidR="00133972" w:rsidRPr="00BE336F" w:rsidRDefault="00133972" w:rsidP="0013397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133972" w:rsidRPr="00BE336F" w:rsidRDefault="00511982" w:rsidP="00133972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BE336F">
        <w:rPr>
          <w:rStyle w:val="Zstupntext"/>
          <w:sz w:val="24"/>
          <w:szCs w:val="24"/>
        </w:rPr>
        <w:t>Návrh nariadenia vlády Slovenskej republiky, ktorým sa ustanovuje národná tabuľka frekvenčného spektra</w:t>
      </w:r>
      <w:r w:rsidR="00A05CF2" w:rsidRPr="00BE336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.</w:t>
      </w:r>
    </w:p>
    <w:p w:rsidR="00133972" w:rsidRPr="00BE336F" w:rsidRDefault="00133972" w:rsidP="00133972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133972" w:rsidRPr="00BE336F" w:rsidRDefault="00133972" w:rsidP="001339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BE336F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 Základné ciele právnej úpravy:</w:t>
      </w:r>
    </w:p>
    <w:p w:rsidR="00133972" w:rsidRPr="00BE336F" w:rsidRDefault="00133972" w:rsidP="0013397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511982" w:rsidRPr="00BE336F" w:rsidRDefault="00511982" w:rsidP="00511982">
      <w:pPr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336F">
        <w:rPr>
          <w:rStyle w:val="Zstupntext"/>
          <w:sz w:val="24"/>
          <w:szCs w:val="24"/>
        </w:rPr>
        <w:t>Nariadenie upravuje</w:t>
      </w:r>
      <w:r w:rsidR="00133972" w:rsidRPr="00BE336F">
        <w:rPr>
          <w:rStyle w:val="Zstupntext"/>
          <w:sz w:val="24"/>
          <w:szCs w:val="24"/>
        </w:rPr>
        <w:t xml:space="preserve"> </w:t>
      </w:r>
      <w:r w:rsidRPr="00BE336F">
        <w:rPr>
          <w:rFonts w:ascii="Times New Roman" w:hAnsi="Times New Roman" w:cs="Times New Roman"/>
          <w:color w:val="000000"/>
          <w:sz w:val="24"/>
          <w:szCs w:val="24"/>
        </w:rPr>
        <w:t>Národnú tabuľku frekvenčného spektra (ďalej len „NTFS“), ktorá obsahuje najmä:</w:t>
      </w:r>
    </w:p>
    <w:p w:rsidR="00511982" w:rsidRPr="00BE336F" w:rsidRDefault="00511982" w:rsidP="00511982">
      <w:pPr>
        <w:numPr>
          <w:ilvl w:val="0"/>
          <w:numId w:val="1"/>
        </w:numPr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336F">
        <w:rPr>
          <w:rFonts w:ascii="Times New Roman" w:hAnsi="Times New Roman" w:cs="Times New Roman"/>
          <w:color w:val="000000"/>
          <w:sz w:val="24"/>
          <w:szCs w:val="24"/>
        </w:rPr>
        <w:t>údaje o frekvenčnom pásme a jeho pridelení pre príslušné rádiokomunikačné služby podľa aktuálneho Rádiokomunikačného poriadku,</w:t>
      </w:r>
    </w:p>
    <w:p w:rsidR="00511982" w:rsidRPr="00BE336F" w:rsidRDefault="00511982" w:rsidP="00511982">
      <w:pPr>
        <w:numPr>
          <w:ilvl w:val="0"/>
          <w:numId w:val="1"/>
        </w:numPr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336F">
        <w:rPr>
          <w:rFonts w:ascii="Times New Roman" w:hAnsi="Times New Roman" w:cs="Times New Roman"/>
          <w:color w:val="000000"/>
          <w:sz w:val="24"/>
          <w:szCs w:val="24"/>
        </w:rPr>
        <w:t xml:space="preserve">údaje o frekvenčnom pásme a jeho pridelení v Slovenskej republike, </w:t>
      </w:r>
    </w:p>
    <w:p w:rsidR="00511982" w:rsidRPr="00BE336F" w:rsidRDefault="00511982" w:rsidP="00511982">
      <w:pPr>
        <w:numPr>
          <w:ilvl w:val="0"/>
          <w:numId w:val="1"/>
        </w:numPr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336F">
        <w:rPr>
          <w:rFonts w:ascii="Times New Roman" w:hAnsi="Times New Roman" w:cs="Times New Roman"/>
          <w:color w:val="000000"/>
          <w:sz w:val="24"/>
          <w:szCs w:val="24"/>
        </w:rPr>
        <w:t>informáciu, či je príslušné frekvenčné pásmo v Slovenskej republike pridelené na civilné alebo vojenské účely,</w:t>
      </w:r>
    </w:p>
    <w:p w:rsidR="00511982" w:rsidRPr="00BE336F" w:rsidRDefault="00511982" w:rsidP="00511982">
      <w:pPr>
        <w:numPr>
          <w:ilvl w:val="0"/>
          <w:numId w:val="1"/>
        </w:numPr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336F">
        <w:rPr>
          <w:rFonts w:ascii="Times New Roman" w:hAnsi="Times New Roman" w:cs="Times New Roman"/>
          <w:color w:val="000000"/>
          <w:sz w:val="24"/>
          <w:szCs w:val="24"/>
        </w:rPr>
        <w:t>poznámky k prideleniu frekvenčného pásma,</w:t>
      </w:r>
    </w:p>
    <w:p w:rsidR="00511982" w:rsidRPr="00BE336F" w:rsidRDefault="00511982" w:rsidP="00511982">
      <w:pPr>
        <w:numPr>
          <w:ilvl w:val="0"/>
          <w:numId w:val="1"/>
        </w:numPr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336F">
        <w:rPr>
          <w:rFonts w:ascii="Times New Roman" w:hAnsi="Times New Roman" w:cs="Times New Roman"/>
          <w:color w:val="000000"/>
          <w:sz w:val="24"/>
          <w:szCs w:val="24"/>
        </w:rPr>
        <w:t>informácie o využití frekvenčných pásiem pre konkrétne aplikácie v rámci rádiokomunikačnej služby.</w:t>
      </w:r>
    </w:p>
    <w:p w:rsidR="00133972" w:rsidRPr="00BE336F" w:rsidRDefault="00133972" w:rsidP="0013397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133972" w:rsidRPr="00BE336F" w:rsidRDefault="00133972" w:rsidP="001339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BE336F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3. Zhodnotenie súčasného stavu:</w:t>
      </w:r>
    </w:p>
    <w:p w:rsidR="00133972" w:rsidRPr="00BE336F" w:rsidRDefault="00133972" w:rsidP="0013397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133972" w:rsidRPr="00BE336F" w:rsidRDefault="00C25749" w:rsidP="00133972">
      <w:pPr>
        <w:spacing w:after="0" w:line="240" w:lineRule="auto"/>
        <w:ind w:left="284"/>
        <w:jc w:val="both"/>
        <w:rPr>
          <w:rStyle w:val="Zstupntext"/>
          <w:sz w:val="24"/>
          <w:szCs w:val="24"/>
        </w:rPr>
      </w:pPr>
      <w:r w:rsidRPr="00BE336F">
        <w:rPr>
          <w:rStyle w:val="Zstupntext"/>
          <w:sz w:val="24"/>
          <w:szCs w:val="24"/>
        </w:rPr>
        <w:t>Z</w:t>
      </w:r>
      <w:r w:rsidR="00A14B73" w:rsidRPr="00BE336F">
        <w:rPr>
          <w:rStyle w:val="Zstupntext"/>
          <w:sz w:val="24"/>
          <w:szCs w:val="24"/>
        </w:rPr>
        <w:t xml:space="preserve">ákon </w:t>
      </w:r>
      <w:r w:rsidR="00210055" w:rsidRPr="00BE336F">
        <w:rPr>
          <w:rStyle w:val="Zstupntext"/>
          <w:sz w:val="24"/>
          <w:szCs w:val="24"/>
        </w:rPr>
        <w:t xml:space="preserve">č. 452/2021 Z. z. </w:t>
      </w:r>
      <w:r w:rsidR="00A14B73" w:rsidRPr="00BE336F">
        <w:rPr>
          <w:rStyle w:val="Zstupntext"/>
          <w:sz w:val="24"/>
          <w:szCs w:val="24"/>
        </w:rPr>
        <w:t>o elektronických komunikáciách</w:t>
      </w:r>
      <w:r w:rsidRPr="00BE336F">
        <w:rPr>
          <w:rStyle w:val="Zstupntext"/>
          <w:sz w:val="24"/>
          <w:szCs w:val="24"/>
        </w:rPr>
        <w:t xml:space="preserve"> </w:t>
      </w:r>
      <w:r w:rsidR="00511982" w:rsidRPr="00BE336F">
        <w:rPr>
          <w:rStyle w:val="Zstupntext"/>
          <w:sz w:val="24"/>
          <w:szCs w:val="24"/>
        </w:rPr>
        <w:t xml:space="preserve">obsahuje splnomocňovacie ustanovenie </w:t>
      </w:r>
      <w:r w:rsidR="00210055" w:rsidRPr="00BE336F">
        <w:rPr>
          <w:rStyle w:val="Zstupntext"/>
          <w:sz w:val="24"/>
          <w:szCs w:val="24"/>
        </w:rPr>
        <w:t>na vydanie národnej tabuľky frekvenčného spektra v spolupráci s príslušnými rezortmi</w:t>
      </w:r>
      <w:r w:rsidR="00D96E3A" w:rsidRPr="00BE336F">
        <w:rPr>
          <w:rStyle w:val="Zstupntext"/>
          <w:sz w:val="24"/>
          <w:szCs w:val="24"/>
        </w:rPr>
        <w:t>.</w:t>
      </w:r>
    </w:p>
    <w:p w:rsidR="00144DAE" w:rsidRPr="00144DAE" w:rsidRDefault="00144DAE" w:rsidP="00144DAE">
      <w:pPr>
        <w:autoSpaceDE w:val="0"/>
        <w:autoSpaceDN w:val="0"/>
        <w:ind w:left="284"/>
        <w:jc w:val="both"/>
        <w:rPr>
          <w:rStyle w:val="Zstupntext"/>
          <w:sz w:val="24"/>
          <w:szCs w:val="24"/>
        </w:rPr>
      </w:pPr>
      <w:r w:rsidRPr="00144DAE">
        <w:rPr>
          <w:rStyle w:val="Zstupntext"/>
          <w:sz w:val="24"/>
          <w:szCs w:val="24"/>
        </w:rPr>
        <w:t>V porovnaní s NTFS, ktorá bola ustanovená nariadením vlády Slovenskej republiky č. 330/2025 Z. z., ktorým sa ustanovuje národná tabuľka frekvenčného spektra, b</w:t>
      </w:r>
      <w:r w:rsidR="00D42909">
        <w:rPr>
          <w:rStyle w:val="Zstupntext"/>
          <w:sz w:val="24"/>
          <w:szCs w:val="24"/>
        </w:rPr>
        <w:t>udú</w:t>
      </w:r>
      <w:r w:rsidRPr="00144DAE">
        <w:rPr>
          <w:rStyle w:val="Zstupntext"/>
          <w:sz w:val="24"/>
          <w:szCs w:val="24"/>
        </w:rPr>
        <w:t xml:space="preserve"> do nového návrhu NTFS zapracované najmä nové rozhodnutia a odporúčania EÚ, rozhodnutia a odporúčania Európskeho výboru pre elektronické komunikácie, ako aj požiadavky Ministerstva obrany Slovenskej republiky a Úradu pre reguláciu elektronických komunikácií a poštových služieb. Ďalšie úpravy vyplynuli taktiež z procesu zosúlaďovania NTFS s európskou tabuľkou frekvenčného spektra zverejnenou 28. novembra 2025.</w:t>
      </w:r>
    </w:p>
    <w:p w:rsidR="00776D30" w:rsidRPr="00BE336F" w:rsidRDefault="00776D30" w:rsidP="001339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133972" w:rsidRPr="00BE336F" w:rsidRDefault="00133972" w:rsidP="001339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BE336F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4. Spôsob zapojenia verejnosti do prípravy právneho predpisu:</w:t>
      </w:r>
    </w:p>
    <w:p w:rsidR="00133972" w:rsidRPr="00BE336F" w:rsidRDefault="00133972" w:rsidP="0013397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133972" w:rsidRPr="00BE336F" w:rsidRDefault="00133972" w:rsidP="00133972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BE336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Verejnosť sa môže zapojiť do prípravy právneho predpisu formou zasielania podnetov a návrhov v súlade so základnými cieľmi podľa bodu 2.</w:t>
      </w:r>
    </w:p>
    <w:p w:rsidR="00133972" w:rsidRPr="00BE336F" w:rsidRDefault="00133972" w:rsidP="0013397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133972" w:rsidRPr="00BE336F" w:rsidRDefault="00133972" w:rsidP="00133972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BE336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Kontaktné údaje:</w:t>
      </w:r>
      <w:bookmarkStart w:id="0" w:name="_GoBack"/>
      <w:bookmarkEnd w:id="0"/>
    </w:p>
    <w:p w:rsidR="00133972" w:rsidRPr="00BE336F" w:rsidRDefault="00133972" w:rsidP="00133972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BE336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Ministerstvo dopravy Slovenskej republiky</w:t>
      </w:r>
    </w:p>
    <w:p w:rsidR="00133972" w:rsidRPr="00BE336F" w:rsidRDefault="00133972" w:rsidP="00133972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BE336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sekcia elektronických komunikácií a poštových služieb</w:t>
      </w:r>
    </w:p>
    <w:p w:rsidR="00133972" w:rsidRPr="00BE336F" w:rsidRDefault="00133972" w:rsidP="00133972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BE336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Námestie slobody č. 6</w:t>
      </w:r>
    </w:p>
    <w:p w:rsidR="00133972" w:rsidRPr="00BE336F" w:rsidRDefault="00133972" w:rsidP="00133972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BE336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810 05  Bratislava </w:t>
      </w:r>
    </w:p>
    <w:p w:rsidR="00133972" w:rsidRPr="00BE336F" w:rsidRDefault="00133972" w:rsidP="00133972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BE336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email: </w:t>
      </w:r>
      <w:hyperlink r:id="rId7" w:history="1">
        <w:r w:rsidR="00511982" w:rsidRPr="00BE336F">
          <w:rPr>
            <w:rStyle w:val="Hypertextovprepojenie"/>
            <w:rFonts w:ascii="Times New Roman" w:eastAsia="Times New Roman" w:hAnsi="Times New Roman" w:cs="Times New Roman"/>
            <w:bCs/>
            <w:sz w:val="24"/>
            <w:szCs w:val="24"/>
            <w:lang w:eastAsia="sk-SK"/>
          </w:rPr>
          <w:t>gabriel.stancik@mindop.sk</w:t>
        </w:r>
      </w:hyperlink>
      <w:r w:rsidRPr="00BE336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:rsidR="00133972" w:rsidRPr="00BE336F" w:rsidRDefault="00133972" w:rsidP="0013397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133972" w:rsidRPr="00BE336F" w:rsidRDefault="00133972" w:rsidP="001339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BE336F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5. Predpokladaný termín začatia pripomienkového konania:</w:t>
      </w:r>
    </w:p>
    <w:p w:rsidR="00037B57" w:rsidRPr="00BE336F" w:rsidRDefault="00D42909" w:rsidP="00037B57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októ</w:t>
      </w:r>
      <w:r w:rsidR="00D9127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ber</w:t>
      </w:r>
      <w:r w:rsidR="00133972" w:rsidRPr="00BE336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20</w:t>
      </w:r>
      <w:r w:rsidR="00E81DDD" w:rsidRPr="00BE336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2</w:t>
      </w:r>
      <w:r w:rsidR="00D9127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6</w:t>
      </w:r>
      <w:r w:rsidR="00133972" w:rsidRPr="00BE336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sectPr w:rsidR="00037B57" w:rsidRPr="00BE336F" w:rsidSect="00631D38">
      <w:footerReference w:type="default" r:id="rId8"/>
      <w:footerReference w:type="first" r:id="rId9"/>
      <w:pgSz w:w="11907" w:h="16840" w:code="9"/>
      <w:pgMar w:top="851" w:right="1418" w:bottom="851" w:left="1418" w:header="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635C" w:rsidRDefault="00B1635C">
      <w:pPr>
        <w:spacing w:after="0" w:line="240" w:lineRule="auto"/>
      </w:pPr>
      <w:r>
        <w:separator/>
      </w:r>
    </w:p>
  </w:endnote>
  <w:endnote w:type="continuationSeparator" w:id="0">
    <w:p w:rsidR="00B1635C" w:rsidRDefault="00B163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150D" w:rsidRDefault="00AF7051" w:rsidP="005755BC">
    <w:pPr>
      <w:pStyle w:val="Pta"/>
      <w:framePr w:wrap="auto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EB7EF5">
      <w:rPr>
        <w:rStyle w:val="slostrany"/>
        <w:noProof/>
      </w:rPr>
      <w:t>2</w:t>
    </w:r>
    <w:r>
      <w:rPr>
        <w:rStyle w:val="slostrany"/>
      </w:rPr>
      <w:fldChar w:fldCharType="end"/>
    </w:r>
  </w:p>
  <w:p w:rsidR="0097150D" w:rsidRDefault="00D42909" w:rsidP="005755BC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79" w:type="dxa"/>
      <w:tblInd w:w="-1481" w:type="dxa"/>
      <w:tblLayout w:type="fixed"/>
      <w:tblLook w:val="04A0" w:firstRow="1" w:lastRow="0" w:firstColumn="1" w:lastColumn="0" w:noHBand="0" w:noVBand="1"/>
    </w:tblPr>
    <w:tblGrid>
      <w:gridCol w:w="4141"/>
      <w:gridCol w:w="3436"/>
      <w:gridCol w:w="250"/>
      <w:gridCol w:w="2552"/>
    </w:tblGrid>
    <w:tr w:rsidR="00EB7EF5" w:rsidRPr="00EB7EF5" w:rsidTr="00DD4BEC">
      <w:tc>
        <w:tcPr>
          <w:tcW w:w="4141" w:type="dxa"/>
          <w:vAlign w:val="bottom"/>
          <w:hideMark/>
        </w:tcPr>
        <w:p w:rsidR="00037B57" w:rsidRPr="00EB7EF5" w:rsidRDefault="00F6559C" w:rsidP="00037B57">
          <w:pPr>
            <w:tabs>
              <w:tab w:val="center" w:pos="4677"/>
              <w:tab w:val="right" w:pos="9355"/>
            </w:tabs>
            <w:spacing w:after="0" w:line="256" w:lineRule="auto"/>
            <w:ind w:firstLine="347"/>
            <w:jc w:val="center"/>
            <w:rPr>
              <w:rFonts w:ascii="Times New Roman" w:eastAsia="Times New Roman" w:hAnsi="Times New Roman" w:cs="Times New Roman"/>
              <w:color w:val="FFFFFF" w:themeColor="background1"/>
              <w:sz w:val="20"/>
              <w:szCs w:val="20"/>
            </w:rPr>
          </w:pPr>
          <w:r w:rsidRPr="00EB7EF5">
            <w:rPr>
              <w:rFonts w:ascii="Times New Roman" w:eastAsia="Times New Roman" w:hAnsi="Times New Roman" w:cs="Times New Roman"/>
              <w:color w:val="FFFFFF" w:themeColor="background1"/>
              <w:sz w:val="20"/>
              <w:szCs w:val="20"/>
            </w:rPr>
            <w:t>Vypracoval</w:t>
          </w:r>
        </w:p>
        <w:p w:rsidR="00F6559C" w:rsidRPr="00EB7EF5" w:rsidRDefault="00F6559C" w:rsidP="00037B57">
          <w:pPr>
            <w:tabs>
              <w:tab w:val="center" w:pos="4677"/>
              <w:tab w:val="right" w:pos="9355"/>
            </w:tabs>
            <w:spacing w:after="0" w:line="256" w:lineRule="auto"/>
            <w:ind w:firstLine="347"/>
            <w:jc w:val="center"/>
            <w:rPr>
              <w:rFonts w:ascii="Times New Roman" w:eastAsia="Times New Roman" w:hAnsi="Times New Roman" w:cs="Times New Roman"/>
              <w:i/>
              <w:color w:val="FFFFFF" w:themeColor="background1"/>
              <w:sz w:val="20"/>
              <w:szCs w:val="20"/>
            </w:rPr>
          </w:pPr>
        </w:p>
      </w:tc>
      <w:tc>
        <w:tcPr>
          <w:tcW w:w="3436" w:type="dxa"/>
          <w:vAlign w:val="bottom"/>
          <w:hideMark/>
        </w:tcPr>
        <w:p w:rsidR="00037B57" w:rsidRPr="00EB7EF5" w:rsidRDefault="00037B57" w:rsidP="00037B57">
          <w:pPr>
            <w:tabs>
              <w:tab w:val="center" w:pos="4677"/>
              <w:tab w:val="right" w:pos="9355"/>
            </w:tabs>
            <w:spacing w:after="0" w:line="256" w:lineRule="auto"/>
            <w:ind w:left="34" w:hanging="34"/>
            <w:jc w:val="center"/>
            <w:rPr>
              <w:rFonts w:ascii="Times New Roman" w:eastAsia="Times New Roman" w:hAnsi="Times New Roman" w:cs="Times New Roman"/>
              <w:color w:val="FFFFFF" w:themeColor="background1"/>
              <w:sz w:val="20"/>
              <w:szCs w:val="20"/>
            </w:rPr>
          </w:pPr>
          <w:r w:rsidRPr="00EB7EF5">
            <w:rPr>
              <w:rFonts w:ascii="Times New Roman" w:eastAsia="Times New Roman" w:hAnsi="Times New Roman" w:cs="Times New Roman"/>
              <w:color w:val="FFFFFF" w:themeColor="background1"/>
              <w:sz w:val="20"/>
              <w:szCs w:val="20"/>
            </w:rPr>
            <w:t>Predkladá:</w:t>
          </w:r>
        </w:p>
        <w:p w:rsidR="00037B57" w:rsidRPr="00EB7EF5" w:rsidRDefault="00037B57" w:rsidP="00037B57">
          <w:pPr>
            <w:tabs>
              <w:tab w:val="center" w:pos="4677"/>
              <w:tab w:val="right" w:pos="9355"/>
            </w:tabs>
            <w:spacing w:after="0" w:line="256" w:lineRule="auto"/>
            <w:ind w:left="34" w:hanging="34"/>
            <w:jc w:val="center"/>
            <w:rPr>
              <w:rFonts w:ascii="Times New Roman" w:eastAsia="Times New Roman" w:hAnsi="Times New Roman" w:cs="Times New Roman"/>
              <w:color w:val="FFFFFF" w:themeColor="background1"/>
              <w:sz w:val="20"/>
              <w:szCs w:val="20"/>
            </w:rPr>
          </w:pPr>
        </w:p>
      </w:tc>
      <w:tc>
        <w:tcPr>
          <w:tcW w:w="250" w:type="dxa"/>
          <w:vAlign w:val="bottom"/>
        </w:tcPr>
        <w:p w:rsidR="00037B57" w:rsidRPr="00EB7EF5" w:rsidRDefault="00037B57" w:rsidP="00037B57">
          <w:pPr>
            <w:tabs>
              <w:tab w:val="center" w:pos="4677"/>
              <w:tab w:val="right" w:pos="9355"/>
            </w:tabs>
            <w:spacing w:after="0" w:line="256" w:lineRule="auto"/>
            <w:ind w:left="34" w:hanging="34"/>
            <w:jc w:val="center"/>
            <w:rPr>
              <w:rFonts w:ascii="Times New Roman" w:eastAsia="Times New Roman" w:hAnsi="Times New Roman" w:cs="Times New Roman"/>
              <w:i/>
              <w:color w:val="FFFFFF" w:themeColor="background1"/>
              <w:sz w:val="20"/>
              <w:szCs w:val="20"/>
            </w:rPr>
          </w:pPr>
        </w:p>
      </w:tc>
      <w:tc>
        <w:tcPr>
          <w:tcW w:w="2552" w:type="dxa"/>
          <w:vAlign w:val="bottom"/>
          <w:hideMark/>
        </w:tcPr>
        <w:p w:rsidR="00037B57" w:rsidRPr="00EB7EF5" w:rsidRDefault="00037B57" w:rsidP="00037B57">
          <w:pPr>
            <w:tabs>
              <w:tab w:val="center" w:pos="4677"/>
              <w:tab w:val="right" w:pos="9355"/>
            </w:tabs>
            <w:spacing w:after="0" w:line="256" w:lineRule="auto"/>
            <w:jc w:val="center"/>
            <w:rPr>
              <w:rFonts w:ascii="Times New Roman" w:eastAsia="Times New Roman" w:hAnsi="Times New Roman" w:cs="Times New Roman"/>
              <w:color w:val="FFFFFF" w:themeColor="background1"/>
              <w:sz w:val="20"/>
              <w:szCs w:val="20"/>
            </w:rPr>
          </w:pPr>
          <w:r w:rsidRPr="00EB7EF5">
            <w:rPr>
              <w:rFonts w:ascii="Times New Roman" w:eastAsia="Times New Roman" w:hAnsi="Times New Roman" w:cs="Times New Roman"/>
              <w:color w:val="FFFFFF" w:themeColor="background1"/>
              <w:sz w:val="20"/>
              <w:szCs w:val="20"/>
            </w:rPr>
            <w:t>Schválil:</w:t>
          </w:r>
        </w:p>
        <w:p w:rsidR="00037B57" w:rsidRPr="00EB7EF5" w:rsidRDefault="00037B57" w:rsidP="00037B57">
          <w:pPr>
            <w:tabs>
              <w:tab w:val="center" w:pos="4677"/>
              <w:tab w:val="right" w:pos="9355"/>
            </w:tabs>
            <w:spacing w:after="0" w:line="256" w:lineRule="auto"/>
            <w:jc w:val="center"/>
            <w:rPr>
              <w:rFonts w:ascii="Times New Roman" w:eastAsia="Times New Roman" w:hAnsi="Times New Roman" w:cs="Times New Roman"/>
              <w:i/>
              <w:color w:val="FFFFFF" w:themeColor="background1"/>
              <w:sz w:val="20"/>
              <w:szCs w:val="20"/>
            </w:rPr>
          </w:pPr>
        </w:p>
      </w:tc>
    </w:tr>
    <w:tr w:rsidR="00EB7EF5" w:rsidRPr="00EB7EF5" w:rsidTr="00DD4BEC">
      <w:tc>
        <w:tcPr>
          <w:tcW w:w="4141" w:type="dxa"/>
          <w:vAlign w:val="bottom"/>
        </w:tcPr>
        <w:p w:rsidR="00037B57" w:rsidRPr="00EB7EF5" w:rsidRDefault="00F6559C" w:rsidP="00037B57">
          <w:pPr>
            <w:tabs>
              <w:tab w:val="center" w:pos="4677"/>
              <w:tab w:val="right" w:pos="9355"/>
            </w:tabs>
            <w:spacing w:after="0" w:line="256" w:lineRule="auto"/>
            <w:ind w:left="1090"/>
            <w:jc w:val="center"/>
            <w:rPr>
              <w:rFonts w:ascii="Times New Roman" w:eastAsia="Times New Roman" w:hAnsi="Times New Roman" w:cs="Times New Roman"/>
              <w:i/>
              <w:color w:val="FFFFFF" w:themeColor="background1"/>
              <w:sz w:val="20"/>
              <w:szCs w:val="20"/>
            </w:rPr>
          </w:pPr>
          <w:r w:rsidRPr="00EB7EF5">
            <w:rPr>
              <w:rFonts w:ascii="Times New Roman" w:eastAsia="Times New Roman" w:hAnsi="Times New Roman" w:cs="Times New Roman"/>
              <w:i/>
              <w:color w:val="FFFFFF" w:themeColor="background1"/>
              <w:sz w:val="20"/>
              <w:szCs w:val="20"/>
            </w:rPr>
            <w:t>Gabriel Stančik</w:t>
          </w:r>
        </w:p>
      </w:tc>
      <w:tc>
        <w:tcPr>
          <w:tcW w:w="3436" w:type="dxa"/>
          <w:vAlign w:val="bottom"/>
        </w:tcPr>
        <w:p w:rsidR="00037B57" w:rsidRPr="00EB7EF5" w:rsidRDefault="00037B57" w:rsidP="00037B57">
          <w:pPr>
            <w:tabs>
              <w:tab w:val="center" w:pos="4677"/>
              <w:tab w:val="right" w:pos="9355"/>
            </w:tabs>
            <w:spacing w:after="0" w:line="256" w:lineRule="auto"/>
            <w:ind w:left="34" w:hanging="34"/>
            <w:jc w:val="center"/>
            <w:rPr>
              <w:rFonts w:ascii="Times New Roman" w:eastAsia="Times New Roman" w:hAnsi="Times New Roman" w:cs="Times New Roman"/>
              <w:color w:val="FFFFFF" w:themeColor="background1"/>
              <w:sz w:val="20"/>
              <w:szCs w:val="20"/>
            </w:rPr>
          </w:pPr>
          <w:r w:rsidRPr="00EB7EF5">
            <w:rPr>
              <w:rFonts w:ascii="Times New Roman" w:eastAsia="Times New Roman" w:hAnsi="Times New Roman" w:cs="Times New Roman"/>
              <w:i/>
              <w:color w:val="FFFFFF" w:themeColor="background1"/>
              <w:sz w:val="20"/>
              <w:szCs w:val="20"/>
            </w:rPr>
            <w:t>Michaela Jánošíková</w:t>
          </w:r>
        </w:p>
      </w:tc>
      <w:tc>
        <w:tcPr>
          <w:tcW w:w="250" w:type="dxa"/>
          <w:vAlign w:val="bottom"/>
        </w:tcPr>
        <w:p w:rsidR="00037B57" w:rsidRPr="00EB7EF5" w:rsidRDefault="00037B57" w:rsidP="00037B57">
          <w:pPr>
            <w:tabs>
              <w:tab w:val="center" w:pos="4677"/>
              <w:tab w:val="right" w:pos="9355"/>
            </w:tabs>
            <w:spacing w:after="0" w:line="256" w:lineRule="auto"/>
            <w:ind w:left="34" w:hanging="34"/>
            <w:jc w:val="center"/>
            <w:rPr>
              <w:rFonts w:ascii="Times New Roman" w:eastAsia="Times New Roman" w:hAnsi="Times New Roman" w:cs="Times New Roman"/>
              <w:i/>
              <w:color w:val="FFFFFF" w:themeColor="background1"/>
              <w:sz w:val="20"/>
              <w:szCs w:val="20"/>
            </w:rPr>
          </w:pPr>
        </w:p>
      </w:tc>
      <w:tc>
        <w:tcPr>
          <w:tcW w:w="2552" w:type="dxa"/>
          <w:vAlign w:val="bottom"/>
        </w:tcPr>
        <w:p w:rsidR="00037B57" w:rsidRPr="00EB7EF5" w:rsidRDefault="00037B57" w:rsidP="00037B57">
          <w:pPr>
            <w:tabs>
              <w:tab w:val="center" w:pos="4677"/>
              <w:tab w:val="right" w:pos="9355"/>
            </w:tabs>
            <w:spacing w:after="0" w:line="256" w:lineRule="auto"/>
            <w:jc w:val="center"/>
            <w:rPr>
              <w:rFonts w:ascii="Times New Roman" w:eastAsia="Times New Roman" w:hAnsi="Times New Roman" w:cs="Times New Roman"/>
              <w:color w:val="FFFFFF" w:themeColor="background1"/>
              <w:sz w:val="20"/>
              <w:szCs w:val="20"/>
            </w:rPr>
          </w:pPr>
          <w:r w:rsidRPr="00EB7EF5">
            <w:rPr>
              <w:rFonts w:ascii="Times New Roman" w:eastAsia="Times New Roman" w:hAnsi="Times New Roman" w:cs="Times New Roman"/>
              <w:i/>
              <w:color w:val="FFFFFF" w:themeColor="background1"/>
              <w:sz w:val="20"/>
              <w:szCs w:val="20"/>
            </w:rPr>
            <w:t>Zuzana Šturdíková</w:t>
          </w:r>
        </w:p>
      </w:tc>
    </w:tr>
  </w:tbl>
  <w:p w:rsidR="00037B57" w:rsidRPr="00EB7EF5" w:rsidRDefault="00037B57" w:rsidP="00037B57">
    <w:pPr>
      <w:pStyle w:val="Pta"/>
      <w:rPr>
        <w:color w:val="FFFFFF" w:themeColor="background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635C" w:rsidRDefault="00B1635C">
      <w:pPr>
        <w:spacing w:after="0" w:line="240" w:lineRule="auto"/>
      </w:pPr>
      <w:r>
        <w:separator/>
      </w:r>
    </w:p>
  </w:footnote>
  <w:footnote w:type="continuationSeparator" w:id="0">
    <w:p w:rsidR="00B1635C" w:rsidRDefault="00B163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9D5B29"/>
    <w:multiLevelType w:val="multilevel"/>
    <w:tmpl w:val="D4A44F92"/>
    <w:styleLink w:val="WWNum2"/>
    <w:lvl w:ilvl="0">
      <w:numFmt w:val="bullet"/>
      <w:lvlText w:val=""/>
      <w:lvlJc w:val="left"/>
      <w:pPr>
        <w:ind w:left="75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7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9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1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3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5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7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9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51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972"/>
    <w:rsid w:val="0003674A"/>
    <w:rsid w:val="00037B57"/>
    <w:rsid w:val="000665C0"/>
    <w:rsid w:val="000E6F8E"/>
    <w:rsid w:val="0011167E"/>
    <w:rsid w:val="00133972"/>
    <w:rsid w:val="00142D13"/>
    <w:rsid w:val="00143AC7"/>
    <w:rsid w:val="00144DAE"/>
    <w:rsid w:val="001C121F"/>
    <w:rsid w:val="001F2867"/>
    <w:rsid w:val="00207290"/>
    <w:rsid w:val="00210055"/>
    <w:rsid w:val="003157C0"/>
    <w:rsid w:val="003B70A8"/>
    <w:rsid w:val="003D47D4"/>
    <w:rsid w:val="003E1A39"/>
    <w:rsid w:val="004A42B9"/>
    <w:rsid w:val="004B7C04"/>
    <w:rsid w:val="004C54F8"/>
    <w:rsid w:val="004D09E4"/>
    <w:rsid w:val="00511982"/>
    <w:rsid w:val="00631D38"/>
    <w:rsid w:val="0065083D"/>
    <w:rsid w:val="006756E3"/>
    <w:rsid w:val="006A2FB5"/>
    <w:rsid w:val="006E69FD"/>
    <w:rsid w:val="00776D30"/>
    <w:rsid w:val="0082746B"/>
    <w:rsid w:val="00872C1B"/>
    <w:rsid w:val="008C1570"/>
    <w:rsid w:val="008E7B08"/>
    <w:rsid w:val="00903CEE"/>
    <w:rsid w:val="00956B0B"/>
    <w:rsid w:val="00A05CF2"/>
    <w:rsid w:val="00A14B73"/>
    <w:rsid w:val="00AF7051"/>
    <w:rsid w:val="00B00154"/>
    <w:rsid w:val="00B1635C"/>
    <w:rsid w:val="00BE336F"/>
    <w:rsid w:val="00C25749"/>
    <w:rsid w:val="00C70C7A"/>
    <w:rsid w:val="00C8795A"/>
    <w:rsid w:val="00CF599B"/>
    <w:rsid w:val="00D42909"/>
    <w:rsid w:val="00D91278"/>
    <w:rsid w:val="00D96E3A"/>
    <w:rsid w:val="00DB2A16"/>
    <w:rsid w:val="00E06CC1"/>
    <w:rsid w:val="00E81DDD"/>
    <w:rsid w:val="00E970F8"/>
    <w:rsid w:val="00EB7EF5"/>
    <w:rsid w:val="00EC44E2"/>
    <w:rsid w:val="00F40BF6"/>
    <w:rsid w:val="00F6559C"/>
    <w:rsid w:val="00F66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550A9"/>
  <w15:chartTrackingRefBased/>
  <w15:docId w15:val="{34C1B99B-B934-4938-BAFA-A9C136F79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rsid w:val="0013397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133972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133972"/>
    <w:rPr>
      <w:rFonts w:cs="Times New Roman"/>
    </w:rPr>
  </w:style>
  <w:style w:type="paragraph" w:customStyle="1" w:styleId="tl">
    <w:name w:val="Štýl"/>
    <w:basedOn w:val="Normlny"/>
    <w:uiPriority w:val="99"/>
    <w:rsid w:val="00133972"/>
    <w:pPr>
      <w:spacing w:line="240" w:lineRule="exact"/>
    </w:pPr>
    <w:rPr>
      <w:rFonts w:ascii="Tahoma" w:eastAsia="Times New Roman" w:hAnsi="Tahoma" w:cs="Tahoma"/>
      <w:sz w:val="20"/>
      <w:szCs w:val="20"/>
    </w:rPr>
  </w:style>
  <w:style w:type="character" w:styleId="Zstupntext">
    <w:name w:val="Placeholder Text"/>
    <w:basedOn w:val="Predvolenpsmoodseku"/>
    <w:uiPriority w:val="99"/>
    <w:rsid w:val="00133972"/>
    <w:rPr>
      <w:rFonts w:ascii="Times New Roman" w:hAnsi="Times New Roman" w:cs="Times New Roman" w:hint="default"/>
      <w:color w:val="000000"/>
    </w:rPr>
  </w:style>
  <w:style w:type="character" w:styleId="Hypertextovprepojenie">
    <w:name w:val="Hyperlink"/>
    <w:basedOn w:val="Predvolenpsmoodseku"/>
    <w:uiPriority w:val="99"/>
    <w:unhideWhenUsed/>
    <w:rsid w:val="00133972"/>
    <w:rPr>
      <w:color w:val="0563C1" w:themeColor="hyperlink"/>
      <w:u w:val="single"/>
    </w:rPr>
  </w:style>
  <w:style w:type="paragraph" w:styleId="Hlavika">
    <w:name w:val="header"/>
    <w:basedOn w:val="Normlny"/>
    <w:link w:val="HlavikaChar"/>
    <w:uiPriority w:val="99"/>
    <w:unhideWhenUsed/>
    <w:rsid w:val="00037B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37B57"/>
  </w:style>
  <w:style w:type="paragraph" w:styleId="Textbubliny">
    <w:name w:val="Balloon Text"/>
    <w:basedOn w:val="Normlny"/>
    <w:link w:val="TextbublinyChar"/>
    <w:uiPriority w:val="99"/>
    <w:semiHidden/>
    <w:unhideWhenUsed/>
    <w:rsid w:val="00037B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37B57"/>
    <w:rPr>
      <w:rFonts w:ascii="Segoe UI" w:hAnsi="Segoe UI" w:cs="Segoe UI"/>
      <w:sz w:val="18"/>
      <w:szCs w:val="18"/>
    </w:rPr>
  </w:style>
  <w:style w:type="paragraph" w:styleId="Zkladntext2">
    <w:name w:val="Body Text 2"/>
    <w:basedOn w:val="Normlny"/>
    <w:link w:val="Zkladntext2Char"/>
    <w:uiPriority w:val="99"/>
    <w:semiHidden/>
    <w:unhideWhenUsed/>
    <w:rsid w:val="00511982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uiPriority w:val="99"/>
    <w:semiHidden/>
    <w:rsid w:val="00511982"/>
  </w:style>
  <w:style w:type="numbering" w:customStyle="1" w:styleId="WWNum2">
    <w:name w:val="WWNum2"/>
    <w:basedOn w:val="Bezzoznamu"/>
    <w:rsid w:val="00511982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gabriel.stancik@mindop.s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Krahulcová, Veronika</dc:creator>
  <cp:keywords/>
  <dc:description/>
  <cp:lastModifiedBy>Jánošíková, Michaela</cp:lastModifiedBy>
  <cp:revision>3</cp:revision>
  <cp:lastPrinted>2025-09-18T08:09:00Z</cp:lastPrinted>
  <dcterms:created xsi:type="dcterms:W3CDTF">2026-09-10T08:30:00Z</dcterms:created>
  <dcterms:modified xsi:type="dcterms:W3CDTF">2026-09-10T09:11:00Z</dcterms:modified>
</cp:coreProperties>
</file>