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Aleny NOVÁKOVEJ, Dušana TITTELA a Romana MALATINCA na vydanie zákona, ktorým sa mení a dopĺňa zákon č. 112/2015 Z. z. o príspevku športovému reprezentantovi a o zmene a doplnení zákona č. 461/2003 Z. z. o sociálnom poistení v znení neskorších predpisov v znení neskorších predpisov (tlač 1488)</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LP/2026/505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sa uvádza, že návrh zakladá dodatočný rozpočtový vplyv na rozpočet Sociálnej poisťovne, ktorý predkladatelia odhadujú na 99 983 eur v roku 2027, 103 783 eur v roku 2028, 107 216 eur v roku 2029, 109 682 eur v roku 2030 a 111 981 eur v roku 2031. V súlade s § 33 ods. 1 zákona č. 523/2004 Z. z. o rozpočtových pravidlách verejnej správy a o zmene a doplnení niektorých zákonov je potrebné v predkladacej správe uviesť návrh na úhradu zvýšených výdavkov. Zároveň upozorňujeme, že Národná rada SR svojim uznesením č. 1211 z 21. októbra 2025 schválila celkový limit verejných výdavkov na príslušný rozpočtový rok, ktorý je potrebné dodržať.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Odporúčame v bode 2 stanoviska vložiť bodku na konci odseku 2 a v bode 3 stanoviska vložiť horné úvodzovky a bodku na konci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Úvodnú vetu bodu 5 navrhujeme uviesť takto: „Za § 11 sa vkladá § 12, ktorý vrátane nadpisu znie:“.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Zámer návrhu zákona podporujeme a vnímame pozitívne najmä snahu o transparentnejšie a stabilnejšie finančné ocenenie športových reprezentantov za dosiahnuté mimoriadne výsledky a odstránenie závislosti výšky príspevku od dôchodkového príjmu športovca.</w:t>
              <w:br/>
            </w:r>
            <w:r>
              <w:rPr>
                <w:b w:val="off"/>
                <w:color w:val="000000"/>
                <w:rFonts w:ascii="Times New Roman" w:hAnsi="Times New Roman" w:cs="Times New Roman" w:eastAsia="Times New Roman"/>
                <w:sz w:val="24"/>
              </w:rPr>
              <w:t>K navrhovanému spôsobu ustanovenia výšky príspevku však odporúčame zvážiť úpravu, ktorá by lepšie zohľadňovala športovú hodnotu, náročnosť a medzinárodný význam dosiahnutého výsledku.</w:t>
              <w:br/>
            </w:r>
            <w:r>
              <w:rPr>
                <w:b w:val="off"/>
                <w:color w:val="000000"/>
                <w:rFonts w:ascii="Times New Roman" w:hAnsi="Times New Roman" w:cs="Times New Roman" w:eastAsia="Times New Roman"/>
                <w:sz w:val="24"/>
              </w:rPr>
              <w:t>Ustanovenie príspevku prevažne podľa medailového umiestnenia a typu podujatia, majstrovstvá sveta alebo majstrovstvá Európy, nemusí dostatočne reflektovať výrazné rozdiely medzi jednotlivými športmi a disciplínami. Rozsah medzinárodnej konkurencie, počet krajín a športovcov, náročnosť kvalifikácie, periodicita podujatí a ich postavenie v medzinárodnej hierarchii sa medzi športmi výrazne líšia. Rovnaké medailové umiestnenie preto nemusí vo všetkých športoch predstavovať porovnateľnú úroveň a náročnosť športového výkonu.</w:t>
              <w:br/>
            </w:r>
            <w:r>
              <w:rPr>
                <w:b w:val="off"/>
                <w:color w:val="000000"/>
                <w:rFonts w:ascii="Times New Roman" w:hAnsi="Times New Roman" w:cs="Times New Roman" w:eastAsia="Times New Roman"/>
                <w:sz w:val="24"/>
              </w:rPr>
              <w:t>Odporúčame zvážiť zavedenie objektívneho koeficientu významu športového výsledku, ktorý by dopĺňal základnú výšku príspevku podľa medailového umiestnenia. Pri jeho ustanovení by bolo možné zohľadniť najmä:</w:t>
              <w:br/>
            </w:r>
            <w:r>
              <w:rPr>
                <w:b w:val="off"/>
                <w:color w:val="000000"/>
                <w:rFonts w:ascii="Times New Roman" w:hAnsi="Times New Roman" w:cs="Times New Roman" w:eastAsia="Times New Roman"/>
                <w:sz w:val="24"/>
              </w:rPr>
              <w:t>•	postavenie športu a disciplíny v olympijskom, paralympijskom alebo deaflympijskom programe, ako aj v programe Svetových hier (The World Games),</w:t>
              <w:br/>
            </w:r>
            <w:r>
              <w:rPr>
                <w:b w:val="off"/>
                <w:color w:val="000000"/>
                <w:rFonts w:ascii="Times New Roman" w:hAnsi="Times New Roman" w:cs="Times New Roman" w:eastAsia="Times New Roman"/>
                <w:sz w:val="24"/>
              </w:rPr>
              <w:t>•	rozsah medzinárodnej konkurencie a počet krajín a športovcov pôsobiacich na vrcholnej úrovni,</w:t>
              <w:br/>
            </w:r>
            <w:r>
              <w:rPr>
                <w:b w:val="off"/>
                <w:color w:val="000000"/>
                <w:rFonts w:ascii="Times New Roman" w:hAnsi="Times New Roman" w:cs="Times New Roman" w:eastAsia="Times New Roman"/>
                <w:sz w:val="24"/>
              </w:rPr>
              <w:t>•	náročnosť kvalifikačného systému,</w:t>
              <w:br/>
            </w:r>
            <w:r>
              <w:rPr>
                <w:b w:val="off"/>
                <w:color w:val="000000"/>
                <w:rFonts w:ascii="Times New Roman" w:hAnsi="Times New Roman" w:cs="Times New Roman" w:eastAsia="Times New Roman"/>
                <w:sz w:val="24"/>
              </w:rPr>
              <w:t>•	periodicitu vrcholných podujatí,</w:t>
              <w:br/>
            </w:r>
            <w:r>
              <w:rPr>
                <w:b w:val="off"/>
                <w:color w:val="000000"/>
                <w:rFonts w:ascii="Times New Roman" w:hAnsi="Times New Roman" w:cs="Times New Roman" w:eastAsia="Times New Roman"/>
                <w:sz w:val="24"/>
              </w:rPr>
              <w:t>•	význam a postavenie konkrétneho podujatia v medzinárodnej hierarchii daného športu.</w:t>
              <w:br/>
            </w:r>
            <w:r>
              <w:rPr>
                <w:b w:val="off"/>
                <w:color w:val="000000"/>
                <w:rFonts w:ascii="Times New Roman" w:hAnsi="Times New Roman" w:cs="Times New Roman" w:eastAsia="Times New Roman"/>
                <w:sz w:val="24"/>
              </w:rPr>
              <w:t>Metodika by mala byť založená na transparentných, predvídateľných a objektívne overiteľných kritériách.</w:t>
              <w:br/>
            </w:r>
            <w:r>
              <w:rPr>
                <w:b w:val="off"/>
                <w:color w:val="000000"/>
                <w:rFonts w:ascii="Times New Roman" w:hAnsi="Times New Roman" w:cs="Times New Roman" w:eastAsia="Times New Roman"/>
                <w:sz w:val="24"/>
              </w:rPr>
              <w:t>Zároveň odporúčame zvážiť, či medzi výsledky zakladajúce nárok na príspevok nezahrnúť aj medailové umiestnenia zo Svetových hier (The World Games). Svetové hry predstavujú vrcholné medzinárodné multišportové podujatie najmä pre neolympijské športy a disciplíny a v niektorých športoch predstavuje medailové umiestnenie na tomto podujatí jeden z najvyšších možných výsledkov športovca v medzinárodnej konkurencii.</w:t>
              <w:br/>
            </w:r>
            <w:r>
              <w:rPr>
                <w:b w:val="off"/>
                <w:color w:val="000000"/>
                <w:rFonts w:ascii="Times New Roman" w:hAnsi="Times New Roman" w:cs="Times New Roman" w:eastAsia="Times New Roman"/>
                <w:sz w:val="24"/>
              </w:rPr>
              <w:t>Cieľom pripomienky nie je znižovať význam úspechu ktoréhokoľvek športového reprezentanta, ale vytvoriť systém, ktorý bude pri dlhodobom poskytovaní príspevku zo štátnych prostriedkov objektívnejšie reflektovať skutočnú športovú hodnotu a medzinárodný význam dosiahnutého výsledku.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Žiadame z predkladacej správy - stanoviska Ministerstva cestovného ruchu a športu Slovenskej republiky - vypustiť návrh v bode 5.</w:t>
              <w:br/>
            </w:r>
            <w:r>
              <w:rPr>
                <w:b w:val="off"/>
                <w:color w:val="000000"/>
                <w:rFonts w:ascii="Times New Roman" w:hAnsi="Times New Roman" w:cs="Times New Roman" w:eastAsia="Times New Roman"/>
                <w:sz w:val="24"/>
              </w:rPr>
              <w:t xml:space="preserve">Odôvodnenie: Nestotožňujeme sa s návrhom doplniť predkladaný návrh zákona o nový novelizačný článok II, ktorým sa má novelizovať zákon č. 461/2003 Z. z. o sociálnom poistení v znení neskorších predpisov (ďalej len „zákon č. 461/2003 Z. z.“). Naviazanie zvyšovania príspevku na percento zvýšenia dôchodkových dávok podľa zákona č. 461/2003 Z. z. neodôvodňuje potrebu osobitnej novelizácie zákona č. 461/2003 Z. z. a to ani v súvislosti </w:t>
              <w:br/>
            </w:r>
            <w:r>
              <w:rPr>
                <w:b w:val="off"/>
                <w:color w:val="000000"/>
                <w:rFonts w:ascii="Times New Roman" w:hAnsi="Times New Roman" w:cs="Times New Roman" w:eastAsia="Times New Roman"/>
                <w:sz w:val="24"/>
              </w:rPr>
              <w:t>s úpravou súvisiacich povinností Sociálnej poisťovne. Povinnosti Sociálnej poisťovni možno ukladať akýmkoľvek zákonom, nie len zákonom č. 461/2003 Z. z. Navrhovaná právna úprava teda nepredstavuje nepriamu novelizáciu.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čl. I bode 1 navrhovanom ustanovení § 3 ods. 2 sa zavádza každoročné zvyšovanie príspevku o príslušné percento zvýšenia dôchodkových dávok s odkazom na § 82 zákona č. 461/2003 Z. z. V texte však absentuje explicitné určenie spôsobu zaokrúhľovania takto zvýšenej sumy príspevku. Keďže príspevok športovému reprezentantovi je samostatnou štátnou sociálnou dávkou, nemožno naň bez výslovného zákonného splnomocnenia aplikovať pravidlá zaokrúhľovania dôchodkových dávok (na 10 eurocentov nahor) podľa § 116 ods. 8 zákona č. 461/2003 Z. z. Je preto nevyhnutné priamo do textu doplniť pravidlo zaokrúhľovania.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čl. I bode 5 navrhovanom ustanovení § 12 ods. 1 písm. a) absentuje právna úprava situácie, ak suma príspevku vyplácaného k 31. decembru 2026 je rovnaká ako suma príspevku určená podľa navrhovanej právnej úpravy. Je preto potrebné v písmene a) za slovo „nižšia“ vložiť slová „alebo rovnaká“.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poslaneckého návrhu k § 2 ods. 1 písm. b) zákona č. 112/2015 Z. z.</w:t>
              <w:br/>
            </w:r>
            <w:r>
              <w:rPr>
                <w:b w:val="off"/>
                <w:color w:val="000000"/>
                <w:rFonts w:ascii="Times New Roman" w:hAnsi="Times New Roman" w:cs="Times New Roman" w:eastAsia="Times New Roman"/>
                <w:sz w:val="24"/>
              </w:rPr>
              <w:t xml:space="preserve">Predložený poslanecký návrh zákona nezosúladil právnu úpravu s judikatúrou Súdneho dvora Európskej únie, nakoľko nárok na poskytovanie príspevku športovému reprezentantovi (ďalej len „príspevok“) je naďalej naviazaný na štátne občianstvo Slovenskej republiky, čím diskriminuje bývalých reprezentantov, ktorí nemajú štátne občianstvo Slovenskej republiky. </w:t>
              <w:br/>
            </w:r>
            <w:r>
              <w:rPr>
                <w:b w:val="off"/>
                <w:color w:val="000000"/>
                <w:rFonts w:ascii="Times New Roman" w:hAnsi="Times New Roman" w:cs="Times New Roman" w:eastAsia="Times New Roman"/>
                <w:sz w:val="24"/>
              </w:rPr>
              <w:t xml:space="preserve">Poukazujeme na rozsudok Súdneho dvora Európskej únie sp.zn. C-447/18 z 18. decembra 2019 a rozsudok Najvyššieho súdu Slovenskej republiky č. 1Sžsk/33/2017 z 25. februára 2020, podľa ktorých aj štátni príslušníci iného členského štátu Európskej únie alebo členského štátu Európskeho združenia voľného obchodu, ktorí majú postavenie migrujúcich pracovníkov majú nárok na príspevok. Súdny dvor Európskej únie v rozsudku sp. zn. C-447/18 z 18. decembra 2019 totiž uviedol, že „pracovník, ktorý je štátnym príslušníkom členského štátu Európskej únie, požíva na území iných členských štátov rovnaké sociálne </w:t>
              <w:br/>
            </w:r>
            <w:r>
              <w:rPr>
                <w:b w:val="off"/>
                <w:color w:val="000000"/>
                <w:rFonts w:ascii="Times New Roman" w:hAnsi="Times New Roman" w:cs="Times New Roman" w:eastAsia="Times New Roman"/>
                <w:sz w:val="24"/>
              </w:rPr>
              <w:t>a daňové výhody ako pracovníci, ktorí sú ich vlastnými štátnymi príslušníkmi podľa článku 7 ods. 2 nariadenia Európskeho parlamentu a Rady (EÚ) č. 492/2011 z 5. apríla 2011 o slobode pohybu pracovníkov v rámci Únie. Členský štát, ktorý takýto príspevok priznáva pracovníkom, ktorí sú jeho vlastnými štátnymi príslušníkmi, ho nemôže odoprieť pracovníkom, ktorí sú štátnymi príslušníkmi iných členských štátov bez toho, aby sa dopustil diskriminácie na základe štátnej príslušnosti. V súvislosti s vyššie uvedeným takáto osoba má nárok na príspevok“. Nárok na príspevok teda za splnenia ostatných zákonných podmienok môže vzniknúť aj štátnemu občanovi iného členského štátu Európskej únie alebo členského štátu Európskeho združenia voľného obchodu, na ktorého sa vzťahujú koordinačné nariadenia Európskej únie, a ktorý pracoval alebo pracuje na území Slovenskej republiky.</w:t>
              <w:br/>
            </w:r>
            <w:r>
              <w:rPr>
                <w:b w:val="off"/>
                <w:color w:val="000000"/>
                <w:rFonts w:ascii="Times New Roman" w:hAnsi="Times New Roman" w:cs="Times New Roman" w:eastAsia="Times New Roman"/>
                <w:sz w:val="24"/>
              </w:rPr>
              <w:t>Je preto nevyhnutné právnu úpravu príspevku športovému reprezentantovi zosúladiť s judikatúrou Súdneho dvora Európskej únie.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súlade s § 33 ods. 1 zákona č. 523/2004 Z. z. o rozpočtových pravidlách verejnej správy a o zmene a doplnení niektorých zákonov navrhujeme uviesť spôsob zabezpečovania krytia navýšených výdavkov, keďže návrh má negatívny vplyv na rozpočet verejnej správy z dôvodu zvýšenia výdavkov na príspevok športovému reprezentantovi a na výdavky spojené s jeho výplatou.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 (16o,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8</w:t>
            </w:r>
          </w:p>
        </w:tc>
        <w:tc>
          <w:tcPr>
            <w:vAlign w:val="center"/>
          </w:tcPr>
          <w:p>
            <w:pPr>
              <w:spacing w:after="0"/>
              <w:jc w:val="center"/>
            </w:pPr>
            <w:r>
              <w:rPr>
                <w:b w:val="on"/>
                <w:color w:val="000000"/>
                <w:rFonts w:ascii="Times New Roman" w:hAnsi="Times New Roman" w:cs="Times New Roman" w:eastAsia="Times New Roman"/>
                <w:sz w:val="24"/>
              </w:rPr>
              <w:t>3</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