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o zmene a doplnení niektorých zákonov v súvislosti s prijatím Občianskeho zákonníka</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LP/2026/517</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1159</w:t>
      </w:r>
      <w:r w:rsidR="002E3CEC">
        <w:rPr>
          <w:rFonts w:ascii="Times New Roman" w:eastAsia="Times New Roman" w:hAnsi="Times New Roman" w:cs="Times New Roman"/>
          <w:sz w:val="24"/>
          <w:szCs w:val="24"/>
          <w:lang w:val="en-US"/>
        </w:rPr>
        <w:t>/294</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(Obchodný zákonník), novelizačný bod 2, § 2 a novelizačný bod 26, § 68b ods. 1 písm. c)</w:t>
              <w:br/>
            </w:r>
            <w:r>
              <w:rPr>
                <w:b w:val="off"/>
                <w:color w:val="000000"/>
                <w:rFonts w:ascii="Times New Roman" w:hAnsi="Times New Roman" w:cs="Times New Roman" w:eastAsia="Times New Roman"/>
                <w:sz w:val="24"/>
              </w:rPr>
              <w:t>1. V Čl. II, novelizačnom bode 2 navrhujeme § 2 doplniť odsekom 4, ktorý zachová doterajšie znenie druhej vety § 2 ods. 3 Obchodného zákonníka (s terminologickou úpravou podľa § 1506 Občianskeho zákonníka):</w:t>
              <w:br/>
            </w:r>
            <w:r>
              <w:rPr>
                <w:b w:val="off"/>
                <w:color w:val="000000"/>
                <w:rFonts w:ascii="Times New Roman" w:hAnsi="Times New Roman" w:cs="Times New Roman" w:eastAsia="Times New Roman"/>
                <w:sz w:val="24"/>
              </w:rPr>
              <w:t>„(4) Právnická osoba alebo fyzická osoba musí preukázať, že má k nehnuteľnosti alebo jej časti, ktorej adresa je ako jej sídlo alebo miesto podnikania zapísaná v obchodnom registri alebo v živnostenskom registri, alebo v inej evidencii ustanovenej osobitným zákonom, vlastnícke právo alebo užívacie právo, ktoré užívanie nehnuteľnosti alebo jej časti ako sídla alebo miesta podnikania nevylučuje, alebo písomný súhlas vlastníka nehnuteľnosti alebo jej časti s úradne osvedčeným podpisom alebo písomný súhlas väčšiny spoluvlastníkov nehnuteľnosti alebo jej časti, ak ide o spoluvlastníctvo k nehnuteľnosti alebo jej časti, počítanej podľa veľkosti ich podielov, s úradne osvedčenými podpismi so zápisom nehnuteľnosti alebo jej časti ako sídla alebo miesta podnikania do obchodného registra, živnostenského registra alebo inej evidencie ustanovenej osobitným zákonom; to neplatí, ak právo na užívanie nehnuteľnosti alebo jej časti ako sídla alebo miesta podnikania vyplýva z katastra nehnuteľností.“.</w:t>
              <w:br/>
            </w:r>
            <w:r>
              <w:rPr>
                <w:b w:val="off"/>
                <w:color w:val="000000"/>
                <w:rFonts w:ascii="Times New Roman" w:hAnsi="Times New Roman" w:cs="Times New Roman" w:eastAsia="Times New Roman"/>
                <w:sz w:val="24"/>
              </w:rPr>
              <w:t>2. V Čl. II bode 26 navrhujeme slová „§ 215 Občianskeho zákonníka“ nahradiť slovami „§ 2 ods. 4 alebo § 215 Občianskeho zákonníka“.</w:t>
              <w:br/>
            </w:r>
            <w:r>
              <w:rPr>
                <w:b w:val="off"/>
                <w:color w:val="000000"/>
                <w:rFonts w:ascii="Times New Roman" w:hAnsi="Times New Roman" w:cs="Times New Roman" w:eastAsia="Times New Roman"/>
                <w:sz w:val="24"/>
              </w:rPr>
              <w:t>Odôvodnenie: Vychádzame z toho, že aktuálne znenie ustanovenia § 2 ods. 3 Obchodného zákonníka ukladá podnikateľom povinnosť preukázať právo k nehnuteľnosti, ktorej adresa je zapísaná ako sídlo alebo miesto podnikania, alebo súhlas vlastníka. Na nesplnenie tejto podmienky nadväzuje aj dôvod na zrušenie spoločnosti súdom podľa § 68b ods. 1 písm. c).</w:t>
              <w:br/>
            </w:r>
            <w:r>
              <w:rPr>
                <w:b w:val="off"/>
                <w:color w:val="000000"/>
                <w:rFonts w:ascii="Times New Roman" w:hAnsi="Times New Roman" w:cs="Times New Roman" w:eastAsia="Times New Roman"/>
                <w:sz w:val="24"/>
              </w:rPr>
              <w:t>Návrh v Čl. II bode 2 nahrádza § 2 novým znením, avšak bez tejto povinnosti. V zákone o obchodnom registri sa táto povinnosť síce premieta, ale len ako predmet prieskumu pri registrácii sídla (Čl. CCXXIX bod 7, § 51 ods. 7). Bod 26 nahrádza odkaz na § 2 ods. 3 odkazom na § 215 Občianskeho zákonníka, ktorý ale takúto podmienku neobsahuje.</w:t>
              <w:br/>
            </w:r>
            <w:r>
              <w:rPr>
                <w:b w:val="off"/>
                <w:color w:val="000000"/>
                <w:rFonts w:ascii="Times New Roman" w:hAnsi="Times New Roman" w:cs="Times New Roman" w:eastAsia="Times New Roman"/>
                <w:sz w:val="24"/>
              </w:rPr>
              <w:t>Dôsledkom by podľa nás bolo, že povinnosť mať k sídlu právny titul ako trvajúca hmotnoprávna povinnosť podnikateľa zanikne okamihom registrácie, keďže jej splnenie by sa preverovalo práve len pri registrácii. Súd by zároveň stratil dôvod na zrušenie spoločnosti, ktorá sídlo užíva bez právneho titulu, keďže § 68b ods. 1 písm. c) by odkazoval len na § 215 Občianskeho zákonníka.</w:t>
              <w:br/>
            </w:r>
            <w:r>
              <w:rPr>
                <w:b w:val="off"/>
                <w:color w:val="000000"/>
                <w:rFonts w:ascii="Times New Roman" w:hAnsi="Times New Roman" w:cs="Times New Roman" w:eastAsia="Times New Roman"/>
                <w:sz w:val="24"/>
              </w:rPr>
              <w:t>Takáto vecná zmena nevyplýva z prijatia Občianskeho zákonníka a ide proti cieľu obmedziť fiktívne sídla. Navrhujeme preto buď zachovať doterajší stav (a teda vyššie uvedený návrh), alebo ak predkladateľ trvá na presune do registračných predpisov, tak navrhujeme alternatívne upraviť § 68b ods. 1 písm. c) tak, aby dôvodom na zrušenie spoločnosti bolo aj to, že spoločnosť nemá k nehnuteľnosti, ktorej adresa je zapísaná ako jej sídlo, právo alebo súhlas podľa § 51 ods. 7 zákona o obchodnom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k § 14 a súvisiace</w:t>
              <w:br/>
            </w:r>
            <w:r>
              <w:rPr>
                <w:b w:val="off"/>
                <w:color w:val="000000"/>
                <w:rFonts w:ascii="Times New Roman" w:hAnsi="Times New Roman" w:cs="Times New Roman" w:eastAsia="Times New Roman"/>
                <w:sz w:val="24"/>
              </w:rPr>
              <w:t>Navrhujeme zvážiť spôsob konania prokurista vs. štatutárny orgán, a to tak, že sa zavedie skutočný „princíp štyroch očí“, teda, že aj pri konateľoch bude uvedené, že môžu konať spolu s iným konateľom alebo prokuristom.</w:t>
              <w:br/>
            </w:r>
            <w:r>
              <w:rPr>
                <w:b w:val="off"/>
                <w:color w:val="000000"/>
                <w:rFonts w:ascii="Times New Roman" w:hAnsi="Times New Roman" w:cs="Times New Roman" w:eastAsia="Times New Roman"/>
                <w:sz w:val="24"/>
              </w:rPr>
              <w:t>Odôvodnenie: Aktuálne zvolený hybrid tohto princípu, t.j. že len prokúru je možné udeliť spôsobom, že prokurista je povinný konať s konateľom, opačne však obmedzenie nefunguje, nebude v praxi fungovať, nezodpovedá tomu po čom podnikateľská obec volala, a v praxi môže spôsobiť ešte viac problémov. Zmyslom princípu je, aby sa konateľ a prokurista kontrolovali (a obmedzovali navzájom), čiže kontrola a obmedzenie musí fungovať oboma smermi. Pri nastavení obmedzenia len pre prokuristu môžu nastať dve situácie: každý úkon prokuristu bude musieť spolupodpísať aj konateľ. Konateľ obmedzený nie je. Nejde teda o princíp vzájomnej kontroly, len musí všetko spolupodpisovať konateľ, čo môže robiť rovno aj sám a prokurista sa stáva zbytočným. Ešte komplikovanejšia situácia nastane, ak má konateľ spoločné konanie s iným konateľom a súčasne dôjde k udeleniu prokúry, kedy prokurista musí konať spoločne s konateľom. Toto však konateľ nemôže urobiť, lebo by porušil svoj spôsob konania. Čiže by fakticky úkony prokuristu museli spolupodpisovať obaja konatelia.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k novelizačnému bodu 16, § 66 ods. 6</w:t>
              <w:br/>
            </w:r>
            <w:r>
              <w:rPr>
                <w:b w:val="off"/>
                <w:color w:val="000000"/>
                <w:rFonts w:ascii="Times New Roman" w:hAnsi="Times New Roman" w:cs="Times New Roman" w:eastAsia="Times New Roman"/>
                <w:sz w:val="24"/>
              </w:rPr>
              <w:t>Navrhujeme doplniť výslovný odkaz na použitie § 224 ods. 3 a 4 Občianskeho zákonníka aj na právne vzťahy medzi spoločnosťou a štatutárom podľa Obchodného zákonníka.</w:t>
              <w:br/>
            </w:r>
            <w:r>
              <w:rPr>
                <w:b w:val="off"/>
                <w:color w:val="000000"/>
                <w:rFonts w:ascii="Times New Roman" w:hAnsi="Times New Roman" w:cs="Times New Roman" w:eastAsia="Times New Roman"/>
                <w:sz w:val="24"/>
              </w:rPr>
              <w:t>Odôvodnenie: Je žiadúce, aby aj pri obchodných spoločnostiach bolo možné pri zmluvách so štatutármi primerane použiť pracovnoprávne predpisy (pričom tento vzťah nebude pracovným pomerom). Zároveň je žiadúce odstrániť právnu neistotu vo vzťahoch medzi obchodnými spoločnosťami a štatutármi tým, že sa aj v Obchodnom zákonníku zakotví pravidlo, že štatutár má nárok na odmenu, len ak je výslovne dohodnutá. Odkaz na príkaznú zmluvu nepostačuje, nakoľko táto opäť predpokladá dohodnutú alebo obvyklú odmenu. Prax pritom ukazuje, že ak odmena výslovne nebola dohodnutá, tak obe strany zamýšľali, že funkcia má byť vykonávaná bezodplatne, a nároky na obvyklú odmenu boli zvyčajne uplatňované účelovo po skončení funkcie. Máme za to, že nie je dôvod, aby úprava v Občianskom a Obchodnom zákonníku v tomto smere bola odlišná. Či možno aj na právne vzťahy obchodná spoločnosť vs. štatutár subsidiárne použiť uvedené ustanovenia Občianskeho zákonníka bez výslovného odkazu je podľa nás sporné (resp. myslíme si, že to tak nie je) a v praxi to bude naďalej spôsobovať problémy, ak táto otázka nebude jasne stanovená či už totožnou úpravou v Obchodnom zákonníku, alebo jasným odkazom na aplikáciu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II,nový novelizačný bod súvislostiach aj Čl. CXXI bod 11, Čl. CLIII bod 14, § 1893,1894I Obč. z.</w:t>
              <w:br/>
            </w:r>
            <w:r>
              <w:rPr>
                <w:b w:val="off"/>
                <w:color w:val="000000"/>
                <w:rFonts w:ascii="Times New Roman" w:hAnsi="Times New Roman" w:cs="Times New Roman" w:eastAsia="Times New Roman"/>
                <w:sz w:val="24"/>
              </w:rPr>
              <w:t>V Čl. II navrhujeme doplniť nový novelizačný bod, ktorým sa do Obchodného zákonníka vloží prechodné ustanovenie (číslovanie upraví predkladateľ), ktoré znie:</w:t>
              <w:br/>
            </w:r>
            <w:r>
              <w:rPr>
                <w:b w:val="off"/>
                <w:color w:val="000000"/>
                <w:rFonts w:ascii="Times New Roman" w:hAnsi="Times New Roman" w:cs="Times New Roman" w:eastAsia="Times New Roman"/>
                <w:sz w:val="24"/>
              </w:rPr>
              <w:t>„§ 768v</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(1) Ak iný právny predpis odkazuje na ustanovenie tohto zákona v znení účinnom do 30. júna 2027, ktorého obsah od 1. júla 2027 upravuje Občiansky zákonník, rozumie sa tým odkaz na ustanovenie Občianskeho zákonníka, ktoré je mu svojím obsahom a účelom najbližšie.</w:t>
              <w:br/>
            </w:r>
            <w:r>
              <w:rPr>
                <w:b w:val="off"/>
                <w:color w:val="000000"/>
                <w:rFonts w:ascii="Times New Roman" w:hAnsi="Times New Roman" w:cs="Times New Roman" w:eastAsia="Times New Roman"/>
                <w:sz w:val="24"/>
              </w:rPr>
              <w:t>(2) Právne vzťahy, ktoré sa do 30. júna 2027 spravovali treťou časťou tohto zákona, ako aj práva a povinnosti z nich vyplývajúce, vrátane práv a povinností z porušenia zmlúv uzavretých do 30. júna 2027, sa spravujú týmto zákonom v znení účinnom do 30. júna 2027; ustanovenie § 1893 ods. 4 Občianskeho zákonníka tým nie je dotknuté.</w:t>
              <w:br/>
            </w:r>
            <w:r>
              <w:rPr>
                <w:b w:val="off"/>
                <w:color w:val="000000"/>
                <w:rFonts w:ascii="Times New Roman" w:hAnsi="Times New Roman" w:cs="Times New Roman" w:eastAsia="Times New Roman"/>
                <w:sz w:val="24"/>
              </w:rPr>
              <w:t>(3) Zmluva uzavretá po 30. júni 2027 na základe zmluvy uzavretej do 30. júna 2027, ktorá určuje obsah zmlúv uzatváraných medzi tými istými stranami v budúcnosti (rámcová zmluva), sa spravuje rovnakými predpismi ako rámcová zmluva, ak sa strany písomne nedohodnú inak.“.</w:t>
              <w:br/>
            </w:r>
            <w:r>
              <w:rPr>
                <w:b w:val="off"/>
                <w:color w:val="000000"/>
                <w:rFonts w:ascii="Times New Roman" w:hAnsi="Times New Roman" w:cs="Times New Roman" w:eastAsia="Times New Roman"/>
                <w:sz w:val="24"/>
              </w:rPr>
              <w:t>Alternatívne navrhujeme účinok odseku 1 dosiahnuť doplnením § 1894 Občianskeho zákonníka tak, aby sa vzťahoval aj na odkazy na ustanovenia iných predpisov v znení účinnom do 30. júna 2027, ktorých obsah od 1. júla 2027 upravuje Občiansky zákonník</w:t>
              <w:br/>
            </w:r>
            <w:r>
              <w:rPr>
                <w:b w:val="off"/>
                <w:color w:val="000000"/>
                <w:rFonts w:ascii="Times New Roman" w:hAnsi="Times New Roman" w:cs="Times New Roman" w:eastAsia="Times New Roman"/>
                <w:sz w:val="24"/>
              </w:rPr>
              <w:t>Odôvodnenie: K odseku 1 (odkazy na vypustené ustanovenia):</w:t>
              <w:br/>
            </w:r>
            <w:r>
              <w:rPr>
                <w:b w:val="off"/>
                <w:color w:val="000000"/>
                <w:rFonts w:ascii="Times New Roman" w:hAnsi="Times New Roman" w:cs="Times New Roman" w:eastAsia="Times New Roman"/>
                <w:sz w:val="24"/>
              </w:rPr>
              <w:t>Čl. II bod 57 vypúšťa celú tretiu časť Obchodného zákonníka a body 2 až 13 vypúšťajú alebo nahrádzajú ďalšie ustanovenia jeho prvej časti (napr. § 2, § 5 až 20, piatu hlavu). Ustanovenie § 1894 Občianskeho zákonníka sa podľa svojho znenia vzťahuje len na odkazy na ustanovenia „zrušené týmto zákonom“, t. j. novým Občianskym zákonníkom, pričom tak ho vysvetľuje aj dôvodová správa. Na ustanovenia Obchodného zákonníka vypúšťané aktuálne predloženým návrhom sa teda nevzťahuje.</w:t>
              <w:br/>
            </w:r>
            <w:r>
              <w:rPr>
                <w:b w:val="off"/>
                <w:color w:val="000000"/>
                <w:rFonts w:ascii="Times New Roman" w:hAnsi="Times New Roman" w:cs="Times New Roman" w:eastAsia="Times New Roman"/>
                <w:sz w:val="24"/>
              </w:rPr>
              <w:t>Pravidlo sa vzťahuje len na ustanovenia, ktorých obsah od 1. júla 2027 upravuje Občiansky zákonník (napr. tretia časť alebo doterajšie vymedzenie podnikateľa v § 2 ods. 2, teraz § 7 Občianskeho zákonníka). Nevzťahuje sa na ustanovenia, ktoré zostávajú v Obchodnom zákonníku v novom znení (napr. § 82 ods. 2), a slová „v znení účinnom do 30. júna 2027“ zabraňujú tomu, aby zasiahlo nové odkazy na nové znenie (napr. § 2 ods. 2 o adrese).“</w:t>
              <w:br/>
            </w:r>
            <w:r>
              <w:rPr>
                <w:b w:val="off"/>
                <w:color w:val="000000"/>
                <w:rFonts w:ascii="Times New Roman" w:hAnsi="Times New Roman" w:cs="Times New Roman" w:eastAsia="Times New Roman"/>
                <w:sz w:val="24"/>
              </w:rPr>
              <w:t>Návrh odkazy opravuje len v predpisoch, ktoré novelizuje. Viaceré predpisy odkazujúce na vypúšťané ustanovenia novelizované nie sú, napr. zákon č. 56/2012 Z. z. o cestnej doprave (t.j. poznámky pod čiarou k odkazom 6 a 30b – § 610 a § 622 až 624 Obchodného zákonníka), zákon č. 144/1998 Z. z. o skladiskovom záložnom liste a tovarovom záložnom liste (poznámka pod čiarou k odkazu 5 – § 527 až 535 Obchodného zákonníka) alebo zákon č. 199/2004 Z. z. Colný zákon (poznámka pod čiarou k odkazu 12 – § 2 ods. 2 Obchodného zákonníka).</w:t>
              <w:br/>
            </w:r>
            <w:r>
              <w:rPr>
                <w:b w:val="off"/>
                <w:color w:val="000000"/>
                <w:rFonts w:ascii="Times New Roman" w:hAnsi="Times New Roman" w:cs="Times New Roman" w:eastAsia="Times New Roman"/>
                <w:sz w:val="24"/>
              </w:rPr>
              <w:t>Neaktuálne odkazy zostávajú aj v predpisoch, ktoré návrh novelizuje: napr. v živnostenskom zákone (Čl. XVIII) zostávajú naďalej poznámky pod čiarou k odkazom 33 (§ 7 ods. 3 Obchodného zákonníka) a 48 (§ 2 ods. 2 písm. c) Obchodného zákonníka). Osobitne rizikové sú ustanovenia, ktoré sa nevypúšťajú, ale dostávajú iný obsah. Podľa Čl. II bodu 2 bude § 2 ods. 2 Obchodného zákonníka definovať „adresu“, hoci iné predpisy naň odkazujú ako na vymedzenie podnikateľa (napr. Colný zákon). Takýto odkaz by od 1. júla 2027 formálne smeroval na iný obsah.</w:t>
              <w:br/>
            </w:r>
            <w:r>
              <w:rPr>
                <w:b w:val="off"/>
                <w:color w:val="000000"/>
                <w:rFonts w:ascii="Times New Roman" w:hAnsi="Times New Roman" w:cs="Times New Roman" w:eastAsia="Times New Roman"/>
                <w:sz w:val="24"/>
              </w:rPr>
              <w:t>K odseku 2 (právne vzťahy vzniknuté do 30. júna 2027):</w:t>
              <w:br/>
            </w:r>
            <w:r>
              <w:rPr>
                <w:b w:val="off"/>
                <w:color w:val="000000"/>
                <w:rFonts w:ascii="Times New Roman" w:hAnsi="Times New Roman" w:cs="Times New Roman" w:eastAsia="Times New Roman"/>
                <w:sz w:val="24"/>
              </w:rPr>
              <w:t xml:space="preserve">Návrh sám v Čl. CXXI bode 11 a Čl. CLIII bode 14 ustanovuje pre dva osobitné zákony výklad vo vzťahu k zmluvám uzavretým podľa Obchodného zákonníka. Podľa dôvodovej správy k návrhu sa tým má zabezpečiť kontinuita uplatňovania zákona po presune zmluvnej právnej úpravy z Obchodného zákonníka do Občianskeho zákonníka, pričom však  rovnaká potreba existuje vo všetkých predpisoch, ktoré na tretiu časť Obchodného zákonníka nadväzuje. Riešenie len v dvoch predpisoch zakladá riziko výkladu a contrario pre ostatné predpisy. </w:t>
              <w:br/>
            </w:r>
            <w:r>
              <w:rPr>
                <w:b w:val="off"/>
                <w:color w:val="000000"/>
                <w:rFonts w:ascii="Times New Roman" w:hAnsi="Times New Roman" w:cs="Times New Roman" w:eastAsia="Times New Roman"/>
                <w:sz w:val="24"/>
              </w:rPr>
              <w:t>Podľa § 1893 ods. 3 Občianskeho zákonníka a dôvodovej správy k vládnemu návrhu sa záväzkové vzťahy vzniknuté pred 1. júlom 2027 spravujú doterajšími predpismi. Právne úkony uskutočnené po tomto dni (dodatky, urovnania, postúpenia, započítania) sa však zrejme ako také spravujú novou úpravou.</w:t>
              <w:br/>
            </w:r>
            <w:r>
              <w:rPr>
                <w:b w:val="off"/>
                <w:color w:val="000000"/>
                <w:rFonts w:ascii="Times New Roman" w:hAnsi="Times New Roman" w:cs="Times New Roman" w:eastAsia="Times New Roman"/>
                <w:sz w:val="24"/>
              </w:rPr>
              <w:t>K odseku 3 (rámcové zmluvy):</w:t>
              <w:br/>
            </w:r>
            <w:r>
              <w:rPr>
                <w:b w:val="off"/>
                <w:color w:val="000000"/>
                <w:rFonts w:ascii="Times New Roman" w:hAnsi="Times New Roman" w:cs="Times New Roman" w:eastAsia="Times New Roman"/>
                <w:sz w:val="24"/>
              </w:rPr>
              <w:t>Zákon ani dôvodová správa neriešia rámcové zmluvy, na základe ktorých sa po 1. júli 2027 uzatvárajú čiastkové zmluvy alebo objednávky.</w:t>
              <w:br/>
            </w:r>
            <w:r>
              <w:rPr>
                <w:b w:val="off"/>
                <w:color w:val="000000"/>
                <w:rFonts w:ascii="Times New Roman" w:hAnsi="Times New Roman" w:cs="Times New Roman" w:eastAsia="Times New Roman"/>
                <w:sz w:val="24"/>
              </w:rPr>
              <w:t>V obchodnej praxi, najmä v doprave, zasielateľstve, logistike a dodávateľských reťazcoch, sú rámcové zmluvy s čiastkovými objednávkami štandardom. Čiastková zmluva je podľa nás novou právnou skutočnosťou (§ 1893 ods. 1 Občianskeho zákonníka), zároveň je však súčasťou vzťahu založeného rámcovou zmluvou (§ 1893 ods. 3). Bez exaktnej legislatívnej úpravy vzniká riziko výkladu, že sa na jeden zmluvný vzťah budú uplatňovať dva právne režimy, napr. rozdielne premlčacie lehoty (§ 397 Obchodného zákonníka a § 138 Občianskeho zákonníka) či rozdielne pravidlá o obmedzení náhrady škody, všeobecných zmluvných podmienkach a splatnosti.</w:t>
              <w:br/>
            </w:r>
            <w:r>
              <w:rPr>
                <w:b w:val="off"/>
                <w:color w:val="000000"/>
                <w:rFonts w:ascii="Times New Roman" w:hAnsi="Times New Roman" w:cs="Times New Roman" w:eastAsia="Times New Roman"/>
                <w:sz w:val="24"/>
              </w:rPr>
              <w:t>Navrhované riešenie chráni dôveru strán v dohodnutý zmluvný rámec a ponecháva im možnosť písomne prejsť na novú úpravu. Ak predkladateľ uprednostní opačné riešenie (čiastkové zmluvy podľa novej úpravy), navrhujeme ho ustanoviť výslovne, vrátane pravidla, že dojednania rámcovej zmluvy sa stávajú obsahom čiastkovej zmluvy v rozsahu, v akom neodporujú kogentným ustanoveniam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(Zákonník práce), novelizačný bod 3, § 1 ods. 6</w:t>
              <w:br/>
            </w:r>
            <w:r>
              <w:rPr>
                <w:b w:val="off"/>
                <w:color w:val="000000"/>
                <w:rFonts w:ascii="Times New Roman" w:hAnsi="Times New Roman" w:cs="Times New Roman" w:eastAsia="Times New Roman"/>
                <w:sz w:val="24"/>
              </w:rPr>
              <w:t>Zákonník práce je základným pracovno-právnym kódexom, ktorý má byť zrozumiteľný širokému spektru užívateľov. Zároveň, v nadväznosti na bod 125 navrhujeme spresniť, že môže ísť o dojednanie individuálne aj kolektívne. Preto z tohto dôvodu navrhujeme v § 1 odsek 6 formulovať nasledovne:</w:t>
              <w:br/>
            </w:r>
            <w:r>
              <w:rPr>
                <w:b w:val="off"/>
                <w:color w:val="000000"/>
                <w:rFonts w:ascii="Times New Roman" w:hAnsi="Times New Roman" w:cs="Times New Roman" w:eastAsia="Times New Roman"/>
                <w:sz w:val="24"/>
              </w:rPr>
              <w:t>„Ustanovenia tohto zákona alebo iného pracovnoprávneho predpisu možno autonómnym individuálnym alebo kolektívnym dojednaním nahradiť alebo doplniť len v prospech zamestnanca. Ani v prospech zamestnanca však nemožno meniť podmienky, ktoré zo svojej povahy nie sú ponechané na dohodu strán. Rovnako nemožno uzavrieť dohody, ktoré sú v rozpore so zmyslom alebo účelom zákona, dobrými mravmi či verejným poriadkom.“</w:t>
              <w:br/>
            </w:r>
            <w:r>
              <w:rPr>
                <w:b w:val="off"/>
                <w:color w:val="000000"/>
                <w:rFonts w:ascii="Times New Roman" w:hAnsi="Times New Roman" w:cs="Times New Roman" w:eastAsia="Times New Roman"/>
                <w:sz w:val="24"/>
              </w:rPr>
              <w:t>Odôvodnenie: Navrhované spresnenie ustanovenia § 1 ods. 6 Zákonníka práce sleduje predovšetkým zabezpečenie jeho zrozumiteľnosti, jednoznačnosti a praktickej aplikovateľnosti.</w:t>
              <w:br/>
            </w:r>
            <w:r>
              <w:rPr>
                <w:b w:val="off"/>
                <w:color w:val="000000"/>
                <w:rFonts w:ascii="Times New Roman" w:hAnsi="Times New Roman" w:cs="Times New Roman" w:eastAsia="Times New Roman"/>
                <w:sz w:val="24"/>
              </w:rPr>
              <w:t>Výslovným uvedením individuálnych a kolektívnych dojednaní sa odstraňujú prípadné interpretačné pochybnosti o rozsahu uplatnenia tohto ustanovenia a súčasne sa zabezpečuje jeho terminologická a obsahová nadväznosť na navrhovanú úpravu kolektívnych zmlúv v novelizačnom bode 125 (§ 231 ods. 1 Zákonníka práce). Navrhované znenie jednoznačne vyjadruje, že zásada prípustnosti odchýlenia sa od zákonnej úpravy v prospech zamestnanca sa vzťahuje tak na individuálne pracovnoprávne dojednania, ako aj na kolektívne dojednania.</w:t>
              <w:br/>
            </w:r>
            <w:r>
              <w:rPr>
                <w:b w:val="off"/>
                <w:color w:val="000000"/>
                <w:rFonts w:ascii="Times New Roman" w:hAnsi="Times New Roman" w:cs="Times New Roman" w:eastAsia="Times New Roman"/>
                <w:sz w:val="24"/>
              </w:rPr>
              <w:t>Zároveň sa navrhuje zjednodušiť formuláciu obmedzení zmluvnej autonómie tak, aby bolo z ustanovenia zrejmé, že ani dojednanie v prospech zamestnanca nie je prípustné bezvýhradne. Hranice zmluvnej autonómie sú dané povahou konkrétnej právnej úpravy, jej zmyslom a účelom, ako aj požiadavkou súladu s dobrými mravmi a verejným poriadkom.</w:t>
              <w:br/>
            </w:r>
            <w:r>
              <w:rPr>
                <w:b w:val="off"/>
                <w:color w:val="000000"/>
                <w:rFonts w:ascii="Times New Roman" w:hAnsi="Times New Roman" w:cs="Times New Roman" w:eastAsia="Times New Roman"/>
                <w:sz w:val="24"/>
              </w:rPr>
              <w:t>Cieľom pripomienky nie je rozširovať možnosti odchyľovania sa od kogentných ustanovení pracovnoprávnych predpisov ani oslabiť ochrannú funkciu pracovného práva, ale zachovať vecný zámer predkladateľa pri súčasnom zvýšení právnej istoty a zrozumiteľnosti právnej úpravy. Navrhovaná formulácia tak rešpektuje zásadu ochrany zamestnanca ako slabšej strany pracovnoprávneho vzťahu a zároveň prispieva k jednotnému výkladu a uplatňovaniu pravidiel individuálneho a kolektívneho pracovného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(Zákonník práce), novelizačný bod 5, § 7</w:t>
              <w:br/>
            </w:r>
            <w:r>
              <w:rPr>
                <w:b w:val="off"/>
                <w:color w:val="000000"/>
                <w:rFonts w:ascii="Times New Roman" w:hAnsi="Times New Roman" w:cs="Times New Roman" w:eastAsia="Times New Roman"/>
                <w:sz w:val="24"/>
              </w:rPr>
              <w:t xml:space="preserve">Žiadame vypustiť novelizačný bod 5 z návrhu zákona bez náhrady. </w:t>
              <w:br/>
            </w:r>
            <w:r>
              <w:rPr>
                <w:b w:val="off"/>
                <w:color w:val="000000"/>
                <w:rFonts w:ascii="Times New Roman" w:hAnsi="Times New Roman" w:cs="Times New Roman" w:eastAsia="Times New Roman"/>
                <w:sz w:val="24"/>
              </w:rPr>
              <w:t>Odôvodnenie: Predkladateľ v § 7 navrhuje úplne vypustiť odsek 2 a odkazuje na právnickú osobu a jej právnu subjektivitu podobne, ako je to v Českej republike. Zároveň v dôvodovej správe uvádza, že na účely pracovnoprávnych vzťahov je potrebné ponechať len osobitnú právnu úpravu konania do vnútra pracovnoprávnych vzťahov.</w:t>
              <w:br/>
            </w:r>
            <w:r>
              <w:rPr>
                <w:b w:val="off"/>
                <w:color w:val="000000"/>
                <w:rFonts w:ascii="Times New Roman" w:hAnsi="Times New Roman" w:cs="Times New Roman" w:eastAsia="Times New Roman"/>
                <w:sz w:val="24"/>
              </w:rPr>
              <w:t>Doterajšia právna úprava v odseku 2 umožňuje definovať „zamestnávateľa aj ako organizačnú jednotku zamestnávateľa, ak to ustanovujú osobitné predpisy alebo stanovy podľa osobitného predpisu. Ak je účastníkom pracovnoprávneho vzťahu zamestnávateľ, nemôže ním byť súčasne jeho organizačná jednotka a naopak.“</w:t>
              <w:br/>
            </w:r>
            <w:r>
              <w:rPr>
                <w:b w:val="off"/>
                <w:color w:val="000000"/>
                <w:rFonts w:ascii="Times New Roman" w:hAnsi="Times New Roman" w:cs="Times New Roman" w:eastAsia="Times New Roman"/>
                <w:sz w:val="24"/>
              </w:rPr>
              <w:t xml:space="preserve">Vypustením tohto ustanovenia dôjde k zásadným zmenám a výrazne zasiahne do vzťahov zamestnanca a zamestnávateľa tam, kde je takáto možnosť dnes legálne aplikovaná a napr. odštepný závod alebo organizačná zložka vystupuje v pracovno-právnych vzťahoch ako zamestnávateľ. </w:t>
              <w:br/>
            </w:r>
            <w:r>
              <w:rPr>
                <w:b w:val="off"/>
                <w:color w:val="000000"/>
                <w:rFonts w:ascii="Times New Roman" w:hAnsi="Times New Roman" w:cs="Times New Roman" w:eastAsia="Times New Roman"/>
                <w:sz w:val="24"/>
              </w:rPr>
              <w:t xml:space="preserve">Praktická aplikácia odseku 2 nepreukázala, že by vytvárala komplikácie v identifikácii zamestnávateľa či už pri samotných pracovno-právnych aktoch alebo na súdoch, pri inšpekcii práce, alebo v sociálnom poistení, v zdravotnom poistení, v službách zamestnanosti alebo v sociálnom dialógu so zástupcami zamestnancov. </w:t>
              <w:br/>
            </w:r>
            <w:r>
              <w:rPr>
                <w:b w:val="off"/>
                <w:color w:val="000000"/>
                <w:rFonts w:ascii="Times New Roman" w:hAnsi="Times New Roman" w:cs="Times New Roman" w:eastAsia="Times New Roman"/>
                <w:sz w:val="24"/>
              </w:rPr>
              <w:t>V nadväznosti na všeobecnú poznámku v úvode, tento návrh zásadne prekračuje zásadným spôsobom potrebný rámec implementácie nového OZ, nakoľko táto zmena definície zamestnávateľa sa neviaže na nový OZ. Návrh bez posúdenia jeho dôsledkov výrazne zasahuje do existujúceho právneho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28, § 34</w:t>
              <w:br/>
            </w:r>
            <w:r>
              <w:rPr>
                <w:b w:val="off"/>
                <w:color w:val="000000"/>
                <w:rFonts w:ascii="Times New Roman" w:hAnsi="Times New Roman" w:cs="Times New Roman" w:eastAsia="Times New Roman"/>
                <w:sz w:val="24"/>
              </w:rPr>
              <w:t>Predkladateľ uvádza, že dochádza k presunu súčasného § 20 Zabezpečenie práv a povinností z pracovnoprávnych vzťahov do nového § 34, avšak § 20 ponecháva bezo zmeny, čo znamená, že v Zákonníku práce bude obsahovo rovnaké ustanovenie duplicitne na 2 miestach. Uvedenú duplicitu je potrebné vyriešiť a primerane upraviť dotknuté ustanovenia zákonníka.</w:t>
              <w:br/>
            </w:r>
            <w:r>
              <w:rPr>
                <w:b w:val="off"/>
                <w:color w:val="000000"/>
                <w:rFonts w:ascii="Times New Roman" w:hAnsi="Times New Roman" w:cs="Times New Roman" w:eastAsia="Times New Roman"/>
                <w:sz w:val="24"/>
              </w:rPr>
              <w:t>Odôvodenie: Navrhovaná úprava má za cieľ odstrániť duplicitu právnej úpravy zabezpečenia záväzkov zamestnanca z pracovnoprávnych vzťahov, ktorá vzniká presunom obsahu súčasného § 20 Zákonníka práce do nového § 34 bez súčasného vypustenia/úprav pôvodného ustanovenia. Ponechanie obsahovo totožných ustanovení na dvoch miestach Zákonníka práce je z legislatívno-technického hľadiska nežiaduce a môže vyvolávať interpretačné nejasnosti pri ich aplikácii.</w:t>
              <w:br/>
            </w:r>
            <w:r>
              <w:rPr>
                <w:b w:val="off"/>
                <w:color w:val="000000"/>
                <w:rFonts w:ascii="Times New Roman" w:hAnsi="Times New Roman" w:cs="Times New Roman" w:eastAsia="Times New Roman"/>
                <w:sz w:val="24"/>
              </w:rPr>
              <w:t>Z dôvodu zabezpečenia systematickosti, prehľadnosti a vnútornej konzistentnosti Zákonníka práce navrhujeme vykonať súvisiace legislatívno-technické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31, § 37</w:t>
              <w:br/>
            </w:r>
            <w:r>
              <w:rPr>
                <w:b w:val="off"/>
                <w:color w:val="000000"/>
                <w:rFonts w:ascii="Times New Roman" w:hAnsi="Times New Roman" w:cs="Times New Roman" w:eastAsia="Times New Roman"/>
                <w:sz w:val="24"/>
              </w:rPr>
              <w:t>Navrhujeme upraviť novelizačný bod 31 v návrhu zákona tak, že § 37 Zákonníka práce bude zachovaný v upravenej forme s odkazom na príslušné ustanovenie Občianskeho zákonníka (§ 135) napríklad v nasledovnom znení: „ § 37 Počítanie času</w:t>
              <w:br/>
            </w:r>
            <w:r>
              <w:rPr>
                <w:b w:val="off"/>
                <w:color w:val="000000"/>
                <w:rFonts w:ascii="Times New Roman" w:hAnsi="Times New Roman" w:cs="Times New Roman" w:eastAsia="Times New Roman"/>
                <w:sz w:val="24"/>
              </w:rPr>
              <w:t>Na počítanie doby v pracovnoprávnych vzťahoch sa použije osobitný predpis.x)“.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„x) § 135 zákona č. 260/2026 Z. z. Občiansky zákonník.“. Predkladateľ navrhuje vypustiť § 37 Počítanie času s vysvetlením, že toto je obsahovo riešené v § 135 nového OZ. Pre jednotnosť a právnu istotu v aplikačnej praxi navrhujeme ustanovenie nevypúšťať a ponechať ho v upravenom znení. </w:t>
              <w:br/>
            </w:r>
            <w:r>
              <w:rPr>
                <w:b w:val="off"/>
                <w:color w:val="000000"/>
                <w:rFonts w:ascii="Times New Roman" w:hAnsi="Times New Roman" w:cs="Times New Roman" w:eastAsia="Times New Roman"/>
                <w:sz w:val="24"/>
              </w:rPr>
              <w:t>Odôvodnenie: Navrhované zachovanie § 37 Zákonníka práce s odkazom na § 135 nového Občianskeho zákonníka má za cieľ zabezpečiť prehľadnosť, zrozumiteľnosť a právnu istotu pri uplatňovaní pravidiel počítania času v pracovnoprávnych vzťahoch. Zákonník práce ako základný pracovnoprávny kódex by mal obsahovať jednoznačný odkaz na príslušnú právnu úpravu, aby jeho adresáti, najmä zamestnanci a zamestnávatelia, mali jasnú informáciu o pravidlách počítania času bez potreby samostatného vyhľadávania súvisiacich ustanovení iných právnych predpisov.</w:t>
              <w:br/>
            </w:r>
            <w:r>
              <w:rPr>
                <w:b w:val="off"/>
                <w:color w:val="000000"/>
                <w:rFonts w:ascii="Times New Roman" w:hAnsi="Times New Roman" w:cs="Times New Roman" w:eastAsia="Times New Roman"/>
                <w:sz w:val="24"/>
              </w:rPr>
              <w:t>Zachovanie § 37 v upravenom znení zároveň prispeje k systematickosti a kontinuite pracovnoprávnej úpravy a predíde možným interpretačným nejasnostiam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33, § 38 ods. 6</w:t>
              <w:br/>
            </w:r>
            <w:r>
              <w:rPr>
                <w:b w:val="off"/>
                <w:color w:val="000000"/>
                <w:rFonts w:ascii="Times New Roman" w:hAnsi="Times New Roman" w:cs="Times New Roman" w:eastAsia="Times New Roman"/>
                <w:sz w:val="24"/>
              </w:rPr>
              <w:t>Predkladateľ v novom odseku 6 v § 38 navrhuje možnosť podpisovania písomností kvalifikovaným elektronickým podpisom, ak sa no tom obe strany dohodnú.</w:t>
              <w:br/>
            </w:r>
            <w:r>
              <w:rPr>
                <w:b w:val="off"/>
                <w:color w:val="000000"/>
                <w:rFonts w:ascii="Times New Roman" w:hAnsi="Times New Roman" w:cs="Times New Roman" w:eastAsia="Times New Roman"/>
                <w:sz w:val="24"/>
              </w:rPr>
              <w:t>Zároveň predkladateľ navrhuje, že takto podpísané písomnosti zamestnávateľ doručuje na elektronickú adresu zamestnanca, ktorú zamestnanec určil a nie je v dispozícii zamestnávateľa.</w:t>
              <w:br/>
            </w:r>
            <w:r>
              <w:rPr>
                <w:b w:val="off"/>
                <w:color w:val="000000"/>
                <w:rFonts w:ascii="Times New Roman" w:hAnsi="Times New Roman" w:cs="Times New Roman" w:eastAsia="Times New Roman"/>
                <w:sz w:val="24"/>
              </w:rPr>
              <w:t>Vítame možnosť formy elektronického podpisovania a doručovania dokumentov. Z praktického pohľadu, aby táto úprava priniesla požadovaný efekt, navrhujeme vypustiť v odseku 6 text „ustanovenia odsekov 1 až 5 sa nepoužijú“ a ponechať možnosť podpisovania a doručovania písomností aj súbežne v klasickej listinnej forme. Ide o to, že nie všetky životné situácie dovolia postupovať len a zásadne elektronickou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56, § 81 písm. a)</w:t>
              <w:br/>
            </w:r>
            <w:r>
              <w:rPr>
                <w:b w:val="off"/>
                <w:color w:val="000000"/>
                <w:rFonts w:ascii="Times New Roman" w:hAnsi="Times New Roman" w:cs="Times New Roman" w:eastAsia="Times New Roman"/>
                <w:sz w:val="24"/>
              </w:rPr>
              <w:t>Navrhujeme znenie § 81 písm. a) upraviť nasledovne: „pracovať zodpovedne a riadne a plniť pokyny zamestnávateľa, osôb konajúcich v jeho mene a vedúceho zamestnanca vydané v súlade s právnymi predpismi“</w:t>
              <w:br/>
            </w:r>
            <w:r>
              <w:rPr>
                <w:b w:val="off"/>
                <w:color w:val="000000"/>
                <w:rFonts w:ascii="Times New Roman" w:hAnsi="Times New Roman" w:cs="Times New Roman" w:eastAsia="Times New Roman"/>
                <w:sz w:val="24"/>
              </w:rPr>
              <w:t>Odôvodnenie: Doplnenie navrhujeme z dôvodu, aby nebolo pochýb, koho pokyny má zamestnanec plniť, teda aj vedúceho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56, § 81</w:t>
              <w:br/>
            </w:r>
            <w:r>
              <w:rPr>
                <w:b w:val="off"/>
                <w:color w:val="000000"/>
                <w:rFonts w:ascii="Times New Roman" w:hAnsi="Times New Roman" w:cs="Times New Roman" w:eastAsia="Times New Roman"/>
                <w:sz w:val="24"/>
              </w:rPr>
              <w:t>V nadväznosti na úpravu § 178 ods. 1 žiadame § 81 doplniť za písmeno g)  nové písmeno h) v tomto znení: „Zamestnanec je povinný najmä</w:t>
              <w:br/>
            </w:r>
            <w:r>
              <w:rPr>
                <w:b w:val="off"/>
                <w:color w:val="000000"/>
                <w:rFonts w:ascii="Times New Roman" w:hAnsi="Times New Roman" w:cs="Times New Roman" w:eastAsia="Times New Roman"/>
                <w:sz w:val="24"/>
              </w:rPr>
              <w:t>h) si počínať tak, aby nedochádzalo k ohrozeniu života a zdravia jeho vlastného a iných osôb.“.</w:t>
              <w:br/>
            </w:r>
            <w:r>
              <w:rPr>
                <w:b w:val="off"/>
                <w:color w:val="000000"/>
                <w:rFonts w:ascii="Times New Roman" w:hAnsi="Times New Roman" w:cs="Times New Roman" w:eastAsia="Times New Roman"/>
                <w:sz w:val="24"/>
              </w:rPr>
              <w:t>Odôvodnenie: Máme za to, že táto povinnosť by mala zostať ukotvená ako jedna zo základných povinností zamestnanca v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97, § 179a</w:t>
              <w:br/>
            </w:r>
            <w:r>
              <w:rPr>
                <w:b w:val="off"/>
                <w:color w:val="000000"/>
                <w:rFonts w:ascii="Times New Roman" w:hAnsi="Times New Roman" w:cs="Times New Roman" w:eastAsia="Times New Roman"/>
                <w:sz w:val="24"/>
              </w:rPr>
              <w:t xml:space="preserve">Vzhľadom k tomu, že na pracovnoprávne vzťahy sa ustanovenia OZ o zodpovednosti za škodu nevzťahujú, nakoľko sú upravené ako celok v ZP, žiadame recipovať celé ustanovenie § 643 OZ o náhode, a to nielen odsek 1, ale aj odsek 2 o znížení miery zodpovednosti. </w:t>
              <w:br/>
            </w:r>
            <w:r>
              <w:rPr>
                <w:b w:val="off"/>
                <w:color w:val="000000"/>
                <w:rFonts w:ascii="Times New Roman" w:hAnsi="Times New Roman" w:cs="Times New Roman" w:eastAsia="Times New Roman"/>
                <w:sz w:val="24"/>
              </w:rPr>
              <w:t xml:space="preserve">Odôvodnenie: Keďže Zákonník práce obsahuje osobitnú právnu úpravu zodpovednosti za škodu </w:t>
              <w:br/>
            </w:r>
            <w:r>
              <w:rPr>
                <w:b w:val="off"/>
                <w:color w:val="000000"/>
                <w:rFonts w:ascii="Times New Roman" w:hAnsi="Times New Roman" w:cs="Times New Roman" w:eastAsia="Times New Roman"/>
                <w:sz w:val="24"/>
              </w:rPr>
              <w:t>v pracovnoprávnych vzťahoch, považujeme za potrebné, aby boli pravidlá týkajúce sa zodpovednosti za škodu spôsobenú náhodou upravené komplexne priamo v Zákonníku práce. Prevzatie samotného odseku 1 bez súvisiacej úpravy podľa odseku 2 by mohlo viesť k interpretačným nejasnostiam pri určovaní rozsahu zodpovednosti zamestnanca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novelizačnému bodu 99, § 181b</w:t>
              <w:br/>
            </w:r>
            <w:r>
              <w:rPr>
                <w:b w:val="off"/>
                <w:color w:val="000000"/>
                <w:rFonts w:ascii="Times New Roman" w:hAnsi="Times New Roman" w:cs="Times New Roman" w:eastAsia="Times New Roman"/>
                <w:sz w:val="24"/>
              </w:rPr>
              <w:t>Navrhujeme upraviť znenie § 181b nasledovne:</w:t>
              <w:br/>
            </w:r>
            <w:r>
              <w:rPr>
                <w:b w:val="off"/>
                <w:color w:val="000000"/>
                <w:rFonts w:ascii="Times New Roman" w:hAnsi="Times New Roman" w:cs="Times New Roman" w:eastAsia="Times New Roman"/>
                <w:sz w:val="24"/>
              </w:rPr>
              <w:t xml:space="preserve">„Zamestnanec nezodpovedá za škodu, ak zamestnávateľ vopred súhlasil s konaním, z ktorého mu môže vzniknúť škoda; to neplatí, ak udelenie súhlasu vylučuje zákon alebo ide o záujmy zamestnávateľa, </w:t>
              <w:br/>
            </w:r>
            <w:r>
              <w:rPr>
                <w:b w:val="off"/>
                <w:color w:val="000000"/>
                <w:rFonts w:ascii="Times New Roman" w:hAnsi="Times New Roman" w:cs="Times New Roman" w:eastAsia="Times New Roman"/>
                <w:sz w:val="24"/>
              </w:rPr>
              <w:t>o ktorých nemôže bez obmedzenia rozhodovať.“</w:t>
              <w:br/>
            </w:r>
            <w:r>
              <w:rPr>
                <w:b w:val="off"/>
                <w:color w:val="000000"/>
                <w:rFonts w:ascii="Times New Roman" w:hAnsi="Times New Roman" w:cs="Times New Roman" w:eastAsia="Times New Roman"/>
                <w:sz w:val="24"/>
              </w:rPr>
              <w:t>Odôvodnenie: Navrhovaná úprava má za cieľ spresniť znenie ustanovenia § 181b Zákonníka práce tak, aby jednoznačne vyjadrovalo, že zamestnávateľ udeľuje súhlas s určitým konaním zamestnanca, z ktorého môže vzniknúť škoda, a nie so samotným vznikom škody. Pôvodná formulácia môže vyvolávať interpretačné nejasnosti, keďže nemožno bez ďalšieho stotožňovať súhlas s konaním, ktoré je spojené s rizikom vzniku škody, so súhlasom so škodlivým následkom. Navrhované spresnenie zodpovedá aj zámeru vyjadrenému v dôvodovej správe a prispeje k právnej istote pri posudzovaní okolností vylučujúcich zodpovednosť zamestnanca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XIII (zákon č. 2/1991 Zb. o kolektívnom vyjednávaní), k novelizačnému bodu 22, § 231 ods. 1</w:t>
              <w:br/>
            </w:r>
            <w:r>
              <w:rPr>
                <w:b w:val="off"/>
                <w:color w:val="000000"/>
                <w:rFonts w:ascii="Times New Roman" w:hAnsi="Times New Roman" w:cs="Times New Roman" w:eastAsia="Times New Roman"/>
                <w:sz w:val="24"/>
              </w:rPr>
              <w:t>Navrhujeme nevylučovať možnosť výpovede kolektívnej zmluvy podľa § 498 až 500 Občianskeho zákonníka a umožniť zmluvným stranám dohodnúť si podmienky jej vypovedania.</w:t>
              <w:br/>
            </w:r>
            <w:r>
              <w:rPr>
                <w:b w:val="off"/>
                <w:color w:val="000000"/>
                <w:rFonts w:ascii="Times New Roman" w:hAnsi="Times New Roman" w:cs="Times New Roman" w:eastAsia="Times New Roman"/>
                <w:sz w:val="24"/>
              </w:rPr>
              <w:t>Predkladateľ navrhuje vylúčiť možnosť vypovedania kolektívnej zmluvy podľa § 498 až 500 nového OZ, čo zdôvodňuje zachovaním sociálneho zmieru.</w:t>
              <w:br/>
            </w:r>
            <w:r>
              <w:rPr>
                <w:b w:val="off"/>
                <w:color w:val="000000"/>
                <w:rFonts w:ascii="Times New Roman" w:hAnsi="Times New Roman" w:cs="Times New Roman" w:eastAsia="Times New Roman"/>
                <w:sz w:val="24"/>
              </w:rPr>
              <w:t>Rozumieme, že vypovedanie kolektívnej zmluvy nie je obvyklým úkonom a môže viesť k narušeniu sociálneho zmieru. Na druhej strane, každý zmluvný vzťah môže byť jednostranne vypovedaný výpoveďou a kolektívna zmluva by nemala byť výnimkou, ak si to strany dohodli. Nie je možné zmluvné strany zo zákona nútiť zostať v zmluvnom vzťahu, keď v ňom zotrvať nechcú alebo nemôžu. Takéto opatrenie môže sociálny dialóg nie udržať, ale skôr zhoršiť. Pochopiteľne, dôsledky vypovedania kolektívnej zmluvy si musí dokázať každá zo strán uvedomiť a vyhodnotiť.</w:t>
              <w:br/>
            </w:r>
            <w:r>
              <w:rPr>
                <w:b w:val="off"/>
                <w:color w:val="000000"/>
                <w:rFonts w:ascii="Times New Roman" w:hAnsi="Times New Roman" w:cs="Times New Roman" w:eastAsia="Times New Roman"/>
                <w:sz w:val="24"/>
              </w:rPr>
              <w:t>Odôvodnenie: Kolektívna zmluva je výsledkom dohody zmluvných strán, ktorým by mala byť zachovaná možnosť upraviť si nielen podmienky jej uzavretia, ale aj skončenia. Úplné vylúčenie možnosti výpovede môže neprimerane obmedzovať zmluvnú autonómiu a v prípade zásadných zmien okolností viesť k zhoršeniu sociálneho dialógu. Umožnenie výpovede za vopred dohodnutých podmienok rešpektuje vôľu zmluvných strán a zároveň vytvára priestor na zachovanie sociálneho zmieru.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novelizačnému bodu 19, § 15</w:t>
              <w:br/>
            </w:r>
            <w:r>
              <w:rPr>
                <w:b w:val="off"/>
                <w:color w:val="000000"/>
                <w:rFonts w:ascii="Times New Roman" w:hAnsi="Times New Roman" w:cs="Times New Roman" w:eastAsia="Times New Roman"/>
                <w:sz w:val="24"/>
              </w:rPr>
              <w:t xml:space="preserve">Aj napriek tomu, že predkladateľ odôvodnil úpravu tohto ustanovenia väzbou na § 48 ods. 1 nového Občianskeho zákonníka, v záujme zachovania zrozumiteľnosti pracovného kódexu pre jeho používateľov, navrhujeme prejav vôle v § 15 vymedziť aj pozitívne, napr. odkazom na ustanovenie § 48, ods. 1 prvá veta nového OZ. </w:t>
              <w:br/>
            </w:r>
            <w:r>
              <w:rPr>
                <w:b w:val="off"/>
                <w:color w:val="000000"/>
                <w:rFonts w:ascii="Times New Roman" w:hAnsi="Times New Roman" w:cs="Times New Roman" w:eastAsia="Times New Roman"/>
                <w:sz w:val="24"/>
              </w:rPr>
              <w:t>Odôvodnenie: Navrhované doplnenie má za cieľ zabezpečiť väčšiu zrozumiteľnosť a prehľadnosť právnej úpravy spôsobov prejavu vôle v pracovnoprávnych vzťahoch. Hoci všeobecná úprava spôsobov prejavu vôle vyplýva z § 48 ods. 1 Občianskeho zákonníka, považujeme za vhodné, aby Zákonník práce obsahoval aj pozitívne vymedzenie prípustných spôsobov prejavu vôle, a nielen zákaz uskutočňovania právnych úkonov prostredníctvom automatizovaných systémov. Takéto riešenie prispeje k právnej istote a umožní adresátom pracovnoprávnych noriem jednoduchšie porozumieť právnej úprave bez potreby vyhľadávania všeobecných ustanovení Občianskeho zákonníka.</w:t>
              <w:br/>
            </w:r>
            <w:r>
              <w:rPr>
                <w:b w:val="off"/>
                <w:color w:val="000000"/>
                <w:rFonts w:ascii="Times New Roman" w:hAnsi="Times New Roman" w:cs="Times New Roman" w:eastAsia="Times New Roman"/>
                <w:sz w:val="24"/>
              </w:rPr>
              <w:t>Navrhovaná úprava zároveň zachováva vecnú nadväznosť na § 48 ods. 1 Občianskeho zákonníka, pričom rešpektuje osobitosti pracovnoprávnych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novelizačnému bodu 23, § 18 Premlčanie</w:t>
              <w:br/>
            </w:r>
            <w:r>
              <w:rPr>
                <w:b w:val="off"/>
                <w:color w:val="000000"/>
                <w:rFonts w:ascii="Times New Roman" w:hAnsi="Times New Roman" w:cs="Times New Roman" w:eastAsia="Times New Roman"/>
                <w:sz w:val="24"/>
              </w:rPr>
              <w:t xml:space="preserve">Navrhovaným vymedzením, že so zamestnancom nemožno uzavrieť dohodu o premlčacej lehote podľa § 142 ods. 1 nového OZ v jeho neprospech, sa vlastne uplatnenie tohto inštitútu stáva obsolentným. Ťažko si predstaviť situáciu, že by k takejto dohode medzi zamestnávateľom a zamestnancom mohlo vôbec dôjsť – či už by šlo o skrátenie alebo predĺženie premlčacej doby. </w:t>
              <w:br/>
            </w:r>
            <w:r>
              <w:rPr>
                <w:b w:val="off"/>
                <w:color w:val="000000"/>
                <w:rFonts w:ascii="Times New Roman" w:hAnsi="Times New Roman" w:cs="Times New Roman" w:eastAsia="Times New Roman"/>
                <w:sz w:val="24"/>
              </w:rPr>
              <w:t>Na základe uvedeného sa stráca zmysel § 18 ZP vo väzbe na uplatnenie § 142 ods. 1 OZ v prípade nárokov z pracovnoprávnych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novelizačnému bodu 28, § 32 ods. 1</w:t>
              <w:br/>
            </w:r>
            <w:r>
              <w:rPr>
                <w:b w:val="off"/>
                <w:color w:val="000000"/>
                <w:rFonts w:ascii="Times New Roman" w:hAnsi="Times New Roman" w:cs="Times New Roman" w:eastAsia="Times New Roman"/>
                <w:sz w:val="24"/>
              </w:rPr>
              <w:t>V § 32 ods. 1 navrhujeme nahradiť slovo „tak“ slovom „ak“.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novelizačnému bodu 117, § 181b</w:t>
              <w:br/>
            </w:r>
            <w:r>
              <w:rPr>
                <w:b w:val="off"/>
                <w:color w:val="000000"/>
                <w:rFonts w:ascii="Times New Roman" w:hAnsi="Times New Roman" w:cs="Times New Roman" w:eastAsia="Times New Roman"/>
                <w:sz w:val="24"/>
              </w:rPr>
              <w:t>Predkladateľ navrhuje vypustenie definície bezdôvodného obohatenia, okrem pôvodného odseku 1  s tým, že toto prislúcha OZ. V samotnom OZ však nie je bezdôvodné  obohatenie na tento účel dostatočne vymedzené. Dávame preto na zváženie ponechať minimálne odsek 2 z § 222 ZP.</w:t>
              <w:br/>
            </w:r>
            <w:r>
              <w:rPr>
                <w:b w:val="off"/>
                <w:color w:val="000000"/>
                <w:rFonts w:ascii="Times New Roman" w:hAnsi="Times New Roman" w:cs="Times New Roman" w:eastAsia="Times New Roman"/>
                <w:sz w:val="24"/>
              </w:rPr>
              <w:t>Odôvodnenie: Aj v samotnej dôvodovej správe k uvedenému novelizačnému bodu je uvedené „.Navrhuje sa ponechať len všeobecné vymedzenie v ods. 1 a osobitosť v ods. 2 (pôvodný odsek 5), ktorá je zachovaná aj v Zákonníku práce ČR (§ 331).“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novelizačnému bodu 125, § 231 ods. 1</w:t>
              <w:br/>
            </w:r>
            <w:r>
              <w:rPr>
                <w:b w:val="off"/>
                <w:color w:val="000000"/>
                <w:rFonts w:ascii="Times New Roman" w:hAnsi="Times New Roman" w:cs="Times New Roman" w:eastAsia="Times New Roman"/>
                <w:sz w:val="24"/>
              </w:rPr>
              <w:t>Predkladateľ navrhuje v § 231 ods. 1 vypustiť slovo „výhodnejšie“ s odkazom na § 1 ods. 6 o autonómnom dojednaní v prospech zamestnanca.</w:t>
              <w:br/>
            </w:r>
            <w:r>
              <w:rPr>
                <w:b w:val="off"/>
                <w:color w:val="000000"/>
                <w:rFonts w:ascii="Times New Roman" w:hAnsi="Times New Roman" w:cs="Times New Roman" w:eastAsia="Times New Roman"/>
                <w:sz w:val="24"/>
              </w:rPr>
              <w:t>V záujme zachovania jednoznačnosti odporúčame ponechať doterajšie znenie, nakoľko z nového § 1 ods. 6 nie je celkom zrejmé, či sa autonómne dojednanie vzťahuje aj na kolektívnu zmluvu ako výsledok sociálneho dialógu, alebo nie.</w:t>
              <w:br/>
            </w:r>
            <w:r>
              <w:rPr>
                <w:b w:val="off"/>
                <w:color w:val="000000"/>
                <w:rFonts w:ascii="Times New Roman" w:hAnsi="Times New Roman" w:cs="Times New Roman" w:eastAsia="Times New Roman"/>
                <w:sz w:val="24"/>
              </w:rPr>
              <w:t>V tomto kontexte sme navrhovali úpravy v bode 3 (§ 1 ods. 6 ZP), ktoré ak budú akceptované v plnom rozsahu, potom je naša pripomienka k novelizačnému bodu 125 irelevantná.</w:t>
              <w:br/>
            </w:r>
            <w:r>
              <w:rPr>
                <w:b w:val="off"/>
                <w:color w:val="000000"/>
                <w:rFonts w:ascii="Times New Roman" w:hAnsi="Times New Roman" w:cs="Times New Roman" w:eastAsia="Times New Roman"/>
                <w:sz w:val="24"/>
              </w:rPr>
              <w:t>Odôvodnenie: Navrhované zachovanie slova „výhodnejšie“ v § 231 ods. 1 Zákonníka práce má za cieľ zabezpečiť jednoznačnosť právnej úpravy a zachovať výslovné vyjadrenie zásady, podľa ktorej možno v kolektívnej zmluve dohodnúť pracovné podmienky a podmienky zamestnávania priaznivejšie pre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,nový novelizačný bod k § 50 ods. 4 a v súvislostiach aj aj s novelizačným bodom 7 (§ 51 ods. 7)</w:t>
              <w:br/>
            </w:r>
            <w:r>
              <w:rPr>
                <w:b w:val="off"/>
                <w:color w:val="000000"/>
                <w:rFonts w:ascii="Times New Roman" w:hAnsi="Times New Roman" w:cs="Times New Roman" w:eastAsia="Times New Roman"/>
                <w:sz w:val="24"/>
              </w:rPr>
              <w:t>V Čl. CCXXIX navrhujeme doplniť nový novelizačný bod, ktorý znie:</w:t>
              <w:br/>
            </w:r>
            <w:r>
              <w:rPr>
                <w:b w:val="off"/>
                <w:color w:val="000000"/>
                <w:rFonts w:ascii="Times New Roman" w:hAnsi="Times New Roman" w:cs="Times New Roman" w:eastAsia="Times New Roman"/>
                <w:sz w:val="24"/>
              </w:rPr>
              <w:t>„V § 50 ods. 4 sa za slová „§ 47 ods. 2“ vkladajú slová „§ 51 ods. 7“.“.</w:t>
              <w:br/>
            </w:r>
            <w:r>
              <w:rPr>
                <w:b w:val="off"/>
                <w:color w:val="000000"/>
                <w:rFonts w:ascii="Times New Roman" w:hAnsi="Times New Roman" w:cs="Times New Roman" w:eastAsia="Times New Roman"/>
                <w:sz w:val="24"/>
              </w:rPr>
              <w:t>Zároveň navrhujeme v Čl. CCXXIX bode 7 (§ 51 ods. 7) nahradiť slová „podielových spoluvlastníkov“ slovom „spoluvlastníkov“ a slová „podielové spoluvlastníctvo“ slovom „spoluvlastníctvo“.</w:t>
              <w:br/>
            </w:r>
            <w:r>
              <w:rPr>
                <w:b w:val="off"/>
                <w:color w:val="000000"/>
                <w:rFonts w:ascii="Times New Roman" w:hAnsi="Times New Roman" w:cs="Times New Roman" w:eastAsia="Times New Roman"/>
                <w:sz w:val="24"/>
              </w:rPr>
              <w:t>Odôvodnenie: Podľa § 50 ods. 4 zákona o obchodnom registri sa úradné osvedčenie podpisu na zápisovom podklade nevyžaduje, ak je dokument vyhotovený vo forme dokumentu autorizovaného advokátom. Výnimka sa však vzťahuje len na prípady, keď úradné osvedčenie vyžaduje „§ 34 písm. g), § 47 ods. 2 alebo Obchodný zákonník“.</w:t>
              <w:br/>
            </w:r>
            <w:r>
              <w:rPr>
                <w:b w:val="off"/>
                <w:color w:val="000000"/>
                <w:rFonts w:ascii="Times New Roman" w:hAnsi="Times New Roman" w:cs="Times New Roman" w:eastAsia="Times New Roman"/>
                <w:sz w:val="24"/>
              </w:rPr>
              <w:t>Navrhovaný § 51 ods. 7 upravuje požiadavku písomného súhlasu vlastníka nehnuteľnosti s úradne osvedčeným podpisom priamo v zákone o obchodnom registri a zároveň návrh túto požiadavku vypúšťa z § 2 ods. 3 Obchodného zákonníka. Výnimka podľa § 50 ods. 4 by sa na súhlas vlastníka doslovne nevzťahovala, čo by bez vecného dôvodu zhoršilo doterajší stav.</w:t>
              <w:br/>
            </w:r>
            <w:r>
              <w:rPr>
                <w:b w:val="off"/>
                <w:color w:val="000000"/>
                <w:rFonts w:ascii="Times New Roman" w:hAnsi="Times New Roman" w:cs="Times New Roman" w:eastAsia="Times New Roman"/>
                <w:sz w:val="24"/>
              </w:rPr>
              <w:t>Navrhovaná úprava zachováva doterajší rozsah výnimky.</w:t>
              <w:br/>
            </w:r>
            <w:r>
              <w:rPr>
                <w:b w:val="off"/>
                <w:color w:val="000000"/>
                <w:rFonts w:ascii="Times New Roman" w:hAnsi="Times New Roman" w:cs="Times New Roman" w:eastAsia="Times New Roman"/>
                <w:sz w:val="24"/>
              </w:rPr>
              <w:t>Terminologická úprava zodpovedá § 1506 Občianskeho zákonníka, keďže navrhované znenie § 51 ods. 7 pojmy „podielových spoluvlastníkov“ a „podielové spoluvlastníctvo“ naďalej 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článok– novela zákona č. 260/2026 Z. z. Občiansky zákonník, § 1065 ods. 2</w:t>
              <w:br/>
            </w:r>
            <w:r>
              <w:rPr>
                <w:b w:val="off"/>
                <w:color w:val="000000"/>
                <w:rFonts w:ascii="Times New Roman" w:hAnsi="Times New Roman" w:cs="Times New Roman" w:eastAsia="Times New Roman"/>
                <w:sz w:val="24"/>
              </w:rPr>
              <w:t>Navrhujeme doplniť do návrhu nový článok, ktorý znie:</w:t>
              <w:br/>
            </w:r>
            <w:r>
              <w:rPr>
                <w:b w:val="off"/>
                <w:color w:val="000000"/>
                <w:rFonts w:ascii="Times New Roman" w:hAnsi="Times New Roman" w:cs="Times New Roman" w:eastAsia="Times New Roman"/>
                <w:sz w:val="24"/>
              </w:rPr>
              <w:t>„Zákon č. 260/2026 Z. z. Občiansky zákonník sa mení takto:</w:t>
              <w:br/>
            </w:r>
            <w:r>
              <w:rPr>
                <w:b w:val="off"/>
                <w:color w:val="000000"/>
                <w:rFonts w:ascii="Times New Roman" w:hAnsi="Times New Roman" w:cs="Times New Roman" w:eastAsia="Times New Roman"/>
                <w:sz w:val="24"/>
              </w:rPr>
              <w:t>V § 1065 ods. 2 sa slová „podľa ustanovení zmluvy o skladovaní“ nahrádzajú slovami „podľa ustanovení o zodpovednosti uschovávateľa za škodu (§ 1168 až 1170)“.“.</w:t>
              <w:br/>
            </w:r>
            <w:r>
              <w:rPr>
                <w:b w:val="off"/>
                <w:color w:val="000000"/>
                <w:rFonts w:ascii="Times New Roman" w:hAnsi="Times New Roman" w:cs="Times New Roman" w:eastAsia="Times New Roman"/>
                <w:sz w:val="24"/>
              </w:rPr>
              <w:t>Odôvodnenie: Návrh pripomienky vychádza z toho, že (nový) Občiansky zákonník zmluvu o skladovaní už viac neupravuje. Podľa dôvodovej správy k zmluve o úschove nová úprava zjednocuje viacero pôvodných zmluvných typov (zmluvu o úschove podľa § 747 a nasl. doterajšieho Občianskeho zákonníka, zmluvu o uložení veci podľa § 516 a nasl. a zmluvu o skladovaní podľa § 527 a nasl. Obchodného zákonníka). Zároveň Čl. II bod 57 návrhu vypúšťa tretiu časť Obchodného zákonníka vrátane § 527 až 535. Ustanovenie § 1065 ods. 2 Občianskeho zákonníka sa tak prevzalo takmer doslovne z § 583 ods. 2 Obchodného zákonníka („Za škodu na veciach uvedených v odseku 1 zodpovedá komisionár podľa ustanovení o zmluve o skladovaní.“), avšak zatiaľ bez prispôsobenia novej systematike a terminológii. Odkaz v § 1065 ods. 2 Občianskeho zákonníka tak od 1. júla 2027 nebude mať vymedzený správny legislatívny odkaz.</w:t>
              <w:br/>
            </w:r>
            <w:r>
              <w:rPr>
                <w:b w:val="off"/>
                <w:color w:val="000000"/>
                <w:rFonts w:ascii="Times New Roman" w:hAnsi="Times New Roman" w:cs="Times New Roman" w:eastAsia="Times New Roman"/>
                <w:sz w:val="24"/>
              </w:rPr>
              <w:t>Keďže podľa § 1146 Občianskeho zákonníka sa ustanovenia o komisionárskej zmluve primerane použijú aj na zasielateľskú zmluvu, tak nejasnosť sa týka aj zodpovednosti zasielateľa za zásielky, ktoré prevzal.</w:t>
              <w:br/>
            </w:r>
            <w:r>
              <w:rPr>
                <w:b w:val="off"/>
                <w:color w:val="000000"/>
                <w:rFonts w:ascii="Times New Roman" w:hAnsi="Times New Roman" w:cs="Times New Roman" w:eastAsia="Times New Roman"/>
                <w:sz w:val="24"/>
              </w:rPr>
              <w:t xml:space="preserve">Navrhujeme preto odkázať na ustanovenia o zodpovednosti uschovávateľa za škodu, nie na celú úpravu úschovy, aby sa na komisionára a zasielateľa automaticky neuplatňovali napr. prekluzívna lehota podľa § 1175 alebo ustanovenia o odplate za úschovu. </w:t>
              <w:br/>
            </w:r>
            <w:r>
              <w:rPr>
                <w:b w:val="off"/>
                <w:color w:val="000000"/>
                <w:rFonts w:ascii="Times New Roman" w:hAnsi="Times New Roman" w:cs="Times New Roman" w:eastAsia="Times New Roman"/>
                <w:sz w:val="24"/>
              </w:rPr>
              <w:t>Ide o legislatívno-technickú opravu priamo súvisiacu s Občianskym zákonníkom vzhľadom na nesúlad obsahového znenia Občianskeho zákonníka aj v podobe zverejnenej v Zbierke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XLIV bod 4</w:t>
              <w:br/>
            </w:r>
            <w:r>
              <w:rPr>
                <w:b w:val="off"/>
                <w:color w:val="000000"/>
                <w:rFonts w:ascii="Times New Roman" w:hAnsi="Times New Roman" w:cs="Times New Roman" w:eastAsia="Times New Roman"/>
                <w:sz w:val="24"/>
              </w:rPr>
              <w:t>ATVS žiada v čl. XLIV (novela zákona o reklame) celkom vypustiť bod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5 ods. 2 smernice EP a Rady 2006/114/ES z 12. decembra 2006 o klamlivej a porovnávacej reklame (kodifikované znenie), ak členský štát zabezpečil rozhodovanie o žalobách na klamlivú reklamu vnútroštátnymi súdmi, nie je povinný zabezpečovať rozhodovanie prostredníctvom správnych orgánov. Slovenská republika si na boj proti klamlivej reklame ustanovila mechanizmus podľa čl. 5 ods. 1 písm. a) smernice, keď umožnila „osobám alebo organizáciám, ktoré majú na základe vnútroštátnych právnych predpisov oprávnený záujem na boji proti klamlivej reklame alebo regulovaní porovnávacej reklamy podať súdnu žalobu proti takejto reklame“. Pri existencii prostriedkov súdnej ochrany pre nekalou súťažou podľa Občianskeho zákonníka (resp. dovtedy úprava Obchodného zákonníka) ATVS nevidí dôvod na novelizáciu zákona o reklame a uvedený bod považuje za goldplating s ohľadom na minimálne požiadavky smernice na harmonizáciu.  ATVS tiež upozorňuje na skutočnosť, že pokiaľ členský štát pred možnosťou civilných žalôb uprednostní možnosť administratívnych sťažností, je potrebné, aby sa potom aj do vnútroštátneho legislatívneho riešenia implementovali dôsledne aj podmienky čl. 5 ods. 5 písm. a) smernice a súvisiace podmienky, čo však v čl. XLIV úplne absentuje.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XLIV bod 8</w:t>
              <w:br/>
            </w:r>
            <w:r>
              <w:rPr>
                <w:b w:val="off"/>
                <w:color w:val="000000"/>
                <w:rFonts w:ascii="Times New Roman" w:hAnsi="Times New Roman" w:cs="Times New Roman" w:eastAsia="Times New Roman"/>
                <w:sz w:val="24"/>
              </w:rPr>
              <w:t>ATVS žiada v čl. XLIV (novela zákona o reklame) celkom vypustiť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ustanovenie, ktorým sa majú ukladať pokuty pri porušení obmedzení týkajúcich sa klamlivej reklamy, je v rozpore so smernicou EP a Rady 2006/114/ES z 12. decembra 2006 o klamlivej a porovnávacej reklame (kodifikované znenie), keď sa zodpovednosť za klamlivú reklamu pričíta šíriteľovi reklamy. Takéto ustanovenie je nielen ťažko vykonateľné, keďže šíriteľ (na rozdiel od obchodníka) nemá, nevie mať a ani nemôže mať vedomosť o pravdivosti všetkých informácií o produkte/službe obchodníka (napr. o cene, spôsobe jej výpočtu, skutočnom množstve, skutočnom dátume výroby alebo dodania, skutočných vlastnostiach produktu a pod.) v reklame, ktorú šíri na objednávku obchodníka, ale tiež je aj v rozpore s cieľmi smernice, ktorá činí zodpovedným (podobne ako pri porovnávacej reklame) obchodníka (ktorý je tiež súťažiteľom), nie šíriteľa reklamy. ATVS preto s uvedenou formuláciou zásadne nesúhlasí a bod žiada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zákona vo všeobecnosti upozorňujeme, že v doterajšej legislatívnej praxi nie je obvyklé, aby sa novelizovali zákony len pre úpravu odkazu a poznámky pod čiarou. V návrhu je niekoľko článkov, ktoré novelizujú len odkaz a poznámku pod čiarou. Žiadame tieto články vypustiť. Poznámky pod čiarou nemajú normatívny význam, a preto vypustením týchto článkov sa nič nestane. Okrem toho väčšina už teraz odkazuje na Občiansky zákonník.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Nesúhlasíme s novelizáciou správneho poriadku, pretože nie je súvis s účinnosťou nového  občianskeho zákonníka. Občiansky zákonník je hmotnoprávnym predpisom všeobecného významu a správny poriadok je základný procesnoprávny predpis v oblasti verejnej správy, z ktorého vychádzajú viaceré osobitné procesné predpisy z oblasti jednotlivých úsekov verejnej správy už viac ako pol storočia. Navrhovaná úprava neprináša novú kvalitu a narúča doterajšiu prax súdov a orgánov verejnej správy. Osobitne nesúhlasíme s náhradou slova „ujma“ slovom „škoda“, pretože to nie je to isté. Škoda bol materializovaná ujma (na zdraví, na povesti, na cti) vyjadrená v peniazoch na účely jej zhojenia. Navrhované členenie na hmotnú škodu a na nehmotnú škodu neprinesie novú kvalitu, ale len zmätok. S termínom „ujma“ pracuje nielen správne právo v jednotlivých odvetviach a úsekoch verejnej správy, ale aj  priestupkové právo a trestné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XXIX</w:t>
              <w:br/>
            </w:r>
            <w:r>
              <w:rPr>
                <w:b w:val="off"/>
                <w:color w:val="000000"/>
                <w:rFonts w:ascii="Times New Roman" w:hAnsi="Times New Roman" w:cs="Times New Roman" w:eastAsia="Times New Roman"/>
                <w:sz w:val="24"/>
              </w:rPr>
              <w:t>Navrhujeme doplniť tento tretí bod: V § 12 ods. 1 druhej vete navrhujem sa slovo „združení,2)“ nahradiť slovom „spoločenstve,2)“ a za druhú vetu  vložiť novú tretiu vetu, ktorá znie: „Reštaurátor môže uskutočňovať reštaurovanie aj prostredníctvom spoločnosti s ručením obmedzeným, ktorej je jediným spoločníkom a jediným konateľom.“.</w:t>
              <w:br/>
            </w:r>
            <w:r>
              <w:rPr>
                <w:b w:val="off"/>
                <w:color w:val="000000"/>
                <w:rFonts w:ascii="Times New Roman" w:hAnsi="Times New Roman" w:cs="Times New Roman" w:eastAsia="Times New Roman"/>
                <w:sz w:val="24"/>
              </w:rPr>
              <w:t>Dôvod: Reštaurátori sú jedinými, ktorí nemôžu založiť jednoosobovu spoločnosť s ručením obmedzeným. Na túto diskrimináciu nie je relevantný dôvod.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bod1</w:t>
              <w:br/>
            </w:r>
            <w:r>
              <w:rPr>
                <w:b w:val="off"/>
                <w:color w:val="000000"/>
                <w:rFonts w:ascii="Times New Roman" w:hAnsi="Times New Roman" w:cs="Times New Roman" w:eastAsia="Times New Roman"/>
                <w:sz w:val="24"/>
              </w:rPr>
              <w:t>V čl. 2 sa vypúšťa tretia veta v znení „Výkon práv a povinností vyplývajúcich z pracovnoprávnych vzťahov musí byť v súlade s dobrými mravmi; nikto nesmie tieto práva a povinnosti zneužívať na škodu druhého účastníka pracovnoprávneho vzťahu alebo spoluzamestnancov.“.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Žiadame ponechať tretiu vetu v článku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Zákaz zneužitia práva a výkon práv v súlade s dobrými mravmi je základnou zásadou Zákonníka práce, ktorá slúži ako interpretačné pravidlo pre celý Zákonník práce. Jej odstránenie a ponechanie výlučne v OZ by oslabilo ochranu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w:t>
              <w:br/>
            </w:r>
            <w:r>
              <w:rPr>
                <w:b w:val="off"/>
                <w:color w:val="000000"/>
                <w:rFonts w:ascii="Times New Roman" w:hAnsi="Times New Roman" w:cs="Times New Roman" w:eastAsia="Times New Roman"/>
                <w:sz w:val="24"/>
              </w:rPr>
              <w:t>V § 1 odsek 4 znie:</w:t>
              <w:br/>
            </w:r>
            <w:r>
              <w:rPr>
                <w:b w:val="off"/>
                <w:color w:val="000000"/>
                <w:rFonts w:ascii="Times New Roman" w:hAnsi="Times New Roman" w:cs="Times New Roman" w:eastAsia="Times New Roman"/>
                <w:sz w:val="24"/>
              </w:rPr>
              <w:t>„(4) Vo veciach týkajúcich sa pracovnoprávnych vzťahov neupravených týmto zákonom alebo iným pracovnoprávnym predpisom sa primerane použijú základné princípy a ďalšie ustanovenia Občianskeho zákonníka, ak ich použitie nie je v rozpore so zásadami Zákonníka práce, ochranou zamestnanca ako slabšej strany a povahou pracovnoprávneho vzťahu a ak tento zákon alebo iný pracovnoprávny predpis neustanovuje inak.“</w:t>
              <w:br/>
            </w:r>
            <w:r>
              <w:rPr>
                <w:b w:val="off"/>
                <w:color w:val="000000"/>
                <w:rFonts w:ascii="Times New Roman" w:hAnsi="Times New Roman" w:cs="Times New Roman" w:eastAsia="Times New Roman"/>
                <w:sz w:val="24"/>
              </w:rPr>
              <w:t xml:space="preserve">Zásadná pripomienka: Žiadame taxatívne vymedziť, ktoré ustanovenia Občianskeho zákonníka budú pôsobiť subsidiárne na Zákonník práce, alternatívne, taxatívne vymedziť, ktoré ustanovenia Občianskeho zákonníka nebudú pôsobiť na Zákonník práce. </w:t>
              <w:br/>
            </w:r>
            <w:r>
              <w:rPr>
                <w:b w:val="off"/>
                <w:color w:val="000000"/>
                <w:rFonts w:ascii="Times New Roman" w:hAnsi="Times New Roman" w:cs="Times New Roman" w:eastAsia="Times New Roman"/>
                <w:sz w:val="24"/>
              </w:rPr>
              <w:t>Odôvodnenie: Navrhovaná úprava subsidiárneho použitia Občianskeho zákonníka je príliš všeobecná a ponecháva neprimerane široký priestor na výklad účastníkom pracovnoprávnych vzťahov aj súdom, čím oslabuje princíp právnej istoty. Zároveň je legislatívne nekoncepčná, keďže predkladateľ na jednej strane v § 1 ods. 4 všeobecne pripúšťa subsidiárne použitie Občianskeho zákonníka, no na druhej strane v jednotlivých ustanoveniach Zákonníka práce opakovane osobitne vylučuje alebo obmedzuje jeho použitie, napríklad v oblasti zodpovednosti za škodu podľa § 177 a nasl. Takýto roztrieštený prístup svedčí o nedostatočne systematickom vymedzení vzťahu oboch právnych predpisov a zvyšuje riziko nejednotnej aplikačnej a rozhodovacej praxe. Taxatívne vymedzenie ustanovení Občianskeho zákonníka, ktoré sa majú subsidiárne uplatňovať v pracovnoprávnych vzťahoch, priamo v § 1 ods. 4 Zákonníka práce by zabezpečilo jednotnú, prehľadnú a predvídateľnú právnu úpravu bez potreby opakovaného negatívneho vymedzovania subsidiarity v jednotlivých ustanoveniach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3</w:t>
              <w:br/>
            </w:r>
            <w:r>
              <w:rPr>
                <w:b w:val="off"/>
                <w:color w:val="000000"/>
                <w:rFonts w:ascii="Times New Roman" w:hAnsi="Times New Roman" w:cs="Times New Roman" w:eastAsia="Times New Roman"/>
                <w:sz w:val="24"/>
              </w:rPr>
              <w:t xml:space="preserve">V § 1 odsek 6 znie: </w:t>
              <w:br/>
            </w:r>
            <w:r>
              <w:rPr>
                <w:b w:val="off"/>
                <w:color w:val="000000"/>
                <w:rFonts w:ascii="Times New Roman" w:hAnsi="Times New Roman" w:cs="Times New Roman" w:eastAsia="Times New Roman"/>
                <w:sz w:val="24"/>
              </w:rPr>
              <w:t>„(6) Ustanovenia tohto zákona alebo iného pracovnoprávneho predpisu možno nahradiť alebo doplniť autonómnym dojednaním len v prospech zamestnanca. Ustanovenia tohto zákona nemožno nahradiť alebo doplniť autonómnym dojednaním podľa prvej vety, ak s prihliadnutím na rozumné usporiadanie vzťahov je zrejmé, že predmetom tohto dojednania nemožno slobodne disponovať alebo sa to prieči zmyslu a účelu zákona a ak ide o autonómne dojednania, ktoré sú v rozpore s dobrými mravmi alebo s verejným poriadkom.“</w:t>
              <w:br/>
            </w:r>
            <w:r>
              <w:rPr>
                <w:b w:val="off"/>
                <w:color w:val="000000"/>
                <w:rFonts w:ascii="Times New Roman" w:hAnsi="Times New Roman" w:cs="Times New Roman" w:eastAsia="Times New Roman"/>
                <w:sz w:val="24"/>
              </w:rPr>
              <w:t>Zásadná pripomienka: Žiadame upraviť druhú vetu navrhovaného ustanovenia tak, aby neprípustnosť odchýlenia sa od zákona vyplývala z výslovného zákonného zákazu alebo z kogentnej povahy konkrétneho ustanovenia. Navrhujeme vypustiť neurčité kritériá „rozumného usporiadania vzťahov“ a „zmyslu a účelu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právna úprava neustanovuje dostatočne určité hranice zmluvnej autonómie, keďže neurčuje, ktoré ustanovenia majú kogentný charakter a od ktorých sa možno odchýliť v prospech zamestnanca. Zavedenie ďalších neurčitých kritérií ponecháva rozhodnutie o prípustnosti konkrétneho dojednania na následný súdny výklad, čo znižuje právnu istotu zamestnávateľov. Zamestnávatelia tak nebudú môcť spoľahlivo posúdiť platnosť pracovnoprávnych dojednaní v čase ich uzatvárania, a to ani v prípadoch, keď poskytujú zamestnancovi výhodnejšie podmienky. Takáto úprava zvyšuje riziko pracovnoprávnych sporov a nepredvídateľného posudzovania platnosti dojednaní.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6 § 9</w:t>
              <w:br/>
            </w:r>
            <w:r>
              <w:rPr>
                <w:b w:val="off"/>
                <w:color w:val="000000"/>
                <w:rFonts w:ascii="Times New Roman" w:hAnsi="Times New Roman" w:cs="Times New Roman" w:eastAsia="Times New Roman"/>
                <w:sz w:val="24"/>
              </w:rPr>
              <w:t xml:space="preserve">§ 9 znie: </w:t>
              <w:br/>
            </w:r>
            <w:r>
              <w:rPr>
                <w:b w:val="off"/>
                <w:color w:val="000000"/>
                <w:rFonts w:ascii="Times New Roman" w:hAnsi="Times New Roman" w:cs="Times New Roman" w:eastAsia="Times New Roman"/>
                <w:sz w:val="24"/>
              </w:rPr>
              <w:t>„Právne úkony za zamestnávateľa v pracovnoprávnych vzťahoch môže uskutočniť aj</w:t>
              <w:br/>
            </w:r>
            <w:r>
              <w:rPr>
                <w:b w:val="off"/>
                <w:color w:val="000000"/>
                <w:rFonts w:ascii="Times New Roman" w:hAnsi="Times New Roman" w:cs="Times New Roman" w:eastAsia="Times New Roman"/>
                <w:sz w:val="24"/>
              </w:rPr>
              <w:t>a)	zamestnanec písomne poverený zamestnávateľom,</w:t>
              <w:br/>
            </w:r>
            <w:r>
              <w:rPr>
                <w:b w:val="off"/>
                <w:color w:val="000000"/>
                <w:rFonts w:ascii="Times New Roman" w:hAnsi="Times New Roman" w:cs="Times New Roman" w:eastAsia="Times New Roman"/>
                <w:sz w:val="24"/>
              </w:rPr>
              <w:t>b)	zamestnanec na základe udeleného plnomocenstva od zamestnávateľa,</w:t>
              <w:br/>
            </w:r>
            <w:r>
              <w:rPr>
                <w:b w:val="off"/>
                <w:color w:val="000000"/>
                <w:rFonts w:ascii="Times New Roman" w:hAnsi="Times New Roman" w:cs="Times New Roman" w:eastAsia="Times New Roman"/>
                <w:sz w:val="24"/>
              </w:rPr>
              <w:t>c)	zamestnanec bez výslovného poverenia alebo plnej moci, ak to vyplýva z jeho funkcie určenej organizačným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Žiadame taxatívne vymedziť, kedy má zamestnávateľ zamestnanca poveriť a kedy má udeliť plnomocenstvo. Navrhujeme v bode c) nahradiť „ak to vyplýva z jeho funkcie určenej organizačným predpisom“ za „ak to vyplýva z druhu práce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pracovnoprávnych vzťahoch sa na výkon práv a povinností z pracovnoprávnych vzťahov využíva poverenie, nie plnomocenstvo. Navrhovaná právna úprava  sa preto javí duplicitná. Ak je cieľom využívať plnomocenstvo tam, kde je možné jeho udelenie podpísané prostredníctvom KEP , je nutné to jasne vymedziť. Ak je iný cieľ, je nutné zákonne rozlíšiť, kedy má dôjsť k povereniu a kedy k udeleniu plnomocenstva.</w:t>
              <w:br/>
            </w:r>
            <w:r>
              <w:rPr>
                <w:b w:val="off"/>
                <w:color w:val="000000"/>
                <w:rFonts w:ascii="Times New Roman" w:hAnsi="Times New Roman" w:cs="Times New Roman" w:eastAsia="Times New Roman"/>
                <w:sz w:val="24"/>
              </w:rPr>
              <w:t>V písm. c) navrhujeme nahradiť organizačnú štruktúru druhom práce, a to z toho dôvodu, že zamestnávateľ nie je povinný mať zavedenú organizačnú štruktúru, no druh práce je podstatnou náležitosťou pracovnej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19 § 15</w:t>
              <w:br/>
            </w:r>
            <w:r>
              <w:rPr>
                <w:b w:val="off"/>
                <w:color w:val="000000"/>
                <w:rFonts w:ascii="Times New Roman" w:hAnsi="Times New Roman" w:cs="Times New Roman" w:eastAsia="Times New Roman"/>
                <w:sz w:val="24"/>
              </w:rPr>
              <w:t xml:space="preserve">§ 15 „Spôsob prejavu vôle“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pracovnoprávnych vzťahoch právny úkon nemožno uskutočniť prostredníctvom činnosti automatizovaného systému zamestnávateľa alebo inej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Žiadame obmedziť zákaz výlučne na právne úkony, pri ktorých automatizovaný systém samostatne rozhoduje bez zásahu oprávnenej osoby.</w:t>
              <w:br/>
            </w:r>
            <w:r>
              <w:rPr>
                <w:b w:val="off"/>
                <w:color w:val="000000"/>
                <w:rFonts w:ascii="Times New Roman" w:hAnsi="Times New Roman" w:cs="Times New Roman" w:eastAsia="Times New Roman"/>
                <w:sz w:val="24"/>
              </w:rPr>
              <w:t>Odôvodnenie: Navrhované ustanovenie predstavuje neprimerané obmedzenie digitalizácie pracovnoprávnych vzťahov a využívania automatizovaných personálnych systémov. Nerozlišuje medzi automatizovaným rozhodovaním a technickým uskutočnením právneho úkonu, o ktorom rozhodol zamestnávateľ. Takto formulovaný zákaz môže spochybniť právne úkony vykonávané prostredníctvom bežných HR systémov, zvýšiť administratívnu záťaž zamestnávateľov a obmedziť elektronizáciu personálnych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20 § 16b</w:t>
              <w:br/>
            </w:r>
            <w:r>
              <w:rPr>
                <w:b w:val="off"/>
                <w:color w:val="000000"/>
                <w:rFonts w:ascii="Times New Roman" w:hAnsi="Times New Roman" w:cs="Times New Roman" w:eastAsia="Times New Roman"/>
                <w:sz w:val="24"/>
              </w:rPr>
              <w:t xml:space="preserve">§ 16b „Výklad prejavu vôle alebo použitého výrazu“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pracovnoprávnych vzťahoch sa prejavu vôle alebo použitému výrazu prisúdi z viacerých možných významov ten, ktorý je pre zamestnanca najpriaznivejší.“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Žiadame vypustiť navrhovaný § 16b v celom rozsahu bez náhrady. Výklad prejavov vôle v pracovnoprávnych vzťahoch má vychádzať zo skutočnej vôle účastníkov, obsahu a účelu právneho úkonu, nie z automatického uprednostnenia výkladu najpriaznivejšieho pre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neprimerane zasahuje do zmluvnej autonómie účastníkov pracovnoprávnych vzťahov a narúša rovnováhu ich právneho postavenia. Automatické uprednostnenie výkladu najpriaznivejšieho pre zamestnanca môže viesť k prisúdeniu významu, ktorý nezodpovedá skutočnej vôli účastníkov ani okolnostiam uzatvorenia právneho úkonu. Takáto úprava vytvára právnu neistotu zamestnávateľov, keďže aj obojstranne dohodnuté podmienky môžu byť následne interpretované v rozpore s pôvodným úmyslom zmluvných strán. Ochrana zamestnanca nemôže spočívať v automatickom potláčaní všeobecných pravidiel výkladu právnych úkonov, ktoré už poskytujú dostatočný rámec na zistenie ich skutočného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23</w:t>
              <w:br/>
            </w:r>
            <w:r>
              <w:rPr>
                <w:b w:val="off"/>
                <w:color w:val="000000"/>
                <w:rFonts w:ascii="Times New Roman" w:hAnsi="Times New Roman" w:cs="Times New Roman" w:eastAsia="Times New Roman"/>
                <w:sz w:val="24"/>
              </w:rPr>
              <w:t xml:space="preserve">Žiadame, aby bolo v Zákonníku práce v základných zásadách explicitne vymedzené použitie zásady „numerus clausus“ zmluvných typov, alternatívne navrhujeme, aby bolo  v základných zásadách Zákonníka práce explicitne vyjadrené, že zásada „numerus clausus“ zmluvných typov sa neuplatňuje.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zmeny odstraňujú znenie § 18 „Zmluva podľa tohto zákona alebo iných pracovnoprávnych predpisov je uzatvorená, len čo sa účastníci dohodli na jej obsahu.“, ktoré bolo doposiaľ vykladané ako pretavenie zásady numerus clausus zmluvných typov v pracovnoprávnych vzťahoch. Pre odstránenie právnej neistoty preto navrhujeme jasne vymedziť zásadu numerus clausus medzi základné zásady Zákonníka práce, alternatívne navrhujeme explicitne zakotviť, že sa na pracovnoprávne vzťahy už nebude vzťahovať.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99 § 181c</w:t>
              <w:br/>
            </w:r>
            <w:r>
              <w:rPr>
                <w:b w:val="off"/>
                <w:color w:val="000000"/>
                <w:rFonts w:ascii="Times New Roman" w:hAnsi="Times New Roman" w:cs="Times New Roman" w:eastAsia="Times New Roman"/>
                <w:sz w:val="24"/>
              </w:rPr>
              <w:t xml:space="preserve">§ 181c „Konanie na vlastné nebezpečenstvo“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„Zamestnanec nezodpovedá za škodu zamestnávateľovi, ktorý sa zbytočne vystavil zvýšenému nebezpečenstvu jej vzniku,  ak bolo toto nebezpečenstvo zamestnávateľovi vopred známe; tým nie je dotknutá zodpovednosť zamestnanca za škodu spôsobenú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Žiadame vypustiť navrhovaný § 181c bez náhrady. Prípadné spoluzavinenie zamestnávateľa na vzniku škody má byť posudzované podľa existujúcich pravidiel zodpovednosti za škodu, ktoré považujeme za dostatočné.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zavádza nový dôvod vylúčenia zodpovednosti zamestnanca založený na neurčitom kritériu „zbytočného vystavenia sa zvýšenému nebezpečenstvu“. Zamestnávatelia pri výkone podnikateľskej činnosti prirodzene podstupujú prevádzkové riziká, pričom nie je zrejmé, za akých okolností by ich vedomé prijatie malo vylučovať zodpovednosť zamestnanca za porušenie pracovných povinností. Ustanovenie tak môže viesť k neodôvodnenému preneseniu následkov zavineného konania zamestnanca na zamestnávateľa a k právnej neistote pri uplatňovaní náhrady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105 § 186 (6)</w:t>
              <w:br/>
            </w:r>
            <w:r>
              <w:rPr>
                <w:b w:val="off"/>
                <w:color w:val="000000"/>
                <w:rFonts w:ascii="Times New Roman" w:hAnsi="Times New Roman" w:cs="Times New Roman" w:eastAsia="Times New Roman"/>
                <w:sz w:val="24"/>
              </w:rPr>
              <w:t>§ 186 sa dopĺňa odsekmi 5 a 6,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Od zamestnanca, ktorý vedome neupozornil vedúceho zamestnanca na hroziacu škodu alebo nezakročil proti hroziacej škode, hoci by sa tým zabránilo bezprostrednému vzniku škody, môže zamestnávateľ požadovať, aby prispel na úhradu majetkovej škody v rozsahu primeranom okolnostiam prípadu, ak ju nemožno uhradiť inak. Pritom sa prihliadne najmä na to, čo bránilo zamestnancovi splneniu povinnosti. Náhrada škody nesmie presiahnuť sumu rovnajúcu sa štvornásobku priemerného mesačného zárobku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Súd môže primerane znížiť náhradu škody, za ktorú zamestnanec zodpovedá zamestnávateľovi; ustanovenie § 678 Občianskeho zákonníka sa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Žiadame vypustiť navrhovaný § 186 ods. 6 bez náhrady. Zákonník práce už obsahuje osobitné limity zodpovednosti zamestnanca za škodu, ktoré považujeme za dostatočné.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umožňuje súdu dodatočne znížiť náhradu škody aj v prípade, keď zamestnávateľ preukáže splnenie všetkých predpokladov zodpovednosti zamestnanca. Ide o ďalšie obmedzenie práva zamestnávateľa na náhradu škody nad rámec už existujúcich zákonných limitov, najmä pri škode spôsobenej z nedbanlivosti. Takáto úprava znižuje predvídateľnosť rozsahu náhrady škody a neprimerane prenáša následky porušenia pracovných povinností zamestnanca na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g)</w:t>
              <w:br/>
            </w:r>
            <w:r>
              <w:rPr>
                <w:b w:val="off"/>
                <w:color w:val="000000"/>
                <w:rFonts w:ascii="Times New Roman" w:hAnsi="Times New Roman" w:cs="Times New Roman" w:eastAsia="Times New Roman"/>
                <w:sz w:val="24"/>
              </w:rPr>
              <w:t>V § 11 ods. 1 písm. g) navrhujeme nahradiť slovo „ktorých“ textom „a v rámci prevádzky najmä ich prehliadky, údržbu, opravu, modernizáciu, zlepšenie výkonnosti, úpravu,  rekonštrukciu, uplatňovanie práv vyplývajúcich z ich existencie, a ich prípadné odstránenie, vrátane zriaďovania a prevádzkovania obslužných zariadení, ak ich“.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zohľadňuje osobitosti vzniku a dlhodobého prevádzkovania distribučných sústav. Súčasťou týchto sústav sú tisíce elektrických vedení a elektroenergetických zariadení vybudovaných za účinnosti skorších energetických predpisov, podľa ktorých práva k cudzím nehnuteľnostiam vznikali priamo zo zákona pri splnení zákonných podmienok, bez potreby uzatvorenia zmluvy s vlastníkom nehnuteľnosti. Ich vznik nebol podmienený zápisom do evidencie nehnuteľností; napríklad § 26 ods. 1 zákona č. 79/1957 Zb. o výrobe, rozvode a spotrebe elektriny výslovne ustanovoval, že takéto vecné bremená sa nezapisujú do pozemkových kníh. Takto vzniknuté oprávnenia boli zachované nadväzujúcimi energetickými predpismi a ich kontinuitu potvrdzuje aj § 96 ods. 4 zákona o energetike. Pri týchto zariadeniach preto nemožno vychádzať z predpokladu, že obsah oprávnení prevádzkovateľa je alebo môže byť vo všetkých prípadoch upravený zmluvou s vlastníkom dotknutej nehnuteľnosti.</w:t>
              <w:br/>
            </w:r>
            <w:r>
              <w:rPr>
                <w:b w:val="off"/>
                <w:color w:val="000000"/>
                <w:rFonts w:ascii="Times New Roman" w:hAnsi="Times New Roman" w:cs="Times New Roman" w:eastAsia="Times New Roman"/>
                <w:sz w:val="24"/>
              </w:rPr>
              <w:t>Ustanovenie § 1576 ods. 3 nového Občianskeho zákonníka viaže zahrnutie práva modernizácie, zlepšovania výkonnosti, úprav a rekonštrukcie siete, ako aj zriadenia a prevádzkovania obslužného zariadenia, do obsahu služobnosti na výslovnú dohodu. Spoločnosť Západoslovenská distribučná, a.s. štandardne už niekoľko rokov uzatvára s vlastníkmi zaťažených nehnuteľností zmluvy o zriadení vecného bremena, ktoré obsahujú práve takéto vymedzenie práva na prevádzku, údržbu, opravu, modernizáciu, zlepšenie výkonnosti, úpravu a rekonštrukciu. Vo vzťahu k existujúcim zákonným vecným bremenám, ako aj k zákonným služobnostiam, ktoré vzniknú podľa novej právnej úpravy je však potrebné vylúčiť výklad, podľa ktorého by obnova a modernizácia existujúcich energetických zariadení vyžadovala dodatočné zmluvné dojednanie s vlastníkmi dotknutých nehnuteľností. Absencia takéhoto dojednania je dôsledkom  zákonného spôsobu vzniku týchto práv a nemôže byť sama osebe dôvodom na znemožnenie nevyhnutnej obnovy a modernizácie sústavy.</w:t>
              <w:br/>
            </w:r>
            <w:r>
              <w:rPr>
                <w:b w:val="off"/>
                <w:color w:val="000000"/>
                <w:rFonts w:ascii="Times New Roman" w:hAnsi="Times New Roman" w:cs="Times New Roman" w:eastAsia="Times New Roman"/>
                <w:sz w:val="24"/>
              </w:rPr>
              <w:t>Elektrické vedenia tvoria funkčne prepojené celky, ktoré prechádzajú cez množstvo nehnuteľností rôznych vlastníkov a zabezpečujú distribúciu elektriny do stoviek až tisícov odberných miest. Ak by modernizácia takéhoto vedenia závisela od uzatvorenia dohody s každým jednotlivým vlastníkom, nesúhlas čo i len jedného z nich by mohol zablokovať modernizáciu celej linky. Možnosť zabezpečiť bezpečnú a spoľahlivú distribúciu elektriny a obnovovať zariadenia po skončení ich technickej životnosti by tak bola závislá od individuálnej vôle jednotlivého vlastníka, hoci vedenie bolo oprávnene zriadené a prevádzkuje sa na základe zákonného právneho titulu. Takýto dôsledok by bol v rozpore s verejným záujmom na zachovaní a rozvoji distribučnej sústavy a mohol by neprimerane ohroziť plnenie zákonných povinností jej prevádzkovateľa voči odberateľom.</w:t>
              <w:br/>
            </w:r>
            <w:r>
              <w:rPr>
                <w:b w:val="off"/>
                <w:color w:val="000000"/>
                <w:rFonts w:ascii="Times New Roman" w:hAnsi="Times New Roman" w:cs="Times New Roman" w:eastAsia="Times New Roman"/>
                <w:sz w:val="24"/>
              </w:rPr>
              <w:t>Navrhuje sa preto, aby zákon o energetike ako osobitný právny predpis výslovne zahŕňal uvedené činnosti do zákonných oprávnení držiteľa povolenia. Tým sa vytvorí jednoznačný právny základ obnovy, rekonštrukcie a modernizácie oprávnene umiestnených zariadení, ktorý nebude závislý od možnosti dodatočne získať zmluvný súhlas všetkých dotknutých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V § 11 navrhujeme doplniť za odsek 17 nasledovné odseky: </w:t>
              <w:br/>
            </w:r>
            <w:r>
              <w:rPr>
                <w:b w:val="off"/>
                <w:color w:val="000000"/>
                <w:rFonts w:ascii="Times New Roman" w:hAnsi="Times New Roman" w:cs="Times New Roman" w:eastAsia="Times New Roman"/>
                <w:sz w:val="24"/>
              </w:rPr>
              <w:t>(18) Držiteľ povolenia znáša náklady na užívanie, zachovanie a bežné opravy zaťaženej nehnuteľnosti len v rozsahu, v akom boli vyvolané výkonom vecného bremena, a primerane miere jej užívania, pokiaľ sa nedohodne inak. Ustanovenia § 11 ods. 4 až 6 tým nie sú dotknuté.</w:t>
              <w:br/>
            </w:r>
            <w:r>
              <w:rPr>
                <w:b w:val="off"/>
                <w:color w:val="000000"/>
                <w:rFonts w:ascii="Times New Roman" w:hAnsi="Times New Roman" w:cs="Times New Roman" w:eastAsia="Times New Roman"/>
                <w:sz w:val="24"/>
              </w:rPr>
              <w:t>(19) Povinnosť  držiteľa povolenia sprístupniť vlastníkovi zaťaženej nehnuteľnosti dokumentáciu v rozsahu potrebnom na ochranu jeho práv a oprávnených záujmov (odkaz na § 1577 ods. 3 OZ) sa považuje za splnenú poskytnutím informácií o umiestnení, rozsahu a ochrannom pásme a bezpečnostnom pásme energetického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energetických zariadeniach má užívanie cudzej nehnuteľnosti spravidla obmedzený účel a rozsah: spočíva najmä v umiestnení vedenia alebo zariadenia a v nevyhnutnom prístupe na vykonanie prevádzkových činností. Samotná existencia energetického zariadenia preto nemá zakladať povinnosť držiteľa povolenia financovať zachovanie a bežné opravy celej nehnuteľnosti vrátane nákladov, ktoré s výkonom služobnosti nesúvisia.</w:t>
              <w:br/>
            </w:r>
            <w:r>
              <w:rPr>
                <w:b w:val="off"/>
                <w:color w:val="000000"/>
                <w:rFonts w:ascii="Times New Roman" w:hAnsi="Times New Roman" w:cs="Times New Roman" w:eastAsia="Times New Roman"/>
                <w:sz w:val="24"/>
              </w:rPr>
              <w:t xml:space="preserve">Navrhuje sa preto výslovne previazať rozsah nákladovej povinnosti s nákladmi vyvolanými výkonom služobnosti a s mierou skutočného užívania nehnuteľnosti držiteľom povolenia. Tým sa zabezpečí primerané rozdelenie nákladov medzi vlastníka nehnuteľnosti a držiteľa povolenia a predíde sa prenášaniu nákladov na bežné užívanie nehnuteľnosti jej vlastníkom na prevádzkovateľa energetického zariadenia. Súčasne sa zachováva možnosť odlišnej dohody. </w:t>
              <w:br/>
            </w:r>
            <w:r>
              <w:rPr>
                <w:b w:val="off"/>
                <w:color w:val="000000"/>
                <w:rFonts w:ascii="Times New Roman" w:hAnsi="Times New Roman" w:cs="Times New Roman" w:eastAsia="Times New Roman"/>
                <w:sz w:val="24"/>
              </w:rPr>
              <w:t>Navrhovaný odsek 19 nadväzuje na § 1577 ods. 3 Občianskeho zákonníka a konkretizuje spôsob splnenia informačnej povinnosti držiteľa povolenia s prihliadnutím na osobitosti energetických zariadení. Všeobecná úprava viaže sprístupnenie dokumentácie na rozsah nevyhnutný na ochranu záujmov vlastníka, bližšie však neurčuje, akými údajmi možno túto povinnosť splniť. V praxi tak môže dochádzať k rozdielnemu výkladu rozsahu poskytovanej dokumentácie a k požiadavkám na sprístupnenie rozsiahlych technických či prevádzkových podkladov, ktoré sa dotknutej nehnuteľnosti priamo netýkajú.</w:t>
              <w:br/>
            </w:r>
            <w:r>
              <w:rPr>
                <w:b w:val="off"/>
                <w:color w:val="000000"/>
                <w:rFonts w:ascii="Times New Roman" w:hAnsi="Times New Roman" w:cs="Times New Roman" w:eastAsia="Times New Roman"/>
                <w:sz w:val="24"/>
              </w:rPr>
              <w:t>Účelom navrhovanej úpravy je zabezpečiť vlastníkovi konkrétne informácie o umiestnení a rozsahu energetického zariadenia a jeho ochrannom pásme, ktoré mu umožnia identifikovať zásah do jeho nehnuteľnosti a súvisiace obmedzenia jej užívania. Poskytnutie takto vymedzených informácií umožní jednotné plnenie zákonnej povinnosti bez potreby sprístupňovať celú dokumentáciu zariadenia alebo sústavy, ktorá môže obsahovať aj údaje nesúvisiace s nehnuteľnosťou žiadateľa, bezpečnostne citlivé údaje, obchodné tajomstvo alebo informácie týkajúce sa tretích osôb. Navrhované riešenie tak sleduje primerané zosúladenie informačných potrieb vlastníka s ochranou bezpečnosti a spoľahlivosti energetických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 písm. d)</w:t>
              <w:br/>
            </w:r>
            <w:r>
              <w:rPr>
                <w:b w:val="off"/>
                <w:color w:val="000000"/>
                <w:rFonts w:ascii="Times New Roman" w:hAnsi="Times New Roman" w:cs="Times New Roman" w:eastAsia="Times New Roman"/>
                <w:sz w:val="24"/>
              </w:rPr>
              <w:t>Navrhujeme nové znenie tohto odseku takto:  „d) osobitné podmienky prevodu vlastníctva družstevných bytov a nebytových priestorov a súvisiacich práv k pozemkom a podmienky nadobudnutia vlastníctva bytov a nebytových priestorov, spoločných častí domu a jeho príslušenstva formou vstavby alebo nadstavby.“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 zákona musí zahŕňať aj zachovávanú osobitnú úpravu družstevných prevodov vrátane práv k pozemkom. Všeobecná úprava vzniku a prevodu vlastníctva bytov a nebytových priestorov zostáva upravená Občianskym zákonníkom.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k)</w:t>
              <w:br/>
            </w:r>
            <w:r>
              <w:rPr>
                <w:b w:val="off"/>
                <w:color w:val="000000"/>
                <w:rFonts w:ascii="Times New Roman" w:hAnsi="Times New Roman" w:cs="Times New Roman" w:eastAsia="Times New Roman"/>
                <w:sz w:val="24"/>
              </w:rPr>
              <w:t xml:space="preserve">Navrhujeme za slovom  „spolunažívanie“ dať bodkočiarku; a vložiť nasledovný text: pod týmito pravidlami sa rozumie aj domový poriadok,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sa zavádza namiesto Domového poriadku výraz pravidlá pre užívanie spoločných častí domu, príslušenstva domu a priľahlého pozemku.  Bytové domy v súčasnosti už majú schválené Domové poriadky s tým, že domový poriadok je komplexnejší dokument, ktorý upravuje nielen pravidlá užívania spoločných častí domu, príslušenstva domu a priľahlého pozemku, ale aj pravidlá spolunažívania vlastníkov v bytovom dome ako nočný kľud, ktorý sa týka aj správania vlastníkov v bytoch, pravidlá pre vlastníkov pri stavebných úpravách v bytoch napr. určenie času pri prestavbách a pod. Uvedené pravidlá sa netýkajú iba užívania spoločných častí, a preto je potrebné zachovať v zákone Domový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xml:space="preserve">V § 2 doplniť o písm. m)  </w:t>
              <w:br/>
            </w:r>
            <w:r>
              <w:rPr>
                <w:b w:val="off"/>
                <w:color w:val="000000"/>
                <w:rFonts w:ascii="Times New Roman" w:hAnsi="Times New Roman" w:cs="Times New Roman" w:eastAsia="Times New Roman"/>
                <w:sz w:val="24"/>
              </w:rPr>
              <w:t>§ 2 písm. m) príslušenstvom domu príslušenstvo domu podľa § 1688 ods. 2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 keď ide o prebraté znenie z OZ bolo by vhodné toto vyjadriť aj v tomto základnom zákone pre správu bytových domov, keď už definujeme takmer všetko týkajúce sa bytového domu, Odkaz zabezpečuje jednotný význam pojmu príslušenstvo domu v oboch zákonoch a predchádza rozdielom pri výklade alebo neskorších zmenách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na konci vety za slovom „domu““</w:t>
              <w:br/>
            </w:r>
            <w:r>
              <w:rPr>
                <w:b w:val="off"/>
                <w:color w:val="000000"/>
                <w:rFonts w:ascii="Times New Roman" w:hAnsi="Times New Roman" w:cs="Times New Roman" w:eastAsia="Times New Roman"/>
                <w:sz w:val="24"/>
              </w:rPr>
              <w:t>doplniť o slovo „zabezpečuje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Bolo vynechané sloveso a potom po prvej vete sa vymenúvajú činnosti, ktorými  má zabezpečovať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7b ods. 3</w:t>
              <w:br/>
            </w:r>
            <w:r>
              <w:rPr>
                <w:b w:val="off"/>
                <w:color w:val="000000"/>
                <w:rFonts w:ascii="Times New Roman" w:hAnsi="Times New Roman" w:cs="Times New Roman" w:eastAsia="Times New Roman"/>
                <w:sz w:val="24"/>
              </w:rPr>
              <w:t>na konci vety za slovom „opráv“</w:t>
              <w:br/>
            </w:r>
            <w:r>
              <w:rPr>
                <w:b w:val="off"/>
                <w:color w:val="000000"/>
                <w:rFonts w:ascii="Times New Roman" w:hAnsi="Times New Roman" w:cs="Times New Roman" w:eastAsia="Times New Roman"/>
                <w:sz w:val="24"/>
              </w:rPr>
              <w:t>vložiť text: „a vyúčtovanie záloh na plnenia rozúčtované na jednotlivé byty a nebytové priestory v dome, Zároveň je povinné najneskôr do 31. mája nasledujúceho roka vykonať a predložiť vlastníkom vyúčtovanie použitia fondu prevádzky, údržby a opráv za predchádzajúci rok. Vyúčtovanie záloh na plnenia rozúčtované na jednotlivé byty a nebytové priestory v dome je povinné vykonať a odoslať v lehote podľa § 1723 ods. 2 Občianskeho zákonníka, ak § 32k neustanovuje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zrejmé, že sa vyúčtovávajú predovšetkým zálohy na plnenia a nielen fond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8a ods. 2</w:t>
              <w:br/>
            </w:r>
            <w:r>
              <w:rPr>
                <w:b w:val="off"/>
                <w:color w:val="000000"/>
                <w:rFonts w:ascii="Times New Roman" w:hAnsi="Times New Roman" w:cs="Times New Roman" w:eastAsia="Times New Roman"/>
                <w:sz w:val="24"/>
              </w:rPr>
              <w:t xml:space="preserve">na konci vety za slovom „opráv“ </w:t>
              <w:br/>
            </w:r>
            <w:r>
              <w:rPr>
                <w:b w:val="off"/>
                <w:color w:val="000000"/>
                <w:rFonts w:ascii="Times New Roman" w:hAnsi="Times New Roman" w:cs="Times New Roman" w:eastAsia="Times New Roman"/>
                <w:sz w:val="24"/>
              </w:rPr>
              <w:t>vložiť text: „a vyúčtovanie záloh na plnenia rozúčtované na jednotlivé byty a nebytové priestory v dome“ . Zároveň je povinný najneskôr do 31. mája nasledujúceho roka vykonať a predložiť vlastníkom vyúčtovanie použitia fondu prevádzky, údržby a opráv za predchádzajúci rok. Vyúčtovanie záloh na plnenia rozúčtované na jednotlivé byty a nebytové priestory v dome je povinný vykonať a odoslať v lehote podľa § 1723 ods. 2 Občianskeho zákonníka, ak § 32k neustanovuje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zrejmé, že sa vyúčtovávajú predovšetkým zálohy na plnenia a nielen fond.   Navrhujeme zachovať v § 7b ods. 3 a § 8a ods. 2 výslovnú povinnosť vykonať vyúčtovanie záloh na plnenia rozúčtované na jednotlivé byty a nebytové priestory v dome. Lehota na vykonanie a odoslanie tohto vyúčtovania sa spravuje § 1723 ods. 2 Občianskeho zákonníka, ak sa na príslušný právny vzťah nevzťahuje zachovanie doterajších predpisov podľa § 32k.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8a ods. 4</w:t>
              <w:br/>
            </w:r>
            <w:r>
              <w:rPr>
                <w:b w:val="off"/>
                <w:color w:val="000000"/>
                <w:rFonts w:ascii="Times New Roman" w:hAnsi="Times New Roman" w:cs="Times New Roman" w:eastAsia="Times New Roman"/>
                <w:sz w:val="24"/>
              </w:rPr>
              <w:t>navrhujeme nové znenie odseku 4takto:</w:t>
              <w:br/>
            </w:r>
            <w:r>
              <w:rPr>
                <w:b w:val="off"/>
                <w:color w:val="000000"/>
                <w:rFonts w:ascii="Times New Roman" w:hAnsi="Times New Roman" w:cs="Times New Roman" w:eastAsia="Times New Roman"/>
                <w:sz w:val="24"/>
              </w:rPr>
              <w:t>„(4) Ak správca nepredloží vlastníkom bytov a nebytových priestorov v dome správu o svojej činnosti alebo vyúčtovanie použitia fondu prevádzky, údržby a opráv v lehote podľa odseku 2, nemá až do splnenia príslušnej povinnosti nárok na platby za správu. Nárok na platby za správu nemá ani vtedy, ak v lehote ustanovenej právnymi predpismi použiteľnými na príslušný právny vzťah nesplní povinnosť vykonať a odoslať vyúčtovanie záloh na plnenia, a to až do splnenia tejto povinnosti. Nárok na platby za správu nemá správca ani vtedy, ak nepredloží do 30. novembra bežného roka plán opráv na nasledujúci kalendárny rok podľa § 8b ods. 1 písm. g). Ak správca najneskôr v deň skončenia správy neprevedie zostatok finančných prostriedkov na účte domu v banke na účet založený novým správcom alebo spoločenstvom, je povinný zaplatiť na tento účet úroky z omeškania.“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Treba rozlíšiť správu o činnosti, vyúčtovanie použitia fondu a vyúčtovanie záloh na plnenia. Sankcia za nesplnenie povinnosti musí nadväzovať na príslušnú zákonnú lehotu vrátane jej prípadného predĺženia pri zmene osoby zodpovednej za správu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8b ods. 1 písm. f)</w:t>
              <w:br/>
            </w:r>
            <w:r>
              <w:rPr>
                <w:b w:val="off"/>
                <w:color w:val="000000"/>
                <w:rFonts w:ascii="Times New Roman" w:hAnsi="Times New Roman" w:cs="Times New Roman" w:eastAsia="Times New Roman"/>
                <w:sz w:val="24"/>
              </w:rPr>
              <w:t>z textu vypustiť „najmenej raz za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sa uznesenia vlastníkov bytov a NP prijímajú prevažne písomným hlasovaním, účasť na schôdzach je minimálna, o ničom sa na nej nedá dohodnúť, a preto je náš návrh opodstatnený.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5 písm. f)</w:t>
              <w:br/>
            </w:r>
            <w:r>
              <w:rPr>
                <w:b w:val="off"/>
                <w:color w:val="000000"/>
                <w:rFonts w:ascii="Times New Roman" w:hAnsi="Times New Roman" w:cs="Times New Roman" w:eastAsia="Times New Roman"/>
                <w:sz w:val="24"/>
              </w:rPr>
              <w:t xml:space="preserve">Navrhujeme písm. f) tohto znenia: „f)  zverejniť pravidlá pre užívanie spoločných častí domu na mieste obvyklom na oznamovanie informácií v dome. To isté platí aj pre zverejnenie domového poriadku.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Doplňame o slová:  ktorým je aj Domový poriadok a to v súvislosti s odôvodnením k NB 1 viď hore </w:t>
              <w:br/>
            </w:r>
            <w:r>
              <w:rPr>
                <w:b w:val="off"/>
                <w:color w:val="000000"/>
                <w:rFonts w:ascii="Times New Roman" w:hAnsi="Times New Roman" w:cs="Times New Roman" w:eastAsia="Times New Roman"/>
                <w:sz w:val="24"/>
              </w:rPr>
              <w:t>Vypúšťa sa  pravidlá pre výkon správy domu a</w:t>
              <w:br/>
            </w:r>
            <w:r>
              <w:rPr>
                <w:b w:val="off"/>
                <w:color w:val="000000"/>
                <w:rFonts w:ascii="Times New Roman" w:hAnsi="Times New Roman" w:cs="Times New Roman" w:eastAsia="Times New Roman"/>
                <w:sz w:val="24"/>
              </w:rPr>
              <w:t>Odôvodnenie: Vzhľadom na povinnosť správcu doručovať zmluvy o výkone správy  vlastníkom považujeme za nadbytočné ukladať správcom ešte povinnosť zverejňovania ZoVS.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 xml:space="preserve">Navrhujeme doplniť o odsek : </w:t>
              <w:br/>
            </w:r>
            <w:r>
              <w:rPr>
                <w:b w:val="off"/>
                <w:color w:val="000000"/>
                <w:rFonts w:ascii="Times New Roman" w:hAnsi="Times New Roman" w:cs="Times New Roman" w:eastAsia="Times New Roman"/>
                <w:sz w:val="24"/>
              </w:rPr>
              <w:t>6) „Zmluva o výkone správy alebo zmluva o spoločenstve môže určiť skorší deň splatnosti platieb do fondu prevádzky, údržby a opráv a záloh na plnenia oproti najneskoršiemu dňu splatnosti podľa § 1720 ods. 1 a § 1723 ods. 1 Občianskeho zákonníka, a to aj v kalendárnom mesiaci predchádzajúcom mesiacu, na ktorý sa platba alebo záloha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Skoršia zmluvná splatnosť umožňuje priebežne zabezpečovať finančné prostriedky na úhradu záväzkov domu voči dodávateľom. Navrhované ustanovenie výslovne umožňuje zachovať tento spôsob financovania aj pri zmluvách uzavretých po nadobudnutí účinnosti novej právnej úpravy. Ide o možnosť zmluvného dojednania, nie o všeobecnú povinnosť platiť v predchádzajúcom mesiaci.</w:t>
              <w:br/>
            </w:r>
            <w:r>
              <w:rPr>
                <w:b w:val="off"/>
                <w:color w:val="000000"/>
                <w:rFonts w:ascii="Times New Roman" w:hAnsi="Times New Roman" w:cs="Times New Roman" w:eastAsia="Times New Roman"/>
                <w:sz w:val="24"/>
              </w:rPr>
              <w:t>Zachovanie dojednaní o splatnosti v zmluvách uzavretých pred 1. júlom 2027 a vylúčenie povinnosti ich zosúladenia sa upravujú osobitne v § 32k.</w:t>
              <w:br/>
            </w:r>
            <w:r>
              <w:rPr>
                <w:b w:val="off"/>
                <w:color w:val="000000"/>
                <w:rFonts w:ascii="Times New Roman" w:hAnsi="Times New Roman" w:cs="Times New Roman" w:eastAsia="Times New Roman"/>
                <w:sz w:val="24"/>
              </w:rPr>
              <w:t>Týmto  ochraňujeme  súčasné zmluvy a zároveň zachováme možnosť platieb vopred aj pri nových zmluvách.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7</w:t>
              <w:br/>
            </w:r>
            <w:r>
              <w:rPr>
                <w:b w:val="off"/>
                <w:color w:val="000000"/>
                <w:rFonts w:ascii="Times New Roman" w:hAnsi="Times New Roman" w:cs="Times New Roman" w:eastAsia="Times New Roman"/>
                <w:sz w:val="24"/>
              </w:rPr>
              <w:t xml:space="preserve">navrhujeme doplnenie toto znenie: </w:t>
              <w:br/>
            </w:r>
            <w:r>
              <w:rPr>
                <w:b w:val="off"/>
                <w:color w:val="000000"/>
                <w:rFonts w:ascii="Times New Roman" w:hAnsi="Times New Roman" w:cs="Times New Roman" w:eastAsia="Times New Roman"/>
                <w:sz w:val="24"/>
              </w:rPr>
              <w:t>7) Samotné neužívanie bytu alebo nebytového priestoru nezbavuje jeho vlastníka povinnosti platiť platby za výkon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platiť do fondu prevádzky, údržby a opráv a poukazovať zálohy na plnenia bez ohľadu na užívanie bytu alebo nebytového priestoru upravuje Občiansky zákonník. Navrhované ustanovenie výslovne rieši aj platby za výkon správy. Nedotýka sa pravidiel rozúčtovania skutočných nákladov na jednotlivé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10a, ktorý znie:</w:t>
              <w:br/>
            </w:r>
            <w:r>
              <w:rPr>
                <w:b w:val="off"/>
                <w:color w:val="000000"/>
                <w:rFonts w:ascii="Times New Roman" w:hAnsi="Times New Roman" w:cs="Times New Roman" w:eastAsia="Times New Roman"/>
                <w:sz w:val="24"/>
              </w:rPr>
              <w:t>„§ 10a</w:t>
              <w:br/>
            </w:r>
            <w:r>
              <w:rPr>
                <w:b w:val="off"/>
                <w:color w:val="000000"/>
                <w:rFonts w:ascii="Times New Roman" w:hAnsi="Times New Roman" w:cs="Times New Roman" w:eastAsia="Times New Roman"/>
                <w:sz w:val="24"/>
              </w:rPr>
              <w:t>Pohľadávky pri financovaní správy domu</w:t>
              <w:br/>
            </w:r>
            <w:r>
              <w:rPr>
                <w:b w:val="off"/>
                <w:color w:val="000000"/>
                <w:rFonts w:ascii="Times New Roman" w:hAnsi="Times New Roman" w:cs="Times New Roman" w:eastAsia="Times New Roman"/>
                <w:sz w:val="24"/>
              </w:rPr>
              <w:t>(1) Riadne určená platba do fondu prevádzky, údržby a opráv je samostatnou peňažnou pohľadávkou. Jej splatnosť a vymáhateľnosť nie sú podmienené vyúčtovaním použitia fondu. Vyúčtovaním použitia fondu nezaniká pohľadávka na nezaplatenú platbu ani jej príslušenstvo. Pri omeškaní so zaplatením riadne určenej platby do fondu prevádzky, údržby a opráv vzniká právo na úrok z omeškania.</w:t>
              <w:br/>
            </w:r>
            <w:r>
              <w:rPr>
                <w:b w:val="off"/>
                <w:color w:val="000000"/>
                <w:rFonts w:ascii="Times New Roman" w:hAnsi="Times New Roman" w:cs="Times New Roman" w:eastAsia="Times New Roman"/>
                <w:sz w:val="24"/>
              </w:rPr>
              <w:t>(2) Riadne určená záloha na plnenia je samostatnou peňažnou pohľadávkou, ktorú možno po jej splatnosti vymáhať aj pred vykonaním ročného vyúčtovania. Pri omeškaní s jej zaplatením vzniká právo na úrok z omeškania.</w:t>
              <w:br/>
            </w:r>
            <w:r>
              <w:rPr>
                <w:b w:val="off"/>
                <w:color w:val="000000"/>
                <w:rFonts w:ascii="Times New Roman" w:hAnsi="Times New Roman" w:cs="Times New Roman" w:eastAsia="Times New Roman"/>
                <w:sz w:val="24"/>
              </w:rPr>
              <w:t>(3) V ročnom vyúčtovaní sa osobitne uvedú skutočné náklady pripadajúce na byt alebo nebytový priestor, predpísané zálohy a skutočne zaplatené zálohy. Výsledný nedoplatok alebo preplatok sa určí porovnaním skutočných nákladov a skutočne zaplatených záloh. Úroky z omeškania sa vykazujú oddelene.</w:t>
              <w:br/>
            </w:r>
            <w:r>
              <w:rPr>
                <w:b w:val="off"/>
                <w:color w:val="000000"/>
                <w:rFonts w:ascii="Times New Roman" w:hAnsi="Times New Roman" w:cs="Times New Roman" w:eastAsia="Times New Roman"/>
                <w:sz w:val="24"/>
              </w:rPr>
              <w:t>(4) Doručením riadneho ročného vyúčtovania zaniká právo požadovať samostatné zaplatenie istiny nezaplatených záloh za vyúčtované obdobie; tým nie je dotknuté právo na zaplatenie výsledného nedoplatku. To platí aj vtedy, ak je výsledkom vyúčtovania preplatok alebo nulový rozdiel. Právo na úroky z omeškania so zaplatením záloh vzniknuté za obdobie do doručenia riadneho ročného vyúčtovania zostáva zachované; obdobie, za ktoré tieto úroky patria, sa však končí najneskôr uplynutím zákonnej lehoty na odoslanie vyúčtovania. Zákaz dvojitého uspokojenia tej istej istiny a povinnosť zohľadniť prijaté platby sa vzťahujú aj na zálohy uplatnené na súde alebo priznané vykonateľným rozhodnutím. Právo na úroky z omeškania so zaplatením záloh vzniknuté za obdobie do doručenia riadneho ročného vyúčtovania zostáva zachované; obdobie, za ktoré tieto úroky patria, sa však končí najneskôr uplynutím lehoty na odoslanie vyúčtovania podľa § 1723 ods. 2 Občianskeho zákonníka. Preplatok alebo nulový výsledok vyúčtovania sám osebe nespôsobuje zánik už vzniknutého práva na úroky z omeškania so zaplatením záloh; ustanovenia o započítaní tým nie sú dotknuté.““</w:t>
              <w:br/>
            </w:r>
            <w:r>
              <w:rPr>
                <w:b w:val="off"/>
                <w:color w:val="000000"/>
                <w:rFonts w:ascii="Times New Roman" w:hAnsi="Times New Roman" w:cs="Times New Roman" w:eastAsia="Times New Roman"/>
                <w:sz w:val="24"/>
              </w:rPr>
              <w:t>(5) Každá platba prijatá na zálohy na plnenia za vyúčtované obdobie sa zohľadní aj pri určení alebo úhrade výsledku vyúčtovania. Za rovnaké obdobie nemožno súčasne požadovať úrok z omeškania z tej istej istiny ako z nezaplatenej zálohy aj ako z nedoplatku z vyúčtovania.</w:t>
              <w:br/>
            </w:r>
            <w:r>
              <w:rPr>
                <w:b w:val="off"/>
                <w:color w:val="000000"/>
                <w:rFonts w:ascii="Times New Roman" w:hAnsi="Times New Roman" w:cs="Times New Roman" w:eastAsia="Times New Roman"/>
                <w:sz w:val="24"/>
              </w:rPr>
              <w:t>(6)Pri omeškaní so zaplatením nedoplatku alebo vrátením preplatku vzniká právo na úrok z omeškania. Splatnosť nedoplatku alebo preplatku sa spravuje § 1723 ods. 3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bod rieši uplatňovanie práv vlastníkov bytov a NP voči neplatiacim vlastníkom ako aj ich vznik a zánik a to aj voči tzv. zálohovým platbám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9</w:t>
              <w:br/>
            </w:r>
            <w:r>
              <w:rPr>
                <w:b w:val="off"/>
                <w:color w:val="000000"/>
                <w:rFonts w:ascii="Times New Roman" w:hAnsi="Times New Roman" w:cs="Times New Roman" w:eastAsia="Times New Roman"/>
                <w:sz w:val="24"/>
              </w:rPr>
              <w:t>V § 14a ods. 9 slovo ‚siedmich‘ sa v celom odseku nahrádza slovom ‚pätnástich‘“.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siedmich dní je vzhľadom na to, že je potrebné zápisnicu napísať  dať  overiť a vyvesiť je krátka, pričom sa jedná o kalendárne dni a nie pracovné a predložiť dokumenty. Samotné predĺženie je naša vecná legislatívna požiadavka. Sa nemení lehota vlastníka na súdnu ochranu podľa odseku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V novelizačnom bode vypúšťajúcom § 17 navrhujeme zachovať § 17 v tomto znení</w:t>
              <w:br/>
            </w:r>
            <w:r>
              <w:rPr>
                <w:b w:val="off"/>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Cena pri družstevnom prevode</w:t>
              <w:br/>
            </w:r>
            <w:r>
              <w:rPr>
                <w:b w:val="off"/>
                <w:color w:val="000000"/>
                <w:rFonts w:ascii="Times New Roman" w:hAnsi="Times New Roman" w:cs="Times New Roman" w:eastAsia="Times New Roman"/>
                <w:sz w:val="24"/>
              </w:rPr>
              <w:t>1) Ak sa podľa § 28 prevádza byt z vlastníctva bytového družstva do vlastníctva člena bytového družstva, ktorý je jeho nájomníkom, člen je povinný zaplatiť bytovému družstvu ako cenu bytu nesplatený investičný úver s príslušenstvom pripadajúci na tento byt. Ak je investičný úver s príslušenstvom pripadajúci na tento byt úplne splatený, cena bytu podľa tohto odseku je nulová.“</w:t>
              <w:br/>
            </w:r>
            <w:r>
              <w:rPr>
                <w:b w:val="off"/>
                <w:color w:val="000000"/>
                <w:rFonts w:ascii="Times New Roman" w:hAnsi="Times New Roman" w:cs="Times New Roman" w:eastAsia="Times New Roman"/>
                <w:sz w:val="24"/>
              </w:rPr>
              <w:t>(2) Prevodom vlastníctva bytu sa vyporiada majetková účasť člena určená na obstaranie prevádzaného bytu; v tomto rozsahu členovi nevzniká nárok na jej ďalšie vrátenie alebo vyplatenie. Tým nie je dotknutý základný členský vklad ani majetková účasť spojená s iným bytom alebo nebytovým priestorom. Prevodom vlastníctva bytu členstvo v družstve nezaniká.</w:t>
              <w:br/>
            </w:r>
            <w:r>
              <w:rPr>
                <w:b w:val="off"/>
                <w:color w:val="000000"/>
                <w:rFonts w:ascii="Times New Roman" w:hAnsi="Times New Roman" w:cs="Times New Roman" w:eastAsia="Times New Roman"/>
                <w:sz w:val="24"/>
              </w:rPr>
              <w:t>(3) Pri prevode podľa odseku 1 sa zachováva výnimka z povinnosti vrátiť štátny príspevok v rozsahu ustanovenom § 17 ods. 8 tohto zákona v znení účinnom do 30. júna 2027.</w:t>
              <w:br/>
            </w:r>
            <w:r>
              <w:rPr>
                <w:b w:val="off"/>
                <w:color w:val="000000"/>
                <w:rFonts w:ascii="Times New Roman" w:hAnsi="Times New Roman" w:cs="Times New Roman" w:eastAsia="Times New Roman"/>
                <w:sz w:val="24"/>
              </w:rPr>
              <w:t>(4) Odseky 1 a 2 sa primerane použijú na prevod garáže alebo ateliéru podľa § 28 ods. 2; nesplatený investičný úver s príslušenstvom sa určí vo vzťahu k prevádzanej garáži alebo ateliéru.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zachovať požiadavku na prevody družstevných bytov do vlastníctva nájomníkov bez konečného dátumu vrátane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dopĺňame k bodu 66 požiadavku:</w:t>
              <w:br/>
            </w:r>
            <w:r>
              <w:rPr>
                <w:b w:val="off"/>
                <w:color w:val="000000"/>
                <w:rFonts w:ascii="Times New Roman" w:hAnsi="Times New Roman" w:cs="Times New Roman" w:eastAsia="Times New Roman"/>
                <w:sz w:val="24"/>
              </w:rPr>
              <w:t>Navrhujeme: nevypustiť § 18a ods. 2 a 3 a zachovať osobitný cenový režim prevodov podľa týchto ustanovení. V § 18a ods. 3 sa odkaz na § 5 ods. 1 písm. b) nahrádza odkazom na § 1697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28 ods. 4 rieši pozemky vo vlastníctve družstva. Nenahrádza nároky na prevod pozemkov vo vlastníctve obce podľa doterajšieho § 18a ods. 2 a 3.</w:t>
              <w:br/>
            </w:r>
            <w:r>
              <w:rPr>
                <w:b w:val="off"/>
                <w:color w:val="000000"/>
                <w:rFonts w:ascii="Times New Roman" w:hAnsi="Times New Roman" w:cs="Times New Roman" w:eastAsia="Times New Roman"/>
                <w:sz w:val="24"/>
              </w:rPr>
              <w:t>Ak chceme tieto práva zachovať aj pre nové žiadosti po 30. júni 2027, doplňte k bodu 66 požiadavku.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Nevypustiť § 23</w:t>
              <w:br/>
            </w:r>
            <w:r>
              <w:rPr>
                <w:b w:val="off"/>
                <w:color w:val="000000"/>
                <w:rFonts w:ascii="Times New Roman" w:hAnsi="Times New Roman" w:cs="Times New Roman" w:eastAsia="Times New Roman"/>
                <w:sz w:val="24"/>
              </w:rPr>
              <w:t xml:space="preserve">Navrhujeme nevypustiť § 23 platného zákona č. 182/1993 Z. z. </w:t>
              <w:br/>
            </w:r>
            <w:r>
              <w:rPr>
                <w:b w:val="off"/>
                <w:color w:val="000000"/>
                <w:rFonts w:ascii="Times New Roman" w:hAnsi="Times New Roman" w:cs="Times New Roman" w:eastAsia="Times New Roman"/>
                <w:sz w:val="24"/>
              </w:rPr>
              <w:t xml:space="preserve">Prevziať znenie z platného zákona a upraviť ho terminologicky podľa nového Občianskeho zákonníka.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ponechať znenie §23 – prispôsobiť odkazy návrhu novely zákona č. 182/1993 Z. z. Tento </w:t>
              <w:br/>
            </w:r>
            <w:r>
              <w:rPr>
                <w:b w:val="off"/>
                <w:color w:val="000000"/>
                <w:rFonts w:ascii="Times New Roman" w:hAnsi="Times New Roman" w:cs="Times New Roman" w:eastAsia="Times New Roman"/>
                <w:sz w:val="24"/>
              </w:rPr>
              <w:t>§ upravuje spôsob vysporiadania práv k pozemkom, ako aj užívanie pozemkov pri bytových domoch pri prevode bytov, ako aj po nadobudnutí vlastníctva bytov vlastníkmi.  Prevody bytov ešte stále prebiehajú. Obzvlášť dôležité ustanovenie je §23 ods.5, ktoré upravuje vznik práva zodpovedajúceho vecnému bremenu v prípade, ak prevodca (bytové družstvo a p.) nie je pri prevode bytu vlastníkom pozemku. V zmysle uvedeného ustanovenia vzniklo a vzniká vecné bremeno spočívajúce v práve prechodu a vstupu cez pozemok  zo zákona. Je nutné toto ustanovenie ponechať.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67</w:t>
              <w:br/>
            </w:r>
            <w:r>
              <w:rPr>
                <w:b w:val="off"/>
                <w:color w:val="000000"/>
                <w:rFonts w:ascii="Times New Roman" w:hAnsi="Times New Roman" w:cs="Times New Roman" w:eastAsia="Times New Roman"/>
                <w:sz w:val="24"/>
              </w:rPr>
              <w:t>NEVYPUSTIŤ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 má upraviť vypustenie tretej časti tak, aby § 28 a § 29 zostali zachované v nami navrhovanom znení.</w:t>
              <w:br/>
            </w:r>
            <w:r>
              <w:rPr>
                <w:b w:val="off"/>
                <w:color w:val="000000"/>
                <w:rFonts w:ascii="Times New Roman" w:hAnsi="Times New Roman" w:cs="Times New Roman" w:eastAsia="Times New Roman"/>
                <w:sz w:val="24"/>
              </w:rPr>
              <w:t>Navrhujeme toto znenie: „§ 28</w:t>
              <w:br/>
            </w:r>
            <w:r>
              <w:rPr>
                <w:b w:val="off"/>
                <w:color w:val="000000"/>
                <w:rFonts w:ascii="Times New Roman" w:hAnsi="Times New Roman" w:cs="Times New Roman" w:eastAsia="Times New Roman"/>
                <w:sz w:val="24"/>
              </w:rPr>
              <w:t>Nárok člena družstva  na prevod družstevného bytu</w:t>
              <w:br/>
            </w:r>
            <w:r>
              <w:rPr>
                <w:b w:val="off"/>
                <w:color w:val="000000"/>
                <w:rFonts w:ascii="Times New Roman" w:hAnsi="Times New Roman" w:cs="Times New Roman" w:eastAsia="Times New Roman"/>
                <w:sz w:val="24"/>
              </w:rPr>
              <w:t>(1) Člen bytového družstva, ktorý je nájomníkom družstevného bytu, má právo požiadať bytové družstvo o prevod vlastníctva tohto bytu do svojho vlastníctva. Právo podať žiadosť nie je obmedzené konečným dátumom. Nárok na prevod podľa tohto ustanovenia sa vzťahuje na byty, pri ktorých by sa nárok člena na prevod spravoval týmto zákonom alebo osobitným predpisom o transformácii družstiev v znení účinnom do 30. júna 2027: tým nie je obmedzené nadobudnutie tohto práva právnym nástupcom oprávneného člena.</w:t>
              <w:br/>
            </w:r>
            <w:r>
              <w:rPr>
                <w:b w:val="off"/>
                <w:color w:val="000000"/>
                <w:rFonts w:ascii="Times New Roman" w:hAnsi="Times New Roman" w:cs="Times New Roman" w:eastAsia="Times New Roman"/>
                <w:sz w:val="24"/>
              </w:rPr>
              <w:t>(2) Odsek 1 sa primerane vzťahuje na garáž alebo ateliér, pri ktorých mal oprávnený člen nárok na prevod podľa doterajších predpisov.</w:t>
              <w:br/>
            </w:r>
            <w:r>
              <w:rPr>
                <w:b w:val="off"/>
                <w:color w:val="000000"/>
                <w:rFonts w:ascii="Times New Roman" w:hAnsi="Times New Roman" w:cs="Times New Roman" w:eastAsia="Times New Roman"/>
                <w:sz w:val="24"/>
              </w:rPr>
              <w:t xml:space="preserve">(3) Žiadosť o prevod sa podáva písomne a musí obsahovať označenie člena a bytu, garáže alebo ateliéru, ktorých prevod žiada. Doručenie žiadosti družstvo na požiadanie člena písomne potvrdí. Podanie žiadosti nie je podmienené predchádzajúcim úplným splatením investičného úveru s príslušenstvom pripadajúceho na prevádzaný predmet. </w:t>
              <w:br/>
            </w:r>
            <w:r>
              <w:rPr>
                <w:b w:val="off"/>
                <w:color w:val="000000"/>
                <w:rFonts w:ascii="Times New Roman" w:hAnsi="Times New Roman" w:cs="Times New Roman" w:eastAsia="Times New Roman"/>
                <w:sz w:val="24"/>
              </w:rPr>
              <w:t>(4) Bytové družstvo je povinné bezodplatne previesť na vlastníka bytu alebo nebytového priestoru príslušný spoluvlastnícky podiel na pozemku zastavanom domom a na priľahlom pozemku vo vlastníctve bytového družstva. Táto povinnosť sa vzťahuje aj na prípady, keď bolo vlastníctvo bytu alebo nebytového priestoru prevedené pred 1. júlom 2027 a povinnosť previesť podiel na pozemku dosiaľ nebola splnená. Veľkosť prevádzaného spoluvlastníckeho podielu sa určí podľa § 1697 Občianskeho zákonníka; tým nie sú dotknuté doterajšie nároky zachované podľa § 32k ods. 8 a 9.“ Pri prevode podľa odsekov 1 a 2 sa príslušný spoluvlastnícky podiel na pozemku prevedie spolu s vlastníctvom bytu, garáže alebo ateliéru.“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Týmito dvomi § 28 a 29 sa rieši prevod družstevného bytu do vlastníctva člena družstva.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67 NEVYPUSTIT</w:t>
              <w:br/>
            </w:r>
            <w:r>
              <w:rPr>
                <w:b w:val="off"/>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Uskutočnenie družstevného prevodu</w:t>
              <w:br/>
            </w:r>
            <w:r>
              <w:rPr>
                <w:b w:val="off"/>
                <w:color w:val="000000"/>
                <w:rFonts w:ascii="Times New Roman" w:hAnsi="Times New Roman" w:cs="Times New Roman" w:eastAsia="Times New Roman"/>
                <w:sz w:val="24"/>
              </w:rPr>
              <w:t>(1) Bytové družstvo je povinné s oprávneným členom podľa § 28 uzavrieť zmluvu o prevode vlastníctva bytu, garáže alebo ateliéru najneskôr do dvoch rokov od doručenia žiadosti, ak sa s členom písomne nedohodne na skoršej lehote. Člen je povinný poskytnúť potrebnú súčinnosť a zaplatiť cenu podľa § 17.</w:t>
              <w:br/>
            </w:r>
            <w:r>
              <w:rPr>
                <w:b w:val="off"/>
                <w:color w:val="000000"/>
                <w:rFonts w:ascii="Times New Roman" w:hAnsi="Times New Roman" w:cs="Times New Roman" w:eastAsia="Times New Roman"/>
                <w:sz w:val="24"/>
              </w:rPr>
              <w:t>(2) Ak družstvo v lehote podľa odseku 1 zmluvu neuzavrie, člen sa môže domáhať splnenia tejto povinnosti na súde. Uplynutím tejto lehoty nárok na prevod nezaniká; ustanovenia o premlčaní nie sú dotknuté.</w:t>
              <w:br/>
            </w:r>
            <w:r>
              <w:rPr>
                <w:b w:val="off"/>
                <w:color w:val="000000"/>
                <w:rFonts w:ascii="Times New Roman" w:hAnsi="Times New Roman" w:cs="Times New Roman" w:eastAsia="Times New Roman"/>
                <w:sz w:val="24"/>
              </w:rPr>
              <w:t>(3) Družstvo je povinné podať návrh na vklad vlastníckeho práva do katastra nehnuteľností do 30 dní od uzavretia zmluvy, ak návrh už nepodal nadobúdateľ alebo ak sa zmluvné strany nedohodli na inom postupe. Družstvo je povinné bez zbytočného odkladu poskytnúť súčinnosť potrebnú na odstránenie nedostatkov návrhu alebo zmluvy a na dokončenie konania o vklade.</w:t>
              <w:br/>
            </w:r>
            <w:r>
              <w:rPr>
                <w:b w:val="off"/>
                <w:color w:val="000000"/>
                <w:rFonts w:ascii="Times New Roman" w:hAnsi="Times New Roman" w:cs="Times New Roman" w:eastAsia="Times New Roman"/>
                <w:sz w:val="24"/>
              </w:rPr>
              <w:t>(4) Vlastnícke právo vzniká podľa predpisov o katastri nehnuteľností. Lehota podľa odseku 1 je lehotou na uzavretie zmluvy; nie je lehotou na právoplatné skončenie konania o vklade.</w:t>
              <w:br/>
            </w:r>
            <w:r>
              <w:rPr>
                <w:b w:val="off"/>
                <w:color w:val="000000"/>
                <w:rFonts w:ascii="Times New Roman" w:hAnsi="Times New Roman" w:cs="Times New Roman" w:eastAsia="Times New Roman"/>
                <w:sz w:val="24"/>
              </w:rPr>
              <w:t>(5) Náklady spojené s prevodom vlastníctva bytu a nebytového priestoru znáša predávajúci; predávajúci môže požadovať od nadobúdateľa náhradu preukázateľne zaplatených správnych poplatkov a odmenu notára podľa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k ods. 2</w:t>
              <w:br/>
            </w:r>
            <w:r>
              <w:rPr>
                <w:b w:val="off"/>
                <w:color w:val="000000"/>
                <w:rFonts w:ascii="Times New Roman" w:hAnsi="Times New Roman" w:cs="Times New Roman" w:eastAsia="Times New Roman"/>
                <w:sz w:val="24"/>
              </w:rPr>
              <w:t>Vypustiť celý odsek 2 § 32k; toto je záložný návrh, subsidiárny.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novom Občianskom zákonníku sa mení splatnosť úhrad z platby vopred na platbu v príslušnom mesiaci. Je to zásadná zmena. Platba vopred slúžila pre správcov ako zábezpeka na platby, ktoré odvádzajú dodávateľom služieb (teplo, voda, el. energia  a pod.). V zákone by mala ostať možnosť úpravy platenia záloh odlišne od zákona, ak je takáto úprava schválená v ZoVS. Ostala by zachovaná aj možnosť platenia úhrad vopred podľa doterajšieho stavu.  Je to už takto upravené a „zabehnuté“ od účinnosti zákona 182/1993 Z. z. a budú vznikať ďalšie zbytočné nedorozumenia a náklady súvisiace s úpravami systémov správcov týkajúcimi sa zmeny splatnosti úhrad.  </w:t>
              <w:br/>
            </w:r>
            <w:r>
              <w:rPr>
                <w:b w:val="off"/>
                <w:color w:val="000000"/>
                <w:rFonts w:ascii="Times New Roman" w:hAnsi="Times New Roman" w:cs="Times New Roman" w:eastAsia="Times New Roman"/>
                <w:sz w:val="24"/>
              </w:rPr>
              <w:t>Podľa výkladov k novému Občianskemu zákonníku je zmluvná voľnosť a strany sa môžu dohodnúť inak ako je upravené v ustanoveniach nového Občianskeho zákonníka – čl. 2. Uložením povinnosti zosúladiť ZoVS so splatnosťou podľa nového OZ sa poruší aj táto zásada. Nie je dôvodné upravovať splatnosť striktne v príslušnom mesiaci. Úpravu splatnosti mesačných platieb je žiadúce ponechať buď v doterajšom režime alebo na dohode vlastníkov a správcu.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32k</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Navrhujeme, aby novelizačný bod 70 znel:</w:t>
              <w:br/>
            </w:r>
            <w:r>
              <w:rPr>
                <w:b w:val="off"/>
                <w:color w:val="000000"/>
                <w:rFonts w:ascii="Times New Roman" w:hAnsi="Times New Roman" w:cs="Times New Roman" w:eastAsia="Times New Roman"/>
                <w:sz w:val="24"/>
              </w:rPr>
              <w:t>„70. Za § 32j sa vkladá § 32k, ktorý vrátane nadpisu znie:</w:t>
              <w:br/>
            </w:r>
            <w:r>
              <w:rPr>
                <w:b w:val="off"/>
                <w:color w:val="000000"/>
                <w:rFonts w:ascii="Times New Roman" w:hAnsi="Times New Roman" w:cs="Times New Roman" w:eastAsia="Times New Roman"/>
                <w:sz w:val="24"/>
              </w:rPr>
              <w:t>§ 32k</w:t>
              <w:br/>
            </w:r>
            <w:r>
              <w:rPr>
                <w:b w:val="off"/>
                <w:color w:val="000000"/>
                <w:rFonts w:ascii="Times New Roman" w:hAnsi="Times New Roman" w:cs="Times New Roman" w:eastAsia="Times New Roman"/>
                <w:sz w:val="24"/>
              </w:rPr>
              <w:t>§ 32k</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(1) Ak tento paragraf neustanovuje inak, záväzkové právne vzťahy založené zmluvou o výkone správy alebo zmluvou o spoločenstve uzavretou pred 1. júlom 2027 sa aj po tomto dni spravujú doterajšími predpismi. Podľa doterajších predpisov sa posudzujú aj práva a povinnosti vznikajúce z týchto záväzkových právnych vzťahov po 30. júni 2027 vrátane práv a povinností z porušenia zmluvných povinností po tomto dni. Ustanovenie § 1908 ods. 1 Občianskeho zákonníka sa na tieto záväzkové právne vzťahy nepoužije.</w:t>
              <w:br/>
            </w:r>
            <w:r>
              <w:rPr>
                <w:b w:val="off"/>
                <w:color w:val="000000"/>
                <w:rFonts w:ascii="Times New Roman" w:hAnsi="Times New Roman" w:cs="Times New Roman" w:eastAsia="Times New Roman"/>
                <w:sz w:val="24"/>
              </w:rPr>
              <w:t>(2) Zmluvy podľa odseku 1 zostávajú zachované. Samotné nadobudnutie účinnosti tohto zákona alebo Občianskeho zákonníka nezakladá povinnosť uzavrieť novú zmluvu ani dodatok k existujúcej zmluve. Tým nie je dotknuté použitie zákonných ustanovení podľa odseku 6; zmluvné ustanovenia, ktoré im odporujú a od ktorých sa nemožno odchýliť, sa v tomto rozsahu nepoužijú.</w:t>
              <w:br/>
            </w:r>
            <w:r>
              <w:rPr>
                <w:b w:val="off"/>
                <w:color w:val="000000"/>
                <w:rFonts w:ascii="Times New Roman" w:hAnsi="Times New Roman" w:cs="Times New Roman" w:eastAsia="Times New Roman"/>
                <w:sz w:val="24"/>
              </w:rPr>
              <w:t>(3) Platné dojednania zmlúv podľa odseku 1 o splatnosti platieb do fondu prevádzky, údržby a opráv, záloh na plnenia spojené s užívaním bytu alebo nebytového priestoru a platieb za výkon správy zostávajú zachované vrátane dojednaní o splatnosti v kalendárnom mesiaci predchádzajúcom mesiacu, na ktorý sa platba alebo záloha vzťahuje. Tieto dojednania nepodliehajú povinnosti zosúladenia so splatnosťou podľa Občianskeho zákonníka.</w:t>
              <w:br/>
            </w:r>
            <w:r>
              <w:rPr>
                <w:b w:val="off"/>
                <w:color w:val="000000"/>
                <w:rFonts w:ascii="Times New Roman" w:hAnsi="Times New Roman" w:cs="Times New Roman" w:eastAsia="Times New Roman"/>
                <w:sz w:val="24"/>
              </w:rPr>
              <w:t>(4) Použitie pojmov alebo označení podľa doterajších predpisov v zmluvách podľa odseku 1 samo osebe nespôsobuje ich neplatnosť ani nezakladá povinnosť ich zmeny. Ak sa na príslušnú otázku použije nová právna úprava, tieto pojmy a označenia sa vykladajú podľa svojho obsahu a účelu v súlade so zodpovedajúcimi pojmami a označeniami podľa tohto zákona a Občianskeho zákonníka. Tým nie je dotknuté zachovanie právneho režimu podľa odseku 1.</w:t>
              <w:br/>
            </w:r>
            <w:r>
              <w:rPr>
                <w:b w:val="off"/>
                <w:color w:val="000000"/>
                <w:rFonts w:ascii="Times New Roman" w:hAnsi="Times New Roman" w:cs="Times New Roman" w:eastAsia="Times New Roman"/>
                <w:sz w:val="24"/>
              </w:rPr>
              <w:t>(5) Samotný prevod alebo prechod vlastníctva bytu alebo nebytového priestoru ani vstup nového vlastníka do práv a povinností zo zmluvy podľa odseku 1 nemení právny režim zachovaný podľa odsekov 1 až 4. Tento právny režim nemení ani samotná zmena výšky platieb alebo záloh alebo iná zmena zmluvy dodatkom, ak sa ňou doterajší záväzkový právny vzťah nenahrádza novým záväzkovým právnym vzťahom. Tým nie je dotknutá možnosť dohodnúť použitie Občianskeho zákonníka podľa jeho § 1893 ods. 4; taká dohoda sa za vlastníkov schvaľuje spôsobom ustanoveným pre zmenu príslušnej zmluvy.  Prechod práv a povinností vrátane dlhov vyplývajúcich z právnych vzťahov podľa odseku 1 sa posudzuje podľa doterajších predpisov.“</w:t>
              <w:br/>
            </w:r>
            <w:r>
              <w:rPr>
                <w:b w:val="off"/>
                <w:color w:val="000000"/>
                <w:rFonts w:ascii="Times New Roman" w:hAnsi="Times New Roman" w:cs="Times New Roman" w:eastAsia="Times New Roman"/>
                <w:sz w:val="24"/>
              </w:rPr>
              <w:t>(6) Zachovanie záväzkového právneho režimu podľa odsekov 1 až 5 sa nevzťahuje na právnu povahu, vznik, zánik a vnútorné pomery spoločenstva ani na zákonné pravidlá rozhodovania vlastníkov bytov a nebytových priestorov. Nevzťahuje sa ani na vecnoprávne pomery, pri ktorých sa postupuje podľa prechodných ustanovení Občianskeho zákonníka, a na povinnosti vyplývajúce z osobitných predpisov o bezpečnosti, ochrane zdravia a ochrane pred požiarmi. Použitie týchto zákonných ustanovení samo osebe nezakladá povinnosť uzavrieť novú zmluvu alebo dodatok k existujúcej zmluve.</w:t>
              <w:br/>
            </w:r>
            <w:r>
              <w:rPr>
                <w:b w:val="off"/>
                <w:color w:val="000000"/>
                <w:rFonts w:ascii="Times New Roman" w:hAnsi="Times New Roman" w:cs="Times New Roman" w:eastAsia="Times New Roman"/>
                <w:sz w:val="24"/>
              </w:rPr>
              <w:t>(7) Vecné bremeno vzniknuté podľa § 23 ods. 5 v znení účinnom do 30. júna 2027 zostáva zachované v doterajšom obsahu a rozsahu; od 1. júla 2027 sa naň použijú ustanovenia Občianskeho zákonníka o služobnosti. Nejde o vznik novej služobnosti. Samotné nadobudnutie účinnosti tohto zákona alebo Občianskeho zákonníka, prevod alebo prechod vlastníctva bytu, nebytového priestoru alebo zaťaženého pozemku ani zápis skôr vzniknutého vecného bremena do katastra nehnuteľností nezakladajú nové právo na náhradu za totožné obmedzenie vlastníckeho práva a nespôsobujú začatie novej premlčacej lehoty. Vznik, uplatnenie a premlčanie práva na náhradu za vecné bremeno vzniknuté podľa doterajších predpisov sa posudzujú podľa doterajších predpisov. Vznik novej služobnosti alebo rozšírenie existujúceho práva sa posudzuje podľa Občianskeho zákonníka.</w:t>
              <w:br/>
            </w:r>
            <w:r>
              <w:rPr>
                <w:b w:val="off"/>
                <w:color w:val="000000"/>
                <w:rFonts w:ascii="Times New Roman" w:hAnsi="Times New Roman" w:cs="Times New Roman" w:eastAsia="Times New Roman"/>
                <w:sz w:val="24"/>
              </w:rPr>
              <w:t>(8) Vlastníctvo pozemkov nadobudnuté bytovým družstvom premenou práva trvalého užívania podľa § 23 ods. 2 v znení účinnom do 30. júna 2027 zostáva zachované. Zachované zostávajú aj práva na bezodplatný prevod podielov na pozemkoch podľa § 23 ods. 3 v znení účinnom do 30. júna 2027 a povinnosti zodpovedajúce týmto právam.</w:t>
              <w:br/>
            </w:r>
            <w:r>
              <w:rPr>
                <w:b w:val="off"/>
                <w:color w:val="000000"/>
                <w:rFonts w:ascii="Times New Roman" w:hAnsi="Times New Roman" w:cs="Times New Roman" w:eastAsia="Times New Roman"/>
                <w:sz w:val="24"/>
              </w:rPr>
              <w:t>(9) Nároky na prevod vlastníctva bytu alebo nebytového priestoru uplatnené pred 1. júlom 2027 a povinnosti zodpovedajúce týmto nárokom zostávajú zachované. Na ich uskutočnenie sa použijú príslušné ustanovenia doterajších predpisov vrátane ustanovení o cene, právach k pozemkom a súdnej ochrane. Lehota na splnenie povinnosti, ktorá začala plynúť pred 1. júlom 2027, nezačína týmto dňom plynúť znova; zachovaná zostáva aj lehota platne dohodnutá podľa doterajších predpisov.</w:t>
              <w:br/>
            </w:r>
            <w:r>
              <w:rPr>
                <w:b w:val="off"/>
                <w:color w:val="000000"/>
                <w:rFonts w:ascii="Times New Roman" w:hAnsi="Times New Roman" w:cs="Times New Roman" w:eastAsia="Times New Roman"/>
                <w:sz w:val="24"/>
              </w:rPr>
              <w:t>(10) Zachovaním nárokov podľa odseku 9 nie je dotknuté právo oprávneného člena bytového družstva požiadať o prevod družstevného bytu, garáže alebo ateliéru podľa § 28 aj po 30. júni 2027.</w:t>
              <w:br/>
            </w:r>
            <w:r>
              <w:rPr>
                <w:b w:val="off"/>
                <w:color w:val="000000"/>
                <w:rFonts w:ascii="Times New Roman" w:hAnsi="Times New Roman" w:cs="Times New Roman" w:eastAsia="Times New Roman"/>
                <w:sz w:val="24"/>
              </w:rPr>
              <w:t>(11) Ustanovenia § 10a sa použijú na platby a zálohy vzťahujúce sa na obdobie od 1. júla 2027 v právnych vzťahoch, na ktoré sa nevzťahuje odsek 1. V právnych vzťahoch, pri ktorých bolo platne dohodnuté použitie Občianskeho zákonníka podľa jeho § 1893 ods. 4, sa § 10a použije na platby a zálohy vzťahujúce sa na obdobie od účinnosti takej dohody, najskôr však od 1. júla 2027. Vznik pohľadávok a úrokov z omeškania za predchádzajúce obdobie sa posudzuje podľa doterajších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zachovať kontinuitu existujúcich záväzkových vzťahov pri správe domov a predísť povinnému uzatváraniu nových zmlúv alebo dodatkov iba v dôsledku rekodifikácie súkromného práva.</w:t>
              <w:br/>
            </w:r>
            <w:r>
              <w:rPr>
                <w:b w:val="off"/>
                <w:color w:val="000000"/>
                <w:rFonts w:ascii="Times New Roman" w:hAnsi="Times New Roman" w:cs="Times New Roman" w:eastAsia="Times New Roman"/>
                <w:sz w:val="24"/>
              </w:rPr>
              <w:t xml:space="preserve">Navrhovaná úprava nadväzuje na princíp zachovania doterajšieho režimu záväzkových vzťahov podľa § 1893 ods. 3 Občianskeho zákonníka a ustanovuje osobitnú výnimku z jeho § 1908 ods. 1. Výslovne zachováva aj platné dojednania o skoršej splatnosti platieb a záloh vrátane splatnosti v predchádzajúcom kalendárnom mesiaci. Výslovná úprava odstráni pochybnosti o prípustnosti skoršej splatnosti aj v predchádzajúcom mesiaci. </w:t>
              <w:br/>
            </w:r>
            <w:r>
              <w:rPr>
                <w:b w:val="off"/>
                <w:color w:val="000000"/>
                <w:rFonts w:ascii="Times New Roman" w:hAnsi="Times New Roman" w:cs="Times New Roman" w:eastAsia="Times New Roman"/>
                <w:sz w:val="24"/>
              </w:rPr>
              <w:t>Zachovanie záväzkového režimu sa odlišuje od zákonných pravidiel fungovania spoločenstva, rozhodovania vlastníkov a úpravy vecných práv. Uplatnenie nových zákonných pravidiel v týchto oblastiach samo osebe nevyžaduje prepracovanie existujúcej zmluvy.</w:t>
              <w:br/>
            </w:r>
            <w:r>
              <w:rPr>
                <w:b w:val="off"/>
                <w:color w:val="000000"/>
                <w:rFonts w:ascii="Times New Roman" w:hAnsi="Times New Roman" w:cs="Times New Roman" w:eastAsia="Times New Roman"/>
                <w:sz w:val="24"/>
              </w:rPr>
              <w:t>Samostatne sa chráni kontinuita existujúcich vecných bremien, vlastníctva pozemkov nadobudnutého premenou práva trvalého užívania a nárokov na prevod bytov a pozemkov. Rekodifikácia nemá sama osebe zakladať opakovanú náhradu za totožné obmedzenie vlastníckeho práva ani obnovovať premlčacie lehoty.</w:t>
              <w:br/>
            </w:r>
            <w:r>
              <w:rPr>
                <w:b w:val="off"/>
                <w:color w:val="000000"/>
                <w:rFonts w:ascii="Times New Roman" w:hAnsi="Times New Roman" w:cs="Times New Roman" w:eastAsia="Times New Roman"/>
                <w:sz w:val="24"/>
              </w:rPr>
              <w:t>Nové pravidlá pohľadávok podľa § 10a sa časovo oddeľujú od doterajšieho režimu tak, aby sa spätne nemenili podmienky vzniku pohľadávok a úrokov z omeškania.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NB</w:t>
              <w:br/>
            </w:r>
            <w:r>
              <w:rPr>
                <w:b w:val="off"/>
                <w:color w:val="000000"/>
                <w:rFonts w:ascii="Times New Roman" w:hAnsi="Times New Roman" w:cs="Times New Roman" w:eastAsia="Times New Roman"/>
                <w:sz w:val="24"/>
              </w:rPr>
              <w:t>doplniť § 32e novým odsekom 6:</w:t>
              <w:br/>
            </w:r>
            <w:r>
              <w:rPr>
                <w:b w:val="off"/>
                <w:color w:val="000000"/>
                <w:rFonts w:ascii="Times New Roman" w:hAnsi="Times New Roman" w:cs="Times New Roman" w:eastAsia="Times New Roman"/>
                <w:sz w:val="24"/>
              </w:rPr>
              <w:t>Znenie odseku 6) (6) Odkazy na ustanovenia § 17, § 18, § 18a, § 18b, § 29 a § 29a v odsekoch 3 až 5 sa pri posudzovaní doterajších nárokov rozumejú ako odkazy na tieto ustanovenia v znení účinnom do 30. júna 2027. Na prevody podľa § 28 a 29 v znení účinnom od 1. júla 2027 sa odseky 3 až 5 nepoužijú; zachovanie doterajších nárokov podľa § 32k ods. 9 tým nie je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sa nový § 17 ods. 1 o družstevnej cene nebude omylom používať tam, kde historický odkaz smeroval na pôvodné pravidlo dohodnutej ceny.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XXV § § 13a ods. ods. 3</w:t>
              <w:br/>
            </w:r>
            <w:r>
              <w:rPr>
                <w:b w:val="off"/>
                <w:color w:val="000000"/>
                <w:rFonts w:ascii="Times New Roman" w:hAnsi="Times New Roman" w:cs="Times New Roman" w:eastAsia="Times New Roman"/>
                <w:sz w:val="24"/>
              </w:rPr>
              <w:t xml:space="preserve">ktorým sa mení </w:t>
              <w:br/>
            </w:r>
            <w:r>
              <w:rPr>
                <w:b w:val="off"/>
                <w:color w:val="000000"/>
                <w:rFonts w:ascii="Times New Roman" w:hAnsi="Times New Roman" w:cs="Times New Roman" w:eastAsia="Times New Roman"/>
                <w:sz w:val="24"/>
              </w:rPr>
              <w:t>zákon Národnej rady Slovenskej republiky č. 278/1993 Z.z. o správe majetku štátu</w:t>
              <w:br/>
            </w:r>
            <w:r>
              <w:rPr>
                <w:b w:val="off"/>
                <w:color w:val="000000"/>
                <w:rFonts w:ascii="Times New Roman" w:hAnsi="Times New Roman" w:cs="Times New Roman" w:eastAsia="Times New Roman"/>
                <w:sz w:val="24"/>
              </w:rPr>
              <w:t xml:space="preserve">Navrhujeme doplniť nový novelizačný bod, ktorým sa mení § 13a ods. 3 </w:t>
              <w:br/>
            </w:r>
            <w:r>
              <w:rPr>
                <w:b w:val="off"/>
                <w:color w:val="000000"/>
                <w:rFonts w:ascii="Times New Roman" w:hAnsi="Times New Roman" w:cs="Times New Roman" w:eastAsia="Times New Roman"/>
                <w:sz w:val="24"/>
              </w:rPr>
              <w:t>Ustanovenie § 13a ods. 3 sa nahrádza nasledovným znením:</w:t>
              <w:br/>
            </w:r>
            <w:r>
              <w:rPr>
                <w:b w:val="off"/>
                <w:color w:val="000000"/>
                <w:rFonts w:ascii="Times New Roman" w:hAnsi="Times New Roman" w:cs="Times New Roman" w:eastAsia="Times New Roman"/>
                <w:sz w:val="24"/>
              </w:rPr>
              <w:t xml:space="preserve">„(3) Obsahom zmluvy o zriadení vecného bremena môže byť len oprávnenie </w:t>
              <w:br/>
            </w:r>
            <w:r>
              <w:rPr>
                <w:b w:val="off"/>
                <w:color w:val="000000"/>
                <w:rFonts w:ascii="Times New Roman" w:hAnsi="Times New Roman" w:cs="Times New Roman" w:eastAsia="Times New Roman"/>
                <w:sz w:val="24"/>
              </w:rPr>
              <w:t>a) zriadiť a mať nabíjaciu stanicu uvedenú v odseku 1 písm. d) a vodovodnú, kanalizačnú, energetickú alebo inú sieť (inžiniersku stavbu) uvedenú v odseku 1 písm. e)  a vykonávať prehliadky, údržbu a opravy, ako aj jej odstránenie, právo modernizácie, zlepšovania výkonnosti, úpravy a rekonštrukcie inžinierskej stavby, právo zriadiť a mať na majetku štátu obslužné zariadenia a vykonávať k nemu tieto činnosti, vrátane vykonávania práv zodpovedajúcich obmedzeniam vyplývajúcim z existencie inžinierskej stavby a  práv vstupu, vjazdu, prechodu a prejazdu na majetok štátu dotknutý týmto vecným bremenom,</w:t>
              <w:br/>
            </w:r>
            <w:r>
              <w:rPr>
                <w:b w:val="off"/>
                <w:color w:val="000000"/>
                <w:rFonts w:ascii="Times New Roman" w:hAnsi="Times New Roman" w:cs="Times New Roman" w:eastAsia="Times New Roman"/>
                <w:sz w:val="24"/>
              </w:rPr>
              <w:t xml:space="preserve"> b) na prechod a prejazd cez nehnuteľný majetok štátu z dôvodu zabezpečenia nevyhnutného prístupu vlastníka k jeho stavbe alebo pozemku; toto vecné bremeno neoprávňuje oprávneného z vecného bremena na zriadenie pozemnej komunikácie a ani inej líniovej stavby.“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13a je nevyhnutná v súvislosti s ustanoveniami nového                          Občianskeho zákonníka § 1576 a nasl. týkajúcimi sa služobnosti inžinierskej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XXV § § 13a ods. ods. 4</w:t>
              <w:br/>
            </w:r>
            <w:r>
              <w:rPr>
                <w:b w:val="off"/>
                <w:color w:val="000000"/>
                <w:rFonts w:ascii="Times New Roman" w:hAnsi="Times New Roman" w:cs="Times New Roman" w:eastAsia="Times New Roman"/>
                <w:sz w:val="24"/>
              </w:rPr>
              <w:t>Čl. XXV</w:t>
              <w:br/>
            </w:r>
            <w:r>
              <w:rPr>
                <w:b w:val="off"/>
                <w:color w:val="000000"/>
                <w:rFonts w:ascii="Times New Roman" w:hAnsi="Times New Roman" w:cs="Times New Roman" w:eastAsia="Times New Roman"/>
                <w:sz w:val="24"/>
              </w:rPr>
              <w:t>ktorým sa mení zákon Národnej rady Slovenskej republiky č. 278/1993 Z.z. o správe majetku štátu</w:t>
              <w:br/>
            </w:r>
            <w:r>
              <w:rPr>
                <w:b w:val="off"/>
                <w:color w:val="000000"/>
                <w:rFonts w:ascii="Times New Roman" w:hAnsi="Times New Roman" w:cs="Times New Roman" w:eastAsia="Times New Roman"/>
                <w:sz w:val="24"/>
              </w:rPr>
              <w:t>Navrhujeme doplniť nový novelizačný bod, ktorým sa mení  § 13a ods. 4</w:t>
              <w:br/>
            </w:r>
            <w:r>
              <w:rPr>
                <w:b w:val="off"/>
                <w:color w:val="000000"/>
                <w:rFonts w:ascii="Times New Roman" w:hAnsi="Times New Roman" w:cs="Times New Roman" w:eastAsia="Times New Roman"/>
                <w:sz w:val="24"/>
              </w:rPr>
              <w:t>Ustanovenie § 13a ods. 4 sa nahrádza nasledovným znením:</w:t>
              <w:br/>
            </w:r>
            <w:r>
              <w:rPr>
                <w:b w:val="off"/>
                <w:color w:val="000000"/>
                <w:rFonts w:ascii="Times New Roman" w:hAnsi="Times New Roman" w:cs="Times New Roman" w:eastAsia="Times New Roman"/>
                <w:sz w:val="24"/>
              </w:rPr>
              <w:t>„(4) Na platnosť zmluvy o zriadení vecného bremena ako aj zmluvy o budúcej zmluve o zriadení vecného bremena sa vyžaduje súhlas ministerstva financií. Vecné bremeno podľa tohto zákona je správca oprávnený na nehnuteľnom majetku štátu zriadiť len v nevyhnutnom rozsahu. Za zriadenie vecného bremena patrí štátu zastúpenému správcom odplata najmenej vo výške podľa osobitného predpisu; 13b) zriadenie vecného bremena medzi správcami podľa tohto zákona alebo v prípade, že správca je investorom preložky inžinierskej stavby podľa osobitných predpisov,* je vždy bezodplatné. Ak bude počas trvania vecného bremena správca obmedzený v obvyklom užívaní nehnuteľného majetku štátu v dôsledku nevyhnutných pozemných prác oprávneného z vecného bremena a oprávnenie na ich vykonávanie nevyplýva z obsahu vecného bremena, patrí správcovi odplata. Ak sa zhorší stav nehnuteľnosti štátu z dôvodu existencie vecného bremena, je oprávnený z vecného bremena povinný vrátiť nehnuteľný majetok štátu do pôvodného stavu; ak navrátenie do pôvodného stavu nie je úplne možné alebo ak dôjde k škode na porastoch, má správca nárok na náhradu škody. Ak v dôsledku vykonávaných zmien hrozí na nehnuteľnom majetku štátu značná škoda, je správca oprávnený odstúpiť od zmluvy o zriadení vecného bremena. Zmluvu o zriadení vecného bremena, ak vecné bremeno sa zriaďuje na stavbe vo vlastníctve štátu v prospech vlastníka inžinierskej stavby uvedenej v odseku 1 písm. e) piatom bode, možno dohodnúť na dobu do dňa ukončenia prevádzky inžinierskej stavby vo vlastníctve oprávneného z vecného bremena, najviac však na desať rokov.</w:t>
              <w:br/>
            </w:r>
            <w:r>
              <w:rPr>
                <w:b w:val="off"/>
                <w:color w:val="000000"/>
                <w:rFonts w:ascii="Times New Roman" w:hAnsi="Times New Roman" w:cs="Times New Roman" w:eastAsia="Times New Roman"/>
                <w:sz w:val="24"/>
              </w:rPr>
              <w:t>* Vkladá sa nový odkaz ...) a nová poznámka pod čiarou k odkazu ....), ktorá znie:</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Odstraňujú sa výkladové/aplikačné problémy týkajúce sa možnosti uzavierania zmlúv o budúcich zmluvách o zriadení vecného bremena, v súvislosti s ktorými sa viedla polemika, či tieto môže/nemôže správca majetku štátu uzavrieť a či je k nim nevyhnutný súhlas ministerstva financií. Uzavieranie zmlúv o budúcich zmluvách o zriadení vecného bremena je štandardom pri majetkovo - právnej príprave stavby aj v kontexte príslušných stavebných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CCX § § 14 ods. ods. 18</w:t>
              <w:br/>
            </w:r>
            <w:r>
              <w:rPr>
                <w:b w:val="off"/>
                <w:color w:val="000000"/>
                <w:rFonts w:ascii="Times New Roman" w:hAnsi="Times New Roman" w:cs="Times New Roman" w:eastAsia="Times New Roman"/>
                <w:sz w:val="24"/>
              </w:rPr>
              <w:t>ktorým sa mení zákon č. 142/2024 Z.z.</w:t>
              <w:br/>
            </w:r>
            <w:r>
              <w:rPr>
                <w:b w:val="off"/>
                <w:color w:val="000000"/>
                <w:rFonts w:ascii="Times New Roman" w:hAnsi="Times New Roman" w:cs="Times New Roman" w:eastAsia="Times New Roman"/>
                <w:sz w:val="24"/>
              </w:rPr>
              <w:t>Ustanovenie § 14 sa ods. 18 nahrádza nasledovným znením:</w:t>
              <w:br/>
            </w:r>
            <w:r>
              <w:rPr>
                <w:b w:val="off"/>
                <w:color w:val="000000"/>
                <w:rFonts w:ascii="Times New Roman" w:hAnsi="Times New Roman" w:cs="Times New Roman" w:eastAsia="Times New Roman"/>
                <w:sz w:val="24"/>
              </w:rPr>
              <w:t xml:space="preserve">„Ak pri stavbe strategickej investície majú byť realizované vodovodné, kanalizačné, energetické alebo iné siete (inžinierske siete) ako vyvolaná úprava, vzniká vo verejnom záujme na základe tohto zákona, dňom podania návrhu na vydanie rozhodnutia o stavebnom zámere, k nehnuteľným veciam dotknutým existenciou inžinierskej siete,  v prospech vlastníka, prevádzkovateľa a správcu inžinierskej siete, zákonné vecné bremeno s obsahom podľa osobitných právnych predpisov*, a to v rozsahu vymedzenom geometrickým plánom. Návrh na vykonanie zápisu zákonného vecného bremena do katastra nehnuteľností záznamom48) je povinný podať stavebník po nadobudnutí právoplatnosti povolenia na predčasné užívanie46) alebo po vydaní kolaudačného osvedčenia47) pre túto inžiniersku sieť podľa toho, ktorá z týchto skutočností nastane skôr, a to aj vtedy, ak osobitné právne predpisy* stanovujú inak. Prílohou návrhu na vykonanie zápisu zákonného vecného bremena do katastra nehnuteľností záznamom48) je povolenie na predčasné užívanie s doložkou právoplatnosti alebo kolaudačné osvedčenie týkajúce sa inžinierskej siete a súhlas  vlastníka, prevádzkovateľa a správcu inžinierskej siete s vykonaním zápisu zákonného vecného bremena do katastra nehnuteľností záznamom48). Vlastník nehnuteľnej veci má za vznik zákonného vecného bremena a za obmedzenia vyplývajúce z existencie inžinierskej siete nárok na primeranú náhradu, ktorá sa poskytne jednorazovo, stanovenú na základe znaleckého posudku;49) náhrada sa poskytne za rozsah vymedzený geometrickým plánom, zodpovedajúci miere obmedzenia obvyklého užívania nehnuteľnej veci. Primeranú náhradu uhradí vlastníkovi nehnuteľnej veci stavebník. Nárok na primeranú náhradu možno uplatniť u stavebníka do dvoch rokov odo dňa,  keď sa vlastník nehnuteľnej veci o vzniku zákonného vecného bremena dozvedel, najneskôr však do troch rokov odo dňa vykonania zápisu zákonného vecného bremena do katastra nehnuteľností záznamom48), inak právo na primeranú jednorazovú náhradu za vznik zákonného vecného bremena a za obmedzenia vyplývajúce z existencie inžinierskej siete zaniká. Stavebník je povinný najneskôr do troch mesiacov odo dňa vykonania zápisu zákonného vecného bremena do katastra nehnuteľností záznamom48) písomne oznámiť vlastníkovi nehnuteľnej veci vykonanie tohto zápisu.“ </w:t>
              <w:br/>
            </w:r>
            <w:r>
              <w:rPr>
                <w:b w:val="off"/>
                <w:color w:val="000000"/>
                <w:rFonts w:ascii="Times New Roman" w:hAnsi="Times New Roman" w:cs="Times New Roman" w:eastAsia="Times New Roman"/>
                <w:sz w:val="24"/>
              </w:rPr>
              <w:t>*Vkladá sa nový odkaz ...) a nová poznámka pod čiarou k odkazu ....), ktorá znie:</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364/2004 Z.z. o vodách a o zmene zákona Slovenskej národnej rady č. 372/1990 Zb. o priestupkoch v znení neskorších predpisov (vodný zákon),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 xml:space="preserve">Odôvodnenie: Pojmy používané v zákone sa zosúlaďujú s ustanoveniami Občianskeho zákonníka. Úpravu je tiež potrebné zosúladiť s osobitnými právnymi predpismi, ktoré zohľadňujú osobitosti potrieb prevádzkovania inžinierskych sietí  pri vymedzení obsahu vecného bremena odkazom na osobitné právne predpisy. </w:t>
              <w:br/>
            </w:r>
            <w:r>
              <w:rPr>
                <w:b w:val="off"/>
                <w:color w:val="000000"/>
                <w:rFonts w:ascii="Times New Roman" w:hAnsi="Times New Roman" w:cs="Times New Roman" w:eastAsia="Times New Roman"/>
                <w:sz w:val="24"/>
              </w:rPr>
              <w:t>Okamih vzniku vecného bremena je potrebné naviazať na vznik obmedzenia vlastníka pri užívaní nehnuteľnej veci. Naproti tomu v zmysle súčasného znenia vecné bremeno k už zriadenej stavbe nevznikne, kým si stavebník nesplní povinnosti vyplývajúce zo stavebných predpisov (nezabezpečí kolaudačné osvedčenie alebo povolenie na predčasné užívanie), pričom k reálnemu obmedzeniu vlastníka pri užívaní nehnuteľnej veci už dochádza. Následný zápis do katastra nehnuteľností bude realizovaný v čase, kedy bude zrejmý rozsah vecného bremena jeho vymedzením geometrickým plánom.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CCXXXII § § 4 ods. ods. 10</w:t>
              <w:br/>
            </w:r>
            <w:r>
              <w:rPr>
                <w:b w:val="off"/>
                <w:color w:val="000000"/>
                <w:rFonts w:ascii="Times New Roman" w:hAnsi="Times New Roman" w:cs="Times New Roman" w:eastAsia="Times New Roman"/>
                <w:sz w:val="24"/>
              </w:rPr>
              <w:t xml:space="preserve">Čl. CCXXXII navrhujeme prečíslovať na CCXXXIII a </w:t>
              <w:br/>
            </w:r>
            <w:r>
              <w:rPr>
                <w:b w:val="off"/>
                <w:color w:val="000000"/>
                <w:rFonts w:ascii="Times New Roman" w:hAnsi="Times New Roman" w:cs="Times New Roman" w:eastAsia="Times New Roman"/>
                <w:sz w:val="24"/>
              </w:rPr>
              <w:t>Čl. CCXXXII navrhujeme nahradiť týmto znením:</w:t>
              <w:br/>
            </w:r>
            <w:r>
              <w:rPr>
                <w:b w:val="off"/>
                <w:color w:val="000000"/>
                <w:rFonts w:ascii="Times New Roman" w:hAnsi="Times New Roman" w:cs="Times New Roman" w:eastAsia="Times New Roman"/>
                <w:sz w:val="24"/>
              </w:rPr>
              <w:t>ktorým sa mení zákon č. 669/2007 Z.z. o jednorazových mimoriadnych opatreniach v príprave niektorých stavieb diaľnic a ciest pre motorové vozidlá a o doplnení zákona Národnej rady Slovenskej republiky č. 162/1995 Z.z. o katastri nehnuteľností (katastrálny zákon) sa mení takto: Navrhujeme doplniť nový novelizačný bod, ktorým sa mení § 4 ods. 10</w:t>
              <w:br/>
            </w:r>
            <w:r>
              <w:rPr>
                <w:b w:val="off"/>
                <w:color w:val="000000"/>
                <w:rFonts w:ascii="Times New Roman" w:hAnsi="Times New Roman" w:cs="Times New Roman" w:eastAsia="Times New Roman"/>
                <w:sz w:val="24"/>
              </w:rPr>
              <w:t>V § 4 sa ods. 10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pri stavbe diaľnice majú byť realizované vodovodné, kanalizačné, energetické alebo iné siete (inžinierske siete) ako vyvolaná úprava,4c) vzniká vo verejnom záujme na základe tohto zákona, dňom podania návrhu na vydanie rozhodnutia o stavebnom zámere, k nehnuteľným veciam dotknutým existenciou inžinierskej siete,  v prospech vlastníka, prevádzkovateľa a správcu inžinierskej siete, zákonné vecné bremeno s obsahom podľa osobitných právnych predpisov*, a to v rozsahu vymedzenom geometrickým plánom. Návrh na vykonanie zápisu zákonného vecného bremena do katastra nehnuteľností záznamom4f) je povinný podať stavebník po nadobudnutí právoplatnosti povolenia na predčasné užívanie4d) alebo po vydaní kolaudačného osvedčenia4e) pre túto inžiniersku sieť podľa toho, ktorá z týchto skutočností nastane skôr, a to aj vtedy, ak osobitné právne predpisy* stanovujú inak. Prílohou návrhu na vykonanie zápisu zákonného vecného bremena do katastra nehnuteľností záznamom4f) je povolenie na predčasné užívanie s doložkou právoplatnosti alebo kolaudačné osvedčenie týkajúce sa inžinierskej siete a súhlas  vlastníka, prevádzkovateľa a správcu inžinierskej siete s vykonaním zápisu zákonného vecného bremena do katastra nehnuteľností záznamom4f). Vlastník nehnuteľnej veci má za vznik zákonného vecného bremena a za obmedzenia vyplývajúce z existencie inžinierskej siete nárok na primeranú náhradu, ktorá sa poskytne jednorazovo, stanovenú na základe znaleckého posudku;4h) náhrada sa poskytne za rozsah vymedzený geometrickým plánom, zodpovedajúci miere obmedzenia obvyklého užívania nehnuteľnej veci. Primeranú náhradu uhradí vlastníkovi nehnuteľnej veci stavebník. Nárok na primeranú náhradu možno uplatniť u stavebníka do dvoch rokov odo dňa,  keď sa vlastník nehnuteľnej veci o vzniku zákonného vecného bremena dozvedel, najneskôr však do troch rokov odo dňa vykonania zápisu zákonného vecného bremena do katastra nehnuteľností záznamom4f), inak právo na primeranú jednorazovú náhradu za vznik zákonného vecného bremena a za obmedzenia vyplývajúce z existencie inžinierskej siete zaniká.  Stavebník je povinný najneskôr do troch mesiacov odo dňa vykonania zápisu zákonného vecného bremena do katastra nehnuteľností záznamom4f) písomne oznámiť vlastníkovi nehnuteľnej veci vykonanie tohto zápisu.“</w:t>
              <w:br/>
            </w:r>
            <w:r>
              <w:rPr>
                <w:b w:val="off"/>
                <w:color w:val="000000"/>
                <w:rFonts w:ascii="Times New Roman" w:hAnsi="Times New Roman" w:cs="Times New Roman" w:eastAsia="Times New Roman"/>
                <w:sz w:val="24"/>
              </w:rPr>
              <w:t>* Vkladá sa nový odkaz ...) a nová poznámka pod čiarou k odkazu ....), ktorá znie:</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č. 364/2004 Z.z. o vodách a o zmene zákona Slovenskej národnej rady č. 372/1990 Zb. o priestupkoch v znení neskorších predpisov (vodný zákon),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Pojmy používané v zákone sa zosúlaďujú s ustanoveniami Občianskeho zákonníka. Úpravu je tiež potrebné zosúladiť s osobitnými právnymi predpismi, ktoré zohľadňujú osobitosti potrieb prevádzkovania inžinierskych sietí  pri vymedzení obsahu vecného bremena odkazom na osobitné právne predpisy. </w:t>
              <w:br/>
            </w:r>
            <w:r>
              <w:rPr>
                <w:b w:val="off"/>
                <w:color w:val="000000"/>
                <w:rFonts w:ascii="Times New Roman" w:hAnsi="Times New Roman" w:cs="Times New Roman" w:eastAsia="Times New Roman"/>
                <w:sz w:val="24"/>
              </w:rPr>
              <w:t>Okamih vzniku vecného bremena je potrebné naviazať na vznik obmedzenia vlastníka pri užívaní nehnuteľnej veci. Naproti tomu v zmysle súčasného znenia vecné bremeno k už zriadenej stavbe nevznikne, kým si stavebník nesplní povinnosti vyplývajúce zo stavebných predpisov (nezabezpečí kolaudačné osvedčenie alebo povolenie na predčasné užívanie), pričom k reálnemu obmedzeniu vlastníka pri užívaní nehnuteľnej veci už dochádza. Následný zápis do katastra nehnuteľností bude realizovaný v čase, kedy bude zrejmý rozsah vecného bremena jeho vymedzením geometrickým plánom.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15</w:t>
              <w:br/>
            </w:r>
            <w:r>
              <w:rPr>
                <w:b w:val="off"/>
                <w:color w:val="000000"/>
                <w:rFonts w:ascii="Times New Roman" w:hAnsi="Times New Roman" w:cs="Times New Roman" w:eastAsia="Times New Roman"/>
                <w:sz w:val="24"/>
              </w:rPr>
              <w:t>v poslednej vete navrhujeme nahradiť slovo „osvedčenia“ slovom „povolenia“ (oprava legislatívno-technickej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2d</w:t>
              <w:br/>
            </w:r>
            <w:r>
              <w:rPr>
                <w:b w:val="off"/>
                <w:color w:val="000000"/>
                <w:rFonts w:ascii="Times New Roman" w:hAnsi="Times New Roman" w:cs="Times New Roman" w:eastAsia="Times New Roman"/>
                <w:sz w:val="24"/>
              </w:rPr>
              <w:t>Vypustiť z textu: „úžitkovej“</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 MH SR č. 503/2022 Z. z. v znení neskorších predpisov používa termín „teplá voda“ – terminologické zjednotenie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k)</w:t>
              <w:br/>
            </w:r>
            <w:r>
              <w:rPr>
                <w:b w:val="off"/>
                <w:color w:val="000000"/>
                <w:rFonts w:ascii="Times New Roman" w:hAnsi="Times New Roman" w:cs="Times New Roman" w:eastAsia="Times New Roman"/>
                <w:sz w:val="24"/>
              </w:rPr>
              <w:t>Vypustiť z textu: „spoločné zariadenia“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doterajšie spoločné zariadenia sa začleňujú medzi spoločné časti domu; nejde iba o premenovanie.  Doterajšie spoločné zariadenia domu sa podľa novej právnej úpravy začleňujú medzi spoločné časti domu. Preto je potrebné vypustiť ich samostatné označenie aj z definície pravidiel pre užívanie spoločných častí domu, príslušenstva domu a priľahlého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 v prvej vete</w:t>
              <w:br/>
            </w:r>
            <w:r>
              <w:rPr>
                <w:b w:val="off"/>
                <w:color w:val="000000"/>
                <w:rFonts w:ascii="Times New Roman" w:hAnsi="Times New Roman" w:cs="Times New Roman" w:eastAsia="Times New Roman"/>
                <w:sz w:val="24"/>
              </w:rPr>
              <w:t>z textu vypustiť „spoločných zariadení domu“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termín sa v novom už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3</w:t>
              <w:br/>
            </w:r>
            <w:r>
              <w:rPr>
                <w:b w:val="off"/>
                <w:color w:val="000000"/>
                <w:rFonts w:ascii="Times New Roman" w:hAnsi="Times New Roman" w:cs="Times New Roman" w:eastAsia="Times New Roman"/>
                <w:sz w:val="24"/>
              </w:rPr>
              <w:t xml:space="preserve">navrhujeme toto znenie: </w:t>
              <w:br/>
            </w:r>
            <w:r>
              <w:rPr>
                <w:b w:val="off"/>
                <w:color w:val="000000"/>
                <w:rFonts w:ascii="Times New Roman" w:hAnsi="Times New Roman" w:cs="Times New Roman" w:eastAsia="Times New Roman"/>
                <w:sz w:val="24"/>
              </w:rPr>
              <w:t>V § 14 ponechať znenie textu ods. 3  takto „Za každý byt a nebytový priestor v dome má vlastník bytu alebo nebytového priestoru v dome jeden hlas pripadajúci na byt alebo nebytový priestor v dome; to platí aj vtedy, ak je byt alebo nebytový priestor v dome v podielovom spoluvlastníctve“.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14 ods. 3 bol vypustený  text, ktorý priznával každému bytu alebo NP len jeden hlas pri hlasovaní. Nový § 1712 OZ obsahuje jeden hlas za byt aj pravidlá pri nezhode spoluvlastníkov. Ide o zdôraznenie tohto pravidla v predmetnom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29, 29, 29a</w:t>
              <w:br/>
            </w:r>
            <w:r>
              <w:rPr>
                <w:b w:val="off"/>
                <w:color w:val="000000"/>
                <w:rFonts w:ascii="Times New Roman" w:hAnsi="Times New Roman" w:cs="Times New Roman" w:eastAsia="Times New Roman"/>
                <w:sz w:val="24"/>
              </w:rPr>
              <w:t>Terminus technicus: miesto „nájomca“ uvádzať „nájomník“ v príslušnom gramatickom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Diskvalifikácia fyzického zástupcu právnickej osoby</w:t>
              <w:br/>
            </w:r>
            <w:r>
              <w:rPr>
                <w:b w:val="off"/>
                <w:color w:val="000000"/>
                <w:rFonts w:ascii="Times New Roman" w:hAnsi="Times New Roman" w:cs="Times New Roman" w:eastAsia="Times New Roman"/>
                <w:sz w:val="24"/>
              </w:rPr>
              <w:t>§ 13a sa dopĺňa odsekom 6, ktorý znie:</w:t>
              <w:br/>
            </w:r>
            <w:r>
              <w:rPr>
                <w:b w:val="off"/>
                <w:color w:val="000000"/>
                <w:rFonts w:ascii="Times New Roman" w:hAnsi="Times New Roman" w:cs="Times New Roman" w:eastAsia="Times New Roman"/>
                <w:sz w:val="24"/>
              </w:rPr>
              <w:t>„(6) Ustanovenia odsekov 1, 2, 4 a 5 sa primerane použijú aj na fyzickú osobu, ktorá zastupuje právnickú osobu pri výkone funkcie člena štatutárneho orgánu alebo člena dozorného orgánu obchodnej spoločnosti alebo družstva. Právoplatnosťou rozhodnutia o vylúčení zaniká oprávnenie tejto fyzickej osoby zastupovať právnickú osobu pri výkone týchto funkcií vo všetkých obchodných spoločnostiach a družstvách. Zánikom tohto oprávnenia nie je dotknutá funkcia zastupovanej právnickej osoby. Vylúčený zástupca je povinný oznámiť svoje vylúčenie bez zbytočného odkladu aj zastupovanej právnickej osobe. Ak bola vylúčená fyzická osoba určená na zastupovanie právnickej osoby podľa § 221 ods. 1 Občianskeho zákonníka, právnická osoba je povinná do jedného mesiaca od právoplatnosti rozhodnutia o vylúčení určiť nového fyzického zástupcu a oznámiť jeho určenie dotknutej obchodnej spoločnosti alebo dotknutému družstvu.“.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neupravuje dôsledky diskvalifikácie fyzického zástupcu právnickej osoby v orgáne spoločnosti alebo družstva. Navrhujeme preto výslovne upraviť zánik jeho oprávnenia a pri určenom fyzickom zástupcovi aj povinnosť právnickej osoby do jedného mesiaca určiť a oznámiť nástupcu. Odstráni sa tým neistota o osobe oprávnenej zastupovať právnickú osobu, ktorá zostáva vo funkcii.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Lojalita a zákaz konkurencie</w:t>
              <w:br/>
            </w:r>
            <w:r>
              <w:rPr>
                <w:b w:val="off"/>
                <w:color w:val="000000"/>
                <w:rFonts w:ascii="Times New Roman" w:hAnsi="Times New Roman" w:cs="Times New Roman" w:eastAsia="Times New Roman"/>
                <w:sz w:val="24"/>
              </w:rPr>
              <w:t>§ 65 vrátane nadpisu znie:</w:t>
              <w:br/>
            </w:r>
            <w:r>
              <w:rPr>
                <w:b w:val="off"/>
                <w:color w:val="000000"/>
                <w:rFonts w:ascii="Times New Roman" w:hAnsi="Times New Roman" w:cs="Times New Roman" w:eastAsia="Times New Roman"/>
                <w:sz w:val="24"/>
              </w:rPr>
              <w:t>„§ 65</w:t>
              <w:br/>
            </w:r>
            <w:r>
              <w:rPr>
                <w:b w:val="off"/>
                <w:color w:val="000000"/>
                <w:rFonts w:ascii="Times New Roman" w:hAnsi="Times New Roman" w:cs="Times New Roman" w:eastAsia="Times New Roman"/>
                <w:sz w:val="24"/>
              </w:rPr>
              <w:t>Lojalita a zákaz konkurencie</w:t>
              <w:br/>
            </w:r>
            <w:r>
              <w:rPr>
                <w:b w:val="off"/>
                <w:color w:val="000000"/>
                <w:rFonts w:ascii="Times New Roman" w:hAnsi="Times New Roman" w:cs="Times New Roman" w:eastAsia="Times New Roman"/>
                <w:sz w:val="24"/>
              </w:rPr>
              <w:t>(1) Člen orgánu spoločnosti je povinný vykonávať svoju funkciu lojálne a v súlade so záujmami spoločnosti a všetkých jej spoločníkov, najmä dodržiavať mlčanlivosť o záležitostiach spoločnosti, ktorých dôvernosť je v záujme spoločnosti, a to aj po skončení jeho členstva v orgáne, nesmie si prisvojiť jej majetok ani inak uprednostniť svoje záujmy a záujmy svojej blízkej osoby alebo inej právnickej osoby, v ktorej má majetkovú účasť alebo v ktorej má majetkovú účasť jemu blízka osoba, pred záujmami spoločnosti. Povinnosť spoločnosti sprístupňovať alebo zverejňovať informácie podľa osobitných predpisov tým nie je dotknutá.</w:t>
              <w:br/>
            </w:r>
            <w:r>
              <w:rPr>
                <w:b w:val="off"/>
                <w:color w:val="000000"/>
                <w:rFonts w:ascii="Times New Roman" w:hAnsi="Times New Roman" w:cs="Times New Roman" w:eastAsia="Times New Roman"/>
                <w:sz w:val="24"/>
              </w:rPr>
              <w:t>(2) Pri poskytnutí informácií inému orgánu spoločnosti, jeho členovi ako aj tretím osobám alebo orgánom verejnej moci v rozsahu, v akom sú na to zákonom, zakladateľským úkonom, stanovami alebo zmluvou oprávnení, urobí člen orgánu primerané opatrenia na ochranu dôvernosti informácií pred ich prezradením neoprávneným osobám.</w:t>
              <w:br/>
            </w:r>
            <w:r>
              <w:rPr>
                <w:b w:val="off"/>
                <w:color w:val="000000"/>
                <w:rFonts w:ascii="Times New Roman" w:hAnsi="Times New Roman" w:cs="Times New Roman" w:eastAsia="Times New Roman"/>
                <w:sz w:val="24"/>
              </w:rPr>
              <w:t>(3) Ustanovenia o jednotlivých spoločnostiach určujú, ktoré osoby a v akom rozsahu podliehajú zákazu konkurencie. Spoločenská zmluva, zakladateľská zmluva, zakladateľská listina alebo stanovy môžu určiť aj ďalšie obmedzenia konkurenčnej činnosti člena orgánu spoločnosti, alebo obmedziť alebo vylúčiť zákaz konkurencie ustanovený týmto zákonom. Dovolením konkurenčnej činnosti alebo jej vyňatím zo zákazu konkurencie nie sú dotknuté povinnosti člena orgánu spoločnosti podľa odsekov 1 a 2.</w:t>
              <w:br/>
            </w:r>
            <w:r>
              <w:rPr>
                <w:b w:val="off"/>
                <w:color w:val="000000"/>
                <w:rFonts w:ascii="Times New Roman" w:hAnsi="Times New Roman" w:cs="Times New Roman" w:eastAsia="Times New Roman"/>
                <w:sz w:val="24"/>
              </w:rPr>
              <w:t>(4) Spoločnosť môže od osoby, ktorá porušila povinnosť podľa odseku 1 alebo odseku 2 alebo zákaz konkurencie, požadovať poskytnutie všetkých informácií a odovzdanie všetkých dokumentov vzťahujúcich sa na konanie, ktorým bola táto povinnosť alebo zákaz porušený. Môže od nej tiež požadovať, aby vydala všetko, čo z tohto konania nadobudla, alebo previedla tomu zodpovedajúce práva na spoločnosť.</w:t>
              <w:br/>
            </w:r>
            <w:r>
              <w:rPr>
                <w:b w:val="off"/>
                <w:color w:val="000000"/>
                <w:rFonts w:ascii="Times New Roman" w:hAnsi="Times New Roman" w:cs="Times New Roman" w:eastAsia="Times New Roman"/>
                <w:sz w:val="24"/>
              </w:rPr>
              <w:t>(5) Ak druhá strana zmluvy vedela alebo musela vedieť o porušení povinnosti podľa odseku 1, spoločnosť môže od nej a od člena orgánu spoločnosti požadovať, aby sa spoločnosť stala oprávnenou a povinnou osobou z tohto právneho úkonu namiesto člena orgánu spoločnosti.</w:t>
              <w:br/>
            </w:r>
            <w:r>
              <w:rPr>
                <w:b w:val="off"/>
                <w:color w:val="000000"/>
                <w:rFonts w:ascii="Times New Roman" w:hAnsi="Times New Roman" w:cs="Times New Roman" w:eastAsia="Times New Roman"/>
                <w:sz w:val="24"/>
              </w:rPr>
              <w:t>(6) Právo na náhradu inej škody nie je ustanoveniami odsekov 4 a 5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ponecháva povinnosť konať v záujme spoločnosti a jej spoločníkov bez zosúladenia s lojalitou podľa § 225 OZ. Povinnosti a zodpovednosť členov orgánov by tak upravovali dva kódexy bez jasného vymedzenia ich vzťahu. Navrhujeme preto výslovne zosúladiť ObZ s novou úpravou lojality vrátane nárokov z jej porušenia.</w:t>
              <w:br/>
            </w:r>
            <w:r>
              <w:rPr>
                <w:b w:val="off"/>
                <w:color w:val="000000"/>
                <w:rFonts w:ascii="Times New Roman" w:hAnsi="Times New Roman" w:cs="Times New Roman" w:eastAsia="Times New Roman"/>
                <w:sz w:val="24"/>
              </w:rPr>
              <w:t>V súlade s princípom dispozitívnosti nového OZ by spoločníci mali môcť sami určiť rozsah zákazu konkurencie. Doterajšie § 136 a § 196 umožňujú iba jeho rozšírenie; navrhujeme preto pripustiť aj jeho obmedzenie alebo vylúčenie pri zachovaní povinnosti lojality. Krátku osobitnú preklúziu navrhujeme nahradiť premlčaním podľa OZ vrátane ochrany podľa § 232, aby spoločnosť mala primeraný priestor na uplatnenie nárokov.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Vzdanie sa funkcie a výslovné odvolanie</w:t>
              <w:br/>
            </w:r>
            <w:r>
              <w:rPr>
                <w:b w:val="off"/>
                <w:color w:val="000000"/>
                <w:rFonts w:ascii="Times New Roman" w:hAnsi="Times New Roman" w:cs="Times New Roman" w:eastAsia="Times New Roman"/>
                <w:sz w:val="24"/>
              </w:rPr>
              <w:t>V § 66 odsek 2 znie:</w:t>
              <w:br/>
            </w:r>
            <w:r>
              <w:rPr>
                <w:b w:val="off"/>
                <w:color w:val="000000"/>
                <w:rFonts w:ascii="Times New Roman" w:hAnsi="Times New Roman" w:cs="Times New Roman" w:eastAsia="Times New Roman"/>
                <w:sz w:val="24"/>
              </w:rPr>
              <w:t>„(2) Ak zákon neustanovuje alebo spoločenská zmluva alebo stanovy neurčujú inak, vzdanie sa funkcie je účinné pätnástym dňom odo dňa jeho dôjdenia spoločnosti, ak nie je vo vzdaní sa funkcie určený neskorší deň. Ak nedošlo k vzdaniu sa funkcie na zasadnutí orgánu spoločnosti, ktorý je oprávnený vymenovať alebo zvoliť nového člena orgánu, vzdanie sa funkcie musí byť písomné a listina s týmto obsahom musí byť vlastnoručne podpísaná v prítomnosti notára alebo ním povereného zamestnanca. Ak zákon neustanovuje alebo spoločenská zmluva alebo stanovy neurčujú inak, je odvolanie z funkcie účinné prijatím rozhodnutia príslušného orgánu spoločnosti. Ustanovenie inej osoby do funkcie namiesto doterajšieho člena orgánu nemá účinky jeho odvolania; tým nie je dotknutý § 249 ods. 6 Občianskeho zákonníka. Ak spoločnosti hrozí vznik škody, je člen orgánu spoločnosti, ktorý sa vzdal funkcie, bol odvolaný alebo inak sa skončil výkon jeho funkcie, povinný upozorniť spoločnosť, aké opatrenia treba urobiť na jej odvrátenie.“.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k OZ vyplýva zámer uplatniť nové pravidlo účinnosti vzdania sa funkcie aj na obchodné spoločnosti. Ponechaný § 66 ods. 2 ObZ by mu však ako osobitná úprava bránil. Navrhujeme preto jeho výslovnú zmenu, aby účinnosť vzdania sa funkcie nebola závislá od zasadnutia príslušného orgánu a okamih skončenia funkcie bol určiteľný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Náprava nefunkčnosti pred zrušením spoločnosti</w:t>
              <w:br/>
            </w:r>
            <w:r>
              <w:rPr>
                <w:b w:val="off"/>
                <w:color w:val="000000"/>
                <w:rFonts w:ascii="Times New Roman" w:hAnsi="Times New Roman" w:cs="Times New Roman" w:eastAsia="Times New Roman"/>
                <w:sz w:val="24"/>
              </w:rPr>
              <w:t>V § 66 ods. 3 sa na konci pripája táto veta:</w:t>
              <w:br/>
            </w:r>
            <w:r>
              <w:rPr>
                <w:b w:val="off"/>
                <w:color w:val="000000"/>
                <w:rFonts w:ascii="Times New Roman" w:hAnsi="Times New Roman" w:cs="Times New Roman" w:eastAsia="Times New Roman"/>
                <w:sz w:val="24"/>
              </w:rPr>
              <w:t>„Povinnosť podľa prvej vety sa neuplatní, ak spoločnosť môže uskutočňovať právne úkony prostredníctvom člena štatutárneho orgánu vymenovaného súdom alebo opatrovníka ustanoveného súdom podľa § 249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bývalého jediného štatutára navrhnúť zrušenie spoločnosti treba zosúladiť s novým § 249 OZ. Ak súd už obnovil schopnosť spoločnosti právne konať ustanovením člena orgánu alebo opatrovníka, požadovať od bývalého štatutára návrh na jej zrušenie nemá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Strata predpokladov fyzického zástupcu právnickej osoby</w:t>
              <w:br/>
            </w:r>
            <w:r>
              <w:rPr>
                <w:b w:val="off"/>
                <w:color w:val="000000"/>
                <w:rFonts w:ascii="Times New Roman" w:hAnsi="Times New Roman" w:cs="Times New Roman" w:eastAsia="Times New Roman"/>
                <w:sz w:val="24"/>
              </w:rPr>
              <w:t>V § 66 ods. 4 sa na konci pripájajú tieto vety:</w:t>
              <w:br/>
            </w:r>
            <w:r>
              <w:rPr>
                <w:b w:val="off"/>
                <w:color w:val="000000"/>
                <w:rFonts w:ascii="Times New Roman" w:hAnsi="Times New Roman" w:cs="Times New Roman" w:eastAsia="Times New Roman"/>
                <w:sz w:val="24"/>
              </w:rPr>
              <w:t>„Ak podmienky podľa prvej vety prestane spĺňať fyzická osoba zastupujúca právnickú osobu pri výkone funkcie štatutárneho orgánu alebo jeho člena, jej oprávnenie na zastupovanie zaniká týmto dňom. Zánikom tohto oprávnenia nie je dotknutá funkcia zastupovanej právnickej osoby. Právnická osoba je povinná do jedného mesiaca odo dňa, keď jej fyzický zástupca prestal spĺňať tieto podmienky, určiť nového fyzického zástupcu, ktorý spĺňa podmienky a oznámiť jeho určenie dotknutej obchodnej spoločnosti alebo dotknutému družstvu.“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neupravuje dôsledky straty podmienok podľa živnostenského zákona u fyzického zástupcu právnickej osoby. Navrhujeme preto výslovne upraviť zánik jeho oprávnenia a mesačnú lehotu na určenie náhradníka pri zachovaní funkcie právnickej osoby.</w:t>
              <w:br/>
            </w:r>
            <w:r>
              <w:rPr>
                <w:b w:val="off"/>
                <w:color w:val="000000"/>
                <w:rFonts w:ascii="Times New Roman" w:hAnsi="Times New Roman" w:cs="Times New Roman" w:eastAsia="Times New Roman"/>
                <w:sz w:val="24"/>
              </w:rPr>
              <w:t xml:space="preserve">Poznámka k súvisiacej úprave: </w:t>
              <w:br/>
            </w:r>
            <w:r>
              <w:rPr>
                <w:b w:val="off"/>
                <w:color w:val="000000"/>
                <w:rFonts w:ascii="Times New Roman" w:hAnsi="Times New Roman" w:cs="Times New Roman" w:eastAsia="Times New Roman"/>
                <w:sz w:val="24"/>
              </w:rPr>
              <w:t>Zavedenie právnickej osoby ako štatutárneho orgánu si vyžaduje zosúladenie § 6 ods. 3 živnostenského zákona (po prečíslovaní v implementačnej novele ods. 4), § 45 ods. 3 písm. a) a nadväzujúcich ustanovení o preukazovaní podmienok prevádzkovania živnosti. Treba výslovne určiť, ktoré fyzické osoby musia pri tomto modeli spĺňať a preukazovať všeobecné podmienky prevádzkovania živnosti, a tomu prispôsobiť údaje v ohlásení živnosti.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 ods. 8 až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pravidlá zastupovania, zmluvy a odmeny</w:t>
              <w:br/>
            </w:r>
            <w:r>
              <w:rPr>
                <w:b w:val="off"/>
                <w:color w:val="000000"/>
                <w:rFonts w:ascii="Times New Roman" w:hAnsi="Times New Roman" w:cs="Times New Roman" w:eastAsia="Times New Roman"/>
                <w:sz w:val="24"/>
              </w:rPr>
              <w:t>V § 66 ods. 8 sa za prvú vetu vkladá nová druhá veta, ktorá znie:</w:t>
              <w:br/>
            </w:r>
            <w:r>
              <w:rPr>
                <w:b w:val="off"/>
                <w:color w:val="000000"/>
                <w:rFonts w:ascii="Times New Roman" w:hAnsi="Times New Roman" w:cs="Times New Roman" w:eastAsia="Times New Roman"/>
                <w:sz w:val="24"/>
              </w:rPr>
              <w:t>„Na účely tohto odseku sa za prítomného považuje aj člen orgánu spoločnosti, ktorý je pri hlasovaní zastúpený iným členom tohto orgánu podľa § 223 ods. 2 Občianskeho zákonníka.“.</w:t>
              <w:br/>
            </w:r>
            <w:r>
              <w:rPr>
                <w:b w:val="off"/>
                <w:color w:val="000000"/>
                <w:rFonts w:ascii="Times New Roman" w:hAnsi="Times New Roman" w:cs="Times New Roman" w:eastAsia="Times New Roman"/>
                <w:sz w:val="24"/>
              </w:rPr>
              <w:t>§ 66 sa dopĺňa odsekmi 9 až 12, ktoré znejú:</w:t>
              <w:br/>
            </w:r>
            <w:r>
              <w:rPr>
                <w:b w:val="off"/>
                <w:color w:val="000000"/>
                <w:rFonts w:ascii="Times New Roman" w:hAnsi="Times New Roman" w:cs="Times New Roman" w:eastAsia="Times New Roman"/>
                <w:sz w:val="24"/>
              </w:rPr>
              <w:t>„(9) Ustanovenia § 236 až 243 Občianskeho zákonníka sa na obchodné spoločnosti a družstvo nepoužijú.</w:t>
              <w:br/>
            </w:r>
            <w:r>
              <w:rPr>
                <w:b w:val="off"/>
                <w:color w:val="000000"/>
                <w:rFonts w:ascii="Times New Roman" w:hAnsi="Times New Roman" w:cs="Times New Roman" w:eastAsia="Times New Roman"/>
                <w:sz w:val="24"/>
              </w:rPr>
              <w:t>(10) V zmluve o výkone funkcie možno dohodnúť, že sa na výkon funkcie člena orgánu spoločnosti primerane použijú pracovnoprávne predpisy. Ustanovenia tohto zákona alebo osobitného zákona o právach a povinnostiach členov orgánov spoločnosti, najmä o zodpovednosti, odmene a zániku funkcie, tým nie sú dotknuté. Uplatnenie pracovnoprávnych predpisov podľa prvej vety nezakladá pracovnoprávny vzťah.</w:t>
              <w:br/>
            </w:r>
            <w:r>
              <w:rPr>
                <w:b w:val="off"/>
                <w:color w:val="000000"/>
                <w:rFonts w:ascii="Times New Roman" w:hAnsi="Times New Roman" w:cs="Times New Roman" w:eastAsia="Times New Roman"/>
                <w:sz w:val="24"/>
              </w:rPr>
              <w:t>(11) Nárok na odmenu za výkon funkcie má člen orgánu spoločnosti len vtedy, ak to vyplýva zo zmluvy uzavretej medzi ním a spoločnosťou, zo spoločenskej zmluvy, zakladateľskej zmluvy, zakladateľskej listiny alebo stanov alebo z rozhodnutia orgánu spoločnosti, do ktorého pôsobnosti patrí rozhodovanie o jeho odmeňovaní. Predpokladá sa, že plnenie poskytnuté spoločnosťou členovi orgánu spoločnosti je odmenou za výkon jeho funkcie.</w:t>
              <w:br/>
            </w:r>
            <w:r>
              <w:rPr>
                <w:b w:val="off"/>
                <w:color w:val="000000"/>
                <w:rFonts w:ascii="Times New Roman" w:hAnsi="Times New Roman" w:cs="Times New Roman" w:eastAsia="Times New Roman"/>
                <w:sz w:val="24"/>
              </w:rPr>
              <w:t>(12) Právnická osoba, ktorá vykonáva pôsobnosť štatutárneho orgánu spoločnosti alebo je jeho členom, môže spoločnosť pri právnych úkonoch voči tretím osobám zastupovať v rozsahu svojho oprávnenia prostredníctvom fyzickej osoby určenej podľa § 221 ods. 1 Občianskeho zákonníka alebo prostredníctvom svojho štatutárneho orgánu spôsobom ustanoveným pre zastupovanie tejto právnickej osoby. Na zastupovanie prostredníctvom fyzickej osoby určenej podľa § 221 ods. 1 Občianskeho zákonníka môže právnická osoba určiť aj viac fyzických osôb a určiť spôsob, akým právnickú osobu zastupujú. Ak tento spôsob neurčí, môže každá z nich zastupovať právnickú osobu pri konaní podľa prvej vety samostatne. Fyzické osoby určené podľa § 221 ods. 1 Občianskeho zákonníka a spôsob, akým zastupujú právnickú osobu, sa zapisujú do obchodného registra pri spoločnosti, v ktorej právnická osoba vykonáva pôsobnosť štatutárneho orgánu alebo je jeho členom. Na fyzickú osobu, prostredníctvom ktorej právnická osoba podľa prvej vety zastupuje spoločnosť, sa vo vzťahu k tomuto zastupovaniu vzťahujú povinnosti člena štatutárneho orgánu spoločnosti. Za porušenie týchto povinností zodpovedá táto fyzická osoba spoločne a nerozdielne s právnickou osobou podľa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Samotná výluka ustanovení OZ o vadách rozhodnutí orgánov neodstraňuje terminologický a koncepčný nesúlad medzi novými všeobecnými ustanoveniami OZ týkajúcimi sa platnosti a zrušiteľnosti rozhodnutí a ustanoveniami ObZ. Navrhujeme ju preto presne vymedziť odkazom na § 236 až 243 OZ a nadväzne upraviť príslušné ustanovenia ObZ reflektujúc nové koncepty neplatnosti a zrušiteľnosti v OZ.</w:t>
              <w:br/>
            </w:r>
            <w:r>
              <w:rPr>
                <w:b w:val="off"/>
                <w:color w:val="000000"/>
                <w:rFonts w:ascii="Times New Roman" w:hAnsi="Times New Roman" w:cs="Times New Roman" w:eastAsia="Times New Roman"/>
                <w:sz w:val="24"/>
              </w:rPr>
              <w:t>Požiadavku prítomnosti členov orgánu podľa § 66 ods. 8 treba zosúladiť so zastúpením pri hlasovaní podľa § 223 ods. 2 OZ. Výslovné započítanie zastúpeného člena medzi prítomných odstráni neistotu pri určovaní uznášaniaschopnosti a potrebnej väčšiny hlasov.</w:t>
              <w:br/>
            </w:r>
            <w:r>
              <w:rPr>
                <w:b w:val="off"/>
                <w:color w:val="000000"/>
                <w:rFonts w:ascii="Times New Roman" w:hAnsi="Times New Roman" w:cs="Times New Roman" w:eastAsia="Times New Roman"/>
                <w:sz w:val="24"/>
              </w:rPr>
              <w:t>Samotné nahradenie odkazu na mandátnu zmluvu odkazom na príkaznú zmluvu nevyjasňuje vzťah § 66 ods. 6 k novému § 224 ods. 3 a 4 OZ. Navrhujeme preto priamo upraviť možnosť dohodnúť primerané použitie pracovnoprávnych predpisov a podmienky nároku na odmenu, aby ich použitie v obchodných spoločnostiach nebolo sporné.</w:t>
              <w:br/>
            </w:r>
            <w:r>
              <w:rPr>
                <w:b w:val="off"/>
                <w:color w:val="000000"/>
                <w:rFonts w:ascii="Times New Roman" w:hAnsi="Times New Roman" w:cs="Times New Roman" w:eastAsia="Times New Roman"/>
                <w:sz w:val="24"/>
              </w:rPr>
              <w:t>§ 221 OZ výslovne upravuje zastupovanie právnickej osoby v orgáne, ale nevyjasňuje rozsah zastupovania navonok ani možnosť využiť na tento účel vlastný štatutárny orgán. Navrhujeme preto výslovne upraviť obe možnosti konania navonok vrátane možnosti určenia viacerých fyzických zástupcov a spôsobu ich zastupovania. Rovnaké osobné povinnosti a zodpovednosť konajúcich fyzických osôb majú zabrániť tomu, aby rozsah ochrany spoločnosti závisel od zvoleného spôsobu zastupovania.</w:t>
              <w:br/>
            </w:r>
            <w:r>
              <w:rPr>
                <w:b w:val="off"/>
                <w:color w:val="000000"/>
                <w:rFonts w:ascii="Times New Roman" w:hAnsi="Times New Roman" w:cs="Times New Roman" w:eastAsia="Times New Roman"/>
                <w:sz w:val="24"/>
              </w:rPr>
              <w:t>Poznámka k súvisiacej úprave: Zmeny v § 13a ods. 6 a § 66 ods. 4 a 12 si vyžadujú nadväzujúcu úpravu najmä § 23 a § 34 zákona č. 29/2026 Z. z. o obchodnom registri. Treba upraviť zápis vzniku a zániku oprávnenia fyzického zástupcu, spôsobu zastupovania právnickej osoby a ukladanie príslušných listín do zbierky listín. Spôsob tohto zastupovania musí byť odlíšený od spôsobu, akým členovia štatutárneho orgánu zastupujú samotnú spoločnosť.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66c ods. 2</w:t>
              <w:br/>
            </w:r>
            <w:r>
              <w:rPr>
                <w:b w:val="off"/>
                <w:color w:val="000000"/>
                <w:rFonts w:ascii="Times New Roman" w:hAnsi="Times New Roman" w:cs="Times New Roman" w:eastAsia="Times New Roman"/>
                <w:sz w:val="24"/>
              </w:rPr>
              <w:t>Dohody spoločníkov a vady rozhodnutí</w:t>
              <w:br/>
            </w:r>
            <w:r>
              <w:rPr>
                <w:b w:val="off"/>
                <w:color w:val="000000"/>
                <w:rFonts w:ascii="Times New Roman" w:hAnsi="Times New Roman" w:cs="Times New Roman" w:eastAsia="Times New Roman"/>
                <w:sz w:val="24"/>
              </w:rPr>
              <w:t>V § 66c odsek 2 znie:</w:t>
              <w:br/>
            </w:r>
            <w:r>
              <w:rPr>
                <w:b w:val="off"/>
                <w:color w:val="000000"/>
                <w:rFonts w:ascii="Times New Roman" w:hAnsi="Times New Roman" w:cs="Times New Roman" w:eastAsia="Times New Roman"/>
                <w:sz w:val="24"/>
              </w:rPr>
              <w:t>„(2) Rozpor rozhodnutia orgánu spoločnosti s dohodou medzi spoločníkmi sám osebe nie je dôvodom na jeho zrušenie.“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zmeny korešponduje s terminologickým zosúladením § 131 s novým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66d a § 66e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a zbavenie sa zodpovednosti</w:t>
              <w:br/>
            </w:r>
            <w:r>
              <w:rPr>
                <w:b w:val="off"/>
                <w:color w:val="000000"/>
                <w:rFonts w:ascii="Times New Roman" w:hAnsi="Times New Roman" w:cs="Times New Roman" w:eastAsia="Times New Roman"/>
                <w:sz w:val="24"/>
              </w:rPr>
              <w:t>Za § 66c sa vkladajú § 66d a 66e, ktoré vrátane nadpisov znejú:</w:t>
              <w:br/>
            </w:r>
            <w:r>
              <w:rPr>
                <w:b w:val="off"/>
                <w:color w:val="000000"/>
                <w:rFonts w:ascii="Times New Roman" w:hAnsi="Times New Roman" w:cs="Times New Roman" w:eastAsia="Times New Roman"/>
                <w:sz w:val="24"/>
              </w:rPr>
              <w:t>„§ 66d</w:t>
              <w:br/>
            </w:r>
            <w:r>
              <w:rPr>
                <w:b w:val="off"/>
                <w:color w:val="000000"/>
                <w:rFonts w:ascii="Times New Roman" w:hAnsi="Times New Roman" w:cs="Times New Roman" w:eastAsia="Times New Roman"/>
                <w:sz w:val="24"/>
              </w:rPr>
              <w:t>Starostlivosť a zodpovednosť člena orgánu</w:t>
              <w:br/>
            </w:r>
            <w:r>
              <w:rPr>
                <w:b w:val="off"/>
                <w:color w:val="000000"/>
                <w:rFonts w:ascii="Times New Roman" w:hAnsi="Times New Roman" w:cs="Times New Roman" w:eastAsia="Times New Roman"/>
                <w:sz w:val="24"/>
              </w:rPr>
              <w:t>(1) Na povinnosť náležitej starostlivosti a zodpovednosť členov orgánov spoločnosti a spoločníkov, ktorí vykonávajú pôsobnosť štatutárneho orgánu, sa použijú § 227 až 232 Občianskeho zákonníka, ak tento zákon neustanovuje inak.</w:t>
              <w:br/>
            </w:r>
            <w:r>
              <w:rPr>
                <w:b w:val="off"/>
                <w:color w:val="000000"/>
                <w:rFonts w:ascii="Times New Roman" w:hAnsi="Times New Roman" w:cs="Times New Roman" w:eastAsia="Times New Roman"/>
                <w:sz w:val="24"/>
              </w:rPr>
              <w:t>(2) Súhlas a následné schválenie podľa § 230 ods. 3 Občianskeho zákonníka majú účinky zbavenia sa zodpovednosti len za podmienok odsekov 3 a 4.</w:t>
              <w:br/>
            </w:r>
            <w:r>
              <w:rPr>
                <w:b w:val="off"/>
                <w:color w:val="000000"/>
                <w:rFonts w:ascii="Times New Roman" w:hAnsi="Times New Roman" w:cs="Times New Roman" w:eastAsia="Times New Roman"/>
                <w:sz w:val="24"/>
              </w:rPr>
              <w:t>(3) Člen orgánu spoločnosti alebo spoločník podľa odseku 1 nezodpovedá za škodu, ak preukáže, že na konanie, ktorým bola škoda spôsobená, mal predchádzajúci súhlas valného zhromaždenia. Vo verejnej obchodnej spoločnosti a v komanditnej spoločnosti sa vyžaduje súhlas všetkých spoločníkov. Súhlas podľa tohto odseku nemá tieto účinky, ak je rozhodnutie o jeho udelení v rozpore s právnymi predpismi, spoločenskou zmluvou alebo stanovami, alebo ak ide o porušenie povinnosti podať návrh na vyhlásenie konkurzu.</w:t>
              <w:br/>
            </w:r>
            <w:r>
              <w:rPr>
                <w:b w:val="off"/>
                <w:color w:val="000000"/>
                <w:rFonts w:ascii="Times New Roman" w:hAnsi="Times New Roman" w:cs="Times New Roman" w:eastAsia="Times New Roman"/>
                <w:sz w:val="24"/>
              </w:rPr>
              <w:t>(4) Člen orgánu spoločnosti alebo spoločník podľa odseku 1 nezodpovedá za škodu, ak preukáže, že jeho konanie alebo opomenutie následne schválilo valné zhromaždenie na základe úplných a pravdivých informácií o tomto konaní alebo opomenutí a jeho následkoch. Vo verejnej obchodnej spoločnosti a v komanditnej spoločnosti sa za rovnakých podmienok vyžaduje schválenie všetkými spoločníkmi. Schválenie podľa tohto odseku nemá tieto účinky, ak je rozhodnutie o jeho udelení v rozpore s právnymi predpismi, spoločenskou zmluvou alebo stanovami, alebo ak ide o porušenie povinnosti podať návrh na vyhlásenie konkurzu.</w:t>
              <w:br/>
            </w:r>
            <w:r>
              <w:rPr>
                <w:b w:val="off"/>
                <w:color w:val="000000"/>
                <w:rFonts w:ascii="Times New Roman" w:hAnsi="Times New Roman" w:cs="Times New Roman" w:eastAsia="Times New Roman"/>
                <w:sz w:val="24"/>
              </w:rPr>
              <w:t>(5) Ustanovenia odsekov 1 až 4 a § 66e sa primerane použijú aj na fyzickú osobu, ktorá zastupuje právnickú osobu v orgáne spoločnosti alebo prostredníctvom ktorej právnická osoba zastupuje spoločnosť podľa § 66 ods. 12.</w:t>
              <w:br/>
            </w:r>
            <w:r>
              <w:rPr>
                <w:b w:val="off"/>
                <w:color w:val="000000"/>
                <w:rFonts w:ascii="Times New Roman" w:hAnsi="Times New Roman" w:cs="Times New Roman" w:eastAsia="Times New Roman"/>
                <w:sz w:val="24"/>
              </w:rPr>
              <w:t>(6) Dodatočné schválenie podľa odseku 4 nemá účinky podľa tohto ustanovenia, ak proti nemu na valnom zhromaždení vznesie do zápisnice protest</w:t>
              <w:br/>
            </w:r>
            <w:r>
              <w:rPr>
                <w:b w:val="off"/>
                <w:color w:val="000000"/>
                <w:rFonts w:ascii="Times New Roman" w:hAnsi="Times New Roman" w:cs="Times New Roman" w:eastAsia="Times New Roman"/>
                <w:sz w:val="24"/>
              </w:rPr>
              <w:t>a) v spoločnosti s ručením obmedzeným spoločník alebo spoločníci, ktorých vklady dosahujú aspoň 10 % základného imania,</w:t>
              <w:br/>
            </w:r>
            <w:r>
              <w:rPr>
                <w:b w:val="off"/>
                <w:color w:val="000000"/>
                <w:rFonts w:ascii="Times New Roman" w:hAnsi="Times New Roman" w:cs="Times New Roman" w:eastAsia="Times New Roman"/>
                <w:sz w:val="24"/>
              </w:rPr>
              <w:t>b) v akciovej spoločnosti alebo jednoduchej spoločnosti na akcie akcionár alebo akcionári, ktorých akcie majú menovitú hodnotu dosahujúcu aspoň 5 % základného imania.</w:t>
              <w:br/>
            </w:r>
            <w:r>
              <w:rPr>
                <w:b w:val="off"/>
                <w:color w:val="000000"/>
                <w:rFonts w:ascii="Times New Roman" w:hAnsi="Times New Roman" w:cs="Times New Roman" w:eastAsia="Times New Roman"/>
                <w:sz w:val="24"/>
              </w:rPr>
              <w:t>(7) Pri rozhodovaní mimo valného zhromaždenia sa protest podľa odseku 6 uplatňuje písomne spoločnosti v lehote určenej na vyjadrenie k návrhu rozhodnutia.</w:t>
              <w:br/>
            </w:r>
            <w:r>
              <w:rPr>
                <w:b w:val="off"/>
                <w:color w:val="000000"/>
                <w:rFonts w:ascii="Times New Roman" w:hAnsi="Times New Roman" w:cs="Times New Roman" w:eastAsia="Times New Roman"/>
                <w:sz w:val="24"/>
              </w:rPr>
              <w:t>§ 66e</w:t>
              <w:br/>
            </w:r>
            <w:r>
              <w:rPr>
                <w:b w:val="off"/>
                <w:color w:val="000000"/>
                <w:rFonts w:ascii="Times New Roman" w:hAnsi="Times New Roman" w:cs="Times New Roman" w:eastAsia="Times New Roman"/>
                <w:sz w:val="24"/>
              </w:rPr>
              <w:t>Dohody o zodpovednosti za škodu</w:t>
              <w:br/>
            </w:r>
            <w:r>
              <w:rPr>
                <w:b w:val="off"/>
                <w:color w:val="000000"/>
                <w:rFonts w:ascii="Times New Roman" w:hAnsi="Times New Roman" w:cs="Times New Roman" w:eastAsia="Times New Roman"/>
                <w:sz w:val="24"/>
              </w:rPr>
              <w:t>(1) Spoločnosť môže s členom svojho orgánu alebo so spoločníkom, ktorý vykonáva pôsobnosť štatutárneho orgánu, uzavrieť dohodu o vylúčení alebo obmedzení zodpovednosti za škodu aj pred vznikom škody. Dohodou nemožno vopred vylúčiť ani obmedziť zodpovednosť za škodu spôsobenú úmyselne alebo z hrubej nedbanlivosti.</w:t>
              <w:br/>
            </w:r>
            <w:r>
              <w:rPr>
                <w:b w:val="off"/>
                <w:color w:val="000000"/>
                <w:rFonts w:ascii="Times New Roman" w:hAnsi="Times New Roman" w:cs="Times New Roman" w:eastAsia="Times New Roman"/>
                <w:sz w:val="24"/>
              </w:rPr>
              <w:t>(2) Dohoda podľa odseku 1 musí mať písomnú formu a musí ju schváliť valné zhromaždenie; vo verejnej obchodnej spoločnosti a v komanditnej spoločnosti ju písomne schvaľujú všetci spoločníci. To platí aj pre vzdanie sa práva na náhradu škody a dohodu o urovnaní. Ustanovenia § 66d ods. 6 a 7 sa použijú primerane.“.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Samotné terminologické zmeny v sprievodnej novele neodstraňujú súbeh odlišných pravidiel starostlivosti a zodpovednosti v oboch kódexoch. Navrhujeme preto jednoznačne vymedziť použitie § 227 až 232 OZ pre obchodné spoločnosti vrátane spoločníkov osobných spoločností vykonávajúcich pôsobnosť štatutárneho orgánu.</w:t>
              <w:br/>
            </w:r>
            <w:r>
              <w:rPr>
                <w:b w:val="off"/>
                <w:color w:val="000000"/>
                <w:rFonts w:ascii="Times New Roman" w:hAnsi="Times New Roman" w:cs="Times New Roman" w:eastAsia="Times New Roman"/>
                <w:sz w:val="24"/>
              </w:rPr>
              <w:t xml:space="preserve">Všeobecný OZ pripúšťa zbavenie sa zodpovednosti aj súhlasom alebo schválením štatutárneho orgánu. Navrhujeme rozhodovanie zveriť valnému zhromaždeniu alebo všetkým spoločníkom osobnej spoločnosti, aby o zbavení zodpovednosti nerozhodovali členovia štatutárneho orgánu vo vzájomnom konflikte záujmov. Pri dodatočnom schválení požadujeme úplné a pravdivé informácie a ochranu menšiny. </w:t>
              <w:br/>
            </w:r>
            <w:r>
              <w:rPr>
                <w:b w:val="off"/>
                <w:color w:val="000000"/>
                <w:rFonts w:ascii="Times New Roman" w:hAnsi="Times New Roman" w:cs="Times New Roman" w:eastAsia="Times New Roman"/>
                <w:sz w:val="24"/>
              </w:rPr>
              <w:t>Ponechaný zákaz dohôd v § 135a ods. 4 a § 194 ods. 8 by bránil využitiu zmluvnej voľnosti predpokladanej novým OZ. Navrhujeme preto umožniť tieto dohody za jednotných podmienok pre všetky obchodné spoločnosti a odstrániť aj trojročné čakanie na vzdanie sa nároku alebo urovnanie. Ochranu spoločnosti zabezpečí schvaľovanie spoločníkmi, menšinový protest a zákaz vopred vylúčiť alebo obmedziť zodpovednosť za úmysel a hrubú nedbanlivosť.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81 ods. 3</w:t>
              <w:br/>
            </w:r>
            <w:r>
              <w:rPr>
                <w:b w:val="off"/>
                <w:color w:val="000000"/>
                <w:rFonts w:ascii="Times New Roman" w:hAnsi="Times New Roman" w:cs="Times New Roman" w:eastAsia="Times New Roman"/>
                <w:sz w:val="24"/>
              </w:rPr>
              <w:t>Odňatie poverenia obchodným vedením vo verejnej obchodnej spoločnosti</w:t>
              <w:br/>
            </w:r>
            <w:r>
              <w:rPr>
                <w:b w:val="off"/>
                <w:color w:val="000000"/>
                <w:rFonts w:ascii="Times New Roman" w:hAnsi="Times New Roman" w:cs="Times New Roman" w:eastAsia="Times New Roman"/>
                <w:sz w:val="24"/>
              </w:rPr>
              <w:t>V § 81 ods. 3 sa vypúšťajú slová „(§ 345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vypúšťa § 345, na ktorý odkazuje § 81 ods. 3. Navrhujeme vypustiť tento odkaz a zachovať požiadavku porušovania povinností podstatným spôsobom. Závažnosť porušenia sa má posudzovať so zreteľom na povahu a účel poverenia obchodným vedením; jej výslovné naviazanie na stratu záujmu veriteľa na plnení podľa § 514 Občianskeho zákonníka nepovažujeme v tomto kontexte za vhodné.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110 ods. 1 písm. e) a f)</w:t>
              <w:br/>
            </w:r>
            <w:r>
              <w:rPr>
                <w:b w:val="off"/>
                <w:color w:val="000000"/>
                <w:rFonts w:ascii="Times New Roman" w:hAnsi="Times New Roman" w:cs="Times New Roman" w:eastAsia="Times New Roman"/>
                <w:sz w:val="24"/>
              </w:rPr>
              <w:t>Údaje o prvých konateľoch a členoch dozornej rady</w:t>
              <w:br/>
            </w:r>
            <w:r>
              <w:rPr>
                <w:b w:val="off"/>
                <w:color w:val="000000"/>
                <w:rFonts w:ascii="Times New Roman" w:hAnsi="Times New Roman" w:cs="Times New Roman" w:eastAsia="Times New Roman"/>
                <w:sz w:val="24"/>
              </w:rPr>
              <w:t>V § 110 ods. 1 písmená e) a f) znejú:</w:t>
              <w:br/>
            </w:r>
            <w:r>
              <w:rPr>
                <w:b w:val="off"/>
                <w:color w:val="000000"/>
                <w:rFonts w:ascii="Times New Roman" w:hAnsi="Times New Roman" w:cs="Times New Roman" w:eastAsia="Times New Roman"/>
                <w:sz w:val="24"/>
              </w:rPr>
              <w:t>„e) určenie prvých konateľov spoločnosti uvedením mena, bydliska a rodného čísla fyzickej osoby alebo obchodného mena alebo názvu, sídla a identifikačného čísla právnickej osoby, ak jej bolo pridelené, a spôsob, akým konatelia zastupujú spoločnosť; pri zahraničnej fyzickej osobe sa uvádza dátum narodenia, ak jej rodné číslo nebolo pridelené,</w:t>
              <w:br/>
            </w:r>
            <w:r>
              <w:rPr>
                <w:b w:val="off"/>
                <w:color w:val="000000"/>
                <w:rFonts w:ascii="Times New Roman" w:hAnsi="Times New Roman" w:cs="Times New Roman" w:eastAsia="Times New Roman"/>
                <w:sz w:val="24"/>
              </w:rPr>
              <w:t>f) určenie členov prvej dozornej rady, pokiaľ sa zriaďuje, uvedením mena, bydliska a rodného čísla fyzickej osoby alebo obchodného mena alebo názvu, sídla a identifikačného čísla právnickej osoby, ak jej bolo pridelené; pri zahraničnej fyzickej osobe sa uvádza dátum narodenia, ak jej rodné číslo nebolo pridelené,“.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110 ods. 1 písm. e) a f) počíta len s identifikáciou fyzických osôb. Navrhujeme doplniť údaje právnickej osoby, aby sa jej členstvo v štatutárnom alebo dozornom orgáne dalo jednoznačne využiť už pri založení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Zrušiteľnosť uznesení valného zhromaždenia</w:t>
              <w:br/>
            </w:r>
            <w:r>
              <w:rPr>
                <w:b w:val="off"/>
                <w:color w:val="000000"/>
                <w:rFonts w:ascii="Times New Roman" w:hAnsi="Times New Roman" w:cs="Times New Roman" w:eastAsia="Times New Roman"/>
                <w:sz w:val="24"/>
              </w:rPr>
              <w:t>§ 131 vrátane nadpisu znie:</w:t>
              <w:br/>
            </w:r>
            <w:r>
              <w:rPr>
                <w:b w:val="off"/>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Zrušiteľnosť uznesenia valného zhromaždenia</w:t>
              <w:br/>
            </w:r>
            <w:r>
              <w:rPr>
                <w:b w:val="off"/>
                <w:color w:val="000000"/>
                <w:rFonts w:ascii="Times New Roman" w:hAnsi="Times New Roman" w:cs="Times New Roman" w:eastAsia="Times New Roman"/>
                <w:sz w:val="24"/>
              </w:rPr>
              <w:t>(1) Súd na návrh zruší uznesenie valného zhromaždenia, ak jeho prijatím alebo pri jeho prijatí došlo k porušeniu zákona, dobrých mravov, spoločenskej zmluvy, stanov alebo práva spoločníka.</w:t>
              <w:br/>
            </w:r>
            <w:r>
              <w:rPr>
                <w:b w:val="off"/>
                <w:color w:val="000000"/>
                <w:rFonts w:ascii="Times New Roman" w:hAnsi="Times New Roman" w:cs="Times New Roman" w:eastAsia="Times New Roman"/>
                <w:sz w:val="24"/>
              </w:rPr>
              <w:t>(2) Žalobu o zrušenie uznesenia valného zhromaždenia môže proti spoločnosti podať každý spoločník, konateľ, likvidátor, správca konkurznej podstaty, vyrovnávací správca alebo člen dozornej rady. Rovnaké právo má aj bývalý spoločník alebo konateľ, ak sa ho uznesenie týka. Právo domáhať sa zrušenia uznesenia zanikne, ak ho oprávnená osoba neuplatní do troch mesiacov od prijatia uznesenia alebo, ak valné zhromaždenie nebolo riadne zvolané, odo dňa, keď sa mohla o uznesení dozvedieť.</w:t>
              <w:br/>
            </w:r>
            <w:r>
              <w:rPr>
                <w:b w:val="off"/>
                <w:color w:val="000000"/>
                <w:rFonts w:ascii="Times New Roman" w:hAnsi="Times New Roman" w:cs="Times New Roman" w:eastAsia="Times New Roman"/>
                <w:sz w:val="24"/>
              </w:rPr>
              <w:t>(3) Súd môže na návrh spoločníka zrušiť uznesenie valného zhromaždenia, len ak porušenie podľa odseku 1 mohlo obmedziť práva spoločníka, ktorý sa jeho zrušenia domáha.</w:t>
              <w:br/>
            </w:r>
            <w:r>
              <w:rPr>
                <w:b w:val="off"/>
                <w:color w:val="000000"/>
                <w:rFonts w:ascii="Times New Roman" w:hAnsi="Times New Roman" w:cs="Times New Roman" w:eastAsia="Times New Roman"/>
                <w:sz w:val="24"/>
              </w:rPr>
              <w:t>(4) Súd uznesenie valného zhromaždenia nezruší, ak porušenie podľa odseku 1</w:t>
              <w:br/>
            </w:r>
            <w:r>
              <w:rPr>
                <w:b w:val="off"/>
                <w:color w:val="000000"/>
                <w:rFonts w:ascii="Times New Roman" w:hAnsi="Times New Roman" w:cs="Times New Roman" w:eastAsia="Times New Roman"/>
                <w:sz w:val="24"/>
              </w:rPr>
              <w:t>a) nemohlo mať vplyv na jeho prijatie ani obsah alebo</w:t>
              <w:br/>
            </w:r>
            <w:r>
              <w:rPr>
                <w:b w:val="off"/>
                <w:color w:val="000000"/>
                <w:rFonts w:ascii="Times New Roman" w:hAnsi="Times New Roman" w:cs="Times New Roman" w:eastAsia="Times New Roman"/>
                <w:sz w:val="24"/>
              </w:rPr>
              <w:t>b) nemalo závažné následky a ochrany hodný záujem vyžaduje, aby uznesenie zostalo zachované.</w:t>
              <w:br/>
            </w:r>
            <w:r>
              <w:rPr>
                <w:b w:val="off"/>
                <w:color w:val="000000"/>
                <w:rFonts w:ascii="Times New Roman" w:hAnsi="Times New Roman" w:cs="Times New Roman" w:eastAsia="Times New Roman"/>
                <w:sz w:val="24"/>
              </w:rPr>
              <w:t>(5) V konaní o žalobe podľa odseku 2 zastupujú spoločnosť konatelia; ak sú však žalobcami samotní konatelia, zastupuje spoločnosť určený člen alebo určení členovia dozornej rady. Ak žalujú konatelia aj členovia dozornej rady alebo ak dozorná rada nie je zriadená, určí zástupcu spoločnosti valné zhromaždenie. Ak tak neurobí do troch mesiacov od doručenia žaloby spoločnosti, ustanoví súd spoločnosti opatrovníka.</w:t>
              <w:br/>
            </w:r>
            <w:r>
              <w:rPr>
                <w:b w:val="off"/>
                <w:color w:val="000000"/>
                <w:rFonts w:ascii="Times New Roman" w:hAnsi="Times New Roman" w:cs="Times New Roman" w:eastAsia="Times New Roman"/>
                <w:sz w:val="24"/>
              </w:rPr>
              <w:t>(6) Konatelia vhodným spôsobom oboznámia dozornú radu, ak bola zriadená, a spoločníkov o tom, že bola podaná žaloba o zrušenie uznesenia valného zhromaždenia.</w:t>
              <w:br/>
            </w:r>
            <w:r>
              <w:rPr>
                <w:b w:val="off"/>
                <w:color w:val="000000"/>
                <w:rFonts w:ascii="Times New Roman" w:hAnsi="Times New Roman" w:cs="Times New Roman" w:eastAsia="Times New Roman"/>
                <w:sz w:val="24"/>
              </w:rPr>
              <w:t>(7) Právoplatný rozsudok o zrušení uznesenia valného zhromaždenia je záväzný pre každého.</w:t>
              <w:br/>
            </w:r>
            <w:r>
              <w:rPr>
                <w:b w:val="off"/>
                <w:color w:val="000000"/>
                <w:rFonts w:ascii="Times New Roman" w:hAnsi="Times New Roman" w:cs="Times New Roman" w:eastAsia="Times New Roman"/>
                <w:sz w:val="24"/>
              </w:rPr>
              <w:t>(8) Zrušené uznesenie valného zhromaždenia sa považuje za neplatné od počiatku. Právne postavenie tretích osôb tým nie je dotknuté; to neplatí, ak v čase právneho úkonu tretej osoby táto osoba o dôvode zrušiteľnosti uznesenia vedela alebo musela vedieť.</w:t>
              <w:br/>
            </w:r>
            <w:r>
              <w:rPr>
                <w:b w:val="off"/>
                <w:color w:val="000000"/>
                <w:rFonts w:ascii="Times New Roman" w:hAnsi="Times New Roman" w:cs="Times New Roman" w:eastAsia="Times New Roman"/>
                <w:sz w:val="24"/>
              </w:rPr>
              <w:t>(9) Ak došlo zrušeným uznesením valného zhromaždenia k podstatnému zásahu do účasti spoločníka v spoločnosti, spoločnosť mu nahradí aj nemajetkovú škodu, ktorú mu týmto uznesením spôsobila.“.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ponecháva v OBZ pojem „neplatnosť“, pričom vzhľadom na novú úpravu neplatnosti v Občianskom zákonníku (napr. súd prihliada ex offo), má inštitút podľa § 131  výrazne bližšie k inštitútu zrušiteľnosti. Navrhujeme preto nahradiť neplatnosť zrušiteľnosťou pri zachovaní kľúčových pôvodných podmienok.</w:t>
              <w:br/>
            </w:r>
            <w:r>
              <w:rPr>
                <w:b w:val="off"/>
                <w:color w:val="000000"/>
                <w:rFonts w:ascii="Times New Roman" w:hAnsi="Times New Roman" w:cs="Times New Roman" w:eastAsia="Times New Roman"/>
                <w:sz w:val="24"/>
              </w:rPr>
              <w:t>Prevzatie súvisiacich ochranných pravidiel OZ má zabrániť neprimeranému rušeniu uznesení a chrániť právnu istotu tretích osôb pri ich zrušení. Informovanie o konaní a náhrada nemajetkovej škody zároveň posilnia ochranu spoločníkov dotknutých vadným uznesením.</w:t>
              <w:br/>
            </w:r>
            <w:r>
              <w:rPr>
                <w:b w:val="off"/>
                <w:color w:val="000000"/>
                <w:rFonts w:ascii="Times New Roman" w:hAnsi="Times New Roman" w:cs="Times New Roman" w:eastAsia="Times New Roman"/>
                <w:sz w:val="24"/>
              </w:rPr>
              <w:t>Poznámka k súvisiacej úprave: Zmeny v § 131 a § 183 Obchodného zákonníka si vyžadujú zosúladenie § 18 ods. 1 a 3 až 5, § 40 ods. 5, § 98 ods. 8, § 102 ods. 6 a § 117 ods. 8 zákona č. 309/2023 Z. z. o premenách obchodných spoločností a družstiev. Odkazy na neplatnosť uznesenia valného zhromaždenia treba prispôsobiť jeho súdnemu zrušeniu vrátane nadväzujúcich účinkov. Navrhujeme zachovať osobitné obmedzenia napadnutia uznesení, šesťmesačnú lehotu podľa § 18 ods. 2, ochranu právnych vzťahov podľa § 18 ods. 4 a 5 a ochranu účinkov cezhraničných premien a cezhraničných zmien právnej formy podľa § 4 ods. 4.</w:t>
              <w:br/>
            </w:r>
            <w:r>
              <w:rPr>
                <w:b w:val="off"/>
                <w:color w:val="000000"/>
                <w:rFonts w:ascii="Times New Roman" w:hAnsi="Times New Roman" w:cs="Times New Roman" w:eastAsia="Times New Roman"/>
                <w:sz w:val="24"/>
              </w:rPr>
              <w:t>Prechodná úprava má zachovať doterajší režim preskúmania uznesení prijatých pred 1. júlom 2027 vrátane následkov ich neplatnosti, bez ohľadu na neskorší zápis alebo podanie návrhu na súd. Nová zrušiteľnosť sa má uplatniť na uznesenia prijaté od tohto dátumu.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133 ods. 2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osoba ako konateľ</w:t>
              <w:br/>
            </w:r>
            <w:r>
              <w:rPr>
                <w:b w:val="off"/>
                <w:color w:val="000000"/>
                <w:rFonts w:ascii="Times New Roman" w:hAnsi="Times New Roman" w:cs="Times New Roman" w:eastAsia="Times New Roman"/>
                <w:sz w:val="24"/>
              </w:rPr>
              <w:t>V § 133 odsek 2 znie:</w:t>
              <w:br/>
            </w:r>
            <w:r>
              <w:rPr>
                <w:b w:val="off"/>
                <w:color w:val="000000"/>
                <w:rFonts w:ascii="Times New Roman" w:hAnsi="Times New Roman" w:cs="Times New Roman" w:eastAsia="Times New Roman"/>
                <w:sz w:val="24"/>
              </w:rPr>
              <w:t>„(2) Konateľ nesmie byť v čase vykonania zápisu do obchodného registra ako povinný vedený v registri poverení na vykonanie exekúcie podľa osobitného predpisu; túto podmienku musí spĺňať aj fyzická osoba, ktorá právnickú osobu pri výkone funkcie zastupuje.“</w:t>
              <w:br/>
            </w:r>
            <w:r>
              <w:rPr>
                <w:b w:val="off"/>
                <w:color w:val="000000"/>
                <w:rFonts w:ascii="Times New Roman" w:hAnsi="Times New Roman" w:cs="Times New Roman" w:eastAsia="Times New Roman"/>
                <w:sz w:val="24"/>
              </w:rPr>
              <w:t>V § 133 ods. 4 sa vypúšťa slovo „fyzických“.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aby konateľom bola výlučne fyzická osoba, by ako osobitná úprava bránila použitiu § 221 OZ; navrhujeme ju preto vypustiť. Členstvo právnických osôb v štatutárnych a dozorných orgánoch obchodných spoločností umožňujú aj právne poriadky iných členských štátov Európskej únie, napríklad Česka, Belgicka a Luxemburska.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Rozdelenie rozhodovania medzi konateľmi</w:t>
              <w:br/>
            </w:r>
            <w:r>
              <w:rPr>
                <w:b w:val="off"/>
                <w:color w:val="000000"/>
                <w:rFonts w:ascii="Times New Roman" w:hAnsi="Times New Roman" w:cs="Times New Roman" w:eastAsia="Times New Roman"/>
                <w:sz w:val="24"/>
              </w:rPr>
              <w:t>V § 134 sa na konci bodka nahrádza čiarkou a pripájajú sa tieto slová:</w:t>
              <w:br/>
            </w:r>
            <w:r>
              <w:rPr>
                <w:b w:val="off"/>
                <w:color w:val="000000"/>
                <w:rFonts w:ascii="Times New Roman" w:hAnsi="Times New Roman" w:cs="Times New Roman" w:eastAsia="Times New Roman"/>
                <w:sz w:val="24"/>
              </w:rPr>
              <w:t>„alebo, ak konatelia rozhodli o deľbe rozhodovacej pôsobnosti medzi nimi, vyžaduje sa rozhodnutie konateľa alebo nadpolovičnej väčšiny konateľov, ktorým bola príslušná rozhodovacia pôsobnosť zverená; požiadavka vyššieho počtu hlasov podľa spoločenskej zmluvy tým nie je dotknutá.“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134 treba zosúladiť s deľbou pôsobnosti podľa § 247 ods. 3 OZ. Navrhujeme upraviť rozhodovanie poverených konateľov s výslovným zachovaním vyššieho počtu hlasov podľa spoločenskej zmluvy, aby konatelia nemohli túto požiadavku obísť vlastným rozhodnutím o deľbe pôsobnosti.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135a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a zodpovednosť konateľov</w:t>
              <w:br/>
            </w:r>
            <w:r>
              <w:rPr>
                <w:b w:val="off"/>
                <w:color w:val="000000"/>
                <w:rFonts w:ascii="Times New Roman" w:hAnsi="Times New Roman" w:cs="Times New Roman" w:eastAsia="Times New Roman"/>
                <w:sz w:val="24"/>
              </w:rPr>
              <w:t>V § 135a odsek 1 znie:</w:t>
              <w:br/>
            </w:r>
            <w:r>
              <w:rPr>
                <w:b w:val="off"/>
                <w:color w:val="000000"/>
                <w:rFonts w:ascii="Times New Roman" w:hAnsi="Times New Roman" w:cs="Times New Roman" w:eastAsia="Times New Roman"/>
                <w:sz w:val="24"/>
              </w:rPr>
              <w:t>„(1) Konatelia sú povinní vykonávať svoju pôsobnosť s náležitou starostlivosťou podľa § 66d a lojálne podľa § 65.“</w:t>
              <w:br/>
            </w:r>
            <w:r>
              <w:rPr>
                <w:b w:val="off"/>
                <w:color w:val="000000"/>
                <w:rFonts w:ascii="Times New Roman" w:hAnsi="Times New Roman" w:cs="Times New Roman" w:eastAsia="Times New Roman"/>
                <w:sz w:val="24"/>
              </w:rPr>
              <w:t>V § 135a ods. 2 sa prvá veta nahrádza vetou „Konatelia zodpovedajú spoločnosti za škodu podľa § 66d.“.</w:t>
              <w:br/>
            </w:r>
            <w:r>
              <w:rPr>
                <w:b w:val="off"/>
                <w:color w:val="000000"/>
                <w:rFonts w:ascii="Times New Roman" w:hAnsi="Times New Roman" w:cs="Times New Roman" w:eastAsia="Times New Roman"/>
                <w:sz w:val="24"/>
              </w:rPr>
              <w:t>V § 135a odseky 3 a 4 znejú:</w:t>
              <w:br/>
            </w:r>
            <w:r>
              <w:rPr>
                <w:b w:val="off"/>
                <w:color w:val="000000"/>
                <w:rFonts w:ascii="Times New Roman" w:hAnsi="Times New Roman" w:cs="Times New Roman" w:eastAsia="Times New Roman"/>
                <w:sz w:val="24"/>
              </w:rPr>
              <w:t>„(3) Na zbavenie sa zodpovednosti konateľa za škodu sa vzťahuje § 66d.</w:t>
              <w:br/>
            </w:r>
            <w:r>
              <w:rPr>
                <w:b w:val="off"/>
                <w:color w:val="000000"/>
                <w:rFonts w:ascii="Times New Roman" w:hAnsi="Times New Roman" w:cs="Times New Roman" w:eastAsia="Times New Roman"/>
                <w:sz w:val="24"/>
              </w:rPr>
              <w:t>(4) Na dohody o vylúčení alebo obmedzení zodpovednosti za škodu, vzdanie sa práva na náhradu škody a dohodu o urovnaní sa vzťahuje § 66e.“</w:t>
              <w:br/>
            </w:r>
            <w:r>
              <w:rPr>
                <w:b w:val="off"/>
                <w:color w:val="000000"/>
                <w:rFonts w:ascii="Times New Roman" w:hAnsi="Times New Roman" w:cs="Times New Roman" w:eastAsia="Times New Roman"/>
                <w:sz w:val="24"/>
              </w:rPr>
              <w:t>V § 135a ods. 5 sa druhá a tretia veta nahrádzajú vetami „Ustanovenia odsekov 1 až 4 sa použijú primerane. Práva veriteľov podľa prvej vety nie sú dotknuté súhlasom, schválením ani dohodou podľa § 66d a 66e.“.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Ponechanie osobitného informačného štandardu, liberačných dôvodov a zákazu zmluvných limitov v § 135a by vytváralo rozpor s navrhovanou spoločnou úpravou. Navrhujeme preto toto ustanovenie zosúladiť s novým OZ a § 66d a 66e, aby rozsah povinností a zodpovednosti konateľov nebol sporný.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konkurencie konateľa</w:t>
              <w:br/>
            </w:r>
            <w:r>
              <w:rPr>
                <w:b w:val="off"/>
                <w:color w:val="000000"/>
                <w:rFonts w:ascii="Times New Roman" w:hAnsi="Times New Roman" w:cs="Times New Roman" w:eastAsia="Times New Roman"/>
                <w:sz w:val="24"/>
              </w:rPr>
              <w:t>V § 136 ods. 1 sa slová „Pokiaľ zo spoločenskej zmluvy alebo stanov nevyplývajú ďalšie obmedzenia“ nahrádzajú slovami „Ak spoločenská zmluva alebo stanovy neurčujú inak“.</w:t>
              <w:br/>
            </w:r>
            <w:r>
              <w:rPr>
                <w:b w:val="off"/>
                <w:color w:val="000000"/>
                <w:rFonts w:ascii="Times New Roman" w:hAnsi="Times New Roman" w:cs="Times New Roman" w:eastAsia="Times New Roman"/>
                <w:sz w:val="24"/>
              </w:rPr>
              <w:t>V § 136 sa nadpis nahrádza nadpisom „Lojalita a zákaz konkurencie“ a odsek 2 znie:</w:t>
              <w:br/>
            </w:r>
            <w:r>
              <w:rPr>
                <w:b w:val="off"/>
                <w:color w:val="000000"/>
                <w:rFonts w:ascii="Times New Roman" w:hAnsi="Times New Roman" w:cs="Times New Roman" w:eastAsia="Times New Roman"/>
                <w:sz w:val="24"/>
              </w:rPr>
              <w:t>„(2) Konateľ je povinný vykonávať svoju funkciu lojálne podľa § 65. Nároky spoločnosti z porušenia tejto povinnosti alebo zákazu konkurencie sa spravujú § 65.“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136 dnes umožňuje zákonný zákaz konkurencie iba rozšíriť. Navrhujeme ho zosúladiť s dispozitívnou úpravou v § 65 ods. 3, aby spoločníci mohli jeho rozsah aj obmedziť alebo ho vylúčiť.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139 ods. 2</w:t>
              <w:br/>
            </w:r>
            <w:r>
              <w:rPr>
                <w:b w:val="off"/>
                <w:color w:val="000000"/>
                <w:rFonts w:ascii="Times New Roman" w:hAnsi="Times New Roman" w:cs="Times New Roman" w:eastAsia="Times New Roman"/>
                <w:sz w:val="24"/>
              </w:rPr>
              <w:t>Zásadná rpipomienka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Nezlučiteľnosť funkcií v spoločnosti s ručením obmedzeným</w:t>
              <w:br/>
            </w:r>
            <w:r>
              <w:rPr>
                <w:b w:val="off"/>
                <w:color w:val="000000"/>
                <w:rFonts w:ascii="Times New Roman" w:hAnsi="Times New Roman" w:cs="Times New Roman" w:eastAsia="Times New Roman"/>
                <w:sz w:val="24"/>
              </w:rPr>
              <w:t>V § 139 odsek 2 znie:</w:t>
              <w:br/>
            </w:r>
            <w:r>
              <w:rPr>
                <w:b w:val="off"/>
                <w:color w:val="000000"/>
                <w:rFonts w:ascii="Times New Roman" w:hAnsi="Times New Roman" w:cs="Times New Roman" w:eastAsia="Times New Roman"/>
                <w:sz w:val="24"/>
              </w:rPr>
              <w:t>„(2) Členom dozornej rady nemôže byť konateľ spoločnosti, jej prokurista ani fyzická osoba, ktorá zastupuje právnickú osobu pri výkone funkcie konateľa spoločnosti. Ustanovenie prvej vety sa vzťahuje aj na fyzickú osobu, ktorá zastupuje právnickú osobu pri výkone funkcie člena dozornej 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pri nezlučiteľnosti funkcií nezohľadňuje zastupovanie právnických osôb v orgánoch. Navrhujeme preto zákaz výslovne rozšíriť aj na fyzických zástupcov, aby tá istá osoba nemohla riadiť a zároveň kontrolovať tú istú spoločnosť prostredníctvom členstva rôznych právnických osôb v jej orgánoch.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180 ods. 5</w:t>
              <w:br/>
            </w:r>
            <w:r>
              <w:rPr>
                <w:b w:val="off"/>
                <w:color w:val="000000"/>
                <w:rFonts w:ascii="Times New Roman" w:hAnsi="Times New Roman" w:cs="Times New Roman" w:eastAsia="Times New Roman"/>
                <w:sz w:val="24"/>
              </w:rPr>
              <w:t>Poskytovanie informácií a zrušenie uznesenia</w:t>
              <w:br/>
            </w:r>
            <w:r>
              <w:rPr>
                <w:b w:val="off"/>
                <w:color w:val="000000"/>
                <w:rFonts w:ascii="Times New Roman" w:hAnsi="Times New Roman" w:cs="Times New Roman" w:eastAsia="Times New Roman"/>
                <w:sz w:val="24"/>
              </w:rPr>
              <w:t>V § 180 ods. 5 sa slová „vyhlásiť uznesenie valného zhromaždenia za neplatné“ nahrádzajú slovami „zrušiť uznesenie valného zhromaždenia“.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nadväzuje na zmeny v  § 131.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183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Prieskum uznesení valného zhromaždenia akciovej spoločnosti</w:t>
              <w:br/>
            </w:r>
            <w:r>
              <w:rPr>
                <w:b w:val="off"/>
                <w:color w:val="000000"/>
                <w:rFonts w:ascii="Times New Roman" w:hAnsi="Times New Roman" w:cs="Times New Roman" w:eastAsia="Times New Roman"/>
                <w:sz w:val="24"/>
              </w:rPr>
              <w:t>§ 183 znie:</w:t>
              <w:br/>
            </w:r>
            <w:r>
              <w:rPr>
                <w:b w:val="off"/>
                <w:color w:val="000000"/>
                <w:rFonts w:ascii="Times New Roman" w:hAnsi="Times New Roman" w:cs="Times New Roman" w:eastAsia="Times New Roman"/>
                <w:sz w:val="24"/>
              </w:rPr>
              <w:t>„§ 183</w:t>
              <w:br/>
            </w:r>
            <w:r>
              <w:rPr>
                <w:b w:val="off"/>
                <w:color w:val="000000"/>
                <w:rFonts w:ascii="Times New Roman" w:hAnsi="Times New Roman" w:cs="Times New Roman" w:eastAsia="Times New Roman"/>
                <w:sz w:val="24"/>
              </w:rPr>
              <w:t>Na zrušenie uznesenia valného zhromaždenia sa použijú obdobne ustanovenia § 131. Akcionár, ktorý sa zúčastnil valného zhromaždenia, sa môže domáhať zrušenia uznesenia podľa § 131 ods. 2, iba ak podal protest do zápisnice valného zhromaždenia.“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nadväzuje na zmeny v  § 131.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184 ods. 8 a § 184a ods. 6</w:t>
              <w:br/>
            </w:r>
            <w:r>
              <w:rPr>
                <w:b w:val="off"/>
                <w:color w:val="000000"/>
                <w:rFonts w:ascii="Times New Roman" w:hAnsi="Times New Roman" w:cs="Times New Roman" w:eastAsia="Times New Roman"/>
                <w:sz w:val="24"/>
              </w:rPr>
              <w:t>Návrhy uznesení a hlasovacie tlačivá</w:t>
              <w:br/>
            </w:r>
            <w:r>
              <w:rPr>
                <w:b w:val="off"/>
                <w:color w:val="000000"/>
                <w:rFonts w:ascii="Times New Roman" w:hAnsi="Times New Roman" w:cs="Times New Roman" w:eastAsia="Times New Roman"/>
                <w:sz w:val="24"/>
              </w:rPr>
              <w:t>V § 184 ods. 8 sa slová „na vyslovenie neplatnosti týchto uznesení“ nahrádzajú slovami „na zrušenie týchto uznesení“.</w:t>
              <w:br/>
            </w:r>
            <w:r>
              <w:rPr>
                <w:b w:val="off"/>
                <w:color w:val="000000"/>
                <w:rFonts w:ascii="Times New Roman" w:hAnsi="Times New Roman" w:cs="Times New Roman" w:eastAsia="Times New Roman"/>
                <w:sz w:val="24"/>
              </w:rPr>
              <w:t>V § 184a ods. 6 sa slová „na vyslovenie neplatnosti prijatých uznesení“ nahrádzajú slovami „na zrušenie prijatých uznesení“.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Ponechanie pojmu neplatnosti pri týchto procesných nedostatkoch by po zmene § 131 vyvolávalo neistotu o rozsahu pravidla. Navrhujeme preto použiť pojem zrušenia uznesenia, aby sa zachoval doterajší účel oboch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190c ods. 3</w:t>
              <w:br/>
            </w:r>
            <w:r>
              <w:rPr>
                <w:b w:val="off"/>
                <w:color w:val="000000"/>
                <w:rFonts w:ascii="Times New Roman" w:hAnsi="Times New Roman" w:cs="Times New Roman" w:eastAsia="Times New Roman"/>
                <w:sz w:val="24"/>
              </w:rPr>
              <w:t>Odmietnutie korešpondenčného hlasovania</w:t>
              <w:br/>
            </w:r>
            <w:r>
              <w:rPr>
                <w:b w:val="off"/>
                <w:color w:val="000000"/>
                <w:rFonts w:ascii="Times New Roman" w:hAnsi="Times New Roman" w:cs="Times New Roman" w:eastAsia="Times New Roman"/>
                <w:sz w:val="24"/>
              </w:rPr>
              <w:t>V § 190c odsek 3 znie:</w:t>
              <w:br/>
            </w:r>
            <w:r>
              <w:rPr>
                <w:b w:val="off"/>
                <w:color w:val="000000"/>
                <w:rFonts w:ascii="Times New Roman" w:hAnsi="Times New Roman" w:cs="Times New Roman" w:eastAsia="Times New Roman"/>
                <w:sz w:val="24"/>
              </w:rPr>
              <w:t>„(3) Ak spoločnosť odmietne prevziať poštovú zásielku s vyznačeným korešpondenčným hlasovaním podľa § 190b ods. 1, môže sa akcionár, ktorého zásielku spoločnosť odmietla prevziať, domáhať zrušenia uznesenia valného zhromaždenia za podmienok podľa § 131 a 183.“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napadnúť uznesenie pre neoprávnené odmietnutie korešpondenčného hlasovania treba zosúladiť s novou zrušiteľnosťou. Výslovné prepojenie s § 131 a § 183 odstráni neistotu o podmienkach uplatnenia tohto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191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Ďalšie orgány akciovej spoločnosti</w:t>
              <w:br/>
            </w:r>
            <w:r>
              <w:rPr>
                <w:b w:val="off"/>
                <w:color w:val="000000"/>
                <w:rFonts w:ascii="Times New Roman" w:hAnsi="Times New Roman" w:cs="Times New Roman" w:eastAsia="Times New Roman"/>
                <w:sz w:val="24"/>
              </w:rPr>
              <w:t>V § 191 ods. 1 druhá veta znie:</w:t>
              <w:br/>
            </w:r>
            <w:r>
              <w:rPr>
                <w:b w:val="off"/>
                <w:color w:val="000000"/>
                <w:rFonts w:ascii="Times New Roman" w:hAnsi="Times New Roman" w:cs="Times New Roman" w:eastAsia="Times New Roman"/>
                <w:sz w:val="24"/>
              </w:rPr>
              <w:t>„Predstavenstvo rozhoduje o všetkých záležitostiach spoločnosti, pokiaľ nie sú týmto zákonom alebo stanovami vyhradené do pôsobnosti valného zhromaždenia, dozornej rady alebo iného orgánu zriadeného stanovami.“.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191 ods. 1 pri vymedzení zvyškovej pôsobnosti predstavenstva nepočíta s ďalšími orgánmi zriadenými stanovami. Výslovné doplnenie odstráni pochybnosti, či im stanovy môžu zveriť rozhodovaciu pôsobnosť.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194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Právnické osoby a zodpovednosť v predstavenstve</w:t>
              <w:br/>
            </w:r>
            <w:r>
              <w:rPr>
                <w:b w:val="off"/>
                <w:color w:val="000000"/>
                <w:rFonts w:ascii="Times New Roman" w:hAnsi="Times New Roman" w:cs="Times New Roman" w:eastAsia="Times New Roman"/>
                <w:sz w:val="24"/>
              </w:rPr>
              <w:t>V § 194 ods. 2 sa vypúšťa posledná veta.</w:t>
              <w:br/>
            </w:r>
            <w:r>
              <w:rPr>
                <w:b w:val="off"/>
                <w:color w:val="000000"/>
                <w:rFonts w:ascii="Times New Roman" w:hAnsi="Times New Roman" w:cs="Times New Roman" w:eastAsia="Times New Roman"/>
                <w:sz w:val="24"/>
              </w:rPr>
              <w:t>V § 194 odsek 5 znie:</w:t>
              <w:br/>
            </w:r>
            <w:r>
              <w:rPr>
                <w:b w:val="off"/>
                <w:color w:val="000000"/>
                <w:rFonts w:ascii="Times New Roman" w:hAnsi="Times New Roman" w:cs="Times New Roman" w:eastAsia="Times New Roman"/>
                <w:sz w:val="24"/>
              </w:rPr>
              <w:t>„(5) Členovia predstavenstva sú povinní vykonávať svoju pôsobnosť s náležitou starostlivosťou podľa § 66d a lojálne podľa § 65.“</w:t>
              <w:br/>
            </w:r>
            <w:r>
              <w:rPr>
                <w:b w:val="off"/>
                <w:color w:val="000000"/>
                <w:rFonts w:ascii="Times New Roman" w:hAnsi="Times New Roman" w:cs="Times New Roman" w:eastAsia="Times New Roman"/>
                <w:sz w:val="24"/>
              </w:rPr>
              <w:t>V § 194 ods. 6 sa prvá veta nahrádza vetou „Členovia predstavenstva zodpovedajú spoločnosti za škodu podľa § 66d.“.</w:t>
              <w:br/>
            </w:r>
            <w:r>
              <w:rPr>
                <w:b w:val="off"/>
                <w:color w:val="000000"/>
                <w:rFonts w:ascii="Times New Roman" w:hAnsi="Times New Roman" w:cs="Times New Roman" w:eastAsia="Times New Roman"/>
                <w:sz w:val="24"/>
              </w:rPr>
              <w:t>V § 194 odseky 7 a 8 znejú:</w:t>
              <w:br/>
            </w:r>
            <w:r>
              <w:rPr>
                <w:b w:val="off"/>
                <w:color w:val="000000"/>
                <w:rFonts w:ascii="Times New Roman" w:hAnsi="Times New Roman" w:cs="Times New Roman" w:eastAsia="Times New Roman"/>
                <w:sz w:val="24"/>
              </w:rPr>
              <w:t>„(7) Na zbavenie sa zodpovednosti člena predstavenstva za škodu sa vzťahuje § 66d.</w:t>
              <w:br/>
            </w:r>
            <w:r>
              <w:rPr>
                <w:b w:val="off"/>
                <w:color w:val="000000"/>
                <w:rFonts w:ascii="Times New Roman" w:hAnsi="Times New Roman" w:cs="Times New Roman" w:eastAsia="Times New Roman"/>
                <w:sz w:val="24"/>
              </w:rPr>
              <w:t>(8) Na dohody o vylúčení alebo obmedzení zodpovednosti za škodu, vzdanie sa práva na náhradu škody a dohodu o urovnaní sa vzťahuje § 66e.“</w:t>
              <w:br/>
            </w:r>
            <w:r>
              <w:rPr>
                <w:b w:val="off"/>
                <w:color w:val="000000"/>
                <w:rFonts w:ascii="Times New Roman" w:hAnsi="Times New Roman" w:cs="Times New Roman" w:eastAsia="Times New Roman"/>
                <w:sz w:val="24"/>
              </w:rPr>
              <w:t>V § 194 ods. 9 sa tretia veta nahrádza vetou „Práva veriteľov podľa prvej vety nie sú dotknuté súhlasom, schválením ani dohodou podľa § 66d a 66e.“.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Ponechaná požiadavka fyzickej osoby by bránila použitiu § 221 OZ na členov predstavenstva. Osobitné pravidlá starostlivosti a zodpovednosti v § 194 by zároveň vytvárali nejasný súbeh s novou spoločnou úpravou. Navrhujeme preto odstrániť obe prekážky a zosúladiť postavenie členov predstavenstva s § 66d a 66e.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196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konkurencie člena predstavenstva</w:t>
              <w:br/>
            </w:r>
            <w:r>
              <w:rPr>
                <w:b w:val="off"/>
                <w:color w:val="000000"/>
                <w:rFonts w:ascii="Times New Roman" w:hAnsi="Times New Roman" w:cs="Times New Roman" w:eastAsia="Times New Roman"/>
                <w:sz w:val="24"/>
              </w:rPr>
              <w:t>V § 196 ods. 1 sa slová „Pokiaľ zo stanov nevyplývajú ďalšie obmedzenia“ nahrádzajú slovami „Ak stanovy neurčujú inak“.</w:t>
              <w:br/>
            </w:r>
            <w:r>
              <w:rPr>
                <w:b w:val="off"/>
                <w:color w:val="000000"/>
                <w:rFonts w:ascii="Times New Roman" w:hAnsi="Times New Roman" w:cs="Times New Roman" w:eastAsia="Times New Roman"/>
                <w:sz w:val="24"/>
              </w:rPr>
              <w:t>V § 196 sa nadpis nahrádza nadpisom „Lojalita a zákaz konkurencie“ a odsek 2 znie:</w:t>
              <w:br/>
            </w:r>
            <w:r>
              <w:rPr>
                <w:b w:val="off"/>
                <w:color w:val="000000"/>
                <w:rFonts w:ascii="Times New Roman" w:hAnsi="Times New Roman" w:cs="Times New Roman" w:eastAsia="Times New Roman"/>
                <w:sz w:val="24"/>
              </w:rPr>
              <w:t>„(2) Člen predstavenstva je povinný vykonávať svoju funkciu lojálne podľa § 65. Nároky spoločnosti z porušenia tejto povinnosti alebo zákazu konkurencie sa spravujú § 65.“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196 dnes umožňuje zákonný zákaz konkurencie iba rozšíriť. Navrhujeme ho zosúladiť s § 65 ods. 3, aby o jeho rozsahu mohli akcionári rozhodnúť aj obmedzením alebo vylúčením zákazu.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200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osoba v dozornej rade</w:t>
              <w:br/>
            </w:r>
            <w:r>
              <w:rPr>
                <w:b w:val="off"/>
                <w:color w:val="000000"/>
                <w:rFonts w:ascii="Times New Roman" w:hAnsi="Times New Roman" w:cs="Times New Roman" w:eastAsia="Times New Roman"/>
                <w:sz w:val="24"/>
              </w:rPr>
              <w:t>V § 200 odsek 4 znie:</w:t>
              <w:br/>
            </w:r>
            <w:r>
              <w:rPr>
                <w:b w:val="off"/>
                <w:color w:val="000000"/>
                <w:rFonts w:ascii="Times New Roman" w:hAnsi="Times New Roman" w:cs="Times New Roman" w:eastAsia="Times New Roman"/>
                <w:sz w:val="24"/>
              </w:rPr>
              <w:t>„(4) Člen dozornej rady nesmie byť zároveň členom predstavenstva, prokuristom, osobou oprávnenou podľa zápisu v obchodnom registri konať v mene spoločnosti ani fyzickou osobou, ktorá zastupuje právnickú osobu pri výkone funkcie člena predstavenstva. Ustanovenie prvej vety sa vzťahuje aj na fyzickú osobu, ktorá zastupuje právnickú osobu pri výkone funkcie člena dozornej rady. Členom dozornej rady voleným zamestnancami môže byť len fyzická osoba, ktorá je v pracovnom pomere so spoločnosťou. Podmienka pracovného pomeru sa nevyžaduje, ak osobitné predpisy vyžadujú osobitné predpoklady na výkon funkcie člena dozornej 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fyzickej osoby v § 200 bráni použitiu § 221 OZ na členov dozornej rady volených valným zhromaždením; navrhujeme ju preto vypustiť. Pri členoch volených zamestnancami má funkciu vykonávať priamo zvolená fyzická osoba. Súčasne treba zákaz nezlučiteľnosti rozšíriť na fyzických zástupcov, aby sa nedal obísť členstvom rôznych právnických osôb v riadiacom a dozornom orgáne.</w:t>
              <w:br/>
            </w:r>
            <w:r>
              <w:rPr>
                <w:b w:val="off"/>
                <w:color w:val="000000"/>
                <w:rFonts w:ascii="Times New Roman" w:hAnsi="Times New Roman" w:cs="Times New Roman" w:eastAsia="Times New Roman"/>
                <w:sz w:val="24"/>
              </w:rPr>
              <w:t>Poznámka k súvisiacej úprave: Umožnenie členstva právnickej osoby v dozornej rade si vyžaduje rozšíriť § 24 ods. 1 zákona č. 29/2026 Z. z. o obchodnom registri aj na právnickú osobu v postavení člena dozorného orgánu, vrátane dátumu vzniku a skončenia jej funkcie. Údaje o jej fyzickom zástupcovi treba zodpovedajúco upraviť v § 23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220zd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Informačný režim jednoduchej spoločnosti na akcie</w:t>
              <w:br/>
            </w:r>
            <w:r>
              <w:rPr>
                <w:b w:val="off"/>
                <w:color w:val="000000"/>
                <w:rFonts w:ascii="Times New Roman" w:hAnsi="Times New Roman" w:cs="Times New Roman" w:eastAsia="Times New Roman"/>
                <w:sz w:val="24"/>
              </w:rPr>
              <w:t>Doterajší text § 220zd sa označuje ako odsek 1 a dopĺňa sa odsekom 2, ktorý znie:</w:t>
              <w:br/>
            </w:r>
            <w:r>
              <w:rPr>
                <w:b w:val="off"/>
                <w:color w:val="000000"/>
                <w:rFonts w:ascii="Times New Roman" w:hAnsi="Times New Roman" w:cs="Times New Roman" w:eastAsia="Times New Roman"/>
                <w:sz w:val="24"/>
              </w:rPr>
              <w:t>„(2) Splnením informačnej povinnosti podľa odseku 1 nie je dotknutá povinnosť člena predstavenstva vykonávať svoju funkciu lojálne podľa § 65.“.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Informačnú povinnosť pri konkurenčnej činnosti treba zosúladiť s povinnosťou lojality. Výslovné doplnenie odstráni pochybnosť, či samotné oznámenie takej činnosti zbavuje člena predstavenstva tejto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231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Preskúmanie vylúčenia člena družstva</w:t>
              <w:br/>
            </w:r>
            <w:r>
              <w:rPr>
                <w:b w:val="off"/>
                <w:color w:val="000000"/>
                <w:rFonts w:ascii="Times New Roman" w:hAnsi="Times New Roman" w:cs="Times New Roman" w:eastAsia="Times New Roman"/>
                <w:sz w:val="24"/>
              </w:rPr>
              <w:t>V § 231 odsek 4 znie:</w:t>
              <w:br/>
            </w:r>
            <w:r>
              <w:rPr>
                <w:b w:val="off"/>
                <w:color w:val="000000"/>
                <w:rFonts w:ascii="Times New Roman" w:hAnsi="Times New Roman" w:cs="Times New Roman" w:eastAsia="Times New Roman"/>
                <w:sz w:val="24"/>
              </w:rPr>
              <w:t>„(4) Súd na návrh člena, ktorého sa rozhodnutie týka, zruší rozhodnutie členskej schôdze o vylúčení za podmienok podľa § 242.“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Preskúmanie vylúčenia člena navrhujeme terminologicky zosúladiť so súdnym zrušením uznesenia podľa § 242 a rozšíriť o súvisiace ochranné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238 ods. 1 a 2 a § 246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osoba v orgánoch družstva</w:t>
              <w:br/>
            </w:r>
            <w:r>
              <w:rPr>
                <w:b w:val="off"/>
                <w:color w:val="000000"/>
                <w:rFonts w:ascii="Times New Roman" w:hAnsi="Times New Roman" w:cs="Times New Roman" w:eastAsia="Times New Roman"/>
                <w:sz w:val="24"/>
              </w:rPr>
              <w:t>V § 238 odseky 1 a 2 znejú:</w:t>
              <w:br/>
            </w:r>
            <w:r>
              <w:rPr>
                <w:b w:val="off"/>
                <w:color w:val="000000"/>
                <w:rFonts w:ascii="Times New Roman" w:hAnsi="Times New Roman" w:cs="Times New Roman" w:eastAsia="Times New Roman"/>
                <w:sz w:val="24"/>
              </w:rPr>
              <w:t>„(1) Do orgánov družstva môžu byť volení len členovia družstva. Ak je členom orgánu fyzická osoba, musí byť staršia ako 18 rokov.</w:t>
              <w:br/>
            </w:r>
            <w:r>
              <w:rPr>
                <w:b w:val="off"/>
                <w:color w:val="000000"/>
                <w:rFonts w:ascii="Times New Roman" w:hAnsi="Times New Roman" w:cs="Times New Roman" w:eastAsia="Times New Roman"/>
                <w:sz w:val="24"/>
              </w:rPr>
              <w:t>(2) Právnickú osobu, ktorá je členom orgánu družstva, zastupuje pri výkone funkcie fyzická osoba podľa § 221 Občianskeho zákonníka. Podmienka členstva v družstve podľa odseku 1 sa na túto fyzickú osobu nevzťahuje. Pri právnych úkonoch družstva voči tretím osobám sa § 66 ods. 12 použije primerane.“.</w:t>
              <w:br/>
            </w:r>
            <w:r>
              <w:rPr>
                <w:b w:val="off"/>
                <w:color w:val="000000"/>
                <w:rFonts w:ascii="Times New Roman" w:hAnsi="Times New Roman" w:cs="Times New Roman" w:eastAsia="Times New Roman"/>
                <w:sz w:val="24"/>
              </w:rPr>
              <w:t>V § 246 sa vypúšťa odsek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Doterajší model voleného fyzického zástupcu a ručenia právnickej osoby nie je zosúladený s § 221 OZ. Navrhujeme preto aj pri družstve upraviť členstvo samotnej právnickej osoby so spoločnou a nerozdielnou zodpovednosťou jej fyzického zástupcu; tento zástupca nemusí byť členom družstva.</w:t>
              <w:br/>
            </w:r>
            <w:r>
              <w:rPr>
                <w:b w:val="off"/>
                <w:color w:val="000000"/>
                <w:rFonts w:ascii="Times New Roman" w:hAnsi="Times New Roman" w:cs="Times New Roman" w:eastAsia="Times New Roman"/>
                <w:sz w:val="24"/>
              </w:rPr>
              <w:t>Pri právnych úkonoch družstva navrhujeme umožniť právnickej osobe, ktorá je štatutárnym orgánom družstva rovnaké zastupovanie prostredníctvom vlastných štatutárov ako pri obchodných spoločnostiach.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238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Zastúpený člen pri hlasovaní v orgáne družstva</w:t>
              <w:br/>
            </w:r>
            <w:r>
              <w:rPr>
                <w:b w:val="off"/>
                <w:color w:val="000000"/>
                <w:rFonts w:ascii="Times New Roman" w:hAnsi="Times New Roman" w:cs="Times New Roman" w:eastAsia="Times New Roman"/>
                <w:sz w:val="24"/>
              </w:rPr>
              <w:t>V § 238 ods. 3 sa za prvú vetu vkladá nová druhá veta, ktorá znie:</w:t>
              <w:br/>
            </w:r>
            <w:r>
              <w:rPr>
                <w:b w:val="off"/>
                <w:color w:val="000000"/>
                <w:rFonts w:ascii="Times New Roman" w:hAnsi="Times New Roman" w:cs="Times New Roman" w:eastAsia="Times New Roman"/>
                <w:sz w:val="24"/>
              </w:rPr>
              <w:t>„Na účely tohto odseku sa za prítomného člena predstavenstva alebo kontrolnej komisie považuje aj člen, ktorý je pri hlasovaní zastúpený iným členom toho istého orgánu podľa § 223 ods. 2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prítomnosti podľa § 238 ods. 3 treba zosúladiť so zastúpením pri hlasovaní podľa § 223 ods. 2 OZ. Navrhujeme výslovne započítať zastúpeného člena medzi prítomných, aby nebolo sporné určenie uznášaniaschopnosti a potrebnej väčšiny.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uznesení členskej schôdze</w:t>
              <w:br/>
            </w:r>
            <w:r>
              <w:rPr>
                <w:b w:val="off"/>
                <w:color w:val="000000"/>
                <w:rFonts w:ascii="Times New Roman" w:hAnsi="Times New Roman" w:cs="Times New Roman" w:eastAsia="Times New Roman"/>
                <w:sz w:val="24"/>
              </w:rPr>
              <w:t>§ 242 vrátane nadpisu znie:</w:t>
              <w:br/>
            </w:r>
            <w:r>
              <w:rPr>
                <w:b w:val="off"/>
                <w:color w:val="000000"/>
                <w:rFonts w:ascii="Times New Roman" w:hAnsi="Times New Roman" w:cs="Times New Roman" w:eastAsia="Times New Roman"/>
                <w:sz w:val="24"/>
              </w:rPr>
              <w:t>„§ 242</w:t>
              <w:br/>
            </w:r>
            <w:r>
              <w:rPr>
                <w:b w:val="off"/>
                <w:color w:val="000000"/>
                <w:rFonts w:ascii="Times New Roman" w:hAnsi="Times New Roman" w:cs="Times New Roman" w:eastAsia="Times New Roman"/>
                <w:sz w:val="24"/>
              </w:rPr>
              <w:t>Zrušenie uznesenia členskej schôdze</w:t>
              <w:br/>
            </w:r>
            <w:r>
              <w:rPr>
                <w:b w:val="off"/>
                <w:color w:val="000000"/>
                <w:rFonts w:ascii="Times New Roman" w:hAnsi="Times New Roman" w:cs="Times New Roman" w:eastAsia="Times New Roman"/>
                <w:sz w:val="24"/>
              </w:rPr>
              <w:t>„(1) Na návrh člena súd zruší uznesenie členskej schôdze, pokiaľ uznesenie je v rozpore s právnymi predpismi alebo stanovami družstva. Žalobu o zrušenie uznesenia členskej schôdze môže člen podať, ak požiadal o zaprotokolovanie námietky na členskej schôdzi, ktorá uznesenie prijala, alebo ak námietku oznámil predstavenstvu do jedného mesiaca od konania tejto schôdze. Právo domáhať sa zrušenia uznesenia zanikne, ak ho člen neuplatní do jedného mesiaca odo dňa, keď požiadal o zaprotokolovanie námietky, alebo od oznámenia námietky predstavenstvu.</w:t>
              <w:br/>
            </w:r>
            <w:r>
              <w:rPr>
                <w:b w:val="off"/>
                <w:color w:val="000000"/>
                <w:rFonts w:ascii="Times New Roman" w:hAnsi="Times New Roman" w:cs="Times New Roman" w:eastAsia="Times New Roman"/>
                <w:sz w:val="24"/>
              </w:rPr>
              <w:t>(2) Súd uznesenie členskej schôdze nezruší, ak porušenie podľa odseku 1</w:t>
              <w:br/>
            </w:r>
            <w:r>
              <w:rPr>
                <w:b w:val="off"/>
                <w:color w:val="000000"/>
                <w:rFonts w:ascii="Times New Roman" w:hAnsi="Times New Roman" w:cs="Times New Roman" w:eastAsia="Times New Roman"/>
                <w:sz w:val="24"/>
              </w:rPr>
              <w:t>a) nemohlo mať vplyv na jeho prijatie ani obsah alebo</w:t>
              <w:br/>
            </w:r>
            <w:r>
              <w:rPr>
                <w:b w:val="off"/>
                <w:color w:val="000000"/>
                <w:rFonts w:ascii="Times New Roman" w:hAnsi="Times New Roman" w:cs="Times New Roman" w:eastAsia="Times New Roman"/>
                <w:sz w:val="24"/>
              </w:rPr>
              <w:t>b) nemalo závažné následky a ochrany hodný záujem vyžaduje, aby uznesenie zostalo zachované.</w:t>
              <w:br/>
            </w:r>
            <w:r>
              <w:rPr>
                <w:b w:val="off"/>
                <w:color w:val="000000"/>
                <w:rFonts w:ascii="Times New Roman" w:hAnsi="Times New Roman" w:cs="Times New Roman" w:eastAsia="Times New Roman"/>
                <w:sz w:val="24"/>
              </w:rPr>
              <w:t>(3) Na zastupovanie družstva v konaní o žalobe podľa odseku 1, informovanie o podanej žalobe, záväznosť rozsudku, účinky zrušenia uznesenia a náhradu nemajetkovej škody sa § 131 ods. 5 až 9 použijú primerane.“.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Zmeny sledujú rovnaký cieľ ako zmeny v  § 131.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243 ods. 1 a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a splnomocnenie v predstavenstve družstva</w:t>
              <w:br/>
            </w:r>
            <w:r>
              <w:rPr>
                <w:b w:val="off"/>
                <w:color w:val="000000"/>
                <w:rFonts w:ascii="Times New Roman" w:hAnsi="Times New Roman" w:cs="Times New Roman" w:eastAsia="Times New Roman"/>
                <w:sz w:val="24"/>
              </w:rPr>
              <w:t>V § 243 ods. 1 sa na konci pripájajú tieto vety:</w:t>
              <w:br/>
            </w:r>
            <w:r>
              <w:rPr>
                <w:b w:val="off"/>
                <w:color w:val="000000"/>
                <w:rFonts w:ascii="Times New Roman" w:hAnsi="Times New Roman" w:cs="Times New Roman" w:eastAsia="Times New Roman"/>
                <w:sz w:val="24"/>
              </w:rPr>
              <w:t>„Predstavenstvo môže rozhodnúť o deľbe rozhodovacej pôsobnosti medzi svojich členov. O záležitostiach zverených jednotlivému členovi alebo viacerým členom rozhoduje tento člen alebo nadpolovičná väčšina členov, ktorým bola príslušná rozhodovacia pôsobnosť zverená, ak zákon alebo stanovy nevyžadujú vyšší počet hlasov.“.</w:t>
              <w:br/>
            </w:r>
            <w:r>
              <w:rPr>
                <w:b w:val="off"/>
                <w:color w:val="000000"/>
                <w:rFonts w:ascii="Times New Roman" w:hAnsi="Times New Roman" w:cs="Times New Roman" w:eastAsia="Times New Roman"/>
                <w:sz w:val="24"/>
              </w:rPr>
              <w:t>V § 243 ods. 3 sa na konci pripája táto veta:</w:t>
              <w:br/>
            </w:r>
            <w:r>
              <w:rPr>
                <w:b w:val="off"/>
                <w:color w:val="000000"/>
                <w:rFonts w:ascii="Times New Roman" w:hAnsi="Times New Roman" w:cs="Times New Roman" w:eastAsia="Times New Roman"/>
                <w:sz w:val="24"/>
              </w:rPr>
              <w:t>„To neplatí, ak za družstvo koná člen predstavenstva splnomocnený podľa § 223 ods. 3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Vlastné pravidlá kolektívneho rozhodovania družstva treba zosúladiť s deľbou pôsobnosti podľa § 247 ods. 3 OZ. Navrhujeme preto výslovne upraviť rozhodovanie po jej rozdelení, aby sa táto možnosť dala jednoznačne využiť aj v družstve.</w:t>
              <w:br/>
            </w:r>
            <w:r>
              <w:rPr>
                <w:b w:val="off"/>
                <w:color w:val="000000"/>
                <w:rFonts w:ascii="Times New Roman" w:hAnsi="Times New Roman" w:cs="Times New Roman" w:eastAsia="Times New Roman"/>
                <w:sz w:val="24"/>
              </w:rPr>
              <w:t>Požiadavka dvoch podpisov v § 243 ods. 3 môže vyvolávať pochybnosti o použití splnomocnenia podľa § 223 ods. 3 OZ. Výslovná výnimka ich odstráni pri splnomocnení na jednotlivý právny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243a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a zodpovednosť členov orgánov družstva</w:t>
              <w:br/>
            </w:r>
            <w:r>
              <w:rPr>
                <w:b w:val="off"/>
                <w:color w:val="000000"/>
                <w:rFonts w:ascii="Times New Roman" w:hAnsi="Times New Roman" w:cs="Times New Roman" w:eastAsia="Times New Roman"/>
                <w:sz w:val="24"/>
              </w:rPr>
              <w:t>V § 243a odseky 1 až 3 znejú:</w:t>
              <w:br/>
            </w:r>
            <w:r>
              <w:rPr>
                <w:b w:val="off"/>
                <w:color w:val="000000"/>
                <w:rFonts w:ascii="Times New Roman" w:hAnsi="Times New Roman" w:cs="Times New Roman" w:eastAsia="Times New Roman"/>
                <w:sz w:val="24"/>
              </w:rPr>
              <w:t>„(1) Členovia predstavenstva sú povinní vykonávať svoju funkciu s náležitou starostlivosťou podľa § 66d a lojálne podľa § 65.</w:t>
              <w:br/>
            </w:r>
            <w:r>
              <w:rPr>
                <w:b w:val="off"/>
                <w:color w:val="000000"/>
                <w:rFonts w:ascii="Times New Roman" w:hAnsi="Times New Roman" w:cs="Times New Roman" w:eastAsia="Times New Roman"/>
                <w:sz w:val="24"/>
              </w:rPr>
              <w:t>(2) Na zodpovednosť členov predstavenstva za škodu a na zbavenie sa tejto zodpovednosti sa použije § 66d primerane. O udelení predchádzajúceho súhlasu a o dodatočnom schválení podľa § 66d ods. 3 a 4 rozhoduje členská schôdza.</w:t>
              <w:br/>
            </w:r>
            <w:r>
              <w:rPr>
                <w:b w:val="off"/>
                <w:color w:val="000000"/>
                <w:rFonts w:ascii="Times New Roman" w:hAnsi="Times New Roman" w:cs="Times New Roman" w:eastAsia="Times New Roman"/>
                <w:sz w:val="24"/>
              </w:rPr>
              <w:t>(3) Na dohody o vylúčení alebo obmedzení zodpovednosti za škodu, vzdanie sa práva na náhradu škody a dohodu o urovnaní sa použije § 66e primerane. Dohody a vzdanie sa práva podľa prvej vety schvaľuje členská schôdza.“.</w:t>
              <w:br/>
            </w:r>
            <w:r>
              <w:rPr>
                <w:b w:val="off"/>
                <w:color w:val="000000"/>
                <w:rFonts w:ascii="Times New Roman" w:hAnsi="Times New Roman" w:cs="Times New Roman" w:eastAsia="Times New Roman"/>
                <w:sz w:val="24"/>
              </w:rPr>
              <w:t>V § 243a ods. 4 sa druhá a tretia veta nahrádzajú vetami „Ustanovenia odsekov 1 až 3 sa použijú primerane. Práva veriteľov podľa prvej vety nie sú dotknuté súhlasom, schválením ani dohodou podľa § 66d a 66e.“</w:t>
              <w:br/>
            </w:r>
            <w:r>
              <w:rPr>
                <w:b w:val="off"/>
                <w:color w:val="000000"/>
                <w:rFonts w:ascii="Times New Roman" w:hAnsi="Times New Roman" w:cs="Times New Roman" w:eastAsia="Times New Roman"/>
                <w:sz w:val="24"/>
              </w:rPr>
              <w:t>§ 243a sa dopĺňa odsekom 5, ktorý znie:</w:t>
              <w:br/>
            </w:r>
            <w:r>
              <w:rPr>
                <w:b w:val="off"/>
                <w:color w:val="000000"/>
                <w:rFonts w:ascii="Times New Roman" w:hAnsi="Times New Roman" w:cs="Times New Roman" w:eastAsia="Times New Roman"/>
                <w:sz w:val="24"/>
              </w:rPr>
              <w:t>„(5) Na dodatočné schválenie podľa odseku 2 a na schvaľovanie dohôd a vzdania sa práva podľa odseku 3 sa § 66d ods. 6 a 7 použijú primerane. Protest môže uplatniť člen alebo členovia družstva, ktorí majú aspoň 10 % všetkých hlasov. Pri rozhodovaní zhromaždenia delegátov môže protest uplatniť delegát alebo delegáti, ktorí majú aspoň 10 % všetkých hlasov delegátov.“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Sprievodná novela v § 243a mení iba terminológiu, ponecháva však odlišný štandard starostlivosti, liberačné dôvody a zákaz dohôd o zodpovednosti. Navrhujeme preto toto ustanovenie zosúladiť s § 65, § 66d a 66e, aby aj v družstvách odpadol nejasný súbeh ObZ s novým OZ. Menšinový protest podľa hlasovacích práv má zabrániť schvaľovaniu na úkor družstva a jeho menšinových členov.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Štatutárny orgán družstva s menej ako piatimi členmi</w:t>
              <w:br/>
            </w:r>
            <w:r>
              <w:rPr>
                <w:b w:val="off"/>
                <w:color w:val="000000"/>
                <w:rFonts w:ascii="Times New Roman" w:hAnsi="Times New Roman" w:cs="Times New Roman" w:eastAsia="Times New Roman"/>
                <w:sz w:val="24"/>
              </w:rPr>
              <w:t>V § 245 ods. 3 sa na konci pripája táto veta:</w:t>
              <w:br/>
            </w:r>
            <w:r>
              <w:rPr>
                <w:b w:val="off"/>
                <w:color w:val="000000"/>
                <w:rFonts w:ascii="Times New Roman" w:hAnsi="Times New Roman" w:cs="Times New Roman" w:eastAsia="Times New Roman"/>
                <w:sz w:val="24"/>
              </w:rPr>
              <w:t>„Ustanovenia § 243a sa použijú primerane.“.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245 ods. 3 umožňuje stanovami určiť osobitný štatutárny orgán, ale na rozdiel od odseku 2 neodkazuje na § 243a. Navrhujeme preto tento odkaz doplniť, aby sa aj na takýto orgán jednoznačne vzťahovali rovnaké pravidlá starostlivosti, zodpovednosti, schvaľovania a ochrany menšiny.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Nezlučiteľnosť funkcií v družstve</w:t>
              <w:br/>
            </w:r>
            <w:r>
              <w:rPr>
                <w:b w:val="off"/>
                <w:color w:val="000000"/>
                <w:rFonts w:ascii="Times New Roman" w:hAnsi="Times New Roman" w:cs="Times New Roman" w:eastAsia="Times New Roman"/>
                <w:sz w:val="24"/>
              </w:rPr>
              <w:t>V § 247 odsek 1 znie:</w:t>
              <w:br/>
            </w:r>
            <w:r>
              <w:rPr>
                <w:b w:val="off"/>
                <w:color w:val="000000"/>
                <w:rFonts w:ascii="Times New Roman" w:hAnsi="Times New Roman" w:cs="Times New Roman" w:eastAsia="Times New Roman"/>
                <w:sz w:val="24"/>
              </w:rPr>
              <w:t>„(1) Členom kontrolnej komisie nemôže byť člen predstavenstva ani fyzická osoba, ktorá zastupuje právnickú osobu pri výkone funkcie člena predstavenstva. Ustanovenie prvej vety sa vzťahuje aj na fyzickú osobu, ktorá zastupuje právnickú osobu pri výkone funkcie člena kontrolnej komisie.“.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 zavedení členstva právnických osôb by sa zákaz súbehu funkcií mohol obísť zastupovaním rôznych právnických osôb tou istou fyzickou osobou. Navrhujeme preto výslovne zahrnúť aj fyzických zástupcov, rovnako ako pri obchodných spoločnostiach.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248 ods. 1, 2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Vzdanie sa funkcie v družstve</w:t>
              <w:br/>
            </w:r>
            <w:r>
              <w:rPr>
                <w:b w:val="off"/>
                <w:color w:val="000000"/>
                <w:rFonts w:ascii="Times New Roman" w:hAnsi="Times New Roman" w:cs="Times New Roman" w:eastAsia="Times New Roman"/>
                <w:sz w:val="24"/>
              </w:rPr>
              <w:t>V § 248 odseky 1 a 2 znejú:</w:t>
              <w:br/>
            </w:r>
            <w:r>
              <w:rPr>
                <w:b w:val="off"/>
                <w:color w:val="000000"/>
                <w:rFonts w:ascii="Times New Roman" w:hAnsi="Times New Roman" w:cs="Times New Roman" w:eastAsia="Times New Roman"/>
                <w:sz w:val="24"/>
              </w:rPr>
              <w:t>„(1) Ak zákon neustanovuje alebo stanovy neurčujú inak, vzdanie sa funkcie člena orgánu družstva je účinné pätnástym dňom odo dňa jeho dôjdenia družstvu, ak nie je vo vzdaní sa funkcie určený neskorší deň.</w:t>
              <w:br/>
            </w:r>
            <w:r>
              <w:rPr>
                <w:b w:val="off"/>
                <w:color w:val="000000"/>
                <w:rFonts w:ascii="Times New Roman" w:hAnsi="Times New Roman" w:cs="Times New Roman" w:eastAsia="Times New Roman"/>
                <w:sz w:val="24"/>
              </w:rPr>
              <w:t>(2) Ak stanovy určujú, že sa volia náhradníci členov orgánov družstva, nastupuje namiesto člena, ktorý sa vzdal funkcie, dňom účinnosti vzdania sa funkcie náhradník podľa určeného poradia.“.</w:t>
              <w:br/>
            </w:r>
            <w:r>
              <w:rPr>
                <w:b w:val="off"/>
                <w:color w:val="000000"/>
                <w:rFonts w:ascii="Times New Roman" w:hAnsi="Times New Roman" w:cs="Times New Roman" w:eastAsia="Times New Roman"/>
                <w:sz w:val="24"/>
              </w:rPr>
              <w:t>V § 248 odsek 4 znie:</w:t>
              <w:br/>
            </w:r>
            <w:r>
              <w:rPr>
                <w:b w:val="off"/>
                <w:color w:val="000000"/>
                <w:rFonts w:ascii="Times New Roman" w:hAnsi="Times New Roman" w:cs="Times New Roman" w:eastAsia="Times New Roman"/>
                <w:sz w:val="24"/>
              </w:rPr>
              <w:t>„(4) Ustanovenia odsekov 2 a 3 platia aj v prípade, že členstvo v orgáne zanikne smrťou člena orgánu alebo zánikom právnickej osoby, ktorá je členom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Ponechaný § 248 ods. 1 by ako osobitná úprava bránil použitiu nového pravidla účinnosti vzdania sa funkcie. Navrhujeme preto rovnaké pätnásťdňové pravidlo ako pri spoločnostiach. Nadväzujúca úprava umožní použiť pravidlá o náhradníkoch aj pri zániku právnickej osoby vo funkcii.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259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Preskúmanie rozdelenia likvidačného zostatku družstva</w:t>
              <w:br/>
            </w:r>
            <w:r>
              <w:rPr>
                <w:b w:val="off"/>
                <w:color w:val="000000"/>
                <w:rFonts w:ascii="Times New Roman" w:hAnsi="Times New Roman" w:cs="Times New Roman" w:eastAsia="Times New Roman"/>
                <w:sz w:val="24"/>
              </w:rPr>
              <w:t>V § 259 ods. 4 sa slová „vyhlásil uznesenie členskej schôdze o rozdelení likvidačného zostatku za neplatné“ nahrádzajú slovami „zrušil uznesenie členskej schôdze o rozdelení likvidačného zostatku“ a na konci sa pripája táto veta:</w:t>
              <w:br/>
            </w:r>
            <w:r>
              <w:rPr>
                <w:b w:val="off"/>
                <w:color w:val="000000"/>
                <w:rFonts w:ascii="Times New Roman" w:hAnsi="Times New Roman" w:cs="Times New Roman" w:eastAsia="Times New Roman"/>
                <w:sz w:val="24"/>
              </w:rPr>
              <w:t>„Ustanovenia § 242 sa použijú primerane.“.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Osobitný prieskum rozdelenia likvidačného zostatku navrhujeme terminologicky zosúladiť so zrušením uznesenia podľa § 242 a doplniť zodpovedajúce ochranné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768v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 na nový režim</w:t>
              <w:br/>
            </w:r>
            <w:r>
              <w:rPr>
                <w:b w:val="off"/>
                <w:color w:val="000000"/>
                <w:rFonts w:ascii="Times New Roman" w:hAnsi="Times New Roman" w:cs="Times New Roman" w:eastAsia="Times New Roman"/>
                <w:sz w:val="24"/>
              </w:rPr>
              <w:t>Za § 768u sa vkladá § 768v, ktorý vrátane nadpisu znie:</w:t>
              <w:br/>
            </w:r>
            <w:r>
              <w:rPr>
                <w:b w:val="off"/>
                <w:color w:val="000000"/>
                <w:rFonts w:ascii="Times New Roman" w:hAnsi="Times New Roman" w:cs="Times New Roman" w:eastAsia="Times New Roman"/>
                <w:sz w:val="24"/>
              </w:rPr>
              <w:t>„§ 768v</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(1) Vnútorné pomery obchodných spoločností a družstiev založených pred 1. júlom 2027 sa od 1. júla 2027 spravujú týmto zákonom v znení účinnom od 1. júla 2027. Porušenie povinností, ku ktorému došlo pred 1. júlom 2027, sa posudzuje podľa predpisov účinných do 30. júna 2027. Podľa týchto predpisov sa posudzujú aj práva a povinnosti vzniknuté pred 1. júlom 2027 vrátane premlčania a zániku práv.</w:t>
              <w:br/>
            </w:r>
            <w:r>
              <w:rPr>
                <w:b w:val="off"/>
                <w:color w:val="000000"/>
                <w:rFonts w:ascii="Times New Roman" w:hAnsi="Times New Roman" w:cs="Times New Roman" w:eastAsia="Times New Roman"/>
                <w:sz w:val="24"/>
              </w:rPr>
              <w:t>(2) Na preskúmanie rozhodnutí orgánov spoločnosti alebo družstva prijatých pred 1. júlom 2027 a na účinky vzdania sa funkcie, ktoré došlo spoločnosti alebo družstvu pred týmto dňom, sa použijú predpisy účinné do 30. júna 2027.</w:t>
              <w:br/>
            </w:r>
            <w:r>
              <w:rPr>
                <w:b w:val="off"/>
                <w:color w:val="000000"/>
                <w:rFonts w:ascii="Times New Roman" w:hAnsi="Times New Roman" w:cs="Times New Roman" w:eastAsia="Times New Roman"/>
                <w:sz w:val="24"/>
              </w:rPr>
              <w:t>(3) Na členstvo v orgáne družstva fyzickej osoby zvolenej pred 1. júlom 2027 ako zástupcu právnickej osoby sa až do zániku jej funkcie použijú § 238 ods. 1 a 2 v znení účinnom do 30. júna 2027. Do zániku tejto funkcie sa použije aj § 246 ods. 4 v znení účinnom do 30. júna 2027.“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Výslovné prechodné pravidlo je potrebné na odstránenie neistoty o časovej pôsobnosti zmien ObZ. Navrhujeme, aby nové pravidlá platili aj pre existujúce spoločnosti a družstvá, pri zachovaní doterajšieho režimu už vzniknutých práv a povinností, skôr prijatých rozhodnutí a už doručených vzdaní sa funkcie. Osobitné pravidlo pre už zvolených zástupcov má zabrániť strate funkcie a oslabeniu ochrany družstva len v dôsledku zmeny modelu členstva.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 1 ods. 4 ZP</w:t>
              <w:br/>
            </w:r>
            <w:r>
              <w:rPr>
                <w:b w:val="off"/>
                <w:color w:val="000000"/>
                <w:rFonts w:ascii="Times New Roman" w:hAnsi="Times New Roman" w:cs="Times New Roman" w:eastAsia="Times New Roman"/>
                <w:sz w:val="24"/>
              </w:rPr>
              <w:t>Navrhujeme v dôvodovej správe k § 1 ods. 4 výslovne uviesť, že ustanovenia Zákonníka práce, ktoré odkazujú na Občiansky zákonník (najmä § 16a, 16c, 18, 34c, 178b, § 186 ods. 6 a § 188), majú len deklaratórny význam a z ich existencie nemožno vyvodzovať, že v prípadoch, v ktorých Zákonník práce na Občiansky zákonník výslovne neodkazuje, sa jeho ustanovenia nepoužijú; ich použitie sa v týchto prípadoch posudzuje podľa § 1 ods. 4. Odôvodnenie: Podľa navrhovaného § 1 ods. 4 sa Občiansky zákonník primerane použije vo všetkých veciach, ktoré Zákonník práce ani iný pracovnoprávny predpis neupravuje, ak to nie je v rozpore so zásadami Zákonníka práce, ochranou zamestnanca ako slabšej strany a povahou pracovnoprávneho vzťahu. Výslovné odkazy na Občiansky zákonník v jednotlivých ustanoveniach sú preto v zásade nadbytočné. Ich existencia však otvára priestor pre argument a contrario, že tam, kde zákonodarca chcel použiť Občiansky zákonník, to výslovne uviedol, a v ostatných prípadoch je úprava v Zákonníku práce vyčerpávajúca. Takýto výklad už súdy v minulosti zaujali pri zastúpení zamestnávateľa: Najvyšší súd SR, sp. zn. 4 Cdo 4/2012, považoval okamžité skončenie pracovného pomeru podpísané prokuristami, ktorí neboli v pracovnoprávnom vzťahu k zamestnávateľovi, za neplatné a Krajský súd v Bratislave, sp. zn. 2 CoPr 16/2014, vyvodil, že § 9 Zákonníka práce upravuje okruh oprávnených osôb vyčerpávajúco. Až Ústavný súd SR, sp. zn. I. ÚS 155/2017 tento výklad označil za formalistický a zastúpenie podľa Občianskeho zákonníka pripustil. Bez vysvetlenia v dôvodovej správe hrozí opakovanie tohto sporu, napríklad pri konaní osôb, ktoré nie sú zamestnancami zamestnávateľa, alebo pri prokúre.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 § 1 ods. 6 ZP</w:t>
              <w:br/>
            </w:r>
            <w:r>
              <w:rPr>
                <w:b w:val="off"/>
                <w:color w:val="000000"/>
                <w:rFonts w:ascii="Times New Roman" w:hAnsi="Times New Roman" w:cs="Times New Roman" w:eastAsia="Times New Roman"/>
                <w:sz w:val="24"/>
              </w:rPr>
              <w:t>Navrhujeme v dôvodovej správe k § 1 ods. 4 výslovne uviesť, že ustanovenia Zákonníka práce, ktoré odkazujú na Občiansky zákonník (najmä § 16a, 16c, 18, 34c, 178b, § 186 ods. 6 a § 188), majú len deklaratórny význam a z ich existencie nemožno vyvodzovať, že v prípadoch, v ktorých Zákonník práce na Občiansky zákonník výslovne neodkazuje, sa jeho ustanovenia nepoužijú; ich použitie sa v týchto prípadoch posudzuje podľa § 1 ods. 4. V § 1 ods. 6 navrhujeme v prvej vete za slová „len v prospech zamestnanca“ vložiť slová „, ak tento zákon alebo iný pracovnoprávny predpis neustanovuje inak“ a v druhej vete za slová „Ustanovenia tohto zákona“ vložiť slová „alebo iného pracovnoprávneho predpisu“ a slová „a ak ide“ nahradiť slovami „alebo ak ide“. Do dôvodovej správy navrhujeme doplniť, že dojednanie sa posudzuje objektívne k okamihu jeho uzavretia, pričom vecne a funkčne súvisiace dojednania sa posudzujú spoločne, a objasniť, či a ako sa § 1 ods. 6 vzťahuje na kolektívnu zmluvu. Odôvodnenie: Zákonník práce na viacerých miestach výslovne pripúšťa odchylnú úpravu kolektívnou zmluvou alebo dohodou aj v neprospech zamestnanca (napr. nižšie mzdové zvýhodnenie za prácu v sobotu, v nedeľu alebo za nočnú prácu podľa § 122a ods. 2, § 122b ods. 2 a § 123 ods. 2); navrhovaná výhrada jednoznačne ustanovuje, že tieto osobitné ustanovenia majú prednosť pred § 1 ods. 6. Prvá veta sa vzťahuje aj na iné pracovnoprávne predpisy, druhá veta však obmedzenia odchýlok viaže len na ustanovenia Zákonníka práce; navrhujeme preto doplniť do druhej vety aj iný pracovnoprávny predpis, aby sa obmedzenia odchýlok uplatňovali rovnako na všetky pracovnoprávne predpisy. Spojka „a ak“ by mohla viesť k záveru, že dojednanie je vylúčené, len ak sú všetky obmedzenia splnené súčasne, hoci podľa čl. 2 ods. 2 Občianskeho zákonníka postačuje každé z nich samostatne. V praxi aj v odbornej literatúre nie je jednotný názor na to, ako posudzovať, či je dojednanie v prospech zamestnanca. Vysvetlenie v dôvodovej správe zvýši právnu istotu a zabráni tomu, aby sa napadla jednotlivá časť dojednania, ktoré je pre zamestnanca ako celok výhodné. Návrh zároveň vypúšťa z § 231 ods. 1 Zákonníka práce slovo „výhodnejšie“. Pravidlo, že kolektívna zmluva môže upraviť práva zamestnancov len v ich prospech, ak zákon nepripúšťa inak, by tak malo vyplývať už z § 1 ods. 6; navrhujeme to výslovne uviesť v dôvodovej správe. Pri štátnej službe návrh pravidlo o priaznivejšej úprave v kolektívnej zmluve výslovne zachováva (nový § 170 ods. 1 zákona č. 55/2017 Z. z. o štátnej službe), preto navrhujeme vzťah kolektívnej zmluvy k § 1 ods. 6 objasniť aj v Zákonníku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5 § 7 ods. 2 ZP</w:t>
              <w:br/>
            </w:r>
            <w:r>
              <w:rPr>
                <w:b w:val="off"/>
                <w:color w:val="000000"/>
                <w:rFonts w:ascii="Times New Roman" w:hAnsi="Times New Roman" w:cs="Times New Roman" w:eastAsia="Times New Roman"/>
                <w:sz w:val="24"/>
              </w:rPr>
              <w:t>Zásadná pripomienka: Navrhujeme, aby Zákonník práce aj naďalej upravoval pracovnoprávnu subjektivitu organizačných jednotiek zamestnávateľa, napríklad v tomto znení: „(2) Zamestnávateľ vystupuje v pracovnoprávnych vzťahoch vo svojom mene a má zodpovednosť vyplývajúcu z týchto vzťahov. Zamestnávateľom je aj organizačná jednotka zamestnávateľa, ak to ustanovujú osobitné predpisy alebo ak to písomne určí zriaďovateľ organizačnej jednotky. Ak je účastníkom pracovnoprávneho vzťahu zamestnávateľ, nemôže ním byť súčasne jeho organizačná jednotka a naopak.“ Súčasne navrhujeme doplniť prechodné ustanovenie v tomto znení: „Postavenie zamestnávateľa, ktoré organizačná jednotka zamestnávateľa nadobudla podľa § 7 ods. 2 v znení účinnom pred …, zostáva zachované.“ Odôvodnenie: Platný § 7 ods. 2 Zákonníka práce priznáva organizačnej jednotke postavenie zamestnávateľa, ak to ustanovujú osobitné predpisy alebo stanovy podľa osobitného predpisu. Nový Občiansky zákonník v § 10 upravuje organizačnú zložku podniku a jej zápis do obchodného registra, takýto zápis jej však pracovnoprávnu subjektivitu nepriznáva. Po vypustení § 7 ods. 2 by organizačné jednotky mohli mať pracovnoprávnu subjektivitu len vtedy, ak im ju výslovne prizná osobitný predpis. V ostatných prípadoch by nebolo zrejmé, z čoho majú odvádzať svoje postavenie zamestnávateľa, a vznikla by neistota, kto je zmluvnou stranou existujúcich pracovnoprávnych vzťahov. Pracovnoprávna subjektivita organizačných jednotiek je špecifikom pracovného práva, ktoré všeobecná úprava Občianskeho zákonníka nerieši, preto má zostať upravená v Zákonníku práce. Odkaz na stanovy bol v praxi problematický, keďže nie každý zamestnávateľ stanovy má, resp. musí mať, a preto bolo sporné, či pracovnoprávnu subjektivitu možno organizačnej jednotke priznať aj iným aktom. Navrhované znenie preto nadväzuje na doterajšiu úpravu, pričom namiesto odkazu na stanovy zveruje priznanie pracovnoprávnej subjektivity zriaďovateľovi organizačnej jednotky bez toho, aby zákon určoval, akým aktom tak má urobiť. Prechodné ustanovenie má zabezpečiť, aby pracovnoprávna subjektivita organizačných jednotiek nadobudnutá podľa doterajších predpisov zostala zachovaná, čím sa zaručí kontinuita existujúcich pracovnoprávnych vzťahov a jednoznačnosť v otázke, ktorý subjekt je zamestnávateľom.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6 § 9 a 10 ZP</w:t>
              <w:br/>
            </w:r>
            <w:r>
              <w:rPr>
                <w:b w:val="off"/>
                <w:color w:val="000000"/>
                <w:rFonts w:ascii="Times New Roman" w:hAnsi="Times New Roman" w:cs="Times New Roman" w:eastAsia="Times New Roman"/>
                <w:sz w:val="24"/>
              </w:rPr>
              <w:t xml:space="preserve">Zásadná pripomienka: Navrhujeme upraviť navrhované ustanovenie § 9 tak, aby upravovalo len plnomocenstvo a výslovne pripustilo zastúpenie zamestnávateľa aj inou osobou ako zamestnancom, a to v tomto znení: „Právne úkony za zamestnávateľa v pracovnoprávnych vzťahoch môže uskutočniť aj a) zamestnanec alebo iná osoba na základe plnomocenstva udeleného zamestnávateľom, b) zamestnanec bez plnomocenstva, ak to vyplýva z jeho funkcie určenej organizačným predpisom.“ Súčasne navrhujeme v § 10 druhej vete vypustiť slová „poverený alebo“ a doplniť prechodné ustanovenie v tomto znení: „Písomné poverenie zamestnanca udelené zamestnávateľom podľa § 9 v znení účinnom pred … sa odo dňa účinnosti tohto zákona považuje za plnomocenstvo podľa § 9 písm. a) v rozsahu oprávnení vyplývajúcich z tohto poverenia.“ Do dôvodovej správy k § 9 navrhujeme doplniť, že zamestnávateľa môže v pracovnoprávnych vzťahoch zastupovať aj prokurista podľa § 114 Občianskeho zákonníka, pretože prokúra oprávňuje na všetky právne úkony, ku ktorým dochádza pri prevádzke podniku, vrátane pracovnoprávnych úkonov (napríklad uzavretia pracovnej zmluvy, výpovede alebo okamžitého skončenia pracovného pomeru), a to bez ohľadu na to, či je prokurista zamestnancom zamestnávateľa. </w:t>
              <w:br/>
            </w:r>
            <w:r>
              <w:rPr>
                <w:b w:val="off"/>
                <w:color w:val="000000"/>
                <w:rFonts w:ascii="Times New Roman" w:hAnsi="Times New Roman" w:cs="Times New Roman" w:eastAsia="Times New Roman"/>
                <w:sz w:val="24"/>
              </w:rPr>
              <w:t>Odôvodnenie: Navrhovaný § 9 upravuje konanie za zamestnávateľa výlučne prostredníctvom zamestnanca. Výslovné uvedenie plnomocenstva udeleného iba zamestnancovi môže vyvolávať nežiaduci argument a contrario, na základe ktorého zastúpenie zamestnávateľa inou osobou ako zamestnancom nie je prípustné. Takou osobou môže byť napríklad zamestnanec inej spoločnosti v skupine alebo akákoľvek iná osoba. Podľa § 104 a nasl. nového Občianskeho zákonníka má zastúpenie všeobecnú povahu a zákon nerozlišuje, či medzi splnomocniteľom a splnomocnencom existuje pracovnoprávny vzťah. Prípustnosť zastúpenia zamestnávateľa externou osobou v pracovnoprávnych vzťahoch potvrdil aj Ústavný súd SR v náleze sp. zn. I. ÚS 155/2017 z 31. augusta 2017. Zároveň nie je dôvod zachovávať dva paralelné inštitúty – písomné poverenie a plnomocenstvo. Oba umožňujú zamestnancovi uskutočňovať pracovnoprávne úkony za zamestnávateľa a prekročenie oprávnenia sa má v oboch prípadoch posudzovať podľa § 10 Zákonníka práce. Navrhujeme preto ponechať len plnomocenstvo. Existujúce písomné poverenia by sa prechodným ustanovením považovali za plnomocenstvá v rozsahu doterajších oprávnení, čím sa zabezpečí kontinuita a zamestnávatelia nebudú musieť hromadne vyhotovovať nové plnomocenstvá. Vysvetlenie v dôvodovej správe je potrebné aj pri prokúre. Doterajšia rozhodovacia prax význam prokúry pre pracovnoprávne úkony spochybňovala: Najvyšší súd SR, sp. zn. 4 Cdo 4/2012, považoval okamžité skončenie pracovného pomeru podpísané prokuristami, ktorí neboli v pracovnoprávnom vzťahu k zamestnávateľovi, za neplatné a podľa rozhodnutia Najvyššieho súdu SR, sp. zn. 6 Cdo 120/2019, prokúra neoprávňuje na úkony dovnútra spoločnosti. Po rekodifikácii je prokúra upravená v § 114 Občianskeho zákonníka, podľa ktorého oprávňuje prokuristu na všetky právne úkony, ku ktorým dochádza pri prevádzke podniku, aj keď nie sú bežné. Pracovnoprávne úkony, ako je prijímanie a prepúšťanie zamestnancov, sú neoddeliteľnou súčasťou prevádzky podniku. V praxi prokuristi často podpisujú pracovné zmluvy aj výpoveď. Bez výslovného vysvetlenia hrozí, že súdy budú pokračovať v doterajšom reštriktívnom výklade a výpovede alebo okamžité skončenia pracovného pomeru podpísané prokuristom budú napadávané ako neplatné.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15 § 13 ods. 3 ZP</w:t>
              <w:br/>
            </w:r>
            <w:r>
              <w:rPr>
                <w:b w:val="off"/>
                <w:color w:val="000000"/>
                <w:rFonts w:ascii="Times New Roman" w:hAnsi="Times New Roman" w:cs="Times New Roman" w:eastAsia="Times New Roman"/>
                <w:sz w:val="24"/>
              </w:rPr>
              <w:t>OZ čl. 4 nepokrýva výslovne zneužitie voči spoluzamestnancom (mobbing) a nenadväzuje na sťažnostný mechanizmus a procesnú ochranu podľa § 13 ZP. Vypustením sa stráca pracovnoprávne ukotvenie zneužitia práva. Odôvodnenie: Navrhujeme § 13 ods. 3 ponechať v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19 § 16 ZP</w:t>
              <w:br/>
            </w:r>
            <w:r>
              <w:rPr>
                <w:b w:val="off"/>
                <w:color w:val="000000"/>
                <w:rFonts w:ascii="Times New Roman" w:hAnsi="Times New Roman" w:cs="Times New Roman" w:eastAsia="Times New Roman"/>
                <w:sz w:val="24"/>
              </w:rPr>
              <w:t>V § 16 Zákonníka práce, prípadne v dôvodovej správe navrhujeme výslovne upraviť, že požiadavka zaznamenania celého právneho úkonu v písomnej forme je splnená aj vtedy, ak sa časť obsahu právneho úkonu určuje odkazom na kolektívnu zmluvu, vnútorný predpis zamestnávateľa alebo iný písomný dokument, a to aj dokument vydaný inou osobou ako zamestnávateľom. Navrhujeme doplniť do § 16 túto druhú vetu: „Písomná forma je dodržaná aj vtedy, ak sa časť obsahu právneho úkonu určuje odkazom na kolektívnu zmluvu, vnútorný predpis zamestnávateľa alebo iný dokument v písomnej forme, aj keď nie je súčasťou pracovnej zmluvy.“ Odôvodnenie: Navrhovaný § 16 Zákonníka práce vyžaduje, aby bol v písomnej forme zaznamenaný celý právny úkon. Nový Občiansky zákonník v § 74 rieši obsah určený odkazom tak, že písomná forma zmluvných podmienok určených odkazom je dodržaná, ak sa stávajú súčasťou zmluvy uzavretej v písomnej forme. Toto pravidlo je však určené pre zmluvné podmienky, ktoré sa odkazom inkorporujú do zmluvy, a na pracovnoprávne odkazy nie je prispôsobené. V pracovnoprávnej praxi je bežné, že pracovná zmluva odkazuje na kolektívnu zmluvu alebo na vnútorné predpisy zamestnávateľa, najmä pracovný poriadok, napríklad pri pracovnom čase alebo výmere dovolenky. V praxi nadnárodných skupín pracovná zmluva často odkazuje aj na predpisy vydané inou spoločnosťou zo skupiny zamestnávateľa, napríklad na skupinové bonusové alebo benefitové pravidlá či etický kódex. Kolektívna zmluva ani pracovný poriadok sa odkazom nestávajú súčasťou pracovnej zmluvy. Kolektívna zmluva je samostatným právnym úkonom zmluvných strán kolektívneho vyjednávania a zakladá práva zamestnancov priamo. Pracovný poriadok je vnútorným predpisom, ktorý vydáva a mení zamestnávateľ za podmienok ustanovených Zákonníkom práce bez účasti jednotlivého zamestnanca. Ak by sa odkazovaný obsah musel stať súčasťou pracovnej zmluvy, každá zmena kolektívnej zmluvy alebo pracovného poriadku by vyžadovala zmenu pracovnej zmluvy, čo popiera ich funkciu. Bez výslovnej úpravy preto vzniká neistota, či pracovná zmluva odkazujúca na kolektívnu zmluvu alebo vnútorný predpis spĺňa požiadavku písomnej formy podľa § 16. Zo znenia § 16 nevyplýva ani to, či sa § 74 nového Občianskeho zákonníka v pracovnoprávnych vzťahoch vôbec uplatní. Navrhovaná úprava zachováva účel písomnej formy, keďže obsah, na ktorý sa odkazuje, je zachytený v písomnej forme. Pripomienka má za cieľ zvýšiť právnu istotu a zachovať zaužívanú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20 § 16b ZP</w:t>
              <w:br/>
            </w:r>
            <w:r>
              <w:rPr>
                <w:b w:val="off"/>
                <w:color w:val="000000"/>
                <w:rFonts w:ascii="Times New Roman" w:hAnsi="Times New Roman" w:cs="Times New Roman" w:eastAsia="Times New Roman"/>
                <w:sz w:val="24"/>
              </w:rPr>
              <w:t>Zásadná pripomienka: Navrhujeme spresniť, že osobitné pravidlo výkladu v prospech zamestnanca sa uplatní až v prípade pretrvávajúcej pochybnosti po posúdení obsahu prejavu vôle a relevantných okolností podľa ustanovení Občianskeho zákonníka o výklade, vrátane výkladu v prospech platnosti právneho úkonu. Navrhujeme formuláciu: „Ak po použití ustanovení Občianskeho zákonníka o výklade prejavu vôle pretrvávajú pochybnosti o jeho význame, prisúdi sa prejavu vôle alebo použitému výrazu z viacerých možných významov ten, ktorý je pre zamestnanca najpriaznivejší.“ Odôvodnenie: Nový Občiansky zákonník v § 77 až 79 ustanovuje zisťovanie skutočného zámeru konajúcej osoby, zohľadnenie okolností a praxe strán a výklad v prospech platnosti. Navrhovaný § 16b Zákonníka práce je ochranným pravidlom, z jeho znenia však nevyplýva, či sa uplatní až po použití týchto všeobecných výkladových pravidiel, alebo namiesto nich. Výklad v prospech zamestnanca má byť subsidiárnym pravidlom, ktoré neumožňuje „preskočiť“ všeobecné výkladové pravidlá Občianskeho zákonníka, teda zistenie skutočného zámeru konajúcej osoby, zohľadnenie okolností a praxe strán ani výklad v prospech platnosti, a uplatní sa až vtedy, ak ani ich použitie nevedie k jedinému významu; pravidlo má pochybnosti odstraňovať, nie vytvárať. Z navrhovaného znenia to však výslovne nevyplýva. Česká skúsenosť s § 18 Zákonníka práce ČR, ktorý bol podľa dôvodovej správy vzorom § 16b, ukazuje, že súdy môžu uprednostňovať výklad v prospech zamestnanca aj pred všeobecnými výkladovými pravidlami, čo česká doktrína kritizuje. Obdobný prístup, aký navrhujeme, zvolil zákonodarca pri spotrebiteľovi: podľa dôvodovej správy k § 80 nového Občianskeho zákonníka sa výklad v prospech spotrebiteľa použije len pri pochybnostiach o význame a jasný výklad nemožno nahrádzať výkladom v prospech spotrebiteľa. Spresnenie je dôležité aj preto, že § 16b sa vzťahuje aj na právne úkony a výrazy, ktoré pripravuje zamestnávateľ sám, najmä pracovný poriadok, mzdový predpis, iné vnútorné predpisy a formulárové zmluvy. Zároveň nie je zrejmý vzťah § 16b k § 79 nového Občianskeho zákonníka, ktorý uprednostňuje výklad zachovávajúci platnosť právneho úkonu. Ak by sa § 16b uplatnil pred § 79 alebo namiesto neho, bolo by možné argumentovať, že pri jednostrannom úkone zamestnávateľa, napr. pri výpovedi, má prednosť výklad vedúci k neplatnosti úkonu, pretože je pre zamestnanca priaznivejší. Takýto výsledok by popieral zásadu zachovania platnosti právnych úkonov, ktorá je jedným zo základných princípov nového Občianskeho zákonníka a má sa uplatniť rovnako pre všetky strany pracovnoprávneho vzťahu. Výklad v prospech zamestnanca sa preto má uplatniť len pri výbere medzi viacerými významami, ktoré nevedú k neplatnosti právneho úkonu. Navrhované znenie to zabezpečuje tým, že § 16b sa použije až po použití všetkých ustanovení Občianskeho zákonníka o výklade, ktorých súčasťou je aj § 79.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20 § navrhovaný § 16b</w:t>
              <w:br/>
            </w:r>
            <w:r>
              <w:rPr>
                <w:b w:val="off"/>
                <w:color w:val="000000"/>
                <w:rFonts w:ascii="Times New Roman" w:hAnsi="Times New Roman" w:cs="Times New Roman" w:eastAsia="Times New Roman"/>
                <w:sz w:val="24"/>
              </w:rPr>
              <w:t>Zásadná pripomienka: Navrhujeme spresniť, že osobitné pravidlo výkladu v prospech zamestnanca sa uplatní až v prípade pretrvávajúcej pochybnosti po posúdení obsahu prejavu vôle a relevantných okolností podľa ustanovení Občianskeho zákonníka o výklade, vrátane výkladu v prospech platnosti právneho úkonu. Navrhujeme formuláciu: „Ak po použití ustanovení Občianskeho zákonníka o výklade prejavu vôle pretrvávajú pochybnosti o jeho význame, prisúdi sa prejavu vôle alebo použitému výrazu z viacerých možných významov ten, ktorý je pre zamestnanca najpriaznivejší.“</w:t>
              <w:br/>
            </w:r>
            <w:r>
              <w:rPr>
                <w:b w:val="off"/>
                <w:color w:val="000000"/>
                <w:rFonts w:ascii="Times New Roman" w:hAnsi="Times New Roman" w:cs="Times New Roman" w:eastAsia="Times New Roman"/>
                <w:sz w:val="24"/>
              </w:rPr>
              <w:t>Žiadame spresniť vzťah navrhovaného § 16b k všeobecným pravidlám výkladu prejavu vôle podľa Občianskeho zákonníka. Výklad najpriaznivejší pre zamestnanca sa má použiť až vtedy, ak po uplatnení týchto pravidiel zostáva viacero možných významov prejavu vôle alebo použitého výrazu.</w:t>
              <w:br/>
            </w:r>
            <w:r>
              <w:rPr>
                <w:b w:val="off"/>
                <w:color w:val="000000"/>
                <w:rFonts w:ascii="Times New Roman" w:hAnsi="Times New Roman" w:cs="Times New Roman" w:eastAsia="Times New Roman"/>
                <w:sz w:val="24"/>
              </w:rPr>
              <w:t>Navrhované znenie § 16b: Výklad prejavu vôle alebo použitého výrazu</w:t>
              <w:br/>
            </w:r>
            <w:r>
              <w:rPr>
                <w:b w:val="off"/>
                <w:color w:val="000000"/>
                <w:rFonts w:ascii="Times New Roman" w:hAnsi="Times New Roman" w:cs="Times New Roman" w:eastAsia="Times New Roman"/>
                <w:sz w:val="24"/>
              </w:rPr>
              <w:t>Pri výklade prejavu vôle alebo použitého výrazu v pracovnoprávnych vzťahoch sa postupuje podľa ustanovení Občianskeho zákonníka o výklade prejavu vôle. Ak po zistení jeho obsahu podľa týchto ustanovení zostáva viacero možných významov, prisúdi sa prejavu vôle alebo použitému výrazu význam, ktorý je pre zamestnanca najpriaznivejší.</w:t>
              <w:br/>
            </w:r>
            <w:r>
              <w:rPr>
                <w:b w:val="off"/>
                <w:color w:val="000000"/>
                <w:rFonts w:ascii="Times New Roman" w:hAnsi="Times New Roman" w:cs="Times New Roman" w:eastAsia="Times New Roman"/>
                <w:sz w:val="24"/>
              </w:rPr>
              <w:t>Odôvodnenie: Navrhované znenie výslovne určuje nadväznosť osobitného pravidla výkladu v prospech zamestnanca na všeobecné výkladové pravidlá Občianskeho zákonníka. Najprv je potrebné zistiť význam prejavu vôle podľa týchto pravidiel, najmä so zohľadnením zámeru konajúcej osoby za zákonných podmienok a relevantných okolností. Až pri pretrvávajúcej nejednoznačnosti sa uplatní význam najpriaznivejší pre zamestnanca. Samotný spor o význam prejavu vôle alebo tvrdenie jednej zo strán o jeho inom význame nemajú bez ďalšieho viesť k použitiu priaznivejšieho výkladu. Spresnenie zachováva ochranný účel ustanovenia a zároveň zvyšuje právnu istotu a predvídateľnosť výkladu pracovnoprávnych úkonov pre obe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20 § 16c, 226, 83a, 183 ods. 2 a 3 a 6 ZP</w:t>
              <w:br/>
            </w:r>
            <w:r>
              <w:rPr>
                <w:b w:val="off"/>
                <w:color w:val="000000"/>
                <w:rFonts w:ascii="Times New Roman" w:hAnsi="Times New Roman" w:cs="Times New Roman" w:eastAsia="Times New Roman"/>
                <w:sz w:val="24"/>
              </w:rPr>
              <w:t>ZP v novele používa nekonzistentne „zrušiť“ (§ 16c, § 226) a „odstúpiť“ (§ 83a, § 183). Odôvodnenie: Zvážiť či nahradiť „odstúpiť“ (§ 83a, § 183) slovom „zrušiť“.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23 § 19 ZP</w:t>
              <w:br/>
            </w:r>
            <w:r>
              <w:rPr>
                <w:b w:val="off"/>
                <w:color w:val="000000"/>
                <w:rFonts w:ascii="Times New Roman" w:hAnsi="Times New Roman" w:cs="Times New Roman" w:eastAsia="Times New Roman"/>
                <w:sz w:val="24"/>
              </w:rPr>
              <w:t>V § 19 navrhujeme za slová „§ 240 ods. 9“ vložiť slová „a v prípade zrušenia právneho úkonu podľa § 16c ods. 1 v lehotách podľa § 102 Občianskeho zákonníka“. Odôvodnenie: Podľa navrhovaného § 19 dochádza v pracovnoprávnych vzťahoch k preklúzii len vo vymenovaných prípadoch. Ustanovenie § 16c ods. 1 zároveň umožňuje zrušiť právny úkon z dôvodov podľa § 91 až 94 Občianskeho zákonníka, pričom podľa § 102 Občianskeho zákonníka právo zrušiť právny úkon zanikne, ak sa nevykoná do šiestich mesiacov odo dňa, keď sa oprávnená osoba o dôvode zrušiteľnosti dozvedela, najneskôr do troch rokov od uskutočnenia právneho úkonu. Táto lehota však vo výpočte podľa § 19 chýba, čo umožňuje výklad, že právo zrušiť pracovnoprávny úkon nezaniká uplynutím času. Takýto výklad by viedol k dlhodobej neistote o platnosti pracovnoprávnych úkonov, napríklad dohody o zmene pracovných podmienok (napr. mzdy alebo miesta výkonu práce) alebo dohody o zrážkach zo mzdy. Doplnenie zabezpečí úplnosť výpočtu v § 19 a právnu istotu oboch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28 § 32 ods. 1 ZP</w:t>
              <w:br/>
            </w:r>
            <w:r>
              <w:rPr>
                <w:b w:val="off"/>
                <w:color w:val="000000"/>
                <w:rFonts w:ascii="Times New Roman" w:hAnsi="Times New Roman" w:cs="Times New Roman" w:eastAsia="Times New Roman"/>
                <w:sz w:val="24"/>
              </w:rPr>
              <w:t>V § 32 ods. 1 navrhujeme slovo „tak“ nahradiť slovom „ak“. Súčasne navrhujeme v dôvodovej správe uviesť, že ustanovenie nebráni dojednaniu, ktorým sa iná osoba zaviaže plniť dlh zamestnávateľa voči zamestnancovi spolu so zamestnávateľom. Odôvodnenie: Ide o opravu zrejmej chyby v písaní. Zároveň široko formulovaný zákaz solidárneho záväzku by mohol byť vykladaný tak, že vylučuje aj dobrovoľné pristúpenie ďalšieho dlžníka k dlhu zamestnávateľa, napríklad materskej spoločnosti, hoci takéto dojednanie zamestnanca zvyhodňuje a zamestnávateľ zostáva naďalej zaviazaný v plnom rozsahu. Na rozdiel od prevzatia dlhu podľa § 33 ods. 2 nejde o zmenu osoby dlžníka.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body 28 a 56 § 33 ods. 3 a § 81 písm. a) ZP</w:t>
              <w:br/>
            </w:r>
            <w:r>
              <w:rPr>
                <w:b w:val="off"/>
                <w:color w:val="000000"/>
                <w:rFonts w:ascii="Times New Roman" w:hAnsi="Times New Roman" w:cs="Times New Roman" w:eastAsia="Times New Roman"/>
                <w:sz w:val="24"/>
              </w:rPr>
              <w:t>Navrhujeme v dôvodovej správe k § 33 ods. 3 a § 81 písm. a) výslovne uviesť, že § 33 ods. 3 druhá veta sa nevzťahuje na prípady, keď zamestnancovi dáva pokyny na výkon práce osoba konajúca v mene zamestnávateľa, a to aj osoba, ktorá nie je jeho zamestnancom (napr. zamestnanec inej spoločnosti v skupine na základe plnomocenstva), pretože v takom prípade nejde o prevod plnenia záväzku prideľovať prácu na inú osobu. Odôvodnenie: V nadnárodných skupinách bežne pokyny zamestnancom dávajú aj osoby pôsobiace v inej spoločnosti skupiny (maticové riadenie). Návrh § 81 písm. a) ukladá zamestnancovi plniť pokyny osôb konajúcich v mene zamestnávateľa, § 33 ods. 3 však zároveň obmedzuje prevod plnenia záväzku prideľovať prácu na inú osobu. Bez vysvetlenia hrozí výklad, že pokyny osôb mimo zamestnávateľa sú pre zamestnanca nezáväzné, čo by sťažilo bežné fungovanie skupinových štruktúr. Pripomienka nadväzuje na pripomienku č. 4 k §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29 § 34a a § 34c ZP</w:t>
              <w:br/>
            </w:r>
            <w:r>
              <w:rPr>
                <w:b w:val="off"/>
                <w:color w:val="000000"/>
                <w:rFonts w:ascii="Times New Roman" w:hAnsi="Times New Roman" w:cs="Times New Roman" w:eastAsia="Times New Roman"/>
                <w:sz w:val="24"/>
              </w:rPr>
              <w:t>Navrhujeme v dôvodovej správe k § 34a a § 34c výslovne uviesť, že zákaz podľa § 34a nebráni dohode o urovnaní podľa § 34c, ktorou zamestnávateľ a zamestnanec upravia práva medzi nimi skutočne sporné alebo pochybné, a to ani vtedy, ak sa týkajú mzdy alebo iných peňažných plnení podľa § 34a ods. 1. Odôvodnenie: Urovnanie rieši práva, ktoré sú medzi stranami sporné alebo pochybné. Na druhej strane ustanovenie § 34a zakazuje vzdať sa práva, ktoré zamestnancovi nesporne patrí. Bez objasnenia hrozí, že urovnanie sporov napríklad o výšku variabilnej zložky mzdy alebo o nároky pri skončení pracovného pomeru bude napádané ako neprípustné vzdanie sa práva. To by sťažilo mimosúdne riešenie sporov, ktoré je v záujme oboch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29 § 34b ZP</w:t>
              <w:br/>
            </w:r>
            <w:r>
              <w:rPr>
                <w:b w:val="off"/>
                <w:color w:val="000000"/>
                <w:rFonts w:ascii="Times New Roman" w:hAnsi="Times New Roman" w:cs="Times New Roman" w:eastAsia="Times New Roman"/>
                <w:sz w:val="24"/>
              </w:rPr>
              <w:t>Navrhujeme v dôvodovej správe k § 34b výslovne uviesť, že ustanovenie vylučuje len jednostranné započítanie pohľadávky zamestnávateľa voči zamestnancovi a nebráni započítaniu dohodou zamestnávateľa a zamestnanca ani jednostrannému započítaniu pohľadávky zamestnanca voči zamestnávateľovi. Odôvodnenie: Doterajšia judikatúra vychádzala z toho, že započítanie v pracovnoprávnych vzťahoch nie je prípustné vôbec, a to ani dohodou. Bez výslovného vysvetlenia v dôvodovej správe hrozí, že súdy budú pokračovať v doterajšom reštriktívnom výklade, hoci § 34b obmedzuje iba jednostranné započítanie zo strany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32 § 38 ods. 1 ZP</w:t>
              <w:br/>
            </w:r>
            <w:r>
              <w:rPr>
                <w:b w:val="off"/>
                <w:color w:val="000000"/>
                <w:rFonts w:ascii="Times New Roman" w:hAnsi="Times New Roman" w:cs="Times New Roman" w:eastAsia="Times New Roman"/>
                <w:sz w:val="24"/>
              </w:rPr>
              <w:t>Zásadná pripomienka: Navrhujeme upraviť osobné doručenie, doručenie poštovým podnikom a elektronické doručenie (ak sa na ňom strany dohodli podľa § 38 ods. 6) ako rovnocenné alternatívne spôsoby doručovania podľa voľby zamestnávateľa a vypustiť v praxi nadbytočnú podmienku, podľa ktorej možno písomnosť doručiť poštovým podnikom, len ak nie je možné osobné doručenie. Zároveň navrhujeme spresniť, že osobne sa doručuje na pracovisku zamestnávateľa alebo kdekoľvek bude zamestnanec zastihnutý. V § 38 ods. 1 navrhujeme tretiu a štvrtú vetu nahradiť vetou: „Písomnosti doručuje zamestnávateľ zamestnancovi osobne na pracovisku zamestnávateľa alebo kdekoľvek bude zastihnutý, prostredníctvom poštového podniku ako doporučenú zásielku alebo elektronickými prostriedkami podľa odseku 6; spôsob doručovania volí zamestnávateľ.“ Odôvodnenie: Doterajšia judikatúra vychádzala z toho, že započítanie v pracovnoprávnych vzťahoch nie je prípustné vôbec, a to ani dohodou. Bez výslovného vysvetlenia v dôvodovej správe hrozí, že súdy budú pokračovať v doterajšom reštriktívnom výklade, hoci § 34b obmedzuje iba jednostranné započítanie zo strany zamestnávateľa. Povinná postupnosť „najprv osobne, až potom poštou“ je častokrát prakticky ťažko realizovateľná a v praxi vyvoláva viaceré otázniky najmä z pohľadu toho, či zamestnávateľ už vyčerpal všetky možnosti pokusu o osobné doručenie a môže pristúpiť k doručeniu písomnosti prostredníctvom poštového podniku. Zaroveň táto "kaskáda" doručovania predĺžuje proces doručovania najmä pri telepráci, práceneschopnosti alebo inej neprítomnosti zamestnanca a môže sťažiť zachovanie hmotnoprávnych lehôt pri skončení pracovného pomeru. Zamestnávateľ zároveň musí preukazovať, že osobné doručenie nebolo možné, čo je pri doručovaní „kdekoľvek bude zastihnutý“ v praxi ťažko preukázateľné. Taktiež predstavuje podstatné a z hľadiska reálnych potrieb ochrany zamestnanca neodôvodnené zvyšovanie administratívnej záťaže zamestnávateľa. Ako v minulosti potvrdil prieskum európskych jurisdikcií zo strany AmChamu, takáto dodatočná požiadavka sa nevyskytuje v drvivej časti iných porovnávaných jurisdikcií, a teda predstavuje podstatné znevýhodnenie slovenského regulačného prostredia pre zamestnávateľov pri porovnávaní s takýmito jurisdikciami a súťaži o vytvárané pracovné miesta. Ak budú jednotlivé spôsoby doručovania alternatívne a výber bude na zamestnávateľovi, odpadne potreba preukazovať predchádzajúci neúspešný pokus o osobné doručenie. Ochrana zamestnanca zostane zachovaná požiadavkou doručenia do vlastných rúk v prípade osobného doručenia, odbernou lehotou najmenej desať dní pri doručovaní poštovým podnikom a dohodou ako podmienkou elektronického doručovania. Formuláciu „na pracovisku zamestnávateľa“ navrhujeme preto, že aj miesto výkonu telepráce (napr. domácnosť zamestnanca) je pracoviskom; samotný pojem „pracovisko“ by mohol viesť k záveru, že zamestnávateľ má doručovať na miesto telepráce, ktoré môže byť od pracoviska zamestnávateľa výrazne vzdialené.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a 7 ZP</w:t>
              <w:br/>
            </w:r>
            <w:r>
              <w:rPr>
                <w:b w:val="off"/>
                <w:color w:val="000000"/>
                <w:rFonts w:ascii="Times New Roman" w:hAnsi="Times New Roman" w:cs="Times New Roman" w:eastAsia="Times New Roman"/>
                <w:sz w:val="24"/>
              </w:rPr>
              <w:t>Zásadná pripomienka: Navrhujeme, aby na uzavretie dohody o elektronickom doručovaní a na podpis písomností doručovaných elektronickými prostriedkami postačoval jednoduchý elektronický podpis podľa § 72 ods. 3 písm. b) nového Občianskeho zákonníka a nevyžadoval sa kvalifikovaný ani zaručený elektronický podpis. V § 38 ods. 6 navrhujeme slová „podpísaných kvalifikovaným elektronickým podpisom“ nahradiť slovami „podpísaných elektronickým podpisom“ a v druhej vete slová „podpísaná obidvoma stranami kvalifikovaným elektronickým podpisom“ nahradiť slovami „podpísaná obidvoma stranami elektronickým podpisom“ (zapracované v znení podľa pripomienky č. 17). Rovnako má postačovať jednoduchý elektronický podpis pri doručovaní písomností zamestnancom podľa nového odseku 7 (pripomienka č. 18). Ochranu zamestnanca zabezpečuje dohoda ako predpoklad elektronického doručovania, ktorá má byť podpísaná oboma stranami elektronickým podpisom, a doručovanie na elektronickú adresu určenú zamestnancom mimo dispozície zamestnávateľa; dohodu by zároveň malo byť možné uzavrieť aj v listinnej podobe. Odôvodnenie: Požiadavka kvalifikovaného elektronického podpisu na oboch stranách elektronické doručovanie v praxi sťažuje: väčšina zamestnancov KEP nemá a jeho zriadenie je administratívne pomerne náročné. Nový Občiansky zákonník v § 72 ods. 3 písm. b) zámerne vymedzuje podpis v elektronickej podobe široko – nemusí ísť o kvalifikovaný ani zaručený podpis, postačuje aj jednoduchý elektronický podpis. Podľa čl. 25 ods. 1 nariadenia eIDAS nemožno elektronickému podpisu uprieť právny účinok ani prípustnosť ako dôkazu len preto, že nie je kvalifikovaný. Bezpečnosť a preukázateľnosť zabezpečujú ďalšie prvky navrhovanej úpravy: (i) elektronické doručovanie je možné len na základe výslovnej dohody, (ii) zamestnávateľ doručuje na elektronickú adresu určenú zamestnancom, ktorá nie je v dispozícii zamestnávateľa, (iii) podľa § 73 ods. 1 nového OZ sa predpokladá, že úkon uskutočnený z elektronickej adresy alebo účtu, ktoré konajúca osoba oznámila adresátovi, je úkonom tejto osoby, a (iv) podpisové platformy (napr. DocuSign, Adobe Sign) uchovávajú elektronický záznam o priebehu podpisovania (najmä čas podpisu, IP adresu a spôsob overenia totožnosti podpisujúceho, napr. SMS kódom alebo prihlásením), ktorý umožňuje preukázať autorstvo aj integritu dokumentu. Riziko sporu o pravosť podpisu znáša strana, ktorá doručenie preukazuje; postavenie zamestnanca sa tým nezhoršuje oproti listinnému doručovaniu, pri ktorom sa tiež nevyžaduje úradne overený podpis. Kvalifikovaný alebo zaručený elektronický podpis zostane naďalej prípustný ako vyššia forma. Nie je zároveň dôvod vylučovať uzavretie dohody o elektronickom doručovaní v listinnej podobe s vlastnoručnými podpismi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ZP</w:t>
              <w:br/>
            </w:r>
            <w:r>
              <w:rPr>
                <w:b w:val="off"/>
                <w:color w:val="000000"/>
                <w:rFonts w:ascii="Times New Roman" w:hAnsi="Times New Roman" w:cs="Times New Roman" w:eastAsia="Times New Roman"/>
                <w:sz w:val="24"/>
              </w:rPr>
              <w:t>Zásadná pripomienka: Navrhujeme upraviť elektronické doručovanie ako jeden z rovnocenných alternatívnych spôsobov doručovania popri osobnom doručení a doručení poštovým podnikom. Vzhľadom na uvedené navrhujeme nasledovné znenie § 38 ods. 6:</w:t>
              <w:br/>
            </w:r>
            <w:r>
              <w:rPr>
                <w:b w:val="off"/>
                <w:color w:val="000000"/>
                <w:rFonts w:ascii="Times New Roman" w:hAnsi="Times New Roman" w:cs="Times New Roman" w:eastAsia="Times New Roman"/>
                <w:sz w:val="24"/>
              </w:rPr>
              <w:t>„(6) Zamestnávateľ sa môže so zamestnancom dohodnúť na doručovaní písomností podľa odseku 1 elektronickými prostriedkami podpísaných elektronickým podpisom; pri doručovaní písomnosti elektronickými prostriedkami podľa tohto odseku sa ustanovenia odsekov 2, 4 a 5 nepoužijú. Dohoda podľa prvej vety musí byť písomná, inak je neplatná; ak sa dohoda uzatvára v elektronickej podobe, musí byť podpísaná obidvoma stranami elektronickým podpisom. Zamestnávateľ doručuje písomnosti zamestnancovi na elektronickú adresu, ktorú zamestnanec určil a ktorá nie je v dispozícii zamestnávateľa. Uzavretím dohody podľa prvej vety nie je dotknutá možnosť zamestnávateľa doručovať písomnosti osobne alebo prostredníctvom poštového podniku podľa odsekov 1 a 2. Na doručovanie podľa prvej vety sa primerane použijú ustanovenia Občianskeho zákonníka o pôsobení prejavu vôle.“ Odôvodnenie: Navrhované znenie ustanovenia § 38 ods. 6 Zákonníka práce môže viesť k výkladu, že už samotným uzavretím dohody o elektronickom doručovaní sa vylúči osobné doručovanie a doručovanie poštovým podnikom, čo s najväčšou pravdepodobnosťou nie je zámerom zákonodarcu. Elektronické doručovanie má byť jedným z rovnocenných alternatívnych spôsobov doručovania podľa voľby zamestnávateľa popri osobnom doručení a doručení poštovým podnikom, nie výlučným ani náhradným spôsobom. Navrhované znenie preto výslovne ustanovuje, že uzavretím dohody nie je dotknutá možnosť zamestnávateľa doručovať písomnosti osobne alebo prostredníctvom poštového podniku. Odseky 2, 4 a 5 upravujú doručovanie prostredníctvom poštového podniku a jeho účinky, a preto sa na elektronické doručovanie nepoužijú. Kedy je písomnosť doručená elektronickými prostriedkami, sa bude posudzovať primerane podľa ustanovení Občianskeho zákonníka o pôsobení prejavu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ZP</w:t>
              <w:br/>
            </w:r>
            <w:r>
              <w:rPr>
                <w:b w:val="off"/>
                <w:color w:val="000000"/>
                <w:rFonts w:ascii="Times New Roman" w:hAnsi="Times New Roman" w:cs="Times New Roman" w:eastAsia="Times New Roman"/>
                <w:sz w:val="24"/>
              </w:rPr>
              <w:t>Zásadná pripomienka: Navrhujeme upraviť elektronické doručovanie zo strany zamestnanca v samostatnom odseku 7 § 38 Zákonníka práce. Navrhujeme toto znenie nového odseku 7: „(7) Ak sa zamestnávateľ so zamestnancom dohodol na doručovaní písomností podľa odseku 6, zamestnanec môže písomnosti podľa odseku 3 doručiť zamestnávateľovi aj elektronickými prostriedkami podpísané elektronickým podpisom na elektronickú adresu, ktorú mu zamestnávateľ na tento účel písomne oznámil. Na doručovanie podľa prvej vety sa primerane použijú ustanovenia Občianskeho zákonníka o pôsobení prejavu vôle.“ Odôvodnenie: Prvá veta navrhovaného § 38 ods. 6 Zákonníka práce odkazuje na písomnosti podľa odsekov 1 a 3, teda aj na písomnosti zamestnanca, ďalšie vety však upravujú len doručovanie zamestnávateľom na adresu určenú zamestnancom. Nie je tak zrejmé, či a na akú adresu môže zamestnanec elektronicky doručiť napríklad výpoveď z pracovného pomeru. Navrhujeme preto upraviť každý smer doručovania samostatne – odsek 6 pre zamestnávateľa a nový odsek 7 pre zamestnanca, obdobne ako česká úprava rozlišuje doručovanie zamestnávateľom (§ 335) a zamestnancom (§ 337). Podľa § 337 ods. 3 českého Zákonníka práce môže zamestnanec doručiť písomnosť elektronicky na adresu, ktorú mu zamestnávateľ na tento účel oznámil. Elektronické doručenie zamestnancom má byť rovnocenným spôsobom popri doručení na pracovisku zamestnávateľa alebo doporučenou zásielkou podľa odseku 3. Z českej úpravy navrhované znenie preberá určenie adresy zamestnávateľom, zachováva však slovenskú koncepciu – podmienkou je dohoda podľa odseku 6, písomnosť musí byť podpísaná elektronickým podpisom a účinky doručenia nastávajú dôjdením podľa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nové ods. 7 a 8</w:t>
              <w:br/>
            </w:r>
            <w:r>
              <w:rPr>
                <w:b w:val="off"/>
                <w:color w:val="000000"/>
                <w:rFonts w:ascii="Times New Roman" w:hAnsi="Times New Roman" w:cs="Times New Roman" w:eastAsia="Times New Roman"/>
                <w:sz w:val="24"/>
              </w:rPr>
              <w:t>Zásadná pripomienka: Žiadame upraviť navrhovaný § 38 ods. 6 a doplniť odsek 7 tak, aby dohoda o elektronickom doručovaní nevylučovala doručovanie podľa odsekov 1 až 5, a aby sa popri kvalifikovanom elektronickom podpise pripustil aj iný elektronický podpis s dostatočnými zárukami identifikácie podpisujúceho a integrity dokumentu. Zachovať odkaz na primerané použitie ustanovení OZ o pôsobení prejavu vôle a doplniť chýbajúce slovo „ustanovenia“.</w:t>
              <w:br/>
            </w:r>
            <w:r>
              <w:rPr>
                <w:b w:val="off"/>
                <w:color w:val="000000"/>
                <w:rFonts w:ascii="Times New Roman" w:hAnsi="Times New Roman" w:cs="Times New Roman" w:eastAsia="Times New Roman"/>
                <w:sz w:val="24"/>
              </w:rPr>
              <w:t>Navrhované znenie § 38 ods. 6, nový ods. 7 a ods. 8:</w:t>
              <w:br/>
            </w:r>
            <w:r>
              <w:rPr>
                <w:b w:val="off"/>
                <w:color w:val="000000"/>
                <w:rFonts w:ascii="Times New Roman" w:hAnsi="Times New Roman" w:cs="Times New Roman" w:eastAsia="Times New Roman"/>
                <w:sz w:val="24"/>
              </w:rPr>
              <w:t>(6) Zamestnávateľ a zamestnanec sa môžu písomne dohodnúť na doručovaní písomností podľa odsekov 1 a 3 elektronickými prostriedkami, vrátane využitia elektronických platforiem umožňujúcich elektronické podpisovanie, doručovanie a uchovávanie dokumentov. Dohoda podľa prvej vety obsahuje elektronické adresy určené na doručovanie alebo určenie elektronickej platformy na elektronické podpisovanie alebo elektronické doručovanie dokumentov, prostredníctvom ktorej sa budú písomnosti podpisovať a doručovať. Elektronická platforma musí zamestnancovi umožňovať prístup k doručenej písomnosti, jej uchovanie a stiahnutie v nezmenenej podobe. Elektronická adresa zamestnanca musí byť určená zamestnancom a nesmie byť v dispozícii zamestnávateľa. Dohoda o elektronickom doručovaní nevylučuje doručovanie podľa odsekov 1 až 5. Na elektronické doručovanie podľa tohto odseku sa odseky 1 až 5 nepoužijú; primerane sa použijú ustanovenia Občianskeho zákonníka o pôsobení prejavu vôle.</w:t>
              <w:br/>
            </w:r>
            <w:r>
              <w:rPr>
                <w:b w:val="off"/>
                <w:color w:val="000000"/>
                <w:rFonts w:ascii="Times New Roman" w:hAnsi="Times New Roman" w:cs="Times New Roman" w:eastAsia="Times New Roman"/>
                <w:sz w:val="24"/>
              </w:rPr>
              <w:t>(7) Dohodu podľa odseku 6 možno uzavrieť v listinnej podobe alebo elektronicky. Dohoda uzavretá elektronicky a písomnosť doručovaná podľa odseku 6 musia byť podpísané kvalifikovaným elektronickým podpisom alebo iným elektronickým podpisom za použitia postupu, ktorý umožňuje spoľahlivo určiť podpisujúcu osobu, preukázať jej vôľu podpísať dokument a zistiť následnú zmenu podpísaného obsahu, táto podmienka sa považuje za splnenú aj pri použití elektronickej platformy na elektronické podpisovanie a doručovanie dokumentov spĺňajúcej uvedené požiadavky. Elektronicky doručovanú písomnosť musí byť možné uložiť a reprodukovať v nezmenenej podobe.</w:t>
              <w:br/>
            </w:r>
            <w:r>
              <w:rPr>
                <w:b w:val="off"/>
                <w:color w:val="000000"/>
                <w:rFonts w:ascii="Times New Roman" w:hAnsi="Times New Roman" w:cs="Times New Roman" w:eastAsia="Times New Roman"/>
                <w:sz w:val="24"/>
              </w:rPr>
              <w:t>Odôvodnenie: Formulácia o nepoužití odsekov 1 až 5 môže vyvolať pochybnosť, či po dohode zostáva prípustné osobné doručenie. Výslovné zachovanie oboch spôsobov odstráni túto neistotu a umožní reagovať aj na technický problém.</w:t>
              <w:br/>
            </w:r>
            <w:r>
              <w:rPr>
                <w:b w:val="off"/>
                <w:color w:val="000000"/>
                <w:rFonts w:ascii="Times New Roman" w:hAnsi="Times New Roman" w:cs="Times New Roman" w:eastAsia="Times New Roman"/>
                <w:sz w:val="24"/>
              </w:rPr>
              <w:t>Dôvodová správa k novele odôvodňuje kvalifikovaný podpis ochranou zamestnanca a preukázaním schopnosti používať ho; tento cieľ rešpektujeme. Žiadame však pripustiť alternatívny postup s uvedenými zárukami, aby bola elektronická komunikácia prakticky dostupná. Nejde o akceptovanie každého nepodpísaného e-mailu. Pripustenie alternatívneho spôsobu elektronického podpisovania s uvedenými zárukami však zníži náklady a administratívnu náročnosť elektronickej pracovnoprávnej agendy pre zamestnávateľov aj zamestnancov. V súčasnej aplikačnej praxi sa vo významnej miere využívajú aj špecializované platformy určené na elektronické podpisovanie a elektronické doručovanie dokumentov, ktoré zabezpečujú identifikáciu podpisujúcich osôb, preukázateľnosť doručenia, integritu dokumentu a jeho dlhodobú dostupnosť.</w:t>
              <w:br/>
            </w:r>
            <w:r>
              <w:rPr>
                <w:b w:val="off"/>
                <w:color w:val="000000"/>
                <w:rFonts w:ascii="Times New Roman" w:hAnsi="Times New Roman" w:cs="Times New Roman" w:eastAsia="Times New Roman"/>
                <w:sz w:val="24"/>
              </w:rPr>
              <w:t>Takéto riešenia poskytujú zamestnancovi možnosť kedykoľvek pristupovať k doručeným dokumentom, stiahnuť si ich, uložiť alebo ich následne zaslať na vlastnú elektronickú adresu. Súčasne ide o technické prostriedky bežne využívané v obchodnoprávnych aj pracovnoprávnych vzťahoch.</w:t>
              <w:br/>
            </w:r>
            <w:r>
              <w:rPr>
                <w:b w:val="off"/>
                <w:color w:val="000000"/>
                <w:rFonts w:ascii="Times New Roman" w:hAnsi="Times New Roman" w:cs="Times New Roman" w:eastAsia="Times New Roman"/>
                <w:sz w:val="24"/>
              </w:rPr>
              <w:t>Navrhujeme preto explicitne umožniť aj tento spôsob elektronického doručovania, ktorý zodpovedá súčasným technologickým možnostiam a podporuje ďalšiu digitalizáciu pracovnoprávnych vzťahov pri zachovaní primeranej ochrany práv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53 § 77 ZP</w:t>
              <w:br/>
            </w:r>
            <w:r>
              <w:rPr>
                <w:b w:val="off"/>
                <w:color w:val="000000"/>
                <w:rFonts w:ascii="Times New Roman" w:hAnsi="Times New Roman" w:cs="Times New Roman" w:eastAsia="Times New Roman"/>
                <w:sz w:val="24"/>
              </w:rPr>
              <w:t>Zásadná pripomienka: Navrhujeme § 77 doplniť na konci vetou: „Ak sa neplatnosť skončenia pracovného pomeru zakladá na zrušení právneho úkonu podľa § 16c ods. 1, možno ju uplatniť na súde najneskôr v lehote dvoch mesiacov odo dňa, keď prejav vôle o zrušení právneho úkonu dôjde druhej strane.“ Odôvodnenie: Podľa nového Občianskeho zákonníka sa vady vôle už neriešia neplatnosťou, ale zrušiteľnosťou právneho úkonu (§ 91 až 94 Občianskeho zákonníka), ktorú návrh preberá v § 16c ods. 1. Zrušenie sa uskutočňuje mimosúdne, prejavom vôle určeným druhej strane (§ 99 Občianskeho zákonníka), a zrušený úkon sa považuje za neplatný od počiatku (§ 101 Občianskeho zákonníka). Samotné zrušenie však spor o trvanie pracovného pomeru nerieši; ak zamestnávateľ zrušenie neuzná, je potrebné rozhodnutie súdu. Nie je zrejmé, či zamestnanec, ktorý zruší dohodu o skončení pracovného pomeru alebo výpoveď pre bezprávnu vyhrážku, lesť alebo omyl, musí následne podať žalobu podľa § 77, a v akej lehote. Ak by zamestnancovi postačovalo samotné zrušenie a nemusel by v určenej lehote podať žalobu, mohol by dohodu o skončení pracovného pomeru alebo výpoveď zrušiť až do šiestich mesiacov odo dňa, keď sa dozvedel o dôvode zrušiteľnosti, najneskôr do troch rokov od jej uskutočnenia (§ 102 Občianskeho zákonníka), a následne by sa mohol kedykoľvek domáhať určenia, že pracovný pomer trvá. Zamestnávateľ by tak dlhodobo nemal istotu, či pracovný pomer skončil, a vystavoval by sa riziku náhrady mzdy za celé toto obdobie. Lehotu na podanie žaloby nie je vhodné viazať na deň skončenia pracovného pomeru, pretože subjektívna šesťmesačná lehota na zrušenie podľa § 102 Občianskeho zákonníka plynie až odo dňa, keď sa zamestnanec dozvedel o dôvode zrušiteľnosti; právo na zrušenie by tak mohlo byť zmarené skôr, ako ho bolo možné uplatniť. Napríklad ak zamestnanec uzavrie dohodu o skončení pracovného pomeru k 31.03.2028 na základe nepravdivej informácie zamestnávateľa o zrušení jeho pracovného miesta a o ľsti sa dozvie až v decembri 2028, lehota na žalobu počítaná od skončenia pracovného pomeru by uplynula už 31.05.2028. Ak dohodu zamestnanec zruší prejavom vôle doručeným zamestnávateľovi 15.01.2029, podľa navrhovaného znenia by musel podať žalobu do 15.03.2029. Bez tejto úpravy by nebolo zrejmé, či lehota na podanie žaloby uplynula už 31.05.2028, alebo či ju zamestnanec môže podať kedykoľvek, aj o niekoľko rokov, a domáhať sa náhrady mzdy odo dňa, keď zamestnávateľovi oznámil, že trvá na ďalšom zamestnávaní (§ 79 ods. 1 v spojení s § 80). Navrhované riešenie zachováva zamestnancovi právo na zrušenie a zároveň zabezpečuje, aby sa spor rýchlo dostal pred súd a zamedzil sa stav právnej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99 § 181b a § 181c</w:t>
              <w:br/>
            </w:r>
            <w:r>
              <w:rPr>
                <w:b w:val="off"/>
                <w:color w:val="000000"/>
                <w:rFonts w:ascii="Times New Roman" w:hAnsi="Times New Roman" w:cs="Times New Roman" w:eastAsia="Times New Roman"/>
                <w:sz w:val="24"/>
              </w:rPr>
              <w:t xml:space="preserve">Zásadná pripomienka: Žiadame spresniť, že súhlas zamestnávateľa s vykonaním práce alebo jeho vedomosť o obvyklom riziku nie sú samy osebe súhlasom so spôsobením škody. Rovnako nemajú samy osebe predstavovať zbytočné vystavenie sa zvýšenému nebezpečenstvu. </w:t>
              <w:br/>
            </w:r>
            <w:r>
              <w:rPr>
                <w:b w:val="off"/>
                <w:color w:val="000000"/>
                <w:rFonts w:ascii="Times New Roman" w:hAnsi="Times New Roman" w:cs="Times New Roman" w:eastAsia="Times New Roman"/>
                <w:sz w:val="24"/>
              </w:rPr>
              <w:t>Žiadame rozšíriť výnimku z vylúčenia zodpovednosti podľa § 181c aj na hrubú nedbanlivosť zamestnanca. Napr. prevádzka energetických zariadení a zásahy do nich zahŕňajú známe riziká. Samotná vedomosť o riziku ani schválenie práce nemajú znamenať súhlas so škodou alebo úplné oslobodenie zamestnanca od zodpovednosti</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§181b</w:t>
              <w:br/>
            </w:r>
            <w:r>
              <w:rPr>
                <w:b w:val="off"/>
                <w:color w:val="000000"/>
                <w:rFonts w:ascii="Times New Roman" w:hAnsi="Times New Roman" w:cs="Times New Roman" w:eastAsia="Times New Roman"/>
                <w:sz w:val="24"/>
              </w:rPr>
              <w:t>Súhlas poškodeného zamestnávateľa</w:t>
              <w:br/>
            </w:r>
            <w:r>
              <w:rPr>
                <w:b w:val="off"/>
                <w:color w:val="000000"/>
                <w:rFonts w:ascii="Times New Roman" w:hAnsi="Times New Roman" w:cs="Times New Roman" w:eastAsia="Times New Roman"/>
                <w:sz w:val="24"/>
              </w:rPr>
              <w:t>(1) Zamestnanec nezodpovedá za škodu, ak zamestnávateľ so škodou vopred súhlasil; to neplatí, ak udelenie súhlasu vylučuje zákon alebo ide o záujmy zamestnávateľa, o ktorých nemôže bez obmedzenia rozhodovať.</w:t>
              <w:br/>
            </w:r>
            <w:r>
              <w:rPr>
                <w:b w:val="off"/>
                <w:color w:val="000000"/>
                <w:rFonts w:ascii="Times New Roman" w:hAnsi="Times New Roman" w:cs="Times New Roman" w:eastAsia="Times New Roman"/>
                <w:sz w:val="24"/>
              </w:rPr>
              <w:t>(2) Za súhlas so škodou podľa odseku 1 sa samo osebe nepovažuje zadanie alebo schválenie práce ani vedomosť zamestnávateľa o rizikách spojených s jej riadnym vykonaním.</w:t>
              <w:br/>
            </w:r>
            <w:r>
              <w:rPr>
                <w:b w:val="off"/>
                <w:color w:val="000000"/>
                <w:rFonts w:ascii="Times New Roman" w:hAnsi="Times New Roman" w:cs="Times New Roman" w:eastAsia="Times New Roman"/>
                <w:sz w:val="24"/>
              </w:rPr>
              <w:t>§181c</w:t>
              <w:br/>
            </w:r>
            <w:r>
              <w:rPr>
                <w:b w:val="off"/>
                <w:color w:val="000000"/>
                <w:rFonts w:ascii="Times New Roman" w:hAnsi="Times New Roman" w:cs="Times New Roman" w:eastAsia="Times New Roman"/>
                <w:sz w:val="24"/>
              </w:rPr>
              <w:t>Konanie na vlastné nebezpečenstvo</w:t>
              <w:br/>
            </w:r>
            <w:r>
              <w:rPr>
                <w:b w:val="off"/>
                <w:color w:val="000000"/>
                <w:rFonts w:ascii="Times New Roman" w:hAnsi="Times New Roman" w:cs="Times New Roman" w:eastAsia="Times New Roman"/>
                <w:sz w:val="24"/>
              </w:rPr>
              <w:t>(1) Zamestnanec nezodpovedá za škodu zamestnávateľovi, ktorý sa zbytočne vystavil zvýšenému nebezpečenstvu jej vzniku, ak bolo toto nebezpečenstvo zamestnávateľovi vopred známe; tým nie je dotknutá zodpovednosť zamestnanca za škodu spôsobenú úmyselne alebo hrubou nedbanlivosťou.</w:t>
              <w:br/>
            </w:r>
            <w:r>
              <w:rPr>
                <w:b w:val="off"/>
                <w:color w:val="000000"/>
                <w:rFonts w:ascii="Times New Roman" w:hAnsi="Times New Roman" w:cs="Times New Roman" w:eastAsia="Times New Roman"/>
                <w:sz w:val="24"/>
              </w:rPr>
              <w:t>(2) Samotné prevádzkovanie činnosti spojenej s obvyklými rizikami ani zadanie alebo schválenie práce spojenej s takými rizikami sa nepovažuje za zbytočné vystavenie sa zvýšenému nebezpečenstvu podľa odseku 1.</w:t>
              <w:br/>
            </w:r>
            <w:r>
              <w:rPr>
                <w:b w:val="off"/>
                <w:color w:val="000000"/>
                <w:rFonts w:ascii="Times New Roman" w:hAnsi="Times New Roman" w:cs="Times New Roman" w:eastAsia="Times New Roman"/>
                <w:sz w:val="24"/>
              </w:rPr>
              <w:t>Odôvodnenie: Dôvodová správa k bodom 97 až 99 vysvetľuje prevzatie ďalších okolností vylučujúcich zodpovednosť z OZ. Bližšie však nerozlišuje súhlas so samotnou škodou od súhlasu s pracovnou činnosťou, z ktorej škoda môže vzniknúť. Napríklad v energetike je práca so známymi prevádzkovými rizikami bežná. Zadanie zásahu do zariadenia ani vedomosť o riziku nemajú samy osebe znamenať, že zamestnávateľ súhlasil aj so škodou spôsobenou zavineným porušením pracovného postupu.</w:t>
              <w:br/>
            </w:r>
            <w:r>
              <w:rPr>
                <w:b w:val="off"/>
                <w:color w:val="000000"/>
                <w:rFonts w:ascii="Times New Roman" w:hAnsi="Times New Roman" w:cs="Times New Roman" w:eastAsia="Times New Roman"/>
                <w:sz w:val="24"/>
              </w:rPr>
              <w:t xml:space="preserve">Pri § 181c rešpektujeme, že návrh vyžaduje zbytočné vystavenie sa zvýšenému nebezpečenstvu; samotná rizikovosť činnosti nestačí. Doplnenie túto hranicu objasňuje. Zahrnutie hrubej nedbanlivosti do výnimky je vecnou požiadavkou energetického sektora zastúpeného v AmCham nad rámec predloženého návrhu, nie opisom jeho súčasného obsahu. Vylúčenie zodpovednosti nemá úplne chrániť ani zamestnanca, ktorý konal hrubo nedbanlivo. </w:t>
              <w:br/>
            </w:r>
            <w:r>
              <w:rPr>
                <w:b w:val="off"/>
                <w:color w:val="000000"/>
                <w:rFonts w:ascii="Times New Roman" w:hAnsi="Times New Roman" w:cs="Times New Roman" w:eastAsia="Times New Roman"/>
                <w:sz w:val="24"/>
              </w:rPr>
              <w:t>Navrhované doplnenie nemá prenášať podnikateľské riziko na zamestnanca ani vylučovať zohľadnenie podielu zamestnávateľa na vzniku škody. Ostatné predpoklady a zákonné limity zodpovednosti zamestnanca zostávajú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nový bod Prechodné ustanovenia ZP</w:t>
              <w:br/>
            </w:r>
            <w:r>
              <w:rPr>
                <w:b w:val="off"/>
                <w:color w:val="000000"/>
                <w:rFonts w:ascii="Times New Roman" w:hAnsi="Times New Roman" w:cs="Times New Roman" w:eastAsia="Times New Roman"/>
                <w:sz w:val="24"/>
              </w:rPr>
              <w:t>Zásadná pripomienka: Navrhujeme do Zákonníka práce doplniť prechodné ustanovenie k úpravám účinným od 1. júla 2027 v tomto znení: „Na pracovnoprávne vzťahy vzniknuté pred 1. júlom 2027 sa od 1. júla 2027 podľa § 1 ods. 4 použije Občiansky zákonník účinný od 1. júla 2027; vznik, platnosť a právne účinky právnych úkonov uskutočnených pred týmto dňom sa posudzujú podľa doterajších predpisov.“ Odôvodnenie: Podľa § 1893 ods. 3 nového Občianskeho zákonníka sa právne vzťahy vzniknuté pred jeho účinnosťou, ak nie je ustanovené inak, spravujú doterajšími predpismi. Pri doslovnom výklade by sa tak pracovný pomer založený pred 1. júlom 2027 spravoval kombináciou novelizovaného Zákonníka práce a Občianskeho zákonníka z roku 1964, a to počas celého jeho trvania. Zamestnávateľ by tak súčasne uplatňoval dva odlišné režimy podľa toho, kedy zamestnanec nastúpil, napríklad pri vadách vôle (relatívna neplatnosť alebo zrušiteľnosť), premlčaní, zastúpení či dôjdení a doručovaní písomností. To by viedlo k právnej neistote, zvýšenej administratívnej záťaži a riziku chýb pri skončení pracovného pomeru. Možnosť strán dohodnúť sa na použití nového Občianskeho zákonníka podľa § 1893 ods. 4 tento problém nerieši, pretože by vyžadovala samostatnú dohodu s každým zamestnancom. Navrhované prechodné ustanovenie využíva výhradu „ak nie je ustanovené inak“ a zabezpečí jednotný režim pre všetky pracovnoprávne vzťahy. Zároveň nejde o pravú retroaktivitu, pretože úkony uskutočnené pred 1. júlom 2027 sa naďalej posudzujú podľa doterajších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30 platného zákona č. 162/1995 Z. z., a to v nadväznosti na novú právnu úpravu Občianskeho zákonníka. Nový Občiansky zákonník zavádza nový inštitút, ktorým je vyhlásenie vlastníka domu. Zároveň podľa Nového Občianskeho zákonníka môže príslušenstvo domu a priľahlé pozemky slúžiť viacerým domom. Uvedenou úpravou sa rieši otázka areálových pozemkov (pozemkov a príslušenstva v rámci areálov v ktorých sú alebo majú byť viaceré bytové domy). V súčasnosti je však bežnou praxou, že domy v rámci projektov sa stavajú postupne, vo viacerých etapách alebo fázach. Preto vznikajú situácie, že niektorý dom už môže byť postavený, pričom výstavba iných domov ani len nezačala. Priľahlé pozemky a príslušenstvo však majú slúžiť spoločne tak domom, ktoré boli postavené, ako aj domom, ktoré sa v rámci projektu ešte len stavajú alebo budú stavať. Preto je nevyhnutne potrebné, aby právna úprava zákona č. 162/1995 Z. z. upravila, okrem povinných príloh k vyhláseniu vlastníka domu, aj prílohy a náležitosti vyhlásenia vlastníka domu, ktoré bude označovať priľahlé pozemky a príslušenstvo k viacerým domom v rámci určitého projektu. Takýmto spôsobom sa napĺňa aj cieľ právnej úpravy nového Občianskeho zákonníka, ktorým je vyriešiť problematiku vlastníckych vzťahov a správy v rámci tzv. areálových pozemkov. Navrhujeme preto doplniť § 30 platného zákona č. 162/1995 Z. z. aj o úpravu náležitostí vyhlásenia vlastníka domu, ktoré sa bude prikladať, ako príloha návrhu na vklad, v prípadoch, ak budú priľahlé pozemky a príslušenstvo slúžiť viacerým domom, a to aj domom, ktoré sa majú ešte len postaviť.</w:t>
              <w:br/>
            </w:r>
            <w:r>
              <w:rPr>
                <w:b w:val="off"/>
                <w:color w:val="000000"/>
                <w:rFonts w:ascii="Times New Roman" w:hAnsi="Times New Roman" w:cs="Times New Roman" w:eastAsia="Times New Roman"/>
                <w:sz w:val="24"/>
              </w:rPr>
              <w:t xml:space="preserve">Návrh úpravy: </w:t>
              <w:br/>
            </w:r>
            <w:r>
              <w:rPr>
                <w:b w:val="off"/>
                <w:color w:val="000000"/>
                <w:rFonts w:ascii="Times New Roman" w:hAnsi="Times New Roman" w:cs="Times New Roman" w:eastAsia="Times New Roman"/>
                <w:sz w:val="24"/>
              </w:rPr>
              <w:t>„(6) Ak je prílohou návrhu na vklad vyhlásenie vlastníka domu alebo dohoda spoluvlastníkov podľa Občianskeho zákonníka,2a), v ktorom sú označené priľahlé pozemky a príslušenstvo, ktoré majú slúžiť viacerým domom, vyhlásenie vlastníka domu alebo dohoda spoluvlastníkov musí obsahovať okrem náležitostí podľa Občianskeho zákonníka aj označenie:</w:t>
              <w:br/>
            </w:r>
            <w:r>
              <w:rPr>
                <w:b w:val="off"/>
                <w:color w:val="000000"/>
                <w:rFonts w:ascii="Times New Roman" w:hAnsi="Times New Roman" w:cs="Times New Roman" w:eastAsia="Times New Roman"/>
                <w:sz w:val="24"/>
              </w:rPr>
              <w:t>(a)	domov, ktorým majú priľahlé pozemky a príslušenstvo slúžiť a ak nie sú takéto domy ešte postavené, určenie pozemkov, na ktorých majú byť postavené;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príslušenstva, ktoré má slúžiť viacerým domom a ak toto príslušenstvo ešte nie je postavené, určenie pozemkov, na ktorých má byť postavené príslušenstvo podľa § 1688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priľahlých pozemkov, ktoré majú slúžiť viacerým domom;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veľkosti spoluvlastníckych podielov všetkých vlastníkov bytov a nebytových priestorov v domoch na príslušenstve a priľahlých pozemkoch, ktoré majú slúžiť viacerým domom a ak niektorý z domov ešte nie je postavený spôsob určenia veľkosti spoluvlastníckych podielov všetkých vlastníkov bytov a nebytových priestorov na priľahlých pozemkoch a príslušenstve po jeho zápise do katastra.</w:t>
              <w:br/>
            </w:r>
            <w:r>
              <w:rPr>
                <w:b w:val="off"/>
                <w:color w:val="000000"/>
                <w:rFonts w:ascii="Times New Roman" w:hAnsi="Times New Roman" w:cs="Times New Roman" w:eastAsia="Times New Roman"/>
                <w:sz w:val="24"/>
              </w:rPr>
              <w:t>(7)  Ak niektorý z domov, ktorému majú slúžiť priľahlé pozemky a príslušenstvo, ešte nie je postavený, vyhlásenie alebo dohoda spoluvlastníkov určí, či okresný úrad zapíše ako spoluvlastníka priľahlých pozemkov a príslušenstva vlastníka pozemku, na ktorom má byť dom postavený, alebo vlastníkov bytov a nebytových priestorov v dome, ktorý už je zapísaný v katastri, a to s veľkosťou spoluvlastníckych podielov určených vo vyhlásení alebo dohode spoluvlastníkov podľa odseku 6. Po zápise ďalšieho postaveného domu do katastra a vklade vlastníckeho práva k bytom a nebytovým priestorom v tomto dome okresný úrad zapíše ako spoluvlastníkov priľahlých pozemkov a príslušenstva všetkých vlastníkov bytov a nebytových priestorov v dome, a to s veľkosťou spoluvlastníckych podielov podľa spôsobu určeného vo vyhlásení alebo dohode spoluvlastníkov podľa odseku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19 § 15 zákona č. 311/2001 Z. z. Zákonník práce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 Zákonníka práce v znení návrhu zákona navrhujeme nahradiť nasledovným znením:</w:t>
              <w:br/>
            </w:r>
            <w:r>
              <w:rPr>
                <w:b w:val="off"/>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Spôsob prejavu vôle</w:t>
              <w:br/>
            </w:r>
            <w:r>
              <w:rPr>
                <w:b w:val="off"/>
                <w:color w:val="000000"/>
                <w:rFonts w:ascii="Times New Roman" w:hAnsi="Times New Roman" w:cs="Times New Roman" w:eastAsia="Times New Roman"/>
                <w:sz w:val="24"/>
              </w:rPr>
              <w:t>(1) V pracovnoprávnych vzťahoch nemožno právny úkon týkajúci sa vzniku, zmeny a skončenia pracovného pomeru uskutočniť výlučne prostredníctvom činnosti automatizovaného systému zamestnávateľa alebo inej osoby bez individuálneho posúdenia oprávnenou fyzickou osobou.</w:t>
              <w:br/>
            </w:r>
            <w:r>
              <w:rPr>
                <w:b w:val="off"/>
                <w:color w:val="000000"/>
                <w:rFonts w:ascii="Times New Roman" w:hAnsi="Times New Roman" w:cs="Times New Roman" w:eastAsia="Times New Roman"/>
                <w:sz w:val="24"/>
              </w:rPr>
              <w:t>(2) Iný právny úkon v pracovnoprávnych vzťahoch možno uskutočniť prostredníctvom automatizovaného systému, ak je zabezpečená možnosť jeho preskúmania oprávnenou fyzickou osobou. Tým nie je dotknuté použitie automatizovaného systému na technické vyhotovenie, odoslanie, doručenie, evidenciu alebo spracovanie právneho úkonu.“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zákona obsahuje absolútny zákaz uskutočnenia akéhokoľvek právneho úkonu prostredníctvom automatizovaného systému bez rozlíšenia medzi rozhodnutiami s významným dopadom na postavenie zamestnanca a rutinnými alebo technickými úkonmi. Takéto pravidlo môže neprimerane obmedziť elektronické HR procesy zamestnávateľov, hoci návrh nového Občianskeho zákonníka v § 48 výslovne pripúšťa prejav vôle prostredníctvom činnosti automatizovaného systému v moci osoby uskutočňujúcej prejav vôle. Navrhovaná úprava znenia návrhu zákona zachováva požiadavku individuálneho ľudského posúdenia pri právnych úkonoch týkajúcich sa vzniku, zmeny a skončenia pracovného pomeru, teda pri úkonoch s najzávažnejším dopadom na pracovnoprávne postavenie zamestnanca. Súčasne však nevylučuje využívanie automatizácie pri rutinných procesoch, ako je napríklad automatické generovanie mzdových dokladov, evidencia pracovného času a dovolenky alebo automatické notifikácie o schválení žiadostí podľa vopred stanovených pravidiel. Posledná veta navrhovanej úpravy znenia odseku 2 zároveň výslovne vyjasňuje, že zákaz sa nevzťahuje na čisto technické operácie, ako sú technické vyhotovenie, odoslanie, doručenie, evidencia alebo spracovanie právneho úkonu, keďže tieto operácie samy osebe nie sú právnym úkonom, ale len jeho technickou realizáciou. Cieľom pripomienky je zabezpečiť proporcionálnu právnu úpravu, ktorá chráni zamestnanca pri právnych úkonoch s najvýznamnejšími dôsledkami pre jeho pracovnoprávne postavenie a zároveň neukladá zamestnávateľom povinnosť rezignovať na využívanie moderných technológií pri bežnej prevádzkovej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zákona č. 311/2001 Z. z. Zákonník práce v znení neskorších predpisov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 ods. 6 Zákonníka práce v znení návrhu zákona navrhujeme nahradiť nasledovným znením:</w:t>
              <w:br/>
            </w:r>
            <w:r>
              <w:rPr>
                <w:b w:val="off"/>
                <w:color w:val="000000"/>
                <w:rFonts w:ascii="Times New Roman" w:hAnsi="Times New Roman" w:cs="Times New Roman" w:eastAsia="Times New Roman"/>
                <w:sz w:val="24"/>
              </w:rPr>
              <w:t>„(6) Zamestnávateľ sa môže so zamestnancom písomne dohodnúť na doručovaní písomností podľa odsekov 1 a 3 elektronickými prostriedkami podpísaných elektronickým podpisom; ustanovenia odsekov 1 až 5 sa nepoužijú. Dohoda podľa prvej vety môže byť vyhotovená v elektronickej podobe a podpísaná obidvoma stranami elektronickým podpisom. Na podpis dohody a písomností podľa prvej vety postačuje elektronický podpis podľa § 72 ods. 3 písm. b) Občianskeho zákonníka. Zamestnávateľ doručuje písomnosti zamestnancovi na elektronickú adresu, ktorú zamestnanec určil a ktorá nie je v dispozícii zamestnávateľa. Na doručovanie podľa prvej vety sa primerane použijú ustanovenia Občianskeho zákonníka o pôsobení prejavu vôle.“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zákona zavádza možnosť elektronického doručovania vybraných pracovnoprávnych písomností, viaže ju však výlučne na kvalifikovaný elektronický podpis na strane zamestnávateľa aj zamestnanca. Takáto podmienka môže praktickú využiteľnosť nového režimu výrazne obmedziť, prípadne z praktického pohľadu takmer vylúčiť, najmä ak zamestnanec alebo budúci zamestnanec kvalifikovaným elektronickým podpisom nedisponuje, čo je v praxi prevažujúci prípad. Pre bežného zamestnanca alebo budúceho zamestnanca je jeho získanie spojené s dodatočnými nákladmi, administratívnou záťažou a technickými požiadavkami, ktoré väčšina osôb nie je ochotná alebo schopná splniť. Požiadavka výlučného použitia kvalifikovaného elektronického podpisu tak môže predstavovať dodatočnú technickú a administratívnu prekážku elektronizácie pracovnoprávnych vzťahov. Zavedenie takejto požiadavky by preto paradoxne mohlo vyznieť nie ako krok vpred v digitalizácii pracovnoprávnych vzťahov, ale naopak ako faktická prekážka širšieho využívania elektronického doručovania. Technologicky neutrálna úprava pritom umožňuje rozvoj elektronických procesov pri súčasnom zachovaní požadovanej úrovne právnej istoty. Porovnateľná právna úprava v okolitých krajinách, napríklad český Zákonník práce, nevychádza z výlučnej požiadavky použitia kvalifikovaného elektronického podpisu a ponecháva širší priestor pre technologicky neutrálne riešenia. V tomto smere ustanovenie § 21 pri uzatváraní pracovnej zmluvy, dohôd o prácach vykonávaných mimo pracovného pomeru, ich zmien, ako aj dohôd o ich skončení prostredníctvom siete alebo služby elektronických komunikácií nekladie žiadnu požiadavku na kvalitu podpisu; ochranu zamestnanca zabezpečuje povinnosťou zamestnávateľa zaslať vyhotovenie na elektronickú adresu zamestnanca, ktorá nie je v dispozícii zamestnávateľa, a právom zamestnanca od pracovnej zmluvy, dohody alebo ich zmien v lehote 7 dní odstúpiť. Poukázať možno aj na osobitnú úpravu elektronického doručovania podľa § 335 a § 337 českého Zákonníka práce, ktorá sa vzťahuje najmä na jednostranné pracovnoprávne úkony a rozlišuje požiadavky na podpis podľa toho, či písomnosť doručuje zamestnávateľ alebo zamestnanec. Návrh zákona tak v porovnaní s českou právnou úpravou, s ktorou slovenská právna úprava pracovnoprávnych vzťahov vykazuje tradične úzku súvislosť, smeruje k výrazne reštriktívnejšiemu riešeniu, ktorého vecné opodstatnenie nie je zrejmé. Návrh nového Občianskeho zákonníka pritom v § 72 a § 73 tiež pracuje so širšou technologicky neutrálnou koncepciou písomnej elektronickej formy. Totožnosť osoby možno spoľahlivo preukázať aj inými spôsobmi než výlučne použitím kvalifikovaného elektronického podpisu. Ochranu zamestnanca možno zabezpečiť súborom požiadaviek vzťahujúcich sa na celý elektronický proces, napríklad preukázaním identity podpisujúcej osoby, integrity a obsahu písomnosti, času jej odoslania a doručenia, ako aj zabezpečením možnosti uchovať dokument na trvanlivom médiu. Uprednostnenie technologicky neutrálneho riešenia by umožnilo efektívnejší rozvoj elektronických procesov a zároveň by podporilo cieľ digitalizácie pracovnoprávnych vzťahov pri zachovaní primeranej úrovne právnej istoty a ochrany zamestnanca.</w:t>
              <w:br/>
            </w:r>
            <w:r>
              <w:rPr>
                <w:b w:val="off"/>
                <w:color w:val="000000"/>
                <w:rFonts w:ascii="Times New Roman" w:hAnsi="Times New Roman" w:cs="Times New Roman" w:eastAsia="Times New Roman"/>
                <w:sz w:val="24"/>
              </w:rPr>
              <w:t>Navrhujeme preto, aby na uzavretie dohody o elektronickom doručovaní a na podpis písomností doručovaných elektronickými prostriedkami postačoval elektronický podpis podľa § 72 ods. 3 písm. b) nového Občianskeho zákonníka, ktorý podpis v elektronickej podobe vymedzuje široko – nemusí ísť o kvalifikovaný ani zaručený podpis. Podľa čl. 25 ods. 1 nariadenia eIDAS nemožno elektronickému podpisu uprieť právny účinok ani prípustnosť ako dôkazu len preto, že nie je kvalifikovaný. Bezpečnosť a preukázateľnosť zabezpečujú ďalšie prvky úpravy: (i) elektronické doručovanie je možné len na základe dohody, (ii) zamestnávateľ doručuje na elektronickú adresu určenú zamestnancom, ktorá nie je v dispozícii zamestnávateľa, (iii) podľa § 73 ods. 1 nového Občianskeho zákonníka sa predpokladá, že úkon uskutočnený z elektronickej adresy alebo účtu, ktoré konajúca osoba oznámila adresátovi, je úkonom tejto osoby, a (iv) podpisové platformy (napr. DocuSign, Adobe Sign) uchovávajú elektronický záznam o priebehu podpisovania (najmä čas podpisu, IP adresu a spôsob overenia totožnosti podpisujúceho), ktorý umožňuje preukázať autorstvo aj integritu dokumentu. Riziko sporu o pravosť podpisu znáša strana, ktorá doručenie preukazuje; postavenie zamestnanca sa tým nezhoršuje oproti listinnému doručovaniu, pri ktorom sa tiež nevyžaduje úradne overený podpis. Kvalifikovaný alebo zaručený elektronický podpis zostane naďalej prípustný ako vyššia forma.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CXCVII bod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 21 ods. 4 znie: </w:t>
              <w:br/>
            </w:r>
            <w:r>
              <w:rPr>
                <w:b w:val="off"/>
                <w:color w:val="000000"/>
                <w:rFonts w:ascii="Times New Roman" w:hAnsi="Times New Roman" w:cs="Times New Roman" w:eastAsia="Times New Roman"/>
                <w:sz w:val="24"/>
              </w:rPr>
              <w:t>„(4) Povinnosti zodpovedajúce oprávneniam podľa odseku 1 sú služobnosťami55) vznikajúcimi zo zákona viaznúce na dotknutých nehnuteľnostiach, na ktoré sa primerane aplikujú ustanovenia o služobnosti inžinierskej siete55a). Bez toho, aby to muselo byť výslovne dohodnuté, oprávnenia podľa odseku 1 zahŕňajú aj oprávnenia podľa § 1576 ods. 3 Občianskeho zákonníka, a to za rovnakých podmienok, aké platia pre vznik oprávnení podľa odseku 1. Návrh na vykonanie záznamu do katastra nehnuteľností56) podá podnik v lehote do 90 dní od zriadenia verejnej siete, postavenia alebo umiestnenia jej vedenia alebo jej inej časti na cudzej nehnuteľnosti alebo v cudzej nehnuteľnosti podľa odseku 1; ak sa však vedenie alebo iná časť siete na cudzej nehnuteľnosti zriaďuje, stavia alebo umiestňuje v rámci výstavby líniovej stavby, návrh na vykonanie záznamu do katastra nehnuteľností podá podnik do 90 dní od ukončenia výstavby líniovej stavby. Služobnosť podľa prvej vety prechádza na nadobúdateľa zaťaženej nehnuteľnosti aj v prípade, že táto služobnosť nie je zapísaná v katastri nehnuteľností.  Ak dôjde k prevodu alebo prechodu vlastníctva siete alebo jej časti, vrátane pridružených prostriedkov, vo vzťahu ku ktorej vznikli oprávnenia podľa odseku 1, oprávnenia podľa odseku 1 prechádzajú na nového vlastníka, ak je podnikom.“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55 a 55a znejú:</w:t>
              <w:br/>
            </w:r>
            <w:r>
              <w:rPr>
                <w:b w:val="off"/>
                <w:color w:val="000000"/>
                <w:rFonts w:ascii="Times New Roman" w:hAnsi="Times New Roman" w:cs="Times New Roman" w:eastAsia="Times New Roman"/>
                <w:sz w:val="24"/>
              </w:rPr>
              <w:t>„55) § 1556 až 1584 Občianskeho zákonníka.</w:t>
              <w:br/>
            </w:r>
            <w:r>
              <w:rPr>
                <w:b w:val="off"/>
                <w:color w:val="000000"/>
                <w:rFonts w:ascii="Times New Roman" w:hAnsi="Times New Roman" w:cs="Times New Roman" w:eastAsia="Times New Roman"/>
                <w:sz w:val="24"/>
              </w:rPr>
              <w:t>55a) § 1576 až § 1578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upresniť formuláciu tak, aby bolo zrejmé, že oprávnenia podľa § 21 ods. 1 sú služobnosťami, ktoré vznikajú zo zákona a že ustanovenia OZ o služobnosti  inžinierskej siete sa na ne uplatňujú subsidiárne. Vzhľadom na dikciu § 1576 ods. 3, ktorá hovorí o výslovnej dohode, navrhujeme znenie doplniť tak, aby bolo jednoznačné, že oprávnenia podľa § 21 ods. 1 ZEK zahŕňajú aj oprávnenia § 1576 ods. 3 OZ. Zároveň s ohľadom na ustanovenia § 1470 a 1471 OZ navrhujeme ustanoviť, že služobnosti podľa § 21 ZEK prechádzajú na nadobúdateľa nehnuteľnosti aj v prípade, ak nie sú zapísané v katastri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CXCVII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Čl. CXCVII navrhujeme doplniť nový bod 8 v nasledovnom znení:</w:t>
              <w:br/>
            </w:r>
            <w:r>
              <w:rPr>
                <w:b w:val="off"/>
                <w:color w:val="000000"/>
                <w:rFonts w:ascii="Times New Roman" w:hAnsi="Times New Roman" w:cs="Times New Roman" w:eastAsia="Times New Roman"/>
                <w:sz w:val="24"/>
              </w:rPr>
              <w:t>8. Za § 131g sa vkladá § 131h, ktorý vrátane nadpisu znie:</w:t>
              <w:br/>
            </w:r>
            <w:r>
              <w:rPr>
                <w:b w:val="off"/>
                <w:color w:val="000000"/>
                <w:rFonts w:ascii="Times New Roman" w:hAnsi="Times New Roman" w:cs="Times New Roman" w:eastAsia="Times New Roman"/>
                <w:sz w:val="24"/>
              </w:rPr>
              <w:t>„§ 131h</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 xml:space="preserve">(1) Oprávnenia k cudzím nehnuteľnostiam, ako aj obmedzenia ich užívania, ktoré zostali zachované podľa § 131 ods. 6 zostávajú zachované aj po 30.6.2026, avšak na výkon práv a povinností z týchto oprávnení a obmedzení sa primerane uplatňujú ustanovenia § 21 ods. 6 a 7. </w:t>
              <w:br/>
            </w:r>
            <w:r>
              <w:rPr>
                <w:b w:val="off"/>
                <w:color w:val="000000"/>
                <w:rFonts w:ascii="Times New Roman" w:hAnsi="Times New Roman" w:cs="Times New Roman" w:eastAsia="Times New Roman"/>
                <w:sz w:val="24"/>
              </w:rPr>
              <w:t>(2) Povinnosti zodpovedajúce oprávneniam podľa odseku 1 prechádzajú na nadobúdateľa dotknutej nehnuteľnosti aj v prípade, ak nie sú zapísané v katastri nehnuteľností.</w:t>
              <w:br/>
            </w:r>
            <w:r>
              <w:rPr>
                <w:b w:val="off"/>
                <w:color w:val="000000"/>
                <w:rFonts w:ascii="Times New Roman" w:hAnsi="Times New Roman" w:cs="Times New Roman" w:eastAsia="Times New Roman"/>
                <w:sz w:val="24"/>
              </w:rPr>
              <w:t xml:space="preserve">(3) Vecné bremená podľa § 21 ods. 1, ktoré vznikli do 30. júna 2027 sa považujú za služobnosti podľa § 21 ods. 1 v znení účinnom od 1.7.2027. </w:t>
              <w:br/>
            </w:r>
            <w:r>
              <w:rPr>
                <w:b w:val="off"/>
                <w:color w:val="000000"/>
                <w:rFonts w:ascii="Times New Roman" w:hAnsi="Times New Roman" w:cs="Times New Roman" w:eastAsia="Times New Roman"/>
                <w:sz w:val="24"/>
              </w:rPr>
              <w:t>(4) Ustanovenia poslednej vety § 21 ods. 14 sa uplatňujú aj na vecné bremená, ktoré vznikli do 30.6.2027, ako aj na oprávnenia k cudzím nehnuteľnostiam uvedeným v odseku 1, ktoré nie sú vecnými bremenami.“.“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ZEKu prechodné ustanovenia, ktoré by reflektovali zmeny prijaté od 1.7.2027. Navrhujeme, aby oprávnenia, ktoré zostali zachované podľa § 131 ods. 6 ZEK, zostali zachované aj naďalej, avšak aby sa na výkon týchto oprávnení vzťahoval § 21 ods. 6 a 7 ZEKu a aby tieto povinnosti prechádzali na nadobúdateľa nehnuteľnosti aj v prípade, ak nie sú zapísané v katastri nehnuteľností. Zároveň navrhujeme, aby sa vecné bremená podľa § 21 ZEK, ktoré vznikli do 30.6. 2027 považovali za služobnosti podľa znenia ZEK účinného od 1.7. 2027. Zároveň navrhujeme, aby sa zachovalo uplatňovanie poslednej vety § 21 ods. 14 ZEK aj na vecné bremená, ktoré vznikli do 30.6.2027 a aj na prípadné iné zachované zákonné oprávnenia k cudzím nehnuteľnostiam, ktoré nie sú vecnými bremenami (napr. oprávnenia podľa zákona č. 195/2000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6., §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jasnejšie princíp konania za zamestnávateľa a v súlade s úpravou v Občianskom zákonníka. Nie je jasné, aký má byť rozdiel medzi písm a) – konaním na základe poverenia, písm b) – konaním na základe udeleného plnomocenstva a písm c) ak to vyplýva z výkonu funkcie a kedy a či má zamestnávateľ udeliť splnomocnenie alebo poverenie. Občiansky zákonník pracuje s inštitútom plnomocenstva, pričom pre zákonné zastúpenie na základe výkonu určitej funkcie používa pojem prevádzkové plnomocenstvo (aktuálny § 15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LII</w:t>
              <w:br/>
            </w:r>
            <w:r>
              <w:rPr>
                <w:b w:val="off"/>
                <w:color w:val="000000"/>
                <w:rFonts w:ascii="Times New Roman" w:hAnsi="Times New Roman" w:cs="Times New Roman" w:eastAsia="Times New Roman"/>
                <w:sz w:val="24"/>
              </w:rPr>
              <w:t>V zákone č. 566/2001 Z. z. (o cenných papieroch) je potrebné zohľadniť osobitnú úpravu podzáložného práva (§ 1661 až 1664), ktorá bola doplnená do znenia nového Občianskeho zákonníka v rámci jeho schvaľovania v Národnej rade Slovenskej republiky. Navrhujeme preto doplniť ustanovenia upravujúce podzáložné právo, ak je podzálohom cenný papier, s cieľom zabezpečiť jednoznačné podmienky jeho registrácie, zmeny, výmazu a výkonu, ako aj poskytovania údajov z príslušnej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navrhovaná úprava vychádza z primeraného použitia existujúcich ustanovení o záložnom práve. Osobitné pravidlá navrhujeme doplniť tam, kde je vzhľadom na odvodenú povahu podzáložného práva vhodné alebo potrebné. Jednotlivé návrhy uvedené v tejto pripomienke tvoria vzájomne súvisiaci celok, ktorého účelom je zabezpečiť právnu istotu a praktickú vykonateľnosť novej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Základná úprava podzáložného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tretej časti zákona navrhujeme doplniť nový paragraf s názvom „Podzáložné právo“ s cieľom vymedziť základné pravidlá pre úpravu podzáložného práva. Konkrétne:</w:t>
              <w:br/>
            </w:r>
            <w:r>
              <w:rPr>
                <w:b w:val="off"/>
                <w:color w:val="000000"/>
                <w:rFonts w:ascii="Times New Roman" w:hAnsi="Times New Roman" w:cs="Times New Roman" w:eastAsia="Times New Roman"/>
                <w:sz w:val="24"/>
              </w:rPr>
              <w:t xml:space="preserve">(1)	Ak je podzálohom cenný papier, na vznik, zmenu, zánik a výmaz podzáložného práva a výkon súvisiacich práv sa primerane použijú ustanovenia tohto zákona o záložnom práve, ak tento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Podzáložné právo sa registruje v registri záložných práv pri záložnom práve k cennému papieru, ktoré zabezpečuje založenú pohľadávku. Registrácia vzniku, zmeny a výmazu podzáložného práva sa vykonáva ako zmena zápisu o tomto záložnom práve. Príkaz podľa § 50 musí obsahovať údaje umožňujúce jednoznačnú identifikáciu záložného práva, pri ktorom sa podzáložné právo registruje, identifikačné údaje záložného veriteľa a údaje o podzáložnom práve podľa § 47 ods. 2. K príkazu na registráciu vzniku podzáložného práva sa prikladá písomné potvrdenie o obsahu zmluvy o založení pohľadávky zabezpečenej záložným právom k cennému papieru, ktoré obsahuje údaje požadované pre tento príkaz a podpisy záložného veriteľa a podzáložného veriteľa. Ak sa zmena podzáložného práva týka údajov uvedených v tomto potvrdení, k príkazu sa prikladá písomné potvrdenie o zmene obsahu tejto zmluvy podpísané oboma veriteľmi alebo doklad preukazujúci iný dôvod zmeny podzáložného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zánik podzáložného práva sa primerane použijú ustanovenia Občianskeho zákonníka o dôvodoch zániku záložného práva. Podzáložné právo zaniká aj zánikom záložného práva k cennému papieru, ktoré zabezpečuje založenú pohľadávku. Ak centrálny depozitár vykoná výmaz tohto záložného práva, súčasne vykoná aj výmaz podzáložného práva registrovaného pri tomto záložnom práve bez potreby podania samostatného príkazu. Centrálny depozitár oznámi výmaz podzáložného práva podzáložnému veriteľovi na adresu registrovanú pri tomto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sa na základe príkazu podaného podľa § 50 vykoná pri záložnom práve alebo pri podzáložnom práve registrovanom pri tomto záložnom práve zmena údajov, ktoré sú spoločné pre obe práva, centrálny depozitár vykoná zodpovedajúcu zmenu aj pri súvisiacom práve bez potreby podania samostatného príkazu, ak je z predložených podkladov preukázané, že zmena sa vzťahuje na obe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Zmluva o založení pohľadávky zabezpečenej záložným právom k cennému papieru sa spravuje ustanoveniami Občianskeho zákonníka o podzáložnom práve, ak tento zákon neustanovuje inak. Zmluva musí mať písomnú 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je pri záložnom práve k cennému papieru už zriadené podzáložné právo, ďalšie podzáložné právo pri tomto záložnom práve nemožno zriadiť.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Podzáložný veriteľ je povinný zamýšľaný predaj cenného papiera pri výkone podzáložného práva písomne oznámiť záložcovi podzálohu a záložnému veriteľovi. Ak záložca podzálohu alebo záložný veriteľ pred predajom cenného papiera preukáže podzáložnému veriteľovi zánik záložného práva zabezpečujúceho založenú pohľadávku, podzáložný veriteľ nie je oprávnený cenný papier predať, a to ani vtedy, ak výmaz záložného práva alebo podzáložného práva z registra záložných práv ešte nebol vykonaný. Ak už podzáložný veriteľ poveril predajom obchodníka s cennými papiermi, je povinný bezodkladne mu oznámiť túto skutočnosť.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1 - Ustanovuje sa všeobecné pravidlo primeraného použitia ustanovení o záložnom práve na podzáložné právo, ak je podzálohom cenný papier. Existujúca úprava sa tak využije aj pre tento zabezpečovací inštitút, pričom osobitné pravidlá sa ustanovia tam, kde to vyžaduje jeho povaha.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2 - Registrácia pri pôvodnom záložnom práve vyjadruje odvodenú povahu podzáložného práva a zabezpečuje evidenčnú väzbu medzi oboma právami s cieľom dosiahnuť konzistentnosť údajov. Spresňuje sa, že jednotlivé registračné úkony sa vykonávajú ako zmena existujúceho zápisu o záložnom práve. Zachovávajú sa príslušné postupy podľa § 50 vrátane požiadaviek na predkladané podklady; príkaz sa dopĺňa o údaje potrebné na registráciu podzáložného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3 - Popri dôvodoch zániku záložného práva, ktoré sa primerane uplatnia aj na podzáložné právo, sa výslovne ustanovuje jeho zánik pri zániku pôvodného záložného práva zabezpečujúceho založenú pohľadávku. Na tento právny následok nadväzuje spoločný výmaz oboch práv bez potreby samostatného príkazu na výmaz podzáložného práva. Cieľom je predísť zachovaniu neaktuálneho záznamu o podzáložnom práve po výmaze pôvodného záložného práva a znížiť administratívne zaťaženie dotknutých osôb. Informovanie podzáložného veriteľa ostáva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4 - Navrhuje sa umožniť premietnutie zmeny spoločných údajov do evidencie oboch súvisiacich práv bez potreby podania ďalšieho príkazu. Ide najmä o zmeny identifikačných údajov záložného veriteľa. Podmienkou je, aby predložené podklady preukazovali, že sa zmena vzťahuje na obe práva. Návrh neumožňuje automaticky preniesť každú zmenu pôvodného záložného práva do podzáložného práva. Osobitný význam má táto podmienka pri zmene osoby záložného veriteľa, pri ktorej treba posúdiť aj jej účinky na postavenie tejto osoby v podzáložnom vzťahu. Ustanovenie zjednodušuje evidenčný postup bez toho, aby nahrádzalo preukázanie právneho dôvodu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5 - Ustanovuje sa právny režim zmluvy, ktorou sa zakladá pohľadávka zabezpečená záložným právom k cennému papieru, a požiadavka jej písomnej formy. Odkaz na Občiansky zákonník zachováva všeobecnú úpravu podzáložného práva, pričom osobitné pravidlá zákona o cenných papieroch majú prednosť. Úprava je obdobná ako v prípade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6 – Navrhuje sa ustanoviť, že pri jednom záložnom práve k cennému papieru možno zriadiť iba jedno podzáložné právo. Po jeho zriadení sa vylučuje vznik ďalších podzáložných práv pri tomto záložnom práve, a to aj pri pluralite pôvodných záložných veriteľov. Cieľom je obmedziť súbeh odvodených práv k tomu istému zabezpečeniu a zabezpečiť prehľadnosť evidencie a jednoduchosť postupov pri registrácii, zmene, výmaze a výkone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7 - Navrhuje sa osobitná ochrana záložcu podzálohu pred predajom cenného papiera na základe už zaniknutého podzáložného práva. Dôvodom je možné časové oneskorenie medzi právnym zánikom pôvodného záložného práva, najmä v dôsledku účinného splnenia založenej pohľadávky, a jeho výmazom z registra. Písomné oznámenie zamýšľaného predaja umožní záložcovi podzálohu a pôvodnému záložnému veriteľovi preukázať zánik práva ešte pred predajom. Nevykonaný výmaz nemôže odôvodniť predaj cenného papiera, ak oprávnenie na uspokojenie z podzálohu už zaniklo. Ak bol predaj zverený obchodníkovi s cennými papiermi, musí byť o preukázanom zániku bezodkladne informovaný. Cieľom je taktiež predísť situáciám, kedy by bolo nutné v evidencii cenných papierov vykonávať oprav na účtoch z dôvodov opísaných v tomto odseku. </w:t>
              <w:br/>
            </w:r>
            <w:r>
              <w:rPr>
                <w:b w:val="off"/>
                <w:color w:val="000000"/>
                <w:rFonts w:ascii="Times New Roman" w:hAnsi="Times New Roman" w:cs="Times New Roman" w:eastAsia="Times New Roman"/>
                <w:sz w:val="24"/>
              </w:rPr>
              <w:t xml:space="preserve">Na zváženie zostáva ustanovenie minimálnej lehoty medzi doručením oznámenia záložcovi podzálohu a predajom cenného papiera, napríklad piatich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 17 ods. 5 – Zmena podoby cenného papiera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postup pri zmene podoby zaknihovaného cenného papiera na listinný, ak je pri záložnom práve registrované aj podzáložné právo. Popri informovaní podzáložného veriteľa a zachovaní účinkov oboch práv je potrebné určiť osobu oprávnenú na prevzatie listiny, podmienky jej úschovy alebo uloženia a oprávnenie na vyznačenie jednotlivých práv na listinnom cennom papieri na 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Primerané použitie ustanovení o záložnom práve neposkytuje jednoznačné riešenie odovzdania listiny a vyznačenia práv pri súbehu záložného a podzáložného práva. Najmä z neho nie je zrejmé, či podzáložný veriteľ môže vyznačiť aj pôvodné záložné právo, hoci nie je stranou pôvodného záložného vzťahu. Doplnenie má zabezpečiť jednoznačný postup emitenta, ochranu oboch veriteľov a právnu istotu centrálneho depozitára pri posudzovaní, koho požiadavku a na základe akých podkladov je oprávnený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 28 - Registrácia pozastavenia právna nakladať (PPN)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 28 ods. 3 písm. d), tak aby záložný veriteľ mohol podať príkaz na registráciu pozastavenia práva nakladať aj na účel ochrany podzáložného práva, ak mu oprávnenie podať tento príkaz vyplýva zo záložnej zmluvy. Na tento účel je možné za slová „záložný veriteľ, ak to vyplýva zo záložnej zmluvy,“ doplniť „a to aj na účel ochrany podzáložného práva vzniknutého založením jeho zabezpečenej pohľadávky“. </w:t>
              <w:br/>
            </w:r>
            <w:r>
              <w:rPr>
                <w:b w:val="off"/>
                <w:color w:val="000000"/>
                <w:rFonts w:ascii="Times New Roman" w:hAnsi="Times New Roman" w:cs="Times New Roman" w:eastAsia="Times New Roman"/>
                <w:sz w:val="24"/>
              </w:rPr>
              <w:t>Pri § 28 ods. 9 je potrebné vyjasniť zrušenie PPN pri predaji cenných papierov v rámci výkonu podzáložného práva. Ustanovenie umožňuje obchodníkovi s cennými papiermi podať príkaz na zrušenie PPN pri predaji podľa § 51. Je preto vhodné určiť, že tento postup pokrýva aj predaj na základe výkonu podzáložného práva. Riešením je napríklad, že v § 28 ods. 9 sa za slová „na ktoré bolo zriadené záložné právo“ vkladajú slová „alebo podzáložné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 28 ods. 3 písm. d) neprináša nový typ PPN ani o rozšírenie evidovaných údajov. Samotné postavenie podzáložného veriteľa by nemalo zakladať oprávnenie podať príkaz na registráciu pozastavenia práva nakladať podľa § 28 ods. 3 písm. d). Navrhovaným doplnením sa má vylúčiť pochybnosť, či zo všeobecného pravidla primeraného použitia ustanovení o záložnom práve vyplýva aj samostatné oprávnenie podzáložného veriteľa podať príkaz na registráciu pozastavenia práva nakladať. Záložný veriteľ má vlastný záujem na ochrane cenných papierov zabezpečujúcich jeho pohľadávku už pri pôvodnom záložnom práve. Pri vzniku podzáložného práva vystupuje ako záložca zabezpečenej pohľadávky, nie ako majiteľ cenných papierov oprávnený ich prevádzať. Ani ochrana podzáložného veriteľa preto nemá ísť nad rámec oprávnenia dohodnutého v pôvodnej záložnej zmluve. V zmluve o zriadení podzáložného práva sa môže pôvodný záložný veriteľ zaviazať, že v medziach tohto oprávnenia podá príkaz na registráciu pozastavenia práva nakladať.</w:t>
              <w:br/>
            </w:r>
            <w:r>
              <w:rPr>
                <w:b w:val="off"/>
                <w:color w:val="000000"/>
                <w:rFonts w:ascii="Times New Roman" w:hAnsi="Times New Roman" w:cs="Times New Roman" w:eastAsia="Times New Roman"/>
                <w:sz w:val="24"/>
              </w:rPr>
              <w:t>Doplnením § 28 ods. 9 sa výslovne umožní obchodníkovi s cennými papiermi podať príkaz na zrušenie pozastavenia práva nakladať aj pri predaji cenných papierov v rámci výkonu podzáložného práva. Odstránia sa tým pochybnosti o použití tohto postupu na základe všeobecného pravidla primeraného použitia ustanovení o záložnom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 47 – Register záložných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odsek 1 vložiť nový odsek 2, ktorý znie:</w:t>
              <w:br/>
            </w:r>
            <w:r>
              <w:rPr>
                <w:b w:val="off"/>
                <w:color w:val="000000"/>
                <w:rFonts w:ascii="Times New Roman" w:hAnsi="Times New Roman" w:cs="Times New Roman" w:eastAsia="Times New Roman"/>
                <w:sz w:val="24"/>
              </w:rPr>
              <w:t>„(2) Ak je pri záložnom práve k cennému papieru registrované aj podzáložné právo, register záložných práv obsahuje aj tieto údaje:</w:t>
              <w:br/>
            </w:r>
            <w:r>
              <w:rPr>
                <w:b w:val="off"/>
                <w:color w:val="000000"/>
                <w:rFonts w:ascii="Times New Roman" w:hAnsi="Times New Roman" w:cs="Times New Roman" w:eastAsia="Times New Roman"/>
                <w:sz w:val="24"/>
              </w:rPr>
              <w:t>a)	údaje o podzáložnom veriteľovi v rozsahu podľa odseku 1 písm. d) a e),</w:t>
              <w:br/>
            </w:r>
            <w:r>
              <w:rPr>
                <w:b w:val="off"/>
                <w:color w:val="000000"/>
                <w:rFonts w:ascii="Times New Roman" w:hAnsi="Times New Roman" w:cs="Times New Roman" w:eastAsia="Times New Roman"/>
                <w:sz w:val="24"/>
              </w:rPr>
              <w:t>b)	výšku pohľadávky zabezpečenej podzáložným právom a lehotu jej splatnosti,</w:t>
              <w:br/>
            </w:r>
            <w:r>
              <w:rPr>
                <w:b w:val="off"/>
                <w:color w:val="000000"/>
                <w:rFonts w:ascii="Times New Roman" w:hAnsi="Times New Roman" w:cs="Times New Roman" w:eastAsia="Times New Roman"/>
                <w:sz w:val="24"/>
              </w:rPr>
              <w:t>c)	dátum registrácie podzáložného práva v registri záložných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2 sa označuje ako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3 navrhujeme na konci pripojiť túto vetu: </w:t>
              <w:br/>
            </w:r>
            <w:r>
              <w:rPr>
                <w:b w:val="off"/>
                <w:color w:val="000000"/>
                <w:rFonts w:ascii="Times New Roman" w:hAnsi="Times New Roman" w:cs="Times New Roman" w:eastAsia="Times New Roman"/>
                <w:sz w:val="24"/>
              </w:rPr>
              <w:t>„Centrálny depozitár je povinný na písomnú žiadosť záložcu alebo záložného veriteľa vydať výpis z registra záložných práv obsahujúci všetky údaje evidované o príslušnom záložnom práve. Ak je pri tomto záložnom práve registrované aj podzáložné právo, výpis obsahuje aj všetky údaje o tomto podzáložnom práve a vydá sa na písomnú žiadosť záložcu, záložného veriteľa alebo podzáložného veriteľa.“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podzáložné právo je odvodený zabezpečovací inštitút, navrhujeme doplniť jeho registráciu v rámci registra záložných práv, tak, aby sa zachovala konzistentnosť údajov.</w:t>
              <w:br/>
            </w:r>
            <w:r>
              <w:rPr>
                <w:b w:val="off"/>
                <w:color w:val="000000"/>
                <w:rFonts w:ascii="Times New Roman" w:hAnsi="Times New Roman" w:cs="Times New Roman" w:eastAsia="Times New Roman"/>
                <w:sz w:val="24"/>
              </w:rPr>
              <w:t>Navrhuje sa taktiež umožniť dotknutým osobám získať úplný výpis o záložnom práve a pri registrovanom podzáložnom práve aj o oboch súvisiacich právach. Prístup záložcu, záložného veriteľa a podzáložného veriteľa k týmto údajom je potrebný na výkon ich práv a plnenie súvisiacich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 105 - Účet majiteľa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105 ods. 1 písm. c) šiestom bode navrhujeme na konci pripojiť tieto slová: „a údaj o tom, či je pri tomto záložnom práve registrované podzáložné právo, a identifikačné údaje podzáložného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 107 - Zoznam majiteľov cenných papierov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107 ods. 10 prvej vete navrhujeme za slová „a ich záložných veriteľov“ vložiť slová „a podzáložných veriteľov“.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rozšíriť zoznam poskytovaný emitentovi aj o podzáložných veriteľov, aby mal emitent informácie o všetkých osobách, ktorých zabezpečovacie práva k príslušným cenným papierom sú evidované.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Zváženie ďalších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zvážení je, či je potrebné upraviť aj § 45 ods. 4 a § 49, § 118i ods. 13 nad rámec primeraného použitia ustanovení o záložnom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Potrebné je vyhodnotiť pôsobnosť úpravy podzáložného práva vo vzťahu k osobitnej úprave finančných zábezpek, a teda najmä či ide o výnimky na ktoré sa ustanovenia o podzáložnom práve neuplatnia.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čl. LII, bod 2</w:t>
              <w:br/>
            </w:r>
            <w:r>
              <w:rPr>
                <w:b w:val="off"/>
                <w:color w:val="000000"/>
                <w:rFonts w:ascii="Times New Roman" w:hAnsi="Times New Roman" w:cs="Times New Roman" w:eastAsia="Times New Roman"/>
                <w:sz w:val="24"/>
              </w:rPr>
              <w:t>V dôvodovej správe k čl. LII, bodu 2 [§ 28 ods. 3 písm. m)] je potrebné upraviť odkaz na § 1744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CPP</w:t>
              <w:br/>
            </w:r>
            <w:r>
              <w:rPr>
                <w:b w:val="off"/>
                <w:color w:val="000000"/>
                <w:rFonts w:ascii="Times New Roman" w:hAnsi="Times New Roman" w:cs="Times New Roman" w:eastAsia="Times New Roman"/>
                <w:sz w:val="24"/>
              </w:rPr>
              <w:t>Centrum právnej pomoci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CIV obyčajná</w:t>
              <w:br/>
            </w:r>
            <w:r>
              <w:rPr>
                <w:b w:val="off"/>
                <w:color w:val="000000"/>
                <w:rFonts w:ascii="Times New Roman" w:hAnsi="Times New Roman" w:cs="Times New Roman" w:eastAsia="Times New Roman"/>
                <w:sz w:val="24"/>
              </w:rPr>
              <w:t>V súvislosti s novelizáciou vykonanou v právnych predpisoch (zákon č. 305/2005 Z. z. a zákona č. 601/2003 Z. z.),  na ktoré zákon č. 327/2005 Z. z. odkazuje je potrebná zmena textu poznámok pod čiarou v zákone č. 327/2005 Z. z. a to konkrétne:</w:t>
              <w:br/>
            </w:r>
            <w:r>
              <w:rPr>
                <w:b w:val="off"/>
                <w:color w:val="000000"/>
                <w:rFonts w:ascii="Times New Roman" w:hAnsi="Times New Roman" w:cs="Times New Roman" w:eastAsia="Times New Roman"/>
                <w:sz w:val="24"/>
              </w:rPr>
              <w:t>poznámka pod čiarou 19aa - nové znenie §2 ods. 1 písm. a) bod 3 zákona č. 305/2005 Z. z.</w:t>
              <w:br/>
            </w:r>
            <w:r>
              <w:rPr>
                <w:b w:val="off"/>
                <w:color w:val="000000"/>
                <w:rFonts w:ascii="Times New Roman" w:hAnsi="Times New Roman" w:cs="Times New Roman" w:eastAsia="Times New Roman"/>
                <w:sz w:val="24"/>
              </w:rPr>
              <w:t>poznámka pod čiarou 15l - nové znenie §2 ods. 1 písm. a) zákona č. 601/2003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aktuálna poznámka pod čiarou 19aa zákona č. 327/2005 Z. z. odkazuje na § 2 písm. a) bod 3 zákona č. 305/2005 Z. z.- navrhovanou zmenou  vykonanou v zákone č. 305/2005 Z. z. sa doterajší text § 2  bude označovať ako odsek 1 a doplní sa odsekmi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poznámka pod čiarou 15l zákona č. 327/2005 Z. z. odkazuje na § 2 písm. a) zákona č. 601/2003 Z. z. v znení neskorších predpisov- navrhovanou zmenou vykonanou v zákone č. 601/2003 Z. z. sa doterajší text § 2 bude označovať ako odsek 1 a doplní sa odsekom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CPP</w:t>
              <w:br/>
            </w:r>
            <w:r>
              <w:rPr>
                <w:b w:val="off"/>
                <w:color w:val="000000"/>
                <w:rFonts w:ascii="Times New Roman" w:hAnsi="Times New Roman" w:cs="Times New Roman" w:eastAsia="Times New Roman"/>
                <w:sz w:val="24"/>
              </w:rPr>
              <w:t>Centrum právnej pomoci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CXXIII obyčajná</w:t>
              <w:br/>
            </w:r>
            <w:r>
              <w:rPr>
                <w:b w:val="off"/>
                <w:color w:val="000000"/>
                <w:rFonts w:ascii="Times New Roman" w:hAnsi="Times New Roman" w:cs="Times New Roman" w:eastAsia="Times New Roman"/>
                <w:sz w:val="24"/>
              </w:rPr>
              <w:t xml:space="preserve">V článku CXXIII navrhujeme za písmeno V doplniť znak § (V 3 ods. 5 sa vypúšťa slovo „dieťaťa“). Nové znenie : V § 3 ods. 5 sa vypúšťa slovo „dieťaťa“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CPP</w:t>
              <w:br/>
            </w:r>
            <w:r>
              <w:rPr>
                <w:b w:val="off"/>
                <w:color w:val="000000"/>
                <w:rFonts w:ascii="Times New Roman" w:hAnsi="Times New Roman" w:cs="Times New Roman" w:eastAsia="Times New Roman"/>
                <w:sz w:val="24"/>
              </w:rPr>
              <w:t>Centrum právnej pomoci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CXXXVII Obyčajná</w:t>
              <w:br/>
            </w:r>
            <w:r>
              <w:rPr>
                <w:b w:val="off"/>
                <w:color w:val="000000"/>
                <w:rFonts w:ascii="Times New Roman" w:hAnsi="Times New Roman" w:cs="Times New Roman" w:eastAsia="Times New Roman"/>
                <w:sz w:val="24"/>
              </w:rPr>
              <w:t>V článku CXXXVII navrhujeme zmeniť poradie bodov 7 a 8.</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EXIMBANKA SR</w:t>
              <w:br/>
            </w:r>
            <w:r>
              <w:rPr>
                <w:b w:val="off"/>
                <w:color w:val="000000"/>
                <w:rFonts w:ascii="Times New Roman" w:hAnsi="Times New Roman" w:cs="Times New Roman" w:eastAsia="Times New Roman"/>
                <w:sz w:val="24"/>
              </w:rPr>
              <w:t>Exportno-importná banka Slovenskej repuliky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a dôvodovej správe, za článok XXXV navrhujeme vložiť nový článok XXXVI</w:t>
              <w:br/>
            </w:r>
            <w:r>
              <w:rPr>
                <w:b w:val="off"/>
                <w:color w:val="000000"/>
                <w:rFonts w:ascii="Times New Roman" w:hAnsi="Times New Roman" w:cs="Times New Roman" w:eastAsia="Times New Roman"/>
                <w:sz w:val="24"/>
              </w:rPr>
              <w:t>Zásadná pripomienka k návrhu zákona o zmene a doplnení niektorých zákonov</w:t>
              <w:br/>
            </w:r>
            <w:r>
              <w:rPr>
                <w:b w:val="off"/>
                <w:color w:val="000000"/>
                <w:rFonts w:ascii="Times New Roman" w:hAnsi="Times New Roman" w:cs="Times New Roman" w:eastAsia="Times New Roman"/>
                <w:sz w:val="24"/>
              </w:rPr>
              <w:t>v súvislosti s prijatím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článok XXXV žiadame vložiť nový článok XXXVI,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XXXVI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80/1997 Z. z. o Exportno-importnej banke Slovenskej republiky v znení zákona č. 336/1998 Z. z., zákona č. 214/2000 Z. z., zákona č. 623/2004 Z. z. , zákona č. 688/2006 Z. z., zákona č. 659/2007 Z. z., zákona č. 567/2008 Z. z., zákona č. 492/2009 Z. z., zákona č. 414/2012 Z. z., zákona č. 36/2013 Z. z., zákona č. 352/2013 Z. z., zákona č. 355/2013 Z. z., zákona č. 213/2014 Z. z., zákona č. 32/2015 Z. z., zákona č. 359/2015 Z. z., zákona č. 392/2015 Z. z., zákona č. 279/2017 Z. z. zákona č. 373/2018 Z. z., zákona č. 281/2019 Z. z. a zákona č. 294/2025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písm. e) sa na konci pripája bodkočiarka a tieto slová: „ak sa poskytuje finančná záruka, možno ju označiť ako banková záruka“.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24 ods. 5 písm. c) sa nad slovom „akreditívy“ vypúšťa odkaz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9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Exportno-importná banka Slovenskej republiky ako exportná úverová agentúra prostredníctvom záruk podporuje slovenských vývozcov pri realizácii ich obchodných aktivít na zahraničných trhoch, zabezpečuje plnenie ich zmluvných záväzkov a prispieva k znižovaniu rizík spojených s exportnými transakciami. Takto vystavované záruky sú štandardne označované ako bankové záruky a sú ako také akceptované účastníkmi obchodných vzťahov. Prijatím nového Občianskeho zákonníka dochádza k zrušeniu § 762 Obchodného zákonníka, ktorý zabezpečoval prepojenie právnej úpravy činnosti Exportno-importnej banky Slovenskej republiky obsiahnutej v osobitnom zákone s právnou úpravou bankových záruk obsiahnutej v Obchodnom zákonníku. Cieľom navrhovanej úpravy je zachovať kontinuitu existujúceho právneho stavu aj po zrušení § 762 Obchodného zákonníka. To znamená, že pre Exportno-importnú banku Slovenskej republiky sa neustanovuje nové právo, ale existujúca situácia sa premieta do nového právneho stavu vyvolaného prijatím Občianskeho zákonníka, ktorý nevylučuje takúto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Vypúšťa sa odkaz 9 a poznámka pod čiarou k odkazu 9 z dôvodu, že zmluvu o akreditíve už nebude upravovať Obchodný zákonník, ale bude ju upravovať nový Občiansky zákonník.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IV bodu 1 [zákon č. 563/2009 Z. z. § 2 písm. i) až k)] – Z:</w:t>
              <w:br/>
            </w:r>
            <w:r>
              <w:rPr>
                <w:b w:val="off"/>
                <w:color w:val="000000"/>
                <w:rFonts w:ascii="Times New Roman" w:hAnsi="Times New Roman" w:cs="Times New Roman" w:eastAsia="Times New Roman"/>
                <w:sz w:val="24"/>
              </w:rPr>
              <w:t>Doplnenú právnu úpravu navrhujeme vypustiť. Nevidíme dôvod, prečo by mal zákon č. 563/2009 Z. z. o správe daní (daňový poriadok)  a o zmene a doplnení niektorých zákonov v znení neskorších predpisov (ďalej len „daňový poriadok“) definovať pojmy „vec“, „nehnuteľná vec“ a „hnuteľná vec“, keďže tieto pojmy vymedzuje nový Občiansky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IV bodu 2 (zákon č. 563/2009 Z. z. § 3 ods. 6) – Z:</w:t>
              <w:br/>
            </w:r>
            <w:r>
              <w:rPr>
                <w:b w:val="off"/>
                <w:color w:val="000000"/>
                <w:rFonts w:ascii="Times New Roman" w:hAnsi="Times New Roman" w:cs="Times New Roman" w:eastAsia="Times New Roman"/>
                <w:sz w:val="24"/>
              </w:rPr>
              <w:t>V bode 2 navrhujeme vypustiť slová „dedičskú zmluvu podľa § 1740 až 1750 Občianskeho zákonníka a odkaz podľa § 1795 až 1811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tomto inštitúte neprichádza do úvahy obchádzanie daňovej povinnosti ani získanie daňového zvýhodnenia.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čl. IV bodu 5 (zákon č. 563/2009 Z. z. § 4a a 4b) – Z:</w:t>
              <w:br/>
            </w:r>
            <w:r>
              <w:rPr>
                <w:b w:val="off"/>
                <w:color w:val="000000"/>
                <w:rFonts w:ascii="Times New Roman" w:hAnsi="Times New Roman" w:cs="Times New Roman" w:eastAsia="Times New Roman"/>
                <w:sz w:val="24"/>
              </w:rPr>
              <w:t>Navrhované ustanovenia § 4a a 4b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4a ods. 1 odporúčame slová „§ 1851 a 1852“ nahradiť slovami „§ 1855 a 1856“ (oprava nesprávneho vnútorného odkazu).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„zberného“ zákona je reagovať výlučne len na zmeny súvisiace s prijatím Občianskeho zákonníka. Navrhované ustanovenia nijako nesúvisia s novým Občianskym zákonníkom. Inštitút správcu dedičstva existuje aj de lege lata. Nová právna úprava teda nezavádza nový inštitút. Predkladateľ, ale de facto navrhuje ako nový inštitút „správcu dedičstva na účely správy daní“, navrhuje upraviť „kto ním je“ bez toho, aby jednoznačne upravil otázku „aké má práva a povinnosti“. Z navrhovaných novelizácií hmotnoprávnych zákonov (napríklad zákon č. 595/2003 Z. z. o dani z príjmov v znení neskorších predpisov, zákona č. 222/2004 Z. z. o dani z pridanej hodnoty v znení neskorších predpisov a ďalšie), ale vyplýva, že predkladateľ (nesprávne) stotožňuje „správcu dedičstva na účely správy daní“ s daňovým subjektom. Okrem toho, navrhované znenie je vecne nesprávne a odporuje koncepcii Občianskeho zákonníka a procesným predpisom, napríklad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správu dedičstva podľa § 1858 Občianskeho zákonníka nevykonáva dedič, ale všetci dedičia, </w:t>
              <w:br/>
            </w:r>
            <w:r>
              <w:rPr>
                <w:b w:val="off"/>
                <w:color w:val="000000"/>
                <w:rFonts w:ascii="Times New Roman" w:hAnsi="Times New Roman" w:cs="Times New Roman" w:eastAsia="Times New Roman"/>
                <w:sz w:val="24"/>
              </w:rPr>
              <w:t xml:space="preserve">2.	správcom dedičstva nemôže byť notár ako súdny komisár, keďže tento vykonáva úkony súdu (to by sme rovno mohli povedať, že správu vykonáva príslušný okresný súd), </w:t>
              <w:br/>
            </w:r>
            <w:r>
              <w:rPr>
                <w:b w:val="off"/>
                <w:color w:val="000000"/>
                <w:rFonts w:ascii="Times New Roman" w:hAnsi="Times New Roman" w:cs="Times New Roman" w:eastAsia="Times New Roman"/>
                <w:sz w:val="24"/>
              </w:rPr>
              <w:t>3.	správca dedičstva nemôže „zastupovať“ obchodnú spoločnosť (môže vykonávať hlasovacie práva smerujúce k ustanoveniu nového konateľa).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Okrem toho, otázku prechodu práv a dlhov z dôvodu dedenia upravuje Občiansky zákonník. Túto otázku nemá upravovať samostatne daňový poriadok (navrhovaný § 4b).      V každom prípade, akékoľvek zmeny v koncepcii právnej úpravy postupu daňových orgánov po smrti daňovníka si vyžadujú širšiu odbornú diskusiu a nepatria do „zberného“ zákona na vykonanie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IV bodu 11 (zákon č. 563/2009 Z. z. § 50 ods. 6) – Z:</w:t>
              <w:br/>
            </w:r>
            <w:r>
              <w:rPr>
                <w:b w:val="off"/>
                <w:color w:val="000000"/>
                <w:rFonts w:ascii="Times New Roman" w:hAnsi="Times New Roman" w:cs="Times New Roman" w:eastAsia="Times New Roman"/>
                <w:sz w:val="24"/>
              </w:rPr>
              <w:t>V § 50 ods. 6 odporúčame navrhovaný vnútorný odkaz na § 1592 až 1660 nahradiť  užším odkazom len na tie ustanovenia Občianskeho zákonníka, ktoré ustanovujú výkon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50 ods. 6 platného zákona č. 563/2009 Z. z. o správe daní (daňový poriadok) a o zmene a doplnení niektorých zákonov v znení neskorších predpisov (ďalej len „zákon č. 563/2009 Z. z.“) ustanovuje, že predbežným opatrením nemožno obmedziť alebo zamedziť výkon záložného práva podľa Občianskeho zákonníka s odkazom v poznámkach pod čiarou na § 151j až 151md Občianskeho zákonníka upravujúce výkon záložného práva. Navrhovaná právna úprava odkazuje na § 1592 až 1660 nového Občianskeho zákonníka a odkazuje tak na takmer celý tretí diel nového Občianskeho zákonníka s výnimkou jeho jedenásteho oddielu upravujúceho záložné právo. Výkon záložného práva je však upravený v piatom oddiele tretieho dielu nového Občianskeho zákonníka (§ 1615 až § 1635) a  osobitne pri záložnom práve k pohľadávke v § 1642 a pre záložné právo k pohľadávke z účtu, vkladu alebo k pohľadávke z úveru v § 1646.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IV  bodu 32 (zákon č. 563/2009 Z. z. § 158 ods. 2) – Z:</w:t>
              <w:br/>
            </w:r>
            <w:r>
              <w:rPr>
                <w:b w:val="off"/>
                <w:color w:val="000000"/>
                <w:rFonts w:ascii="Times New Roman" w:hAnsi="Times New Roman" w:cs="Times New Roman" w:eastAsia="Times New Roman"/>
                <w:sz w:val="24"/>
              </w:rPr>
              <w:t>Novelizačný bod 32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Uvedeným novelizačným bodom sa navrhuje v § 158 ods. 2 zákona č. 563/2009 Z. z. slovo „záväzok“ nahradiť slovom „dlh“.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platného § 158 ods. 2 zákona č. 563/2009 Z. z. suma dane, na ktorej vrátenie má daňový subjekt nárok podľa tohto zákona alebo osobitných predpisov, sa na účely konkurzu a reštrukturalizácie považuje za záväzok. Uvedené ustanovenie považujeme za nesystémové, keďže pojem „záväzok“ vo význame „dlh“ podľa nového Občianskeho zákonníka sa používa aj v iných ustanoveniach zákona č. 563/2009 Z. z. (napríklad § 87 ods. 5, § 110 ods. 1, 2 a 5), ktoré sa nemenia.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V bodu 1 [zákon č. 160/2015 Z. z. § 20 písm. e)] – Z:</w:t>
              <w:br/>
            </w:r>
            <w:r>
              <w:rPr>
                <w:b w:val="off"/>
                <w:color w:val="000000"/>
                <w:rFonts w:ascii="Times New Roman" w:hAnsi="Times New Roman" w:cs="Times New Roman" w:eastAsia="Times New Roman"/>
                <w:sz w:val="24"/>
              </w:rPr>
              <w:t>Navrhujeme slová „držby práva k veci , ktorá nie je nehnuteľnosťou“ nahradiť slovami „držby práva a držby veci, ktorá nie je nehnuteľnosťou“.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Pojem „držba práva k veci“ v Občianskom zákonníku sa nevyskytuje. Občiansky zákonník  používa pojmy „držba veci“ alebo „držba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V bodu 15 (zákon č. 160/2015 Z. z. § 194a) – Z:</w:t>
              <w:br/>
            </w:r>
            <w:r>
              <w:rPr>
                <w:b w:val="off"/>
                <w:color w:val="000000"/>
                <w:rFonts w:ascii="Times New Roman" w:hAnsi="Times New Roman" w:cs="Times New Roman" w:eastAsia="Times New Roman"/>
                <w:sz w:val="24"/>
              </w:rPr>
              <w:t xml:space="preserve">Predkladateľ ponechal bez povšimnutia, že určenie výšky nároku voľným odhadom súdu je riešené (len vo vzťahu k trovám konania) v § 264 zákona č. 160/2015 Civilný sporový poriadok v znení neskorších predpisov (ďalej len „CSP“). Ustanovenie § 264 CSP tak zrejme stráca zmysel a bolo by ho vhodné vypustiť, respektíve nové ustanovenie § 194a by bolo vhodné upraviť (zosúladiť) podľa textu znenia § 264 CSP, ktoré je precíznejšie.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Poukazujeme na skutočnosť, že navrhované znenie § 194a nepredstavuje nevyhnutnú zmenu vyvolanú novým Občianskym zákonníkom.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V bodu 16 (zákon č. 160/2015 Z. z. § 218 ods. 4) – Z:</w:t>
              <w:br/>
            </w:r>
            <w:r>
              <w:rPr>
                <w:b w:val="off"/>
                <w:color w:val="000000"/>
                <w:rFonts w:ascii="Times New Roman" w:hAnsi="Times New Roman" w:cs="Times New Roman" w:eastAsia="Times New Roman"/>
                <w:sz w:val="24"/>
              </w:rPr>
              <w:t xml:space="preserve">Bod 16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rozlišovať, či je odopretie plnenia zo strany žalovaného dôvodné (vtedy má byť žaloba zamietnutá) alebo či je odopretie plnenia nedôvodné (vtedy je potrebné poňať synalagmatický záväzok do výroku rozhodnutia, pričom súd tak urobí len súc viazaný petitom).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nie je jasné, či navrhovaná úprava znamená, že súd pri synalagmatických záväzkoch koná ultra petitum.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navrhované znenie § 218 ods. 4 nepredstavuje nevyhnutnú zmenu vyvolanú novým Občianskym zákonníkom. Synalagmatické záväzky existujú aj de lege lata.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V bodu 17 (zákon č. 160/2015 Z. z. § 220 ods. 5) – Z:</w:t>
              <w:br/>
            </w:r>
            <w:r>
              <w:rPr>
                <w:b w:val="off"/>
                <w:color w:val="000000"/>
                <w:rFonts w:ascii="Times New Roman" w:hAnsi="Times New Roman" w:cs="Times New Roman" w:eastAsia="Times New Roman"/>
                <w:sz w:val="24"/>
              </w:rPr>
              <w:t>Bod 17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Predložené znenie zásadným spôsobom mení súčasnú koncepciu vykonateľnosti. Vykonateľnosť je de lege lata chápaná ako vlastnosť viesť nútený výkon rozhodnutia. Konštitutívne účinky súdneho rozhodnutia (to je aj nahradenie prejavu vôle) však vznikajú  právoplatnosťou rozsudku alebo doručením uznesenia (nie ich vykonateľnosťou).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aby súd vyhovel žalobe o nahradenie prejavu vôle len vtedy, ak žalobca synalagmatický záväzok už splnil alebo jeho splnenie zabezpečil. Výhodou tohto riešenia je, že nebude potrebný „ďalší spor“ o tom, či došlo k splneniu povinnosti žalobcu po vynesení rozsudku o nahradení prejavu vôle žalovaného. Otázka splnenia synalagmatického záväzku by sa nemala „presúvať“ z jedného súdneho sporu do ďalšieho súdneho sporu, čo by predstavovalo neželané reťazenie sporov.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znenie navrhované predkladateľom nepredstavuje nevyhnutnú zmenu vyvolanú novým Občianskym zákonníkom. Synalagmatické záväzky existujú aj de lege lata.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čl. V bodu 18 (zákon č. 160/2015 Z. z. § 229 ods. 2 a 3) – Z:</w:t>
              <w:br/>
            </w:r>
            <w:r>
              <w:rPr>
                <w:b w:val="off"/>
                <w:color w:val="000000"/>
                <w:rFonts w:ascii="Times New Roman" w:hAnsi="Times New Roman" w:cs="Times New Roman" w:eastAsia="Times New Roman"/>
                <w:sz w:val="24"/>
              </w:rPr>
              <w:t>Bod 18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je totožné ako k bodu 17 (§ 220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K čl. V bodu 20 /zákon č. 160/2015 Z. z. § 289a)/ – Z:</w:t>
              <w:br/>
            </w:r>
            <w:r>
              <w:rPr>
                <w:b w:val="off"/>
                <w:color w:val="000000"/>
                <w:rFonts w:ascii="Times New Roman" w:hAnsi="Times New Roman" w:cs="Times New Roman" w:eastAsia="Times New Roman"/>
                <w:sz w:val="24"/>
              </w:rPr>
              <w:t xml:space="preserve">V navrhovanej právnej úprave odporúčame doplniť odsek 5 v tomto znení:	</w:t>
              <w:br/>
            </w:r>
            <w:r>
              <w:rPr>
                <w:b w:val="off"/>
                <w:color w:val="000000"/>
                <w:rFonts w:ascii="Times New Roman" w:hAnsi="Times New Roman" w:cs="Times New Roman" w:eastAsia="Times New Roman"/>
                <w:sz w:val="24"/>
              </w:rPr>
              <w:t xml:space="preserve">„(5) Rozsudok o žalobe na ochranu držby je vykonateľný doručením.“.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Rozsudok musí byť predbežne vykonateľný; inak tento inštitút stráca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 K čl. VI bodu 5 [zákon č. 161/2015 Z. z. § 111 písm. l) a m)] – Z:</w:t>
              <w:br/>
            </w:r>
            <w:r>
              <w:rPr>
                <w:b w:val="off"/>
                <w:color w:val="000000"/>
                <w:rFonts w:ascii="Times New Roman" w:hAnsi="Times New Roman" w:cs="Times New Roman" w:eastAsia="Times New Roman"/>
                <w:sz w:val="24"/>
              </w:rPr>
              <w:t>V § 111 navrhujeme  za písmeno i) vložiť nové písmeno j), ktoré znie:</w:t>
              <w:br/>
            </w:r>
            <w:r>
              <w:rPr>
                <w:b w:val="off"/>
                <w:color w:val="000000"/>
                <w:rFonts w:ascii="Times New Roman" w:hAnsi="Times New Roman" w:cs="Times New Roman" w:eastAsia="Times New Roman"/>
                <w:sz w:val="24"/>
              </w:rPr>
              <w:t xml:space="preserve">„j) zúžení okruhu právnych úkonov maloletého vyžadujúcich schválenie,“.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nové písmená l) a m) dopĺňajú ustanovenie § 111 zákona č. 161/2015 Z. z. Civilný mimosporový poriadok v znení neskorších predpisov (ďalej len „CMP“) v nadväznosti na ustanovenie § 170 ods. 3 a § 171 ods. 4 nového Občianskeho zákonníka o ďalšie dve konania vo veciach starostlivosti súdu o maloletých, v ktorých súd rozhoduje o priznaní plnej spôsobilosti na právne úkony maloletému a o schválení súhlasu zákonného zástupcu maloletého, jeho zmene alebo odvolaní.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 171 ods. 3 nového Občianskeho zákonníka ustanovuje, že súd môže v záujme maloletého zúžiť okruh právnych úkonov, ktoré si vyžadujú schválenie podľa odseku 2, nie je nám zrejmý dôvod, pre ktorý sa ustanovenie § 111 CMP nedoplnilo aj o konanie vo veciach starostlivosti súdu o maloletých, v ktorom súd bude rozhodovať o zúžení okruhu právnych úkonov maloletého vyžadujúcich schválenie.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 K čl. VI bodu 7 (zákon č. 161/2015 Z. z. § 114) – Z:</w:t>
              <w:br/>
            </w:r>
            <w:r>
              <w:rPr>
                <w:b w:val="off"/>
                <w:color w:val="000000"/>
                <w:rFonts w:ascii="Times New Roman" w:hAnsi="Times New Roman" w:cs="Times New Roman" w:eastAsia="Times New Roman"/>
                <w:sz w:val="24"/>
              </w:rPr>
              <w:t xml:space="preserve">Navrhované znenie § 114 CMP navrhujeme doplniť o nový odsek ustanovujúci osobu, ktorá je oprávnená podať návrh na zúženie okruhu právnych úkonov maloletého vyžadujúcich schválenie.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Konanie o zúžení okruhu právnych úkonov maloletého vyžadujúcich schválenie môže súd začať ex offo (§ 23 ods. 2 CMP). Pokiaľ by však súd takéto konanie nezačal ex offo, je potrebné ustanovenie § 114 CMP doplniť o nový odsek ustanovujúci, kto je oprávnený podať návrh na začatie takéhoto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K čl. VI bodu 8 (zákon č. 161/2015 Z. z. § 138 ods. 3) – Z:</w:t>
              <w:br/>
            </w:r>
            <w:r>
              <w:rPr>
                <w:b w:val="off"/>
                <w:color w:val="000000"/>
                <w:rFonts w:ascii="Times New Roman" w:hAnsi="Times New Roman" w:cs="Times New Roman" w:eastAsia="Times New Roman"/>
                <w:sz w:val="24"/>
              </w:rPr>
              <w:t xml:space="preserve">Podľa navrhovaného ustanovenia rodičia dieťaťa, ktorí sú pozbavení spôsobilosti na právne úkony v plnom rozsahu už nemajú byť vylúčení z účastníctva v konaní o osvojiteľnosti. Túto zmenu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dôvodovej správy navrhovaná úprava nadväzuje na koncepciu spôsobilosti na právne úkony v Občianskom zákonníku, ktorá neumožňuje jej úplné pozbavenie. Z ustanovenia sa preto vypúšťa pozbavenie spôsobilosti na právne úkony v plnom rozsahu. V tejto súvislosti poukazujeme na § 1898 nového Občianskeho zákonníka, podľa ktorého právne účinky obmedzenia spôsobilosti na právne úkony a pozbavenia spôsobilosti na právne úkony podľa doterajších predpisov zostávajú zachované. Rovnako podľa navrhovaného ustanovenia § 396f CMP (ktoré je prechodným ustanovením k úpravám účinným od 1. júla 2027) právne účinky pozbavenia spôsobilosti na právne úkony podľa doterajších predpisov zostávajú zachované. Aj keď pozbavenie spôsobilosti na právne úkony v celom rozsahu nie je podľa procesných predpisov možné od 1. júla 2016, kedy nadobudol účinnosť CMP, po nadobudnutí účinnosti nového Občianskeho zákonníka, ktorý má nadobudnúť účinnosť od 1. júla 2027, nemožno vylúčiť situáciu, že sa bude konať o osvojiteľnosti alebo o osvojení maloletého, ktorého rodičia boli pozbavení spôsobilosti na právne úkony v plnom rozsahu podľa právnych predpisov účinných do 30. júna 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 K čl. VI  bodu 9 (zákon č. 161/2015 Z. z. § 144 ods. 2) – Z:</w:t>
              <w:br/>
            </w:r>
            <w:r>
              <w:rPr>
                <w:b w:val="off"/>
                <w:color w:val="000000"/>
                <w:rFonts w:ascii="Times New Roman" w:hAnsi="Times New Roman" w:cs="Times New Roman" w:eastAsia="Times New Roman"/>
                <w:sz w:val="24"/>
              </w:rPr>
              <w:t>Podľa navrhovaného ustanovenia rodičia dieťaťa, ktorí sú pozbavení spôsobilosti na právne úkony v plnom rozsahu už nemajú byť vylúčení z účastníctva v konaní o osvojení. Túto zmenu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Odkazujeme na odôvodnenie k bodu 8 (§ 138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  Čl. VI bodu 12 (zákon č. 161/2015 Z. z. § 176 ods. 3) – Z:</w:t>
              <w:br/>
            </w:r>
            <w:r>
              <w:rPr>
                <w:b w:val="off"/>
                <w:color w:val="000000"/>
                <w:rFonts w:ascii="Times New Roman" w:hAnsi="Times New Roman" w:cs="Times New Roman" w:eastAsia="Times New Roman"/>
                <w:sz w:val="24"/>
              </w:rPr>
              <w:t>Odsek  3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Súd na informatívnom stretnutí oboznámi s obsahom listiny pre prípad smrti osoby, ktoré by boli podľa doterajších zistení povolané dediť zo zákona, a osoby, ktoré by mohli z listiny uplatniť práva, najmä povolaných dedičov a odkazovníkov. Súd tieto osoby vopred upovedomí o informatívnom stretnutí a upozorní ich, že úkon môže byť vykonaný aj v neprítomnosti všetkých osôb, ktoré boli o úkone upovedomené.“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176 ods. 3 navrhujeme preformulovať tak, aby bolo zrejmé, že notár informuje o obsahu (napríklad závetu) všetkých, ktorí by mali dediť zo zákona, ako aj všetkých, ktorí uplatňujú dedičské (a iné) práva z listín. Len takto sa dosiahne cieľ informačnej povinnosti, aby si dotknuté osoby reálne vedeli uplatniť svoje práva (žalobou alebo v konaní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 K čl. VI bodu 14 (zákon č. 161/2015 Z. z. § 183 ods. 1 a 2) – Z:</w:t>
              <w:br/>
            </w:r>
            <w:r>
              <w:rPr>
                <w:b w:val="off"/>
                <w:color w:val="000000"/>
                <w:rFonts w:ascii="Times New Roman" w:hAnsi="Times New Roman" w:cs="Times New Roman" w:eastAsia="Times New Roman"/>
                <w:sz w:val="24"/>
              </w:rPr>
              <w:t xml:space="preserve">Z návrhu ustanovenia § 183 ods. 1 je potrebné vypustiť slová „na základe dohody dedičov“. Súd totiž ustanovuje správcu dedičstva (§ 1856 Občianskeho zákonníka) </w:t>
              <w:br/>
            </w:r>
            <w:r>
              <w:rPr>
                <w:b w:val="off"/>
                <w:color w:val="000000"/>
                <w:rFonts w:ascii="Times New Roman" w:hAnsi="Times New Roman" w:cs="Times New Roman" w:eastAsia="Times New Roman"/>
                <w:sz w:val="24"/>
              </w:rPr>
              <w:t xml:space="preserve">1.	obligatórne osobu, na ktorej sa dedičia dohodnú, </w:t>
              <w:br/>
            </w:r>
            <w:r>
              <w:rPr>
                <w:b w:val="off"/>
                <w:color w:val="000000"/>
                <w:rFonts w:ascii="Times New Roman" w:hAnsi="Times New Roman" w:cs="Times New Roman" w:eastAsia="Times New Roman"/>
                <w:sz w:val="24"/>
              </w:rPr>
              <w:t xml:space="preserve">2.	obligatórne na návrh dediča (nemusí však ustanoviť navrhnutú osobu) alebo </w:t>
              <w:br/>
            </w:r>
            <w:r>
              <w:rPr>
                <w:b w:val="off"/>
                <w:color w:val="000000"/>
                <w:rFonts w:ascii="Times New Roman" w:hAnsi="Times New Roman" w:cs="Times New Roman" w:eastAsia="Times New Roman"/>
                <w:sz w:val="24"/>
              </w:rPr>
              <w:t xml:space="preserve">3.	fakultatívne aj bez návrhu, ak je to potrebné.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2 - funkcia správcu dedičstva musí vzniknúť už doručením uznesenia správcovi, teda tak, ako je to de lege lata. Inak by sa význam celého inštitútu úplne znefunkčnil.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 K čl. VI bodu 14 (zákon č. 161/2015 Z. z. § 186 ods. 2) – Z:</w:t>
              <w:br/>
            </w:r>
            <w:r>
              <w:rPr>
                <w:b w:val="off"/>
                <w:color w:val="000000"/>
                <w:rFonts w:ascii="Times New Roman" w:hAnsi="Times New Roman" w:cs="Times New Roman" w:eastAsia="Times New Roman"/>
                <w:sz w:val="24"/>
              </w:rPr>
              <w:t>Slová „Ak funkcia správcu dedičstva zanikne alebo je z funkcie odvolaný“ navrhujeme nahradiť slovami „Ak sa funkcia správcu dedičstva skončí“.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zmena je zosúladením s ustanoveniami § 1857 a § 1861 Občianskeho zákonníka, podľa ktorých funkcia správcu dedičstva sa končí buď jeho odvolaním alebo potvrdením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 K čl. VI bodu 15 (zákon č. 161/2015 Z. z. § 186a) – Z:</w:t>
              <w:br/>
            </w:r>
            <w:r>
              <w:rPr>
                <w:b w:val="off"/>
                <w:color w:val="000000"/>
                <w:rFonts w:ascii="Times New Roman" w:hAnsi="Times New Roman" w:cs="Times New Roman" w:eastAsia="Times New Roman"/>
                <w:sz w:val="24"/>
              </w:rPr>
              <w:t>Slová „Po zániku funkcie alebo odvolaní z funkcie súdom“ navrhujeme nahradiť slovami „Ak sa funkcia správcu dedičstva skončí“.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zmena je zosúladením s ustanoveniami § 1857 a § 1861 Občianskeho zákonníka, podľa ktorých funkcia správcu dedičstva sa končí buď jeho odvolaním alebo potvrdením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 K čl. VI  bodu 17 (zákon č. 161/2015 Z. z. § 199 ods. 2) – Z:</w:t>
              <w:br/>
            </w:r>
            <w:r>
              <w:rPr>
                <w:b w:val="off"/>
                <w:color w:val="000000"/>
                <w:rFonts w:ascii="Times New Roman" w:hAnsi="Times New Roman" w:cs="Times New Roman" w:eastAsia="Times New Roman"/>
                <w:sz w:val="24"/>
              </w:rPr>
              <w:t xml:space="preserve">Ustanovenie § 199 ods. 2 navrhujeme upraviť tak, aby z neho bolo zrejmé, že uznesenie sa zverejňuje aj v Obchodnom vestníku.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199 ods. 2 ustanovuje, že uznesenie (pozn. o konvokácii veriteľov) sa zverejní na úradnej tabuli súdu a na webovom sídle Notárskej komory Slovenskej republiky. Nový Občiansky zákonník v § 1891 ustanovuje, že povinnosť zverejnenia údajov ustanovená týmto zákonom je splnená ich zverejnením v Obchodnom vestníku podľa osobitného predpisu. V dôvodovej správe k ustanoveniu o konvokácii veriteľov (pôvodne § 1875 návrhu nového Občianskeho zákonníka) sa uvádza, že výzvu na prihlásenie pohľadávok a odkazov súd zverejní v Obchodnom vestníku.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 K čl. VI  bodu 19 (zákon č. 161/2015 Z. z. § 203) – Z:</w:t>
              <w:br/>
            </w:r>
            <w:r>
              <w:rPr>
                <w:b w:val="off"/>
                <w:color w:val="000000"/>
                <w:rFonts w:ascii="Times New Roman" w:hAnsi="Times New Roman" w:cs="Times New Roman" w:eastAsia="Times New Roman"/>
                <w:sz w:val="24"/>
              </w:rPr>
              <w:t>V § 203 navrhujeme doplniť odseky 3 až 5,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súd dedičstvo vyporiadava alebo čiastočne vyporiadava, vychádza z ceny veci v čase  smrti poručiteľa. Dedič, ktorý bol pri vyporiadaní neprimerane ukrátený z dôvodu, že cena veci sa ku dňu vyporiadania podstatne zmenila, sa môže domáhať žalobou na zaplatenie dodatočného vyrovnacieho doplatku voči zvýhodnenému dedičovi.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započítaní daru na podiel na dedičstve sa vychádza zo stavu veci v čase jej nadobudnutia a z ceny veci ku dňu smrti poručiteľa. Ak obdarovaný previedol dar na inú osobu, vychádza sa z ceny veci v čase prevodu. Súd môže určiť aj iný rozhodný okamih pre určenie cien, ak sú na to dôvody hodné osobitného zreteľa, najmä ak je určenie ceny inak spojené s nepomernými ťažkosťami.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v uznesení podľa odseku 1 rozhodne aj o odmene a primeraných a účelných nákladoch správcu dedičstva a vykonávateľa poslednej vôle, ak bol ustanovený.“.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Nový Občiansky zákonník zakotvuje možnosť dedičského súdu vyporiadať dedičstvo autoritatívnym rozhodnutím. Nová hmotnoprávna právna úprava si tak vyžaduje bližšie upraviť procesný postup pri vyporiadaní dedičstva, aby nevznikali nedôvodné rozdiely medzi </w:t>
              <w:br/>
            </w:r>
            <w:r>
              <w:rPr>
                <w:b w:val="off"/>
                <w:color w:val="000000"/>
                <w:rFonts w:ascii="Times New Roman" w:hAnsi="Times New Roman" w:cs="Times New Roman" w:eastAsia="Times New Roman"/>
                <w:sz w:val="24"/>
              </w:rPr>
              <w:t>- situáciou, keď dedičský súd potvrdí dedičstvo podľa podielov na dedičstve a dedičia následne podajú žalobu na zrušenie podielového spoluvlastníctva, keď sa ocenenie veci vykoná ku dňu vydania rozsudku a</w:t>
              <w:br/>
            </w:r>
            <w:r>
              <w:rPr>
                <w:b w:val="off"/>
                <w:color w:val="000000"/>
                <w:rFonts w:ascii="Times New Roman" w:hAnsi="Times New Roman" w:cs="Times New Roman" w:eastAsia="Times New Roman"/>
                <w:sz w:val="24"/>
              </w:rPr>
              <w:t xml:space="preserve">- situáciou, keď dedičstvo vyporiadava dedičský súd (čo je de facto „presunutie“ inštitútu žaloby o zrušenie a vyporiadanie spoluvlastníctva do dedičského konania), keď sa ocenenie veci vykoná ku dňu smrti poručiteľa.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v § 203 vložiť nové odseky 3 a 4. Rozhodovanie o odmene správcu dedičstva a vykonávateľa poslednej vôle navrhujeme upraviť v odseku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K čl. VI bodu 22 (zákon č. 161/2015 Z. z. § 212 ods. 2) – Z:</w:t>
              <w:br/>
            </w:r>
            <w:r>
              <w:rPr>
                <w:b w:val="off"/>
                <w:color w:val="000000"/>
                <w:rFonts w:ascii="Times New Roman" w:hAnsi="Times New Roman" w:cs="Times New Roman" w:eastAsia="Times New Roman"/>
                <w:sz w:val="24"/>
              </w:rPr>
              <w:t>Ustanovenie § 212 ods. 2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Skončenie konania o dedičstve nebráni oprávnenému dedičovi, aby sa domáhal svojho práva žalobou.“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Hmotnoprávna úprava (§ 1888 Občianskeho zákonníka) neobmedzuje podanie žaloby na vydanie dedičstva skutočnosťou, že oprávnený dedič bol účastníkom konania o dedičstve. Navrhovaná procesná úprava je v rozpore s hmotnoprávnou úpravou, keď žalobnú legitimáciu podmieňuje tým, že žalobca nebol účastníkom konania o dedičstve. Okrem toho, účastníctvo v konaní o dedičstve sa v priebehu konania môže meniť. Podľa výsledkov predbežných zistení dedičského súdu o tom, kto sú dedičia, je preto niekedy problematické spätne ustáliť, kto a v akom štádiu bol účastníkom. V každom prípade, žalobná legitimácia oprávneného dediča nemôže byť nedôvodne obmedzená.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K čl. VI bodu 32 (zákon č. 161/2015 Z. z. § 248 ods. 2) – Z:</w:t>
              <w:br/>
            </w:r>
            <w:r>
              <w:rPr>
                <w:b w:val="off"/>
                <w:color w:val="000000"/>
                <w:rFonts w:ascii="Times New Roman" w:hAnsi="Times New Roman" w:cs="Times New Roman" w:eastAsia="Times New Roman"/>
                <w:sz w:val="24"/>
              </w:rPr>
              <w:t>V navrhovanom znení odseku 2 navrhujeme za slová „a správcu majetku,“ vložiť slová „ak je to potrebné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248 ods. 2 navrhujeme na konci pripojiť tieto slová: „a správcu majetku, ak je to potrebné a ak ešte nebol ustanovený“.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248 sa v odseku 2 navrhujú na konci pripojiť slová, podľa ktorých ak súd rozhodne </w:t>
              <w:br/>
            </w:r>
            <w:r>
              <w:rPr>
                <w:b w:val="off"/>
                <w:color w:val="000000"/>
                <w:rFonts w:ascii="Times New Roman" w:hAnsi="Times New Roman" w:cs="Times New Roman" w:eastAsia="Times New Roman"/>
                <w:sz w:val="24"/>
              </w:rPr>
              <w:t xml:space="preserve">o obmedzení spôsobilosti osoby na právne úkony, vo výroku rozsudku jej ustanoví nielen opatrovníka, ale aj správcu majetku, ak jej ešte nebol ustanovený. Máme však za to, že z § 173 nového Občianskeho zákonníka nevyplýva, na rozdiel od opatrovníka, že v prípade obmedzenia osoby na právne úkony súd tejto osobe obligatórne ustanoví aj majetkového opatrovníka.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 K čl. VI  bodu 43 (zákon č. 161/2015 Z. z. § 277b) – Z:</w:t>
              <w:br/>
            </w:r>
            <w:r>
              <w:rPr>
                <w:b w:val="off"/>
                <w:color w:val="000000"/>
                <w:rFonts w:ascii="Times New Roman" w:hAnsi="Times New Roman" w:cs="Times New Roman" w:eastAsia="Times New Roman"/>
                <w:sz w:val="24"/>
              </w:rPr>
              <w:t>Ustanovenie § 277b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277b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ustanovený opatrovník zomrie, alebo právnická osoba v postavení opatrovníka zanikne, súd bezodkladne ustanoví opatrovancovi verejného opatrovníka na čas do rozhodnutia o ustanovení nového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277b CMP v prípade, ak ustanovený opatrovník zomrie, súd bezodkladne ustanoví opatrovancovi verejného opatrovníka na čas do rozhodnutia o ustanovení nového opatrovníka. Podľa § 193 (Prechod výkonu funkcie opatrovníka) nového Občianskeho zákonníka v prípade, ak súdom ustanovený opatrovník zomrie alebo právnická osoba v postavení opatrovníka zanikne, prechádza výkon funkcie na verejného opatrovníka, ktorého určí súd na čas, kým nerozhodne o ustanovení nového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je potrebné zosúladiť s § 193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34. K čl. VI bodu 45 (zákon č. 161/2015 Z. z. § 307) – Z:</w:t>
              <w:br/>
            </w:r>
            <w:r>
              <w:rPr>
                <w:b w:val="off"/>
                <w:color w:val="000000"/>
                <w:rFonts w:ascii="Times New Roman" w:hAnsi="Times New Roman" w:cs="Times New Roman" w:eastAsia="Times New Roman"/>
                <w:sz w:val="24"/>
              </w:rPr>
              <w:t xml:space="preserve">Konanie podľa § 307 sa môže začať aj bez návrhu, čo ale nevylučuje, že návrh na takéto konanie je podaný. Návrhová legitimácia vyplýva z hmotného práva (napríklad § 257 zákona č. 513/1991 Zb. Obchodný zákonník v znení neskorších predpisov) alebo zo všeobecných ustanovení CMP. Inými slovami, ide o situácie, keď konanie možno začať aj na návrh aj bez návrhu. V takýchto prípadoch však nemôže platiť, že účastníkom konania je len zrušovaná právnická osoba (§ 307). Účastníkom konania musí byť aj navrhovateľ. Navrhované znenie ustanovenia § 307 je preto potrebné upraviť a doplniť tak, že účastníkom konania je aj navrhovateľ.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35. K čl. VI  bodu 45 (zákon č. 161/2015 Z. z. § 309) – Z:</w:t>
              <w:br/>
            </w:r>
            <w:r>
              <w:rPr>
                <w:b w:val="off"/>
                <w:color w:val="000000"/>
                <w:rFonts w:ascii="Times New Roman" w:hAnsi="Times New Roman" w:cs="Times New Roman" w:eastAsia="Times New Roman"/>
                <w:sz w:val="24"/>
              </w:rPr>
              <w:t>V § 309 navrhujeme na konci pripojiť túto vetu: „Ustanovenie § 308 ods. 4 druhá a tretia veta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sa na základe doplneného znenia do obchodného registra alebo iného verejného registra poznamenalo aj ukončenie konania o zrušení právnickej osoby a súčasne, aby v tej súvislosti, ak nejde o právnickú osobu zapísanú do obchodného registra, súd upovedomil o ukončení konania o zrušení právnickej osoby príslušný orgán, ktorý vedie verejný register, do ktorého je právnické osoba zapísaná. Obdobne je to aj v prípade ukončenia konania o neplatnosti právnickej osoby (§ 309k ods. 3 CMP).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39. K čl. VI  bodu 45 (zákon č. 161/2015 Z. z. § 309k ods. 3) – Z:</w:t>
              <w:br/>
            </w:r>
            <w:r>
              <w:rPr>
                <w:b w:val="off"/>
                <w:color w:val="000000"/>
                <w:rFonts w:ascii="Times New Roman" w:hAnsi="Times New Roman" w:cs="Times New Roman" w:eastAsia="Times New Roman"/>
                <w:sz w:val="24"/>
              </w:rPr>
              <w:t>Navrhujeme na konci pripojiť túto vetu: „Ustanovenie odseku 2 druhá a tretia veta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súd, ak nejde o právnickú osobu zapísanú do obchodného registra, upovedomil o ukončení konania o zrušení právnickej osoby príslušný orgán, ktorý vedie verejný register, do ktorého je právnická osoba zapísaná.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40. K čl. VI  bodu 45 (zákon č. 161/2015 Z. z. § 309l ods. 2) – Z:</w:t>
              <w:br/>
            </w:r>
            <w:r>
              <w:rPr>
                <w:b w:val="off"/>
                <w:color w:val="000000"/>
                <w:rFonts w:ascii="Times New Roman" w:hAnsi="Times New Roman" w:cs="Times New Roman" w:eastAsia="Times New Roman"/>
                <w:sz w:val="24"/>
              </w:rPr>
              <w:t>Ustanovenie § 309l ods. 2 navrhujeme doplniť o znenie ustanovujúce subjekt oprávnený podať odvolanie proti rozhodnutiu o neplatnosti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aj v prípade rozhodnutia o neplatnosti právnickej osoby bol ustanovený subjekt oprávnený podať odvolanie tak, ako je to v prípade rozhodnutia o zrušení právnickej osoby (§ 309a ods. 2 CMP).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43. K čl. VI  bodu 49 (zákon č. 161/2015 Z. z. § 396f) – Z:</w:t>
              <w:br/>
            </w:r>
            <w:r>
              <w:rPr>
                <w:b w:val="off"/>
                <w:color w:val="000000"/>
                <w:rFonts w:ascii="Times New Roman" w:hAnsi="Times New Roman" w:cs="Times New Roman" w:eastAsia="Times New Roman"/>
                <w:sz w:val="24"/>
              </w:rPr>
              <w:t>Znenie ustanovenia § 369f navrhujeme doplniť úpravou, podľa ktorej zostávajú zachované aj právne účinky obmedzenia spôsobilosti na právne úkony podľa doterajších predpisov. Zároveň v prechodných ustanoveniach navrhujeme doplniť skutočnosti ustanovujúce, že konania o dedičstve, konania o zrušení právnickej osoby, konania o ustanovení likvidátora, jeho odvolaní a nahradení inou osobou, ako aj rozhodovanie o odmene likvidátora v prípadoch, keď bol ustanovený súdom, konania o nariadení dodatočnej likvidácie majetku právnickej osoby a konania o neplatnosti právnickej osoby, začaté pred dňom nadobudnutia účinnosti tohto zákona sa dokončia podľa tohto zákona v znení účinnom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navrhovaného ustanovenia § 396f,  ktoré  je prechodným ustanovením k úpravám účinným od 1. júla 2027, právne účinky pozbavenia spôsobilosti na právne úkony podľa doterajších predpisov zostávajú zachované. Toto znenie navrhujeme doplniť z dôvodu, že nová právna úprava spôsobilosti na právne úkony a jej obmedzovanie nepôsobí retroaktívne a ani neruší doterajšie obmedzenia spôsobilosti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konania o dedičstve, konania o zrušení právnickej osoby, konania o ustanovení likvidátora, jeho odvolaní a nahradení inou osobou, ako aj rozhodovanie o odmene likvidátora v prípadoch, keď bol ustanovený súdom, konania o nariadení dodatočnej likvidácie majetku právnickej osoby a konania o neplatnosti právnickej osoby navrhujeme výnimku z princípu priamej aplikatibility zmien CMP, keďže ide o konania, v ktorých dochádza k zmenám.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44.  K čl. VII  bodu 1 (zákon č. 162/2015 Z. z. § 185, § 258, § 362 ods. 1 a § 447 ods. 1) – Z:</w:t>
              <w:br/>
            </w:r>
            <w:r>
              <w:rPr>
                <w:b w:val="off"/>
                <w:color w:val="000000"/>
                <w:rFonts w:ascii="Times New Roman" w:hAnsi="Times New Roman" w:cs="Times New Roman" w:eastAsia="Times New Roman"/>
                <w:sz w:val="24"/>
              </w:rPr>
              <w:t>Bod 1 navrhujeme uviesť v znení:</w:t>
              <w:br/>
            </w:r>
            <w:r>
              <w:rPr>
                <w:b w:val="off"/>
                <w:color w:val="000000"/>
                <w:rFonts w:ascii="Times New Roman" w:hAnsi="Times New Roman" w:cs="Times New Roman" w:eastAsia="Times New Roman"/>
                <w:sz w:val="24"/>
              </w:rPr>
              <w:t>„1. V § 250 ods. 5 sa slovo „ujmu“ nahrádza slovom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novelizačnom bode 1 sa navrhuje v § 185, § 250 ods. 5, § 258, § 362 ods. 1 a § 447 ods. 1 zákona č. 162/2015 Z. z. Správny súdny poriadok v znení neskorších predpisov (ďalej len „SSP“) slovo „ujma“ vo všetkých tvaroch nahradiť slovom „škoda“ v príslušnom tvare.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nadväznosti na navrhovanú zmenu uvádzame, že v prípade nového Občianskeho zákonníka ide o všeobecný a základný predpis súkromného práva, ktorý upravuje súkromnoprávne veci v rozsahu, v akom ich neupravujú osobitné právne predpisy (čl. 1 ods. 1 nového Občianskeho zákonníka). Správny súd neprejednáva a ani nerozhoduje súkromnoprávne spory a iné súkromnoprávne veci.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správnom súdnictve poskytuje správny súd ochranu právam alebo právom chráneným záujmom fyzickej osoby a právnickej osoby v oblasti verejnej správy a rozhoduje v ďalších veciach ustanovených týmto zákonom (§ 2 ods. 1 SSP). Napríklad, okresný úrad v sídle kraja vo veciach štátnej správy odpadového hospodárstva je oprávnený (do odstránenia závady) zakázať činnosť pôvodcovi odpadu, ak nemá zabezpečené zhodnotenie odpadov alebo zneškodnenie odpadov a ak by v dôsledku toho mohlo dôjsť k závažnému poškodeniu životného prostredia alebo závažnej ekologickej ujme [§ 107 písm. g) bod 1. zákona č. 79/2015 Z. z. o odpadoch a o zmene a doplnení niektorých zákonov v znení neskorších predpisov]. Ekologická ujma je pritom právny pojem vymedzený v § 10 zákona č. 17/1992 Zb. o životnom prostredí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Predpisy verejného práva používajú pojem ujma, pričom správne orgány vydávajú rozhodnutia preskúmateľné v správnom súdnictve aj na základe posúdenia, či takáto ujma a v akom rozsahu hrozí. Vzhľadom na to nepovažujeme za správne meniť pojem „ujma“ za pojem „škoda“ minimálne v § 185, § 258, § 362 ods. 1 a § 447 ods. 1 SSP. Navyše,  predkladateľ pri navrhovanej právnej úprave nebol dôsledný, keďže pojem „ujma“ ponechal v § 7 písm. e) SSP.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45. K čl. VIII.  Bodu 4 (zákon č. 97/1963 Zb. § 3a ods. 1) – Z:</w:t>
              <w:br/>
            </w:r>
            <w:r>
              <w:rPr>
                <w:b w:val="off"/>
                <w:color w:val="000000"/>
                <w:rFonts w:ascii="Times New Roman" w:hAnsi="Times New Roman" w:cs="Times New Roman" w:eastAsia="Times New Roman"/>
                <w:sz w:val="24"/>
              </w:rPr>
              <w:t>Navrhované znenie § 3a ods. 1 navrhujeme preformulovať alebo zámer právnej úpravy  bližšie vysvetliť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ustanovenia § 3a ods. 1 vyvoláva niekoľko otázok. V navrhovanom znení odseku 1 sa používa slovné spojenie „vnútorné právne pomery“ a „ručenie členov za jej dlhy“. Nový Občiansky zákonník v § 261 ods. 4 používa slovné spojenie „otázky vnútornej organizácie“ a „ručenie jej členov či členov jej orgánov za dlhy“. Nie je zrejmé, či ide o zámer predkladateľa alebo „len“ o nedôslednosť pri zosúladení s terminológiou v novom Občianskom zákonníku. Rovnako nie je zrejmé, z akého dôvodu sa právnym poriadkom podľa prvej vety odseku 1 nespravuje aj jej zánik a kto za osobu ako jej orgán koná.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46. K čl. VIII  bodu 5 [Zákon č. 97/1963 Zb. § 10 ods. 1 písm. c)] – Z:</w:t>
              <w:br/>
            </w:r>
            <w:r>
              <w:rPr>
                <w:b w:val="off"/>
                <w:color w:val="000000"/>
                <w:rFonts w:ascii="Times New Roman" w:hAnsi="Times New Roman" w:cs="Times New Roman" w:eastAsia="Times New Roman"/>
                <w:sz w:val="24"/>
              </w:rPr>
              <w:t xml:space="preserve">Slová „V § 10 ods. 1 písmeno c)“ odporúčame nahradiť slovami „V § 10 ods. 2 písm. c)“ (legislatívno-technická pripomienka) a taxatívny výpočet zmlúv zmeniť na demonštratívny (pozri aj platné znenie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vzhľadom na to, pokiaľ osobitný predpis neustanovuje inak, sa spravidla spravujú zmluvy o preprave osôb, zmluvy o preprave vecí, zasielateľské zmluvy právom miesta, kde má dopravca alebo zasielateľ sídlo alebo bydlisko v čase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platného znenia § 10 ods. 2 písm. c) zákona č. 97/1963 Zb. o medzinárodnom práve súkromnom  a procesnom v znení neskorších predpisov vzhľadom na to, pokiaľ osobitný predpis neustanovuje inak, sa spravidla spravujú zmluvy o doprave (zmluvy o preprave, zasielateľské zmluvy a pod.) právom miesta, kde má dopravca alebo zasielateľ sídlo alebo bydlisko v čase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mení pôvodne demonštratívny výpočet zmlúv o doprave na výpočet taxatívny. V tomto taxatívnom výpočte nie je zahrnutá zmluva o prevádzke dopravného prostriedku podľa § 1147 a nasl. nového Občianskeho zákonníka, podľa ktorej sa tiež prevádzkovateľ zaväzuje prepraviť náklad určený objednávateľom a na tento účel s dopravným prostriedkom vykonať najmenej jednu vopred určenú cestu alebo v priebehu dohodnutej doby vykonať cesty podľa určenia objednávateľa.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49. K čl. IX  bodom 6 a 7 (zákon č. 83/1990 Zb. § 13 ods. 3 a 5) – Z:</w:t>
              <w:br/>
            </w:r>
            <w:r>
              <w:rPr>
                <w:b w:val="off"/>
                <w:color w:val="000000"/>
                <w:rFonts w:ascii="Times New Roman" w:hAnsi="Times New Roman" w:cs="Times New Roman" w:eastAsia="Times New Roman"/>
                <w:sz w:val="24"/>
              </w:rPr>
              <w:t xml:space="preserve">Navrhované ustanovenia odporúčame doplniť o určenie konkrétnych osôb, ktoré budú oprávnené požiadať súd o ustanovenie likvidátora. Konanie o likvidácii a dodatočnej likvidácii má byť totiž konaním, ktoré sa začína len na návrh [§ 306 písm. c) CMP v navrhovanom znení]  spojeným so zložením preddavku na likvidáciu. Podľa aktuálnej právnej úpravy vykonáva likvidáciu likvidátor určený registrovým úradom, resp. v určitých prípadoch likvidátor určený občianskym združením.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50. K čl. IX bodu 8 (zákon č. 83/1990 Zb. § 20d) – Z:</w:t>
              <w:br/>
            </w:r>
            <w:r>
              <w:rPr>
                <w:b w:val="off"/>
                <w:color w:val="000000"/>
                <w:rFonts w:ascii="Times New Roman" w:hAnsi="Times New Roman" w:cs="Times New Roman" w:eastAsia="Times New Roman"/>
                <w:sz w:val="24"/>
              </w:rPr>
              <w:t>Odporúčame doplniť prechodné ustanovenia v tom zmysle, že likvidátor určený registrovým úradom dokončí likvidáciu podľa doterajších predpisov, a to z dôvodu zachovania právnej istoty,  kontinuity už začatého konania a eliminovania zbytočných prieťahov. Pri novelizáciách procesných ustanovení totiž vo všeobecnosti platí, že vzhľadom na okamžitú uplatniteľnosť procesných ustanovení už aj v prebiehajúcich konaniach sa novelou zavádzané nové procesné ustanovenia na prebiehajúce konania neuplatnia len v prípade, ak to zákonodarca výslovne uvedie v príslušných prechodných ustanoveniach. A teda v prípade, ak pri novelizáciách procesných ustanovení prechodné ustanovenia absentujú, automaticky platí, že nová procesná úprava sa uplatní aj v prípade prebiehajúcich konaní (bližšie nález Ústavného súdu PL. ÚS 8/2013).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53. K čl. XIII bodu 22 (zákon č. 2/1991 Zb. § 32 ods. 3) – Z:</w:t>
              <w:br/>
            </w:r>
            <w:r>
              <w:rPr>
                <w:b w:val="off"/>
                <w:color w:val="000000"/>
                <w:rFonts w:ascii="Times New Roman" w:hAnsi="Times New Roman" w:cs="Times New Roman" w:eastAsia="Times New Roman"/>
                <w:sz w:val="24"/>
              </w:rPr>
              <w:t xml:space="preserve">Bod 22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dôvodovej správy k navrhovanému textu „kolektívna zmluva sa uzatvára určitú dobu a nemôže sa uzatvoriť na čas neurčitý, (a preto) právna úprava neupravovala vypovedanie kolektívnej zmluvy, pretože cieľom zákonodarcu bolo nastoliť sociálny zmier po celý čas jej dohodnutého trvania a nie jednostranné „skrátenie“ jej účinnosti jednou zo strán, a teda narušenie sociálneho zmieru. V nadväznosti na to sa navrhuje (vzhľadom na subsidiárnu pôsobnosť Zákonníka práce a následne subsidiárnu pôsobnosť Občianskeho zákonníka) vylúčiť ustanovenia Občianskeho zákonníka o vypovedaní zmlúv (dohôd) v prípade kolektívnej zmluvy.“  Vzhľadom na to sa žiada jednoznačne do textu zákona uviesť (napríklad vo forme nového odseku ustanovenia § 6), že jednostranné vypovedanie kolektívnej zmluvy nie je prípustné/možné.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55. K čl. XVI  bodu 3 (zákon č. 308/1991 Zb. § 21a) – Z:</w:t>
              <w:br/>
            </w:r>
            <w:r>
              <w:rPr>
                <w:b w:val="off"/>
                <w:color w:val="000000"/>
                <w:rFonts w:ascii="Times New Roman" w:hAnsi="Times New Roman" w:cs="Times New Roman" w:eastAsia="Times New Roman"/>
                <w:sz w:val="24"/>
              </w:rPr>
              <w:t>Odporúčame znenie navrhovaného ustanovenia § 21a zakotviť ako nový odsek alebo nový paragraf do druhej časti novelizovaného zákona upravujúceho povahu cirkví a náboženských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postup je legislatívno-technicky chybný. Ustanovenie o tom, že rekodifikovaný Občiansky zákonník sa na právnické osoby podľa tohto zákona nevzťahuje, nie je prechodným a už vôbec nie záverečným ustanovením. Ide o vecné ustanovenie vymedzujúce pôsobnosť zákona a vzťah k inému právnemu predpisu (Občianskemu zákonníku). Prechodné ustanovenia slúžia výhradne na riešenie časového stretu starej a novej právnej úpravy. Záverečné ustanovenia upravujú zrušovacie klauzuly (derogácie) alebo transpozičné prílohy.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Zakotvením § 21a pred už existujúce paragrafy záverečných ustanovení je navyše systematicky chybné. Platí, že ak novelizácia dopĺňa prechodné ustanovenia k novej zmene, tieto ustanovenia sa vkladajú na samotný koniec zákona ako samostatný nový blok. V opačnom prípade sa narúša prehľadnosť a legislatívna história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57. K čl. XIX bodu 3 [zákon č. 564/1991 Zb. § 7 písm. b) a § 17 ods. 3] – Z:</w:t>
              <w:br/>
            </w:r>
            <w:r>
              <w:rPr>
                <w:b w:val="off"/>
                <w:color w:val="000000"/>
                <w:rFonts w:ascii="Times New Roman" w:hAnsi="Times New Roman" w:cs="Times New Roman" w:eastAsia="Times New Roman"/>
                <w:sz w:val="24"/>
              </w:rPr>
              <w:t xml:space="preserve">Bod 3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 pre oblasť súkromného práva reprezentovanou novým Občianskym zákonníkom bol zakotvený pojem škoda ako náhrada za pojem ujma, neplatí to pre oblasť verejného práva. Zákon SNR č. 564/1991 Zb. o obecnej polícii v znení neskorších predpisov je súčasťou verejného práva a v ustanovení § 17 ods. 3 sa konštatuje prípadné spôsobenie smrti, ujmy na zdraví alebo škody na majetku použitím donucovacích prostriedkov obecnou políciou. Ide o obdobný terminologický aparát, s akým pracuje Trestný zákon a iné trestnoprávne normy či normy priestupkového práva. Týka sa to aj ustanovenia § 7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navrhovateľ aj v iných novelizačných dôvodoch priznáva rozdiel medzi súkromným právom a verejným právom. Napríklad, v čl. XX (novela zákona SNR č. 71/1992 Zb. o súdnych poplatkoch a poplatku za výpisy z registra trestov v znení neskorších predpisov) nemení ani pojmy „uzatvorená“ zmluva za pojem „uzavretá“ zmluva či „vykonávanie“ úkonov za pojem „uskutočňovanie“ úkonov.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58. K čl. XIX  bodu 5 (zákon č. 564/1991 Zb. § 13 ods. 3) – Z:</w:t>
              <w:br/>
            </w:r>
            <w:r>
              <w:rPr>
                <w:b w:val="off"/>
                <w:color w:val="000000"/>
                <w:rFonts w:ascii="Times New Roman" w:hAnsi="Times New Roman" w:cs="Times New Roman" w:eastAsia="Times New Roman"/>
                <w:sz w:val="24"/>
              </w:rPr>
              <w:t>Navrhujeme vypustiť bod 5 s identickým odôvodnením ako pri zásadnej pripomienke k bodu 3 /§ 7 písm. b) a § 17 ods. 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59. K čl. XXI  bodu 6 (zákon SNR č. 323/1992 Zb. § 53a ods. 1) – Z:</w:t>
              <w:br/>
            </w:r>
            <w:r>
              <w:rPr>
                <w:b w:val="off"/>
                <w:color w:val="000000"/>
                <w:rFonts w:ascii="Times New Roman" w:hAnsi="Times New Roman" w:cs="Times New Roman" w:eastAsia="Times New Roman"/>
                <w:sz w:val="24"/>
              </w:rPr>
              <w:t xml:space="preserve">Navrhujeme v odseku 1 druhú vetu doplniť o povinnosť notára poučiť manželov aj o možnosti vylúčiť zánik dedičskej zmluvy, a to aj v prípade vyhlásenia manželstva za života manželov za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dôvodovej správy sa ustanovuje široká poučovacia povinnosť notára voči účastníkom právneho úkonu, a to vzhľadom na závažnosť dedičskej zmluvy. Z tohto dôvodu sa žiada aj poučenie manželov notárom o možnosti dohodnúť v dedičskej zmluve vylúčenie jej zánik pre prípad vyhlásenia manželstva za života oboch manželov za neplatné (bližšie § 1745 ods. 4 rekodifikovaného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62. K čl. XXI  bodu 13 (zákon SNR č. 323/1992 Zb. § 73c) – Z:</w:t>
              <w:br/>
            </w:r>
            <w:r>
              <w:rPr>
                <w:b w:val="off"/>
                <w:color w:val="000000"/>
                <w:rFonts w:ascii="Times New Roman" w:hAnsi="Times New Roman" w:cs="Times New Roman" w:eastAsia="Times New Roman"/>
                <w:sz w:val="24"/>
              </w:rPr>
              <w:t>Navrhujeme nadpis ustanovenia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73c</w:t>
              <w:br/>
            </w:r>
            <w:r>
              <w:rPr>
                <w:b w:val="off"/>
                <w:color w:val="000000"/>
                <w:rFonts w:ascii="Times New Roman" w:hAnsi="Times New Roman" w:cs="Times New Roman" w:eastAsia="Times New Roman"/>
                <w:sz w:val="24"/>
              </w:rPr>
              <w:t>Notársky centrálny register právnych úkonov pre prípad smrti“.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nadpisu ustanovenia s jeho obsahom.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63. K čl. XXI bodu 15 (zákon SNR č. 323/1992 Zb. § 74 ods. 1) – Z:</w:t>
              <w:br/>
            </w:r>
            <w:r>
              <w:rPr>
                <w:b w:val="off"/>
                <w:color w:val="000000"/>
                <w:rFonts w:ascii="Times New Roman" w:hAnsi="Times New Roman" w:cs="Times New Roman" w:eastAsia="Times New Roman"/>
                <w:sz w:val="24"/>
              </w:rPr>
              <w:t>Ustanovenie § 74 ods. 1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 notárskych zápisníc sa vydávajú osvedčené odpisy. Odpis notárskej zápisnice o jednostrannom právnom úkone pre prípad smrti možno za života poručiteľa vydať len poručiteľovi.“.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Ten, kto spísal závet alebo iný právny úkon pre prípad smrti musí mať prístup k tomuto dokumentu, napríklad za účelom zistiť jeho obsah, ak po čase zabudol, čo presne podpísal. Alebo prípadne mať možnosť overiť si, či notár skutočne uložil ako notársku zápisnicu tú listinu, ktorú podpísal. Odpisy závetu (a iného jednostranného úkonu mortis causa) nie je dôvod nevydať tomu, kto úkon spísal. </w:t>
              <w:br/>
            </w:r>
            <w:r>
              <w:rPr>
                <w:b w:val="off"/>
                <w:color w:val="000000"/>
                <w:rFonts w:ascii="Times New Roman" w:hAnsi="Times New Roman" w:cs="Times New Roman" w:eastAsia="Times New Roman"/>
                <w:sz w:val="24"/>
              </w:rPr>
              <w:t>Nie je zrejmé, prečo predkladateľ umožňuje vydať odpis notárskej zápisnice len dedičskej zmluvy, nie však zmluvy o zrieknutí sa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64. K čl. XXII bodu 2 (zákon NR SR č. 40/1993 Zb. § 4 ods. 5) – Z:</w:t>
              <w:br/>
            </w:r>
            <w:r>
              <w:rPr>
                <w:b w:val="off"/>
                <w:color w:val="000000"/>
                <w:rFonts w:ascii="Times New Roman" w:hAnsi="Times New Roman" w:cs="Times New Roman" w:eastAsia="Times New Roman"/>
                <w:sz w:val="24"/>
              </w:rPr>
              <w:t>Bod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Ustanovenia o voľbe štátneho občianstva podľa § 3 a 4 zákona NR SR č. 40/1993 Z. z. o štátnom občianstve Slovenskej republiky v znení neskorších predpisov sú už v súčasnosti neaplikovateľné. Citované ustanovenia mali jasne stanovené prekluzívne (prepadné) časové lehoty, ktoré definitívne uplynuli. Zmena obsolétneho ustanovenia § 4 ods. 5 je tak nelogická a nadbytočná.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65. K čl. XXII  bodu 4 (zákon NR SR č. 40/1993 Zb. poznámka pod čiarou k odkazu 2) – Z:</w:t>
              <w:br/>
            </w:r>
            <w:r>
              <w:rPr>
                <w:b w:val="off"/>
                <w:color w:val="000000"/>
                <w:rFonts w:ascii="Times New Roman" w:hAnsi="Times New Roman" w:cs="Times New Roman" w:eastAsia="Times New Roman"/>
                <w:sz w:val="24"/>
              </w:rPr>
              <w:t>Bod 4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totožné dôvody, ako sú uvedené v predchádzajúcej zásadnej pripomienke. Ide o text, ktorý už splnil svoj účel a jeho platnosť v podstate uplynula.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66. K čl. XXIII  bodu 1 [zákon NR SR č. 171/1993 Z. z. § 2 ods. 1 písm. p)] – Z:</w:t>
              <w:br/>
            </w:r>
            <w:r>
              <w:rPr>
                <w:b w:val="off"/>
                <w:color w:val="000000"/>
                <w:rFonts w:ascii="Times New Roman" w:hAnsi="Times New Roman" w:cs="Times New Roman" w:eastAsia="Times New Roman"/>
                <w:sz w:val="24"/>
              </w:rPr>
              <w:t xml:space="preserve">Odporúčame navrhovaný text uviesť v znení: </w:t>
              <w:br/>
            </w:r>
            <w:r>
              <w:rPr>
                <w:b w:val="off"/>
                <w:color w:val="000000"/>
                <w:rFonts w:ascii="Times New Roman" w:hAnsi="Times New Roman" w:cs="Times New Roman" w:eastAsia="Times New Roman"/>
                <w:sz w:val="24"/>
              </w:rPr>
              <w:t xml:space="preserve">„V § 2 ods. 1 písm. p) sa slová „osobou maloletou do 15 rokov alebo mladistvou do 18 rokov“ nahrádzajú slovom „maloletým“.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obdobnú právnu úpravu ako v navrhovanom čl. XIX bode 2 [zmena § 3 ods. 1 písm. h) zákona NR SR č. 564/1991 Zb. o obecnej polícii v znení neskorších predpisov]. Nie je dôvod odlišovať oba zákony, ktoré upravujú totožnú problematiku.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67. K čl. XXIII bodu 4 (zákon NR SR č. 171/1993 Z. z. § 18 ods. 6) – Z:</w:t>
              <w:br/>
            </w:r>
            <w:r>
              <w:rPr>
                <w:b w:val="off"/>
                <w:color w:val="000000"/>
                <w:rFonts w:ascii="Times New Roman" w:hAnsi="Times New Roman" w:cs="Times New Roman" w:eastAsia="Times New Roman"/>
                <w:sz w:val="24"/>
              </w:rPr>
              <w:t xml:space="preserve">Bod 4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1898 rekodifikovaného Občianskeho zákonníka a navrhovaného znenia § 396f CMP (novelizačný bod 49 v čl. VI) právne účinky pozbavenia spôsobilosti na právne úkony podľa doterajších predpisov zostávajú zachované. Z tohto dôvodu „paušálna zámena“  pojmu pozbavenie spôsobilosti na právne úkony za pojem obmedzenie spôsobilosti na právne úkony predstavuje nesystémovú a zmätočnú právnu úpravu. Naopak, efektívnejším a výstižnejším by bol návrh na doplnenie ustanovenia § 18 ods. 6 aj o postup polície v prípade nájdenia nezvestnej osoby, ktorá má obmedzenú spôsobilosť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68. K čl. XXIII bodu 5 [zákon NR SR č. 171/1993 Z. z. § 42 ods. 2 písm. d)] – Z:</w:t>
              <w:br/>
            </w:r>
            <w:r>
              <w:rPr>
                <w:b w:val="off"/>
                <w:color w:val="000000"/>
                <w:rFonts w:ascii="Times New Roman" w:hAnsi="Times New Roman" w:cs="Times New Roman" w:eastAsia="Times New Roman"/>
                <w:sz w:val="24"/>
              </w:rPr>
              <w:t>Bod 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zmena je nesystémová a nadbytočná. Úkony podľa Trestného poriadku, na ktoré nadväzuje aj zákon NR SR č. 171/1993 Z. z. o Policajnom zbore v znení neskorších predpisov, sa naďalej vykonávajú, nie uskutočňujú. Navyše, samotný tento zákon obsahuje pojem „vykonávania“ úkonov v mnohých iných ustanoveniach (napríklad v § 7 ods. 2, § 7 ods. 3, § 19 ods. 3, § 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69. K čl. XXIII bodu 6 [zákon NR SR č. 171/1993 Z. z. § 52 ods. 1 písm. c)] – Z:</w:t>
              <w:br/>
            </w:r>
            <w:r>
              <w:rPr>
                <w:b w:val="off"/>
                <w:color w:val="000000"/>
                <w:rFonts w:ascii="Times New Roman" w:hAnsi="Times New Roman" w:cs="Times New Roman" w:eastAsia="Times New Roman"/>
                <w:sz w:val="24"/>
              </w:rPr>
              <w:t>Novelizačný bod odporúčame vypustiť, a to z  totožných dôvodov, ako sú uvedené k  bodu 5 [§ 42 ods. 2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70.  K čl. XXIII  bodu 7 (zákon NR SR č. 171/1993 Z. z. § 69 ods. 13) – Z:</w:t>
              <w:br/>
            </w:r>
            <w:r>
              <w:rPr>
                <w:b w:val="off"/>
                <w:color w:val="000000"/>
                <w:rFonts w:ascii="Times New Roman" w:hAnsi="Times New Roman" w:cs="Times New Roman" w:eastAsia="Times New Roman"/>
                <w:sz w:val="24"/>
              </w:rPr>
              <w:t xml:space="preserve">Bod 7 navrhujeme vypustiť.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Policajný zbor spracúva informácie podľa osobitného predpisu, ktorým je zákon č. 18/2018 Z. z. o ochrane osobných údajov a o zmene a doplnení niektorých zákonov v znení neskorších predpisov. V tomto zákone, ktorý nie je v rámci navrhovanej právnej úpravy novelizovaný, sa jednoznačne používa pojem „lehota“. Zakotvením pojmu „doby“ ide o disharmóniu navrhovanej právnej úpravy s osobitným zákonom. Navyše, pojem „lehota“ sa pri spracúvaní informácií Policajným zborom (štvrtá hlava) používa aj v iných ustanoveniach.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71. K čl. XXIV bodu 1 [zákon NR SR č. 182/1993 Z. z. § 1 ods. 1 písm. c)] – Z:</w:t>
              <w:br/>
            </w:r>
            <w:r>
              <w:rPr>
                <w:b w:val="off"/>
                <w:color w:val="000000"/>
                <w:rFonts w:ascii="Times New Roman" w:hAnsi="Times New Roman" w:cs="Times New Roman" w:eastAsia="Times New Roman"/>
                <w:sz w:val="24"/>
              </w:rPr>
              <w:t xml:space="preserve">V § 1 ods. 1 navrhujeme vypustiť písmeno c) alebo jeho znenie nahradiť znením rešpektujúcim  ustanovenia Občianskeho zákonníka.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Citované ustanovenie konštatuje, že navrhovaná právna úprava upravuje aj práva a povinnosti vlastníkov bytov a nebytových priestorov. Z novelizačných bodov 46 a 47 však vyplýva, že ustanovenia upravujúce práva a povinnosti vlastníkov bytov a  nebytových priestorov v dome sa vypúšťajú. Dôvodom je skutočnosť, že práva a povinnosti vlastníka bytu a nebytového priestoru sú predmetom právnej úpravy v rekodifikovanom Občianskom zákonníku (§ 1709 až 1726).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76. K čl. XXIV bodu 70 (zákon NR SR č. 182/1993 Z. z. § 32k ods. 2) – Z:</w:t>
              <w:br/>
            </w:r>
            <w:r>
              <w:rPr>
                <w:b w:val="off"/>
                <w:color w:val="000000"/>
                <w:rFonts w:ascii="Times New Roman" w:hAnsi="Times New Roman" w:cs="Times New Roman" w:eastAsia="Times New Roman"/>
                <w:sz w:val="24"/>
              </w:rPr>
              <w:t>Navrhujeme, aby predkladateľ v novom ustanovení § 32k ods. 2 pozitívne a výslovne ustanovil aj právny účinok a následok zákonnej povinnosti zosúladiť platby a zálohy plnené v súvislosti s bytovým fondom s ustanoveniami schváleného Občianskeho zákonníka. A to vzhľadom na skutočnosť, že daná právna povinnosť má dosah na početné prípady právnych vzťahov vznikajúcich pri správe bytového domu a absencia výslovnej právnej úpravy následkov porušenia povinností ustanovených prechodnými ustanoveniami zákonov viedli aj v ostatnom období k mnohým súdnym sporom s množstvom účastníkov konania a k významnému narušeniu právnej istoty v právnych vzťahoch.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77. K čl. XXIV bodu 70 (zákon NR SR č. 182/1993 Z. z. § 32k) – Z:</w:t>
              <w:br/>
            </w:r>
            <w:r>
              <w:rPr>
                <w:b w:val="off"/>
                <w:color w:val="000000"/>
                <w:rFonts w:ascii="Times New Roman" w:hAnsi="Times New Roman" w:cs="Times New Roman" w:eastAsia="Times New Roman"/>
                <w:sz w:val="24"/>
              </w:rPr>
              <w:t>Ide o zásadný rozpor medzi navrhovaným ustanovením § 32k ods. 1 a ustanovením § 1908 ods. 1 rekodifikovaného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navrhovanej právnej úpravy § 32k ods. 1 sa (s výnimkami uvedenými v odsekoch 2 a 3) právne vzťahy vzniknuté podľa tohto zákona v znení účinnom do 30. júna 2027, ako aj práva a povinnosti z nich vyplývajúce, posudzujú podľa tohto zákona v znení účinnom do 30. júna 2027.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1908 ods. 1 rekodifikovaného Občianskeho zákonníka „ak odseky 2 až 7 neustanovujú inak, spravujú sa ustanoveniami tohto zákona aj právne vzťahy týkajúce sa práv a povinností vzniknutých podľa osobitného predpisu o vlastníctve bytov a nebytových priestorov; ich vznik ako aj práva a povinnosti z nich vzniknuté pred účinnosťou tohto zákona sa posudzujú podľa doterajších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32k ods. 1 teda ponecháva právne vzťahy vzniknuté podľa doterajšieho zákona aj práva a povinnosti z nich v starom režime, s výnimkami odsekov 2 a 3. Schválený § 1908 ods. 1 Občianskeho zákonníka naopak vychádza z použitia novej úpravy aj na existujúce bytové vzťahy, pri zachovaní posúdenia ich vzniku a predtým vzniknutých práv a povinností podľa doterajších predpisov. Jeho odseky 2 až 7 obsahujú ďalšie konkrétne pravidlá kontinuity.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prospech harmonizujúceho výkladu svedčí zúžená pôsobnosť novelizovaného zákona č. 182/1993 Z. z. o vlastníctve bytov a nebytových priestorov v znení neskorších predpisov a § 1682 ods. 2 rekodifikovaného Občianskeho zákonníka, ktorý správu domu ponecháva osobitnému predpisu. Riziko tu spočíva v nejasnom dosahu oboch prechodných pravidiel. Nejde o dôkaz, že každý starý správcovský vzťah musí byť okamžite celý podriadený novému právu. Široká formulácia § 32k však nie je obmedzená iba na zachovanie už vzniknutých nárokov či určité zmluvné podmienky. Preto vytvára reálny priestor na súbeh starých vlastníckych a nových vecnoprávnych pravidiel. Ani samotná zásada osobitného predpisu neodstráni nejasnosť, ktorý z dvoch osobitných prechodných režimov sa mal uprednostniť.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preto presne oddeliť zachovanie už vzniknutých nárokov, pokračovanie správy domu a prechod vecnoprávnej úpravy. Ak je úmyslom prednosť § 1908, je tak potrebné formulovať ustanovenie § 32k ods. 1 nasledovne: „Ak Občiansky zákonník alebo odseky 2 a 3 neustanovujú inak, ...“ a ďalej presne vymedziť zachovávané vzťahy. Povinnosť zosúladiť splatnosť platieb do 31. decembra 2027 podľa odseku 2 treba osobitne vysvetliť vo vzťahu k § 1720 a 1723 rekodifikovaného Občianskeho zákonníka a k dovtedy vzniknutým splatným pohľadávkam.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78. K čl. XXXIII bodu 4 (zákon NR SR č. 233/1995 Z. z. § 35 ods. 5) – Z:</w:t>
              <w:br/>
            </w:r>
            <w:r>
              <w:rPr>
                <w:b w:val="off"/>
                <w:color w:val="000000"/>
                <w:rFonts w:ascii="Times New Roman" w:hAnsi="Times New Roman" w:cs="Times New Roman" w:eastAsia="Times New Roman"/>
                <w:sz w:val="24"/>
              </w:rPr>
              <w:t xml:space="preserve">V zákone navrhujeme upraviť, že ak je manžel povinného účastníkom konania, exekútor mu doručí všeobecné upovedomenie o začatí exekúcie podľa § 61, a že návrh manžela povinného na zastavenie exekúcie podaný do 15 dní má odkladný účinok (identicky ako návrh povinného na zastavenie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79. K čl. XXXIII bodu 19 [zákon NR SR č. 233/1995 Z. z. § 61h ods. 1 písm. a)] – Z:</w:t>
              <w:br/>
            </w:r>
            <w:r>
              <w:rPr>
                <w:b w:val="off"/>
                <w:color w:val="000000"/>
                <w:rFonts w:ascii="Times New Roman" w:hAnsi="Times New Roman" w:cs="Times New Roman" w:eastAsia="Times New Roman"/>
                <w:sz w:val="24"/>
              </w:rPr>
              <w:t>V bode 19 navrhujeme za slová „§ 44 ods. 7 písm. e)“ vložiť slová „v časti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formulácii tohto ustanovenia zrejme došlo k omylu z nepozornosti.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Námietka, že vec alebo pohľadávka nie je výlučným majetkom povinného, ale že patrí do spoločného imania manželov [§ 44 ods. 7 písm. e)], nemá mať odkladný účinok, ak ide o exekučný predaj veci, avšak, má mať odkladný účinok, ak sa prikazuje pohľadávka. V § 61 ods. 1 písm. a) zrejme omylom vypadli slová „v časti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80. K čl. XXXIII bodu 33 (zákon NR SR č. 233/1995 Z. z. § 99a a 99b) – Z:</w:t>
              <w:br/>
            </w:r>
            <w:r>
              <w:rPr>
                <w:b w:val="off"/>
                <w:color w:val="000000"/>
                <w:rFonts w:ascii="Times New Roman" w:hAnsi="Times New Roman" w:cs="Times New Roman" w:eastAsia="Times New Roman"/>
                <w:sz w:val="24"/>
              </w:rPr>
              <w:t xml:space="preserve">V § 99a ods. 1 navrhujeme vypustiť poslednú vetu. Exekútor nie je sústavne informovaný o každom pripísaní peňazí na bankový účet povinného a nevie vydávať a doručovať upovedomenia po pripísaní každej (aj drobnej) sumy na blokovaný účet. Okrem toho, navrhované riešenie je vysoko nepraktické.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nevhodné riešenie považujeme predložený návrh v rozsahu, že exekútor nevie zexekvovať prostriedky z účtu povinného manžela až do rozhodnutia o námietke manžela (o excindačnej žalobe manžela), ak manžel tvrdí, že prostriedky na účte povinného patria do spoločného imania manželov. Oprávnenému hrozí (do rozhodnutia o námietke manžela povinného) strata poradia k 50 % vymáhanej sumy. Okrem toho, ide o doslova zbytočné riešenie, ak sú na účte povinného prostriedky vo výške dvojnásobku vymáhanej pohľadávky, keď sa exekúcia bude zdržovať z dôvodu nezhody medzi manželmi, pričom pre oprávneného nemá v takom prípade žiadny zmysel byť stranou incidenčného sporu s manželom povinného (oprávnený sa totiž „vie“ uspokojiť z toho, čo na účte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vymáha pohľadávka veriteľa len jedného z manželov z účtu povinného, navrhujeme prijať riešenie, že exekútor zexekvuje prostriedky na účte bez obmedzenia (stav de lege lata) s tým, že manžel povinného by mal voči povinnému manželovi pohľadávku na zaplatenie 50 % zexekvovanej sumy, ak boli zexekvované prostriedky v spoločnom imaní manželov (čím sa zadosťučiní novej úprave v § 303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81. K čl. XXXIII  bodu 42 (zákon NR SR č. 233/1995 Z. z. § 166b ods. 3) – Z:</w:t>
              <w:br/>
            </w:r>
            <w:r>
              <w:rPr>
                <w:b w:val="off"/>
                <w:color w:val="000000"/>
                <w:rFonts w:ascii="Times New Roman" w:hAnsi="Times New Roman" w:cs="Times New Roman" w:eastAsia="Times New Roman"/>
                <w:sz w:val="24"/>
              </w:rPr>
              <w:t>Pri práve výkupu nehnuteľnosti (§ 166b ods. 3) je nevyhnutné upraviť otázku, či nadobudnutie veci do výlučného imania podlieha schváleniu exekučným súdom (tak, ako pri nadobudnutí spoluvlastníckeho podielu spoluvlastníkom povinného podľa § 166 zákona č. 233/1995 Z. z. o súdnych exekútoroch a exekučnej činnosti (Exekučný poriadok) a o zmene a doplnení ďalších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86. K čl. XXXIX bodu 42 (zákon č. 73/1998 Z. z. § 261) – Z:</w:t>
              <w:br/>
            </w:r>
            <w:r>
              <w:rPr>
                <w:b w:val="off"/>
                <w:color w:val="000000"/>
                <w:rFonts w:ascii="Times New Roman" w:hAnsi="Times New Roman" w:cs="Times New Roman" w:eastAsia="Times New Roman"/>
                <w:sz w:val="24"/>
              </w:rPr>
              <w:t>Ustanovenie § 261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ide o pohľadávku policajta alebo bývalého policajta, ktorý musí mať opatrovníka, nezapočíta sa do lehoty na uplatnenie pohľadávky doba, po ktorú mu nebol ustanovený opatrovník.“.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137 Občianskeho zákonníka nárok je právo domáhať sa, aby určitá osoba splnila svoju povinnosť. Podľa § 312 Občianskeho zákonníka pohľadávka je právo na plnenie od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Znamená to, že každý nárok je zároveň pohľadávka a je preto nadbytočné použiť v návrhu zákona v predloženom znení § 261  slovné spojenie „nárok alebo pohľadávka“, postačí uviesť „pohľadávka“.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87. K čl. XLIII bodu 3 (zákon č. 65/2001 Z. z. § 7a ods. 1) – Z:</w:t>
              <w:br/>
            </w:r>
            <w:r>
              <w:rPr>
                <w:b w:val="off"/>
                <w:color w:val="000000"/>
                <w:rFonts w:ascii="Times New Roman" w:hAnsi="Times New Roman" w:cs="Times New Roman" w:eastAsia="Times New Roman"/>
                <w:sz w:val="24"/>
              </w:rPr>
              <w:t>Ustanovenie § 7a ods. 1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„Manžel povinného je účastníkom konania, ak je výkon rozhodnutia nariadený na majetok, ktorý patrí do spoločného imania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predloženom znení § 7a ods. 1 je potrebné vypustiť slovo „postihnutý“, keďže tento výraz podľa § 303 ods. 3 Občianskeho zákonníka označuje situáciu, kedy už došlo k speňaženiu veci (napríklad exekučným predajom). Je vhodné vypustiť aj slová „pokiaľ ide o tento majetok“, nakoľko zvádza k nesprávnemu výkladu, že manžel povinného nemá rovnaké procesné práva ako povinný, ak sa námietka netýka exekvovaného majetku, ale pohľadávky z exekučného titulu.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91. K čl. LIII bodu 1 (zákon č. 34/2002 Z. z. § 13a) – Z:</w:t>
              <w:br/>
            </w:r>
            <w:r>
              <w:rPr>
                <w:b w:val="off"/>
                <w:color w:val="000000"/>
                <w:rFonts w:ascii="Times New Roman" w:hAnsi="Times New Roman" w:cs="Times New Roman" w:eastAsia="Times New Roman"/>
                <w:sz w:val="24"/>
              </w:rPr>
              <w:t>V § 13a navrhujeme odsek 11 uviesť v tomto znení:</w:t>
              <w:br/>
            </w:r>
            <w:r>
              <w:rPr>
                <w:b w:val="off"/>
                <w:color w:val="000000"/>
                <w:rFonts w:ascii="Times New Roman" w:hAnsi="Times New Roman" w:cs="Times New Roman" w:eastAsia="Times New Roman"/>
                <w:sz w:val="24"/>
              </w:rPr>
              <w:t>„(11) Nadácia môže vykonávať činnosti podľa tohto zákona až po zápise nadačného imania, právnych predmetov nadobudnutých dedením, ktoré tvoria nadačné imanie, a hodnôt týchto právnych predmetov.“.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nadácia založená poručiteľom, môže nastať situácia, že neexistuje konečný užívateľ výhod. Takáto situácia musí byť zohľadnená v ustanovení § 13a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nadácii založenej poručiteľom nemôžeme hovoriť o majetkovom vklade. Vklad majetku do právnickej osoby a dedenie sú odlišné spôsoby nadobúdania. Znenie § 13a ods. 11 je preto potrebné preformulovať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93. K čl. LXXVI bodu 4 [zákon č. 595/2003 Z. z. § 3 ods. 2 písm. a)] – Z:</w:t>
              <w:br/>
            </w:r>
            <w:r>
              <w:rPr>
                <w:b w:val="off"/>
                <w:color w:val="000000"/>
                <w:rFonts w:ascii="Times New Roman" w:hAnsi="Times New Roman" w:cs="Times New Roman" w:eastAsia="Times New Roman"/>
                <w:sz w:val="24"/>
              </w:rPr>
              <w:t xml:space="preserve">Príjmy nadobudnuté darovaním a dedením nie sú predmetom dane z príjmu de lege lata. Predkladateľ navrhuje doplniť, že sú to príjmy nadobudnuté darovaním alebo dedením odkazom na konkrétne ustanovenia Občianskeho zákonníka. Odkaz na tieto konkrétne ustanovenia je nezmyselné, nakoľko dediť a darovať možno aj na základe aplikácie cudzieho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Dávame do pozornosti, že podobné pochybenie (dopĺňanie odkazov na konkrétne ustanovenia  Občianskeho zákonníka k právnej kvalifikácii vyjadrenej slovami) je aj v ďalších bodoch návrhu novely zákona č. 595/2003 Z. z. o dani z príjmov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je nevyhnutné, aby predmetom dane neboli ani príjmy nadobudnuté z odkazu. Inak nebude mať odkaz v praxi žiadne uplatnenie. Postavenie odkazovníka je pritom z hľadiska ekonomickej povahy plnenia podobné postaveniu dediča alebo obdarovaného, keďže ide o bezodplatné nadobudnutie, de facto ide o darovanie po smrti darcu.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94. K čl. LXXVI  bodom 42 a 43 (zákon č. 595/2003 Z. z. § 49 ods. 4, 5 a 9) – Z:</w:t>
              <w:br/>
            </w:r>
            <w:r>
              <w:rPr>
                <w:b w:val="off"/>
                <w:color w:val="000000"/>
                <w:rFonts w:ascii="Times New Roman" w:hAnsi="Times New Roman" w:cs="Times New Roman" w:eastAsia="Times New Roman"/>
                <w:sz w:val="24"/>
              </w:rPr>
              <w:t>Body 42 a 43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95.  K čl. LXXXI bodu 5 [zákon č. 98/2004 Z. z. § 21 ods. 10 písm. a) a  § 25 ods. 18 písm. a)] – Z:</w:t>
              <w:br/>
            </w:r>
            <w:r>
              <w:rPr>
                <w:b w:val="off"/>
                <w:color w:val="000000"/>
                <w:rFonts w:ascii="Times New Roman" w:hAnsi="Times New Roman" w:cs="Times New Roman" w:eastAsia="Times New Roman"/>
                <w:sz w:val="24"/>
              </w:rPr>
              <w:t xml:space="preserve">Bod 5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96. K čl. LXXXI bodu 6 [zákon č. 98/2004 Z. z. § 21 ods. 10 písm. b) a  § 25 ods. 18 písm. b)] – Z:</w:t>
              <w:br/>
            </w:r>
            <w:r>
              <w:rPr>
                <w:b w:val="off"/>
                <w:color w:val="000000"/>
                <w:rFonts w:ascii="Times New Roman" w:hAnsi="Times New Roman" w:cs="Times New Roman" w:eastAsia="Times New Roman"/>
                <w:sz w:val="24"/>
              </w:rPr>
              <w:t xml:space="preserve">Bod 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97. K čl. LXXXII bodu 4 [zákon č. 106/2004 Z. z. § 19 ods. 10 písm. a) a § 23 ods. 17 písm. a)] – Z:</w:t>
              <w:br/>
            </w:r>
            <w:r>
              <w:rPr>
                <w:b w:val="off"/>
                <w:color w:val="000000"/>
                <w:rFonts w:ascii="Times New Roman" w:hAnsi="Times New Roman" w:cs="Times New Roman" w:eastAsia="Times New Roman"/>
                <w:sz w:val="24"/>
              </w:rPr>
              <w:t xml:space="preserve">Bod 4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98.  K čl. LXXXII bodu 5 [zákon č. 106/2004 Z. z. § 19 ods. 10 písm. b) a § 23 ods. 17 písm. b)] – Z:</w:t>
              <w:br/>
            </w:r>
            <w:r>
              <w:rPr>
                <w:b w:val="off"/>
                <w:color w:val="000000"/>
                <w:rFonts w:ascii="Times New Roman" w:hAnsi="Times New Roman" w:cs="Times New Roman" w:eastAsia="Times New Roman"/>
                <w:sz w:val="24"/>
              </w:rPr>
              <w:t xml:space="preserve">Navrhujeme vypustiť bod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100. K čl. LXXXV bodu 9 (zákon č. 222/2004 Z. z. § 83 ods. 3) – Z:</w:t>
              <w:br/>
            </w:r>
            <w:r>
              <w:rPr>
                <w:b w:val="off"/>
                <w:color w:val="000000"/>
                <w:rFonts w:ascii="Times New Roman" w:hAnsi="Times New Roman" w:cs="Times New Roman" w:eastAsia="Times New Roman"/>
                <w:sz w:val="24"/>
              </w:rPr>
              <w:t xml:space="preserve">Bod 9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103. K čl. XCIII bodu 2 (zákon č. 582/2004 Z. z. § 18 ods. 2) – Z:</w:t>
              <w:br/>
            </w:r>
            <w:r>
              <w:rPr>
                <w:b w:val="off"/>
                <w:color w:val="000000"/>
                <w:rFonts w:ascii="Times New Roman" w:hAnsi="Times New Roman" w:cs="Times New Roman" w:eastAsia="Times New Roman"/>
                <w:sz w:val="24"/>
              </w:rPr>
              <w:t xml:space="preserve">Navrhujeme vypustiť slová „osvedčenie o dedičstve alebo“. Táto procesná forma ukončenia konania o dedičstve už v našom právnom poriadku neexistuje.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107. K čl. CXIX bodu 11 (zákon č. 448/2008 Z. z. § 9 ods. 14) – Z:</w:t>
              <w:br/>
            </w:r>
            <w:r>
              <w:rPr>
                <w:b w:val="off"/>
                <w:color w:val="000000"/>
                <w:rFonts w:ascii="Times New Roman" w:hAnsi="Times New Roman" w:cs="Times New Roman" w:eastAsia="Times New Roman"/>
                <w:sz w:val="24"/>
              </w:rPr>
              <w:t xml:space="preserve">V novom odseku 14 sa ustanovuje povinnosť poskytovateľa oznámiť prejavený nesúhlas klienta s poskytovaním pobytovej sociálnej služby súdu a opatrovníkovi. Ani z ďalších ustanovení však nie je zrejmé, či zariadenie má právo držať klienta aj po prejavenom nesúhlase. Napríklad, dokedy má právo klienta držať, či do rozhodnutia súdu alebo musí klienta ihneď prepustiť, či ide o klienta, kde súhlas podľa § 188 už opatrovnícky súd dal, alebo či to znamená, že zariadenie takto len posúva informáciu, že klient, ktorý je v zariadení so súhlasom súdu, prejavil nesúhlas.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Okrem toho nie je zrejmé, či má poskytovateľ oznámiť nesúhlas opatrovníckemu súdu (na rozhodnutie podľa § 188 Občianskeho zákonníka) alebo súdu príslušnému na konanie o prípustnosti prevzatia a držania v zariadení bez súhlasu umiestneného.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125. K čl. CXXXI bodu 14 (zákon č. 443/2010 Z. z. § 12 ods. 14) – Z:</w:t>
              <w:br/>
            </w:r>
            <w:r>
              <w:rPr>
                <w:b w:val="off"/>
                <w:color w:val="000000"/>
                <w:rFonts w:ascii="Times New Roman" w:hAnsi="Times New Roman" w:cs="Times New Roman" w:eastAsia="Times New Roman"/>
                <w:sz w:val="24"/>
              </w:rPr>
              <w:t>Znenie § 12 ods. 14 navrhujeme upraviť tak, aby sa fikcia doručenia pri doporučenej pošte neuplatňovala dňom uloženia na pošte, ale až uplynutím štandardnej odbernej lehoty (18 dní), a aby bola zakotvená osobitná ochrana pre osoby so zdravotným postihnutím a iné zraniteľné skupiny. Zároveň navrhujeme vypustiť alebo upraviť ustanovenie o solidárnom doručovaní voči všetkým osobám na strane nájomcu.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21 ods. 1 novelizovaného zákona je sociálne bývanie definované ako „bývanie obstarané s použitím verejných prostriedkov určené na primerané a ľudsky dôstojné bývanie fyzických osôb, ktoré si nemôžu obstarať bývanie vlastným pričinením“. Cieľovou skupinou zákona sú zraniteľné a sociálne znevýhodnené osoby, vrátane osôb so zdravotným postihnutím, pri ktorých zákon už dnes predpokladá osobitný režim (napríklad možnosť dlhšieho nájmu až na 10 rokov podľa § 12 ods. 2). Zavedenie fikcie doručovania v deň uloženia zásielky na pošte popiera ochrannú funkciu štátu a sociálneho bývania a mení ho na rizikové prostredie, kde zraniteľný človek môže prísť o strechu nad hlavou kvôli administratívnej chybe pošty. Zároveň dochádza k znevýhodneniu osôb so zdravotným postihnutím. Takíto občania môžu mať z dôvodu svojich obmedzení sťažený prístup k poštovým schránkam. Fikcia doručenia má slúžiť ako ochrana pred špekulatívnym nepreberaním pošty, avšak pri sociálnom bývaní sa môže vzťahovať aj na ľudí, ktorí poštu objektívne prevziať nedokážu, pretože u osôb s ťažkým zdravotným postihnutím sú bežné dlhodobé hospitalizácie, rehabilitačné pobyty či kúpeľná liečba. Taktiež úprava, že doručenie jednému členovi domácnosti má účinky voči všetkým, je v prostredí sociálneho bývania nežiaduce. Osoby so zdravotným postihnutím často zdieľajú domácnosť s inými príbuznými, od ktorých sú existenčne závislí. Ak rodinný príslušník list prevezme, no osobe so zdravotným postihnutím ho neodovzdá (kvôli zanedbaniu, konfliktu alebo vlastnej nedbanlivosti), osobe so zdravotným postihnutím uplynie výpovedná lehota bez toho, aby sa o tom dozvedela. Navrhované znenie novely preto priamo neguje základnú filozofiu a účel dotknutého zákona, zvyšuje riziko bezdomovectva u najzraniteľnejších skupín a prehlbuje ich sociálne vylúčenie.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130. K čl. CXXXIX bodom 5, 6 a 8 až 13 (zákon č. 530/2011 Z. z.) – Z:</w:t>
              <w:br/>
            </w:r>
            <w:r>
              <w:rPr>
                <w:b w:val="off"/>
                <w:color w:val="000000"/>
                <w:rFonts w:ascii="Times New Roman" w:hAnsi="Times New Roman" w:cs="Times New Roman" w:eastAsia="Times New Roman"/>
                <w:sz w:val="24"/>
              </w:rPr>
              <w:t>Body 5, 6 a 8 až 13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138. K čl. CLV bodu 2 (zákon č. 361/2014 Z. z. § 9 ods. 7) – Z:</w:t>
              <w:br/>
            </w:r>
            <w:r>
              <w:rPr>
                <w:b w:val="off"/>
                <w:color w:val="000000"/>
                <w:rFonts w:ascii="Times New Roman" w:hAnsi="Times New Roman" w:cs="Times New Roman" w:eastAsia="Times New Roman"/>
                <w:sz w:val="24"/>
              </w:rPr>
              <w:t xml:space="preserve">Bod 2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143. K čl. CCXIII bodu 1 (zákon č. 251/2024 Z. z. § 13 ods. 10) – Z:</w:t>
              <w:br/>
            </w:r>
            <w:r>
              <w:rPr>
                <w:b w:val="off"/>
                <w:color w:val="000000"/>
                <w:rFonts w:ascii="Times New Roman" w:hAnsi="Times New Roman" w:cs="Times New Roman" w:eastAsia="Times New Roman"/>
                <w:sz w:val="24"/>
              </w:rPr>
              <w:t xml:space="preserve">Bod 1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je totožná s pripomienkou k čl. IV bodu 5 (§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144. K čl. CCXXIX bodu 1 [zákon č. 29/2026 Z. z. § 11 písm.  j)] – Z:</w:t>
              <w:br/>
            </w:r>
            <w:r>
              <w:rPr>
                <w:b w:val="off"/>
                <w:color w:val="000000"/>
                <w:rFonts w:ascii="Times New Roman" w:hAnsi="Times New Roman" w:cs="Times New Roman" w:eastAsia="Times New Roman"/>
                <w:sz w:val="24"/>
              </w:rPr>
              <w:t>V § 11 písm. j) navrhujeme na konci pripojiť tieto slová: „alebo uložené príkazom poručiteľa“.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Obmedzenie nakladať s obchodným podielom, ktoré vyplýva z objektívneho dedičského práva, môže nastať nielen dedičkou zmluvou, ale aj príkazom poručiteľa (§ 1822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146. K čl. X – nad rámec návrhu zákona (zákon č. 111/1990 Zb. prechodné ustanovenie) – Z:</w:t>
              <w:br/>
            </w:r>
            <w:r>
              <w:rPr>
                <w:b w:val="off"/>
                <w:color w:val="000000"/>
                <w:rFonts w:ascii="Times New Roman" w:hAnsi="Times New Roman" w:cs="Times New Roman" w:eastAsia="Times New Roman"/>
                <w:sz w:val="24"/>
              </w:rPr>
              <w:t xml:space="preserve">Z dôvodu zachovania právnej istoty navrhujeme doplniť navrhovanú právnu úpravu o prechodné ustanovenia, z ktorých bude zrejmé, či mandátne zmluvy sa od účinnosti navrhovanej právnej úpravy menia na príkazné zmluvy (resp. sa považujú za príkazné zmluvy) alebo je predtým potrebný presne určený čas na úpravu ich obsahu.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147. K čl. XI – nad rámec návrhu zákona (zákon SNR č. 369/1990 Zb. prechodné ustanovenie) – Z:</w:t>
              <w:br/>
            </w:r>
            <w:r>
              <w:rPr>
                <w:b w:val="off"/>
                <w:color w:val="000000"/>
                <w:rFonts w:ascii="Times New Roman" w:hAnsi="Times New Roman" w:cs="Times New Roman" w:eastAsia="Times New Roman"/>
                <w:sz w:val="24"/>
              </w:rPr>
              <w:t>Odporúčame návrh zákona doplniť o prechodné ustanovenia v tom zmysle, že likvidácia začatá pred účinnosťou tohto právneho predpisu sa dokončí podľa doterajších predpisov, a to z dôvodu zachovania právnej istoty, kontinuity už začatého konania a eliminovania zbytočných prieťahov. Pri novelizáciách procesných ustanovení totiž vo všeobecnosti platí, že vzhľadom na okamžitú uplatniteľnosť procesných ustanovení už aj v prebiehajúcich konaniach sa novelou zavádzané nové procesné ustanovenia na prebiehajúce konania neuplatnia len v prípade, ak to zákonodarca výslovne uvedie v príslušných prechodných ustanoveniach. A teda v prípade, ak pri novelizáciách procesných ustanovení prechodné ustanovenia absentujú, automaticky platí, že nová procesná úprava sa uplatní aj v prípade prebiehajúcich konaní (bližšie nález Ústavného súdu PL. ÚS 8/2013).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II bodu 2 (zákon č. 513/1991 Zb. § 2 ods. 1) – O:</w:t>
              <w:br/>
            </w:r>
            <w:r>
              <w:rPr>
                <w:b w:val="off"/>
                <w:color w:val="000000"/>
                <w:rFonts w:ascii="Times New Roman" w:hAnsi="Times New Roman" w:cs="Times New Roman" w:eastAsia="Times New Roman"/>
                <w:sz w:val="24"/>
              </w:rPr>
              <w:t>Slová „zapísaná živnostenskom registri“ odporúčame nahradiť slovami „zapísaná v živnostenskom registri“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II bodu 9 (zákon č. 513/1991 Zb. § 21 ods. 8) – O:</w:t>
              <w:br/>
            </w:r>
            <w:r>
              <w:rPr>
                <w:b w:val="off"/>
                <w:color w:val="000000"/>
                <w:rFonts w:ascii="Times New Roman" w:hAnsi="Times New Roman" w:cs="Times New Roman" w:eastAsia="Times New Roman"/>
                <w:sz w:val="24"/>
              </w:rPr>
              <w:t>Slová „a ods. 8“ odporúčame nahradiť slovami „a v odseku 8“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II bodu 28 (zákon č. 513/1991 Zb. § 70 ods. 5) – O:</w:t>
              <w:br/>
            </w:r>
            <w:r>
              <w:rPr>
                <w:b w:val="off"/>
                <w:color w:val="000000"/>
                <w:rFonts w:ascii="Times New Roman" w:hAnsi="Times New Roman" w:cs="Times New Roman" w:eastAsia="Times New Roman"/>
                <w:sz w:val="24"/>
              </w:rPr>
              <w:t>Slová „o likvidácií“ odporúčame nahradiť slovami „o likvidácii“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III bodu 6 (zákon č. 311/2001 Z. z. § 8) – O:</w:t>
              <w:br/>
            </w:r>
            <w:r>
              <w:rPr>
                <w:b w:val="off"/>
                <w:color w:val="000000"/>
                <w:rFonts w:ascii="Times New Roman" w:hAnsi="Times New Roman" w:cs="Times New Roman" w:eastAsia="Times New Roman"/>
                <w:sz w:val="24"/>
              </w:rPr>
              <w:t>V § 8 ods. 1 Zákonníka práce odporúčame nahradiť slová „ako zamestnávateľ“ slovami „ako zamestnávateľa“ a v predloženom návrhu novelizácie Zákonníka práce nahradiť slová „za ňu“ slovami „za fyzickú osobu“ (gramatická a formulačná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III bodu 20 (zákon č. 311/2001 Z. z. § 16c ods. 1) – O:</w:t>
              <w:br/>
            </w:r>
            <w:r>
              <w:rPr>
                <w:b w:val="off"/>
                <w:color w:val="000000"/>
                <w:rFonts w:ascii="Times New Roman" w:hAnsi="Times New Roman" w:cs="Times New Roman" w:eastAsia="Times New Roman"/>
                <w:sz w:val="24"/>
              </w:rPr>
              <w:t>Slová „tento zákona“ odporúčame nahradiť slovami „tento zákon“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III bodu 33 (zákon č. 311/2001 Z. z.  § 38 ods. 6) – O:</w:t>
              <w:br/>
            </w:r>
            <w:r>
              <w:rPr>
                <w:b w:val="off"/>
                <w:color w:val="000000"/>
                <w:rFonts w:ascii="Times New Roman" w:hAnsi="Times New Roman" w:cs="Times New Roman" w:eastAsia="Times New Roman"/>
                <w:sz w:val="24"/>
              </w:rPr>
              <w:t>Slová „použijú Občianskeho zákonníka“ odporúčame nahradiť slovami „použijú ustanovenia Občianskeho zákonníka“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III bodu 95 (zákon č. 311/2001 Z. z. § 178b) – O:</w:t>
              <w:br/>
            </w:r>
            <w:r>
              <w:rPr>
                <w:b w:val="off"/>
                <w:color w:val="000000"/>
                <w:rFonts w:ascii="Times New Roman" w:hAnsi="Times New Roman" w:cs="Times New Roman" w:eastAsia="Times New Roman"/>
                <w:sz w:val="24"/>
              </w:rPr>
              <w:t>Slová „a iné relevantných skutočnostiach“ odporúčame nahradiť slovami „a iné relevantné skutočnosti“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IV v úvodnej vete – O:</w:t>
              <w:br/>
            </w:r>
            <w:r>
              <w:rPr>
                <w:b w:val="off"/>
                <w:color w:val="000000"/>
                <w:rFonts w:ascii="Times New Roman" w:hAnsi="Times New Roman" w:cs="Times New Roman" w:eastAsia="Times New Roman"/>
                <w:sz w:val="24"/>
              </w:rPr>
              <w:t>V úvodnej vete čl. IV je potrebné doplniť slová „a zákona č. 131/2026 Z. z.“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čl. VI bodu 6 (zákon č. 161/2015 Z. z. § 112 ods. 2) – O:</w:t>
              <w:br/>
            </w:r>
            <w:r>
              <w:rPr>
                <w:b w:val="off"/>
                <w:color w:val="000000"/>
                <w:rFonts w:ascii="Times New Roman" w:hAnsi="Times New Roman" w:cs="Times New Roman" w:eastAsia="Times New Roman"/>
                <w:sz w:val="24"/>
              </w:rPr>
              <w:t>V nadväznosti na pripomienku uplatnenú k bodu 5 je potrebné zmeniť úpravu vnútorného odkazu v § 112 ods. 2 CMP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36. K čl. VI  bodu 45 (zákon č. 161/2015 Z. z. § 309f) – O:</w:t>
              <w:br/>
            </w:r>
            <w:r>
              <w:rPr>
                <w:b w:val="off"/>
                <w:color w:val="000000"/>
                <w:rFonts w:ascii="Times New Roman" w:hAnsi="Times New Roman" w:cs="Times New Roman" w:eastAsia="Times New Roman"/>
                <w:sz w:val="24"/>
              </w:rPr>
              <w:t>V § 309f navrhujeme predložku „vo“ nahradiť predložkou „v“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 K čl. VI  bodu 45 (zákon č. 161/2015 Z. z. § 309h ods. 2) – O:</w:t>
              <w:br/>
            </w:r>
            <w:r>
              <w:rPr>
                <w:b w:val="off"/>
                <w:color w:val="000000"/>
                <w:rFonts w:ascii="Times New Roman" w:hAnsi="Times New Roman" w:cs="Times New Roman" w:eastAsia="Times New Roman"/>
                <w:sz w:val="24"/>
              </w:rPr>
              <w:t>Slová „výdavkov likvidátora“ nahradiť slovami „nákladov likvidátora“.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zosúladenia terminológie s § 273 nového Občianskeho zákonník a tiež s navrhovaným § 309d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38. K čl. VI  bodu 45 (zákon č. 161/2015 Z. z. § 309k ods. 2) – O:</w:t>
              <w:br/>
            </w:r>
            <w:r>
              <w:rPr>
                <w:b w:val="off"/>
                <w:color w:val="000000"/>
                <w:rFonts w:ascii="Times New Roman" w:hAnsi="Times New Roman" w:cs="Times New Roman" w:eastAsia="Times New Roman"/>
                <w:sz w:val="24"/>
              </w:rPr>
              <w:t>V § 309k ods. 2 navrhujeme na konci pripojiť túto vetu: „Začatie konania o neplatnosti právnickej osoby poznamená súd alebo príslušný orgán vo verejnom registri, v ktorom je právnická osoba zapísaná.“.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ustanovením § 308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41. K čl. VI  bodu 45 (zákon č. 161/2015 Z. z. § 309s ods. 1) – O:</w:t>
              <w:br/>
            </w:r>
            <w:r>
              <w:rPr>
                <w:b w:val="off"/>
                <w:color w:val="000000"/>
                <w:rFonts w:ascii="Times New Roman" w:hAnsi="Times New Roman" w:cs="Times New Roman" w:eastAsia="Times New Roman"/>
                <w:sz w:val="24"/>
              </w:rPr>
              <w:t>Navrhovaná právna úprava je nezrozumiteľná a  je potrebné ju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309s ods. 1nedáva zmysel, keďže odsek 1 odkazuje na ten istý odsek 1, ktorý navyše neustanovuje žiadnu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42. K čl. VI  bodu 45 (zákon č. 161/2015 Z. z. § 309v ods. 2) – O:</w:t>
              <w:br/>
            </w:r>
            <w:r>
              <w:rPr>
                <w:b w:val="off"/>
                <w:color w:val="000000"/>
                <w:rFonts w:ascii="Times New Roman" w:hAnsi="Times New Roman" w:cs="Times New Roman" w:eastAsia="Times New Roman"/>
                <w:sz w:val="24"/>
              </w:rPr>
              <w:t>Slová „právnickej osoby“ odporúčame  nahradiť slovami „obchodnej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 s cieľom dosiahnuť zrozumiteľnejšie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47. K čl. VIII  bodu 6 [zákon č. 97/1963 Zb. § 10 ods. 1 písm. f)] – O:</w:t>
              <w:br/>
            </w:r>
            <w:r>
              <w:rPr>
                <w:b w:val="off"/>
                <w:color w:val="000000"/>
                <w:rFonts w:ascii="Times New Roman" w:hAnsi="Times New Roman" w:cs="Times New Roman" w:eastAsia="Times New Roman"/>
                <w:sz w:val="24"/>
              </w:rPr>
              <w:t>Slová „V § 10 ods. 1 písmeno f)“ odporúčame nahradiť slovami „V § 10 ods. 2 písmeno f)“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48. K čl. IX  (zákon č. 83/1990 Zb. úvodná veta) – O:</w:t>
              <w:br/>
            </w:r>
            <w:r>
              <w:rPr>
                <w:b w:val="off"/>
                <w:color w:val="000000"/>
                <w:rFonts w:ascii="Times New Roman" w:hAnsi="Times New Roman" w:cs="Times New Roman" w:eastAsia="Times New Roman"/>
                <w:sz w:val="24"/>
              </w:rPr>
              <w:t>V úvodnej vete čl. IX navrhujeme slová „zákona č. 109/2025 Z. z. a zákona č. 140/2025 Z. z.“ nahradiť slovami „zákona č. 109/2025 Z. z., zákona č. 140/2025 Z. z. a zákona č. 13/2026 Z. z.“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51. K čl. X bodu 3 (zákon č. 111/1990 Zb. poznámka pod čiarou k odkazu 8) – O:</w:t>
              <w:br/>
            </w:r>
            <w:r>
              <w:rPr>
                <w:b w:val="off"/>
                <w:color w:val="000000"/>
                <w:rFonts w:ascii="Times New Roman" w:hAnsi="Times New Roman" w:cs="Times New Roman" w:eastAsia="Times New Roman"/>
                <w:sz w:val="24"/>
              </w:rPr>
              <w:t>Slová „až 422“ odporúčame nahradiť slovami „až 424“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52. K čl. XI bodu 5 (zákon č. 369/1990 Zb. poznámka pod čiarou k odkazu 16a) – O:</w:t>
              <w:br/>
            </w:r>
            <w:r>
              <w:rPr>
                <w:b w:val="off"/>
                <w:color w:val="000000"/>
                <w:rFonts w:ascii="Times New Roman" w:hAnsi="Times New Roman" w:cs="Times New Roman" w:eastAsia="Times New Roman"/>
                <w:sz w:val="24"/>
              </w:rPr>
              <w:t>Odporúčame doplniť poznámku pod čiarou aj o úpravu bankového tajomstva, daňového tajomstva či ochranu osobných údajov, ako je tomu v aktuálnej právnej úprave. Niet dôvodu okliešťovať poznámku pod čiarou výlučne na ustanovenia Občianskeho zákonníka o obchodnom tajomstve.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54. K čl. XIV bodu 2 (zákon č. 92/1991 Zb. poznámka pod čiarou k odkazu 4a) – O:</w:t>
              <w:br/>
            </w:r>
            <w:r>
              <w:rPr>
                <w:b w:val="off"/>
                <w:color w:val="000000"/>
                <w:rFonts w:ascii="Times New Roman" w:hAnsi="Times New Roman" w:cs="Times New Roman" w:eastAsia="Times New Roman"/>
                <w:sz w:val="24"/>
              </w:rPr>
              <w:t xml:space="preserve">Poznámku pod čiarou k odkazu 4a odporúčame uviesť v znení: </w:t>
              <w:br/>
            </w:r>
            <w:r>
              <w:rPr>
                <w:b w:val="off"/>
                <w:color w:val="000000"/>
                <w:rFonts w:ascii="Times New Roman" w:hAnsi="Times New Roman" w:cs="Times New Roman" w:eastAsia="Times New Roman"/>
                <w:sz w:val="24"/>
              </w:rPr>
              <w:t xml:space="preserve">„4a) § 21 ods. 2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výstižnejšiu a presnú poznámku pod čiarou cielene objasňujúcu „len“ pojem  nehnuteľných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56. K čl. XVIII (zákon č. 455/1991 Zb. úvodná veta) – O:</w:t>
              <w:br/>
            </w:r>
            <w:r>
              <w:rPr>
                <w:b w:val="off"/>
                <w:color w:val="000000"/>
                <w:rFonts w:ascii="Times New Roman" w:hAnsi="Times New Roman" w:cs="Times New Roman" w:eastAsia="Times New Roman"/>
                <w:sz w:val="24"/>
              </w:rPr>
              <w:t>V úvodnej vete novelizovaného predpisu navrhujeme slová „zákon č. 73/2026 Z. z. a zákona č. 29/2026 Z. z.“ nahradiť slovami „zákon č. 73/2026 Z. z., zákona č. 29/2026 Z. z. a zákona č. 165/2026 Z. z.“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60. K čl. XXI  bodu 10 (zákon SNR č. 323/1992 Zb. poznámka pod čiarou k odkazu 6ba)  – O:</w:t>
              <w:br/>
            </w:r>
            <w:r>
              <w:rPr>
                <w:b w:val="off"/>
                <w:color w:val="000000"/>
                <w:rFonts w:ascii="Times New Roman" w:hAnsi="Times New Roman" w:cs="Times New Roman" w:eastAsia="Times New Roman"/>
                <w:sz w:val="24"/>
              </w:rPr>
              <w:t>Odporúčame slová „§ 1630 ods. 5“ nahradiť slovami „§ 1630 ods. 3“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61. K čl. XXI  bodu 11 (zákon SNR č. 323/1992 Zb. § 66 ods. 4) – O:</w:t>
              <w:br/>
            </w:r>
            <w:r>
              <w:rPr>
                <w:b w:val="off"/>
                <w:color w:val="000000"/>
                <w:rFonts w:ascii="Times New Roman" w:hAnsi="Times New Roman" w:cs="Times New Roman" w:eastAsia="Times New Roman"/>
                <w:sz w:val="24"/>
              </w:rPr>
              <w:t>Slovo „poručiteľov“ v prvej vete odporúčame  nahradiť slovom „poručiteľovi“ (gramatická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72. K čl. XXIV  bodu 1 [zákon NR SR č. 182/1993 Z. z. § 2 písm. a) až c)] – O:</w:t>
              <w:br/>
            </w:r>
            <w:r>
              <w:rPr>
                <w:b w:val="off"/>
                <w:color w:val="000000"/>
                <w:rFonts w:ascii="Times New Roman" w:hAnsi="Times New Roman" w:cs="Times New Roman" w:eastAsia="Times New Roman"/>
                <w:sz w:val="24"/>
              </w:rPr>
              <w:t>V navrhovanom  písmene a) odporúčame upraviť, čo sa na účely tohto zákona rozumie „domom“ a až v nasledujúcich písmenách [b) a c)] upraviť výklad pojmov „bytový dom“ a „nebytový dom“ (legislatívno-technická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73. K čl. XXIV  bodu 1 (zákon NR SR č. 182/1993 Z. z. poznámky pod čiarou) – O:</w:t>
              <w:br/>
            </w:r>
            <w:r>
              <w:rPr>
                <w:b w:val="off"/>
                <w:color w:val="000000"/>
                <w:rFonts w:ascii="Times New Roman" w:hAnsi="Times New Roman" w:cs="Times New Roman" w:eastAsia="Times New Roman"/>
                <w:sz w:val="24"/>
              </w:rPr>
              <w:t>Úvodnú vetu „Poznámky pod čiarou k odkazom 1 až 2 a 5 až 5d znejú:“ navrhujeme nahradiť vetou „Poznámky pod čiarou k odkazom 1 a 2 a 5a až 5d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 sa v novelizačnom bode 5 vypúšťa (legislatívno-technická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74. K čl. XXIV  bodu 3 (zákon NR SR č. 182/1993 Z. z. § 4) – O:</w:t>
              <w:br/>
            </w:r>
            <w:r>
              <w:rPr>
                <w:b w:val="off"/>
                <w:color w:val="000000"/>
                <w:rFonts w:ascii="Times New Roman" w:hAnsi="Times New Roman" w:cs="Times New Roman" w:eastAsia="Times New Roman"/>
                <w:sz w:val="24"/>
              </w:rPr>
              <w:t>Odporúčame vypustiť aj poznámku pod čiarou k odkazu 8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75.  K čl. XXIV bodu 5 (zákon NR SR č. 182/1993 Z. z. § 5) – O:</w:t>
              <w:br/>
            </w:r>
            <w:r>
              <w:rPr>
                <w:b w:val="off"/>
                <w:color w:val="000000"/>
                <w:rFonts w:ascii="Times New Roman" w:hAnsi="Times New Roman" w:cs="Times New Roman" w:eastAsia="Times New Roman"/>
                <w:sz w:val="24"/>
              </w:rPr>
              <w:t>Navrhujeme slová „5, 8 a 9“ nahradiť slovami „5, 9, 9a a 10a“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82. K čl. XXXIX bodu 1 (zákon č. 73/1998 Z. z. poznámka pod čiarou k odkazu 13b) - O:</w:t>
              <w:br/>
            </w:r>
            <w:r>
              <w:rPr>
                <w:b w:val="off"/>
                <w:color w:val="000000"/>
                <w:rFonts w:ascii="Times New Roman" w:hAnsi="Times New Roman" w:cs="Times New Roman" w:eastAsia="Times New Roman"/>
                <w:sz w:val="24"/>
              </w:rPr>
              <w:t>V poznámke pod čiarou k odkazu 13b odporúčame slová „§ 291 a nasl.“ nahradiť slovami „§ 292 a nasl.“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83. K čl. XXXIX bodu 14 (zákon č. 73/1998 Z. z. § 254 ods. 1) – O:</w:t>
              <w:br/>
            </w:r>
            <w:r>
              <w:rPr>
                <w:b w:val="off"/>
                <w:color w:val="000000"/>
                <w:rFonts w:ascii="Times New Roman" w:hAnsi="Times New Roman" w:cs="Times New Roman" w:eastAsia="Times New Roman"/>
                <w:sz w:val="24"/>
              </w:rPr>
              <w:t>Znenie § 254 ods. 1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Nárok sa premlčí, ak sa neuplatnil v lehote ustanovenej v tomto zákone. Na premlčanie sa prihliadne, len ak sa ten, voči ktorému sa nárok uplatňuje, sa na premlčanie odvoláva; v takom prípade nemožno premlčaný nárok tomu, kto ho uplatňuje, priznať.“.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dôvodovou správou a gramatickú úpravu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84. K čl. XXXIX bodu 19 (zákon č. 73/1998 Z. z. § 256 ods. 4) – O:</w:t>
              <w:br/>
            </w:r>
            <w:r>
              <w:rPr>
                <w:b w:val="off"/>
                <w:color w:val="000000"/>
                <w:rFonts w:ascii="Times New Roman" w:hAnsi="Times New Roman" w:cs="Times New Roman" w:eastAsia="Times New Roman"/>
                <w:sz w:val="24"/>
              </w:rPr>
              <w:t>Znenie § 256 ods. 4 odporúčame uviesť v znení:</w:t>
              <w:br/>
            </w:r>
            <w:r>
              <w:rPr>
                <w:b w:val="off"/>
                <w:color w:val="000000"/>
                <w:rFonts w:ascii="Times New Roman" w:hAnsi="Times New Roman" w:cs="Times New Roman" w:eastAsia="Times New Roman"/>
                <w:sz w:val="24"/>
              </w:rPr>
              <w:t xml:space="preserve">„(4) Ak bol nárok priznaný právoplatným rozhodnutím, premlčuje sa za desať rokov odo dňa, keď sa mal podľa rozhodnutia 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dôvodovou správou a gramatickou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85. K čl. XXXIX bodu 21 (zákon č. 73/1998 Z. z. § 256 ods. 6) – O:</w:t>
              <w:br/>
            </w:r>
            <w:r>
              <w:rPr>
                <w:b w:val="off"/>
                <w:color w:val="000000"/>
                <w:rFonts w:ascii="Times New Roman" w:hAnsi="Times New Roman" w:cs="Times New Roman" w:eastAsia="Times New Roman"/>
                <w:sz w:val="24"/>
              </w:rPr>
              <w:t>Slová „ako odseky 8 a 9“ odporúčame nahradiť slovami „ako odseky 6 a 7“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88. K čl. XLVII bodu 8 (zákon č. 315/2001 Z. z. poznámka pod čiarou k odkazu 18) – O:</w:t>
              <w:br/>
            </w:r>
            <w:r>
              <w:rPr>
                <w:b w:val="off"/>
                <w:color w:val="000000"/>
                <w:rFonts w:ascii="Times New Roman" w:hAnsi="Times New Roman" w:cs="Times New Roman" w:eastAsia="Times New Roman"/>
                <w:sz w:val="24"/>
              </w:rPr>
              <w:t>V poznámke pod čiarou k odkazu 18 odporúčame slová „§ 291 a nasl.“ nahradiť slovami „§ 292 a nasl.“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89. K čl. XLVII bodu 15 (zákon č. 315/2001 Z. z. § 174 ods. 1) – O:</w:t>
              <w:br/>
            </w:r>
            <w:r>
              <w:rPr>
                <w:b w:val="off"/>
                <w:color w:val="000000"/>
                <w:rFonts w:ascii="Times New Roman" w:hAnsi="Times New Roman" w:cs="Times New Roman" w:eastAsia="Times New Roman"/>
                <w:sz w:val="24"/>
              </w:rPr>
              <w:t>Znenie § 174 ods. 1 odporúčame uviesť v znení:</w:t>
              <w:br/>
            </w:r>
            <w:r>
              <w:rPr>
                <w:b w:val="off"/>
                <w:color w:val="000000"/>
                <w:rFonts w:ascii="Times New Roman" w:hAnsi="Times New Roman" w:cs="Times New Roman" w:eastAsia="Times New Roman"/>
                <w:sz w:val="24"/>
              </w:rPr>
              <w:t xml:space="preserve">„(1) Nárok sa premlčí, ak sa neuplatnil v lehote ustanovenej týmto zákonom. Na premlčanie sa prihliadne, iba ak ten, voči komu sa nárok uplatňuje, sa premlčania dovolá; v takomto prípade nemožno premlčaný nárok tomu, kto ho uplatňuje, priznať.“.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dôvodovou správou a  gramatickú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90. K čl. XLVII bodu 25 (zákon č. 315/2001 Z. z. § 176 ods. 1) – O:</w:t>
              <w:br/>
            </w:r>
            <w:r>
              <w:rPr>
                <w:b w:val="off"/>
                <w:color w:val="000000"/>
                <w:rFonts w:ascii="Times New Roman" w:hAnsi="Times New Roman" w:cs="Times New Roman" w:eastAsia="Times New Roman"/>
                <w:sz w:val="24"/>
              </w:rPr>
              <w:t>Slová „nahrádza slovom“ odporúčame nahradiť slovami „nahrádza slovami“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92. K čl. LXXIII bod 7 [zákon č. 552/2003 Z. z. § 8 ods. 1 písm. h)] – O:</w:t>
              <w:br/>
            </w:r>
            <w:r>
              <w:rPr>
                <w:b w:val="off"/>
                <w:color w:val="000000"/>
                <w:rFonts w:ascii="Times New Roman" w:hAnsi="Times New Roman" w:cs="Times New Roman" w:eastAsia="Times New Roman"/>
                <w:sz w:val="24"/>
              </w:rPr>
              <w:t>Bod 7 odporúčame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 § 8 ods. 1 písm. h) sa slová „bol pozbavený spôsobilosti na právne úkony, alebo že jeho spôsobilosť na právne úkony bola obmedzená“ nahrádzajú slovami „bola jeho spôsobilosť na právne úkony obmedzená“.“.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Ide o zosúladenie so znením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99.  K čl. LXXXIV bodu 1 (zákon č. 215/2004 Z. z. poznámka pod čiarou k odkazu 1a) – O:</w:t>
              <w:br/>
            </w:r>
            <w:r>
              <w:rPr>
                <w:b w:val="off"/>
                <w:color w:val="000000"/>
                <w:rFonts w:ascii="Times New Roman" w:hAnsi="Times New Roman" w:cs="Times New Roman" w:eastAsia="Times New Roman"/>
                <w:sz w:val="24"/>
              </w:rPr>
              <w:t>V poznámke pod čiarou k odkazu 1a navrhujeme slová „§ 740 až 746“ nahradiť slovami „§ 741 až 746“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101. K čl. LXXXVI bod  4 (zákon č. 364/2004 Z. z. § 43 úvodná veta) – O:</w:t>
              <w:br/>
            </w:r>
            <w:r>
              <w:rPr>
                <w:b w:val="off"/>
                <w:color w:val="000000"/>
                <w:rFonts w:ascii="Times New Roman" w:hAnsi="Times New Roman" w:cs="Times New Roman" w:eastAsia="Times New Roman"/>
                <w:sz w:val="24"/>
              </w:rPr>
              <w:t>Úvodnú vetu odporúčame uviesť v tomto znení:</w:t>
              <w:br/>
            </w:r>
            <w:r>
              <w:rPr>
                <w:b w:val="off"/>
                <w:color w:val="000000"/>
                <w:rFonts w:ascii="Times New Roman" w:hAnsi="Times New Roman" w:cs="Times New Roman" w:eastAsia="Times New Roman"/>
                <w:sz w:val="24"/>
              </w:rPr>
              <w:t xml:space="preserve">„§ 43 sa dopĺňa odsekmi 9 a 10,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bodom 31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102. K čl. LXXXVI bod  7 (zákon č. 364/2004 Z. z. § 54 úvodná veta) – O:</w:t>
              <w:br/>
            </w:r>
            <w:r>
              <w:rPr>
                <w:b w:val="off"/>
                <w:color w:val="000000"/>
                <w:rFonts w:ascii="Times New Roman" w:hAnsi="Times New Roman" w:cs="Times New Roman" w:eastAsia="Times New Roman"/>
                <w:sz w:val="24"/>
              </w:rPr>
              <w:t>Úvodnú vetu odporúčame uviesť v tomto znení:</w:t>
              <w:br/>
            </w:r>
            <w:r>
              <w:rPr>
                <w:b w:val="off"/>
                <w:color w:val="000000"/>
                <w:rFonts w:ascii="Times New Roman" w:hAnsi="Times New Roman" w:cs="Times New Roman" w:eastAsia="Times New Roman"/>
                <w:sz w:val="24"/>
              </w:rPr>
              <w:t>„§ 54 sa dopĺňa odsekom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bodom 31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104. K čl. CXVIII bodu 3 (zákon č. 447/2008 Z. z. poznámka pod čiarou k odkazu 17) – O:</w:t>
              <w:br/>
            </w:r>
            <w:r>
              <w:rPr>
                <w:b w:val="off"/>
                <w:color w:val="000000"/>
                <w:rFonts w:ascii="Times New Roman" w:hAnsi="Times New Roman" w:cs="Times New Roman" w:eastAsia="Times New Roman"/>
                <w:sz w:val="24"/>
              </w:rPr>
              <w:t>V poznámke pod čiarou k odkazu 17 odporúčame slová „§ 846 až 861 a § 1730 až 1876“ nahradiť slovami „§ 847 až 862 a § 1726 až 1885“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105. K čl. CXVIII bodu 10 (zákon č. 447/2008 Z. z. poznámka pod čiarou k odkazu 35) – O:</w:t>
              <w:br/>
            </w:r>
            <w:r>
              <w:rPr>
                <w:b w:val="off"/>
                <w:color w:val="000000"/>
                <w:rFonts w:ascii="Times New Roman" w:hAnsi="Times New Roman" w:cs="Times New Roman" w:eastAsia="Times New Roman"/>
                <w:sz w:val="24"/>
              </w:rPr>
              <w:t>V poznámke pod čiarou k odkazu 35 odporúčame slová „§ 602 ods. 2“ nahradiť slovami „§ 603 ods. 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106. K čl. CXIX bodu 6 (zákon č. 448/2008 Z. z. poznámka pod čiarou k odkazu 13) – O:</w:t>
              <w:br/>
            </w:r>
            <w:r>
              <w:rPr>
                <w:b w:val="off"/>
                <w:color w:val="000000"/>
                <w:rFonts w:ascii="Times New Roman" w:hAnsi="Times New Roman" w:cs="Times New Roman" w:eastAsia="Times New Roman"/>
                <w:sz w:val="24"/>
              </w:rPr>
              <w:t>V poznámke pod čiarou k odkazu 13 odporúčame slová „§ 602 ods. 2“ nahradiť slovami „§ 603 ods. 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108. K čl. CXIX bodu 21 (zákon č. 448/2008 Z. z. poznámka pod čiarou k odkazom 32 a 33) – O:</w:t>
              <w:br/>
            </w:r>
            <w:r>
              <w:rPr>
                <w:b w:val="off"/>
                <w:color w:val="000000"/>
                <w:rFonts w:ascii="Times New Roman" w:hAnsi="Times New Roman" w:cs="Times New Roman" w:eastAsia="Times New Roman"/>
                <w:sz w:val="24"/>
              </w:rPr>
              <w:t>V poznámke pod čiarou k odkazom 32 a 33 odporúčame slová „§ 866 až 877“ nahradiť slovami „§ 867 až 878“ a slová „962 až  969“ slovami „963 až 970“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109. K čl. CXIX bodu 23 (zákon č. 448/2008 Z. z. poznámka pod čiarou k odkazu 35) – O:</w:t>
              <w:br/>
            </w:r>
            <w:r>
              <w:rPr>
                <w:b w:val="off"/>
                <w:color w:val="000000"/>
                <w:rFonts w:ascii="Times New Roman" w:hAnsi="Times New Roman" w:cs="Times New Roman" w:eastAsia="Times New Roman"/>
                <w:sz w:val="24"/>
              </w:rPr>
              <w:t>V poznámke pod čiarou k odkazu 35 odporúčame slová „§ 846 až 861“ nahradiť slovami „§ 847 až 861“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110. K čl. CXX bodu 2 (zákon č. 516/2008 Z. z. poznámka pod čiarou k odkazu 16) – O:</w:t>
              <w:br/>
            </w:r>
            <w:r>
              <w:rPr>
                <w:b w:val="off"/>
                <w:color w:val="000000"/>
                <w:rFonts w:ascii="Times New Roman" w:hAnsi="Times New Roman" w:cs="Times New Roman" w:eastAsia="Times New Roman"/>
                <w:sz w:val="24"/>
              </w:rPr>
              <w:t>V poznámke pod čiarou k odkazu 16 odporúčame slová „§ 970 až 973“ nahradiť slovami „§ 971 až 974“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111. K čl. CXX bodu 3 (zákon č. 516/2008 Z. z. poznámka pod čiarou k odkazu 25) – O:</w:t>
              <w:br/>
            </w:r>
            <w:r>
              <w:rPr>
                <w:b w:val="off"/>
                <w:color w:val="000000"/>
                <w:rFonts w:ascii="Times New Roman" w:hAnsi="Times New Roman" w:cs="Times New Roman" w:eastAsia="Times New Roman"/>
                <w:sz w:val="24"/>
              </w:rPr>
              <w:t>V poznámke pod čiarou k odkazu 25 odporúčame slová „§ 286 až 289“ nahradiť slovami „§ 288 až 291“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112. K čl. CXXI  bodu 1 [zákon č. 528/2008 Z. z. § 1 písm. b) tretí bod a ďalšie] – O:</w:t>
              <w:br/>
            </w:r>
            <w:r>
              <w:rPr>
                <w:b w:val="off"/>
                <w:color w:val="000000"/>
                <w:rFonts w:ascii="Times New Roman" w:hAnsi="Times New Roman" w:cs="Times New Roman" w:eastAsia="Times New Roman"/>
                <w:sz w:val="24"/>
              </w:rPr>
              <w:t>Slová „§ 602 ods. 2“ odporúčame nahradiť slovami „§ 603 ods. 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113. K čl. CXXI  bodu 6 (zákon č. 528/2008 Z. z. § 28 ods. 6 a § 42 ods. 5) – O:</w:t>
              <w:br/>
            </w:r>
            <w:r>
              <w:rPr>
                <w:b w:val="off"/>
                <w:color w:val="000000"/>
                <w:rFonts w:ascii="Times New Roman" w:hAnsi="Times New Roman" w:cs="Times New Roman" w:eastAsia="Times New Roman"/>
                <w:sz w:val="24"/>
              </w:rPr>
              <w:t>Slová „§ 490 až 497“ odporúčame nahradiť slovami „§ 491 až 498“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114. K čl. CXXI  bodu 8 (zákon č. 528/2008 Z. z. poznámka pod čiarou k odkazu 68aa) – O:</w:t>
              <w:br/>
            </w:r>
            <w:r>
              <w:rPr>
                <w:b w:val="off"/>
                <w:color w:val="000000"/>
                <w:rFonts w:ascii="Times New Roman" w:hAnsi="Times New Roman" w:cs="Times New Roman" w:eastAsia="Times New Roman"/>
                <w:sz w:val="24"/>
              </w:rPr>
              <w:t>V poznámke pod čiarou k odkazu 68aa odporúčame slová „§ 533“ nahradiť slovami „§ 534“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115. K čl. CXXII bodu 2 (zákon č. 539/2008 Z. z. poznámka pod čiarou k odkazu 3) – O:</w:t>
              <w:br/>
            </w:r>
            <w:r>
              <w:rPr>
                <w:b w:val="off"/>
                <w:color w:val="000000"/>
                <w:rFonts w:ascii="Times New Roman" w:hAnsi="Times New Roman" w:cs="Times New Roman" w:eastAsia="Times New Roman"/>
                <w:sz w:val="24"/>
              </w:rPr>
              <w:t>V poznámke pod čiarou k odkazu 3 odporúčame slová „§ 286 až 289“ nahradiť slovami „§ 288 až 291“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116. K čl. CXXVI bodu 1 (zákon č. 274/2009 Z. z. poznámka pod čiarou k odkazu 9a) – O:</w:t>
              <w:br/>
            </w:r>
            <w:r>
              <w:rPr>
                <w:b w:val="off"/>
                <w:color w:val="000000"/>
                <w:rFonts w:ascii="Times New Roman" w:hAnsi="Times New Roman" w:cs="Times New Roman" w:eastAsia="Times New Roman"/>
                <w:sz w:val="24"/>
              </w:rPr>
              <w:t>V poznámke pod čiarou k odkazu 9a odporúčame slová „§ 594 až 601“ nahradiť slovami „§ 595 až 602“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117. K čl. CXXVII bodu 5 (zákon č. 506/2009 Z. z. poznámka pod čiarou k odkazu 10c) – O:</w:t>
              <w:br/>
            </w:r>
            <w:r>
              <w:rPr>
                <w:b w:val="off"/>
                <w:color w:val="000000"/>
                <w:rFonts w:ascii="Times New Roman" w:hAnsi="Times New Roman" w:cs="Times New Roman" w:eastAsia="Times New Roman"/>
                <w:sz w:val="24"/>
              </w:rPr>
              <w:t>V poznámke pod čiarou k odkazu 10c odporúčame slová „674 a 691“ nahradiť slovami „675 a 692“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118. K čl. CXXVII bodu 11 (zákon č. 506/2009 Z. z. poznámka pod čiarou k odkazu 15a) – O:</w:t>
              <w:br/>
            </w:r>
            <w:r>
              <w:rPr>
                <w:b w:val="off"/>
                <w:color w:val="000000"/>
                <w:rFonts w:ascii="Times New Roman" w:hAnsi="Times New Roman" w:cs="Times New Roman" w:eastAsia="Times New Roman"/>
                <w:sz w:val="24"/>
              </w:rPr>
              <w:t>V poznámke pod čiarou k odkazu 15a odporúčame slová „§ 1003“ nahradiť slovami „§ 1004“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119. K čl. CXXVII bodu 13 (zákon č. 506/2009 Z. z. poznámka pod čiarou k odkazu 15b) – O:</w:t>
              <w:br/>
            </w:r>
            <w:r>
              <w:rPr>
                <w:b w:val="off"/>
                <w:color w:val="000000"/>
                <w:rFonts w:ascii="Times New Roman" w:hAnsi="Times New Roman" w:cs="Times New Roman" w:eastAsia="Times New Roman"/>
                <w:sz w:val="24"/>
              </w:rPr>
              <w:t>V poznámke pod čiarou k odkazu 15b odporúčame slová „§ 991 až 998 a § 1000 až 1004“ nahradiť slovami „§ 992 až 999 a § 1001 až 1005“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120. K čl. CXXVIII bodu 2 (zákon č. 514/2009 Z. z. poznámka pod čiarou k odkazu 6) – O:</w:t>
              <w:br/>
            </w:r>
            <w:r>
              <w:rPr>
                <w:b w:val="off"/>
                <w:color w:val="000000"/>
                <w:rFonts w:ascii="Times New Roman" w:hAnsi="Times New Roman" w:cs="Times New Roman" w:eastAsia="Times New Roman"/>
                <w:sz w:val="24"/>
              </w:rPr>
              <w:t>V poznámke pod čiarou k odkazu 6 odporúčame slová „§ 1113“ nahradiť slovami „§ 1111“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121. K čl. CXXXI bodu 1 (zákon č. 443/2010 Z. z. poznámka pod čiarou k odkazu 1) – O:</w:t>
              <w:br/>
            </w:r>
            <w:r>
              <w:rPr>
                <w:b w:val="off"/>
                <w:color w:val="000000"/>
                <w:rFonts w:ascii="Times New Roman" w:hAnsi="Times New Roman" w:cs="Times New Roman" w:eastAsia="Times New Roman"/>
                <w:sz w:val="24"/>
              </w:rPr>
              <w:t>V poznámke pod čiarou k odkazu 1 odporúčame slová „§ 1683 ods. 1“ nahradiť slovami „§ 1679 ods. 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122. K čl. CXXXI bodu 3 (zákon č. 443/2010 Z. z. poznámka pod čiarou k odkazu 18) – O:</w:t>
              <w:br/>
            </w:r>
            <w:r>
              <w:rPr>
                <w:b w:val="off"/>
                <w:color w:val="000000"/>
                <w:rFonts w:ascii="Times New Roman" w:hAnsi="Times New Roman" w:cs="Times New Roman" w:eastAsia="Times New Roman"/>
                <w:sz w:val="24"/>
              </w:rPr>
              <w:t>V poznámke pod čiarou k odkazu 18 odporúčame slová „§ 747 až 798“ nahradiť slovami „§ 748 až 799“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123. K čl. CXXXI bodu 11 (zákon č. 443/2010 Z. z. § 12 ods. 3) – O:</w:t>
              <w:br/>
            </w:r>
            <w:r>
              <w:rPr>
                <w:b w:val="off"/>
                <w:color w:val="000000"/>
                <w:rFonts w:ascii="Times New Roman" w:hAnsi="Times New Roman" w:cs="Times New Roman" w:eastAsia="Times New Roman"/>
                <w:sz w:val="24"/>
              </w:rPr>
              <w:t>Slová „§ 869 a 892 Občianskeho zákonníka“ odporúčame nahradiť slovami „§ 869 a 893 Občianskeho zákonníka“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124. K čl. CXXXI bodu 12 (zákon č. 443/2010 Z. z. § 12 ods. 7) – O:</w:t>
              <w:br/>
            </w:r>
            <w:r>
              <w:rPr>
                <w:b w:val="off"/>
                <w:color w:val="000000"/>
                <w:rFonts w:ascii="Times New Roman" w:hAnsi="Times New Roman" w:cs="Times New Roman" w:eastAsia="Times New Roman"/>
                <w:sz w:val="24"/>
              </w:rPr>
              <w:t>Z dôvodu prehľadnosti odporúčame bod 12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V § 12 odsek 7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„(7) Nájomná zmluva môže ďalej obsahovať aj dohodu o finančnej zábezpeke, ktorá nesmie presiahnuť sumu štvormesačného nájomného ustanoveného podľa osobitného predpisu24ba) vrátane úhrad za plnenie spojené s užívaním nájomného bytu dohodnutých v nájomnej zmluve; lehota na zloženie finančnej zábezpeky nájomcom nesmie byť viac ako 30 dní pred podpísaním nájomnej zmluvy. Ak nedôjde k uzavretiu nájomnej zmluvy, je žiadateľ povinný už zloženú finančnú zábezpeku bezodkladne vrátiť. Žiadateľ v súvislosti s uzavretím nájomnej zmluvy nesmie požadovať od nájomcu iné finančné plnenia, ktoré priamo nesúvisia s užívaním nájomného bytu. Na finančnú zábezpeku dohodnutú podľa tohto zákona sa nevzťahujú § 881 až 883 Občianskeho zákonníka.““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126. K čl. CXXXI bodu 17 (zákon č. 443/2010 Z. z. poznámka pod čiarou k odkazu 35a) – O:</w:t>
              <w:br/>
            </w:r>
            <w:r>
              <w:rPr>
                <w:b w:val="off"/>
                <w:color w:val="000000"/>
                <w:rFonts w:ascii="Times New Roman" w:hAnsi="Times New Roman" w:cs="Times New Roman" w:eastAsia="Times New Roman"/>
                <w:sz w:val="24"/>
              </w:rPr>
              <w:t>V poznámke pod čiarou k odkazu 35a odporúčame slová „§ 1720 Občianskeho zákonníka“ nahradiť slovami „§ 1716 Občianskeho zákonníka“ (oprava nesprávnej citácie). Okrem toho, poznámka pod čiarou k odkazu 35a by mala byť uvedená v samostatnom bode. Nemá súvis s textom uvedeným v bode 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127. K čl. CXXXII bodu 3 (zákon č. 544/2010 Z. z. poznámka pod čiarou k odkazu 44) – O:</w:t>
              <w:br/>
            </w:r>
            <w:r>
              <w:rPr>
                <w:b w:val="off"/>
                <w:color w:val="000000"/>
                <w:rFonts w:ascii="Times New Roman" w:hAnsi="Times New Roman" w:cs="Times New Roman" w:eastAsia="Times New Roman"/>
                <w:sz w:val="24"/>
              </w:rPr>
              <w:t>V poznámke pod čiarou k odkazu 44 odporúčame slová „§ 602 ods. 2“ nahradiť slovami „§ 603 ods. 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128. K čl. CXXXIII bodu 6 (zákon č. 161/2011 Z. z. poznámka pod čiarou k odkazu 6) – O:</w:t>
              <w:br/>
            </w:r>
            <w:r>
              <w:rPr>
                <w:b w:val="off"/>
                <w:color w:val="000000"/>
                <w:rFonts w:ascii="Times New Roman" w:hAnsi="Times New Roman" w:cs="Times New Roman" w:eastAsia="Times New Roman"/>
                <w:sz w:val="24"/>
              </w:rPr>
              <w:t>V poznámke pod čiarou k odkazu 6 odporúčame slová „§ 583 až 588“ nahradiť slovami „§ 584 až 589“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129. K čl. CXXXVIII bodu 2 (zákon č. 409/2011 Z. z. poznámka pod čiarou k odkazu 10) – O:</w:t>
              <w:br/>
            </w:r>
            <w:r>
              <w:rPr>
                <w:b w:val="off"/>
                <w:color w:val="000000"/>
                <w:rFonts w:ascii="Times New Roman" w:hAnsi="Times New Roman" w:cs="Times New Roman" w:eastAsia="Times New Roman"/>
                <w:sz w:val="24"/>
              </w:rPr>
              <w:t>V poznámke pod čiarou k odkazu 10 odporúčame slová „644 až 647“ nahradiť slovami „§ 645 až 648“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131. K čl. CXLI bodu 4 (zákon č. 251/2012 Z. z. poznámka pod čiarou k odkazom 34 a 66) – O:</w:t>
              <w:br/>
            </w:r>
            <w:r>
              <w:rPr>
                <w:b w:val="off"/>
                <w:color w:val="000000"/>
                <w:rFonts w:ascii="Times New Roman" w:hAnsi="Times New Roman" w:cs="Times New Roman" w:eastAsia="Times New Roman"/>
                <w:sz w:val="24"/>
              </w:rPr>
              <w:t>V poznámkach pod čiarou k odkazom 34 a 66 odporúčame slová „§ 5 a § 622“  nahradiť slovami „§ 5 a § 623“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132. K čl. CXLII bodu 2 (zákon č. 372/2012 Z. z. poznámka pod čiarou k odkazu 9) – O:</w:t>
              <w:br/>
            </w:r>
            <w:r>
              <w:rPr>
                <w:b w:val="off"/>
                <w:color w:val="000000"/>
                <w:rFonts w:ascii="Times New Roman" w:hAnsi="Times New Roman" w:cs="Times New Roman" w:eastAsia="Times New Roman"/>
                <w:sz w:val="24"/>
              </w:rPr>
              <w:t>V poznámke pod čiarou k odkazu 9 odporúčame slová „§ 602“ nahradiť slovami „§ 603“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133. K čl. CXLII bodu 3 (zákon č. 372/2012 Z. z. poznámka pod čiarou k odkazu 17) – O:</w:t>
              <w:br/>
            </w:r>
            <w:r>
              <w:rPr>
                <w:b w:val="off"/>
                <w:color w:val="000000"/>
                <w:rFonts w:ascii="Times New Roman" w:hAnsi="Times New Roman" w:cs="Times New Roman" w:eastAsia="Times New Roman"/>
                <w:sz w:val="24"/>
              </w:rPr>
              <w:t>V poznámke pod čiarou k odkazu 17 odporúčame slová „§ 866 až 894“ nahradiť slovami „§ 867 až 895“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134. K čl. CXLIII bodu 2 [zákon č. 442/2012 Z. z. § 15 ods. 1 písm. d)] – O:</w:t>
              <w:br/>
            </w:r>
            <w:r>
              <w:rPr>
                <w:b w:val="off"/>
                <w:color w:val="000000"/>
                <w:rFonts w:ascii="Times New Roman" w:hAnsi="Times New Roman" w:cs="Times New Roman" w:eastAsia="Times New Roman"/>
                <w:sz w:val="24"/>
              </w:rPr>
              <w:t>Slová „podľa § 732“  odporúčame nahradiť slovami „podľa § 733“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135. K čl. CXLIV bodu 4 (zákon č. 97/2013 Z. z. poznámka pod čiarou k odkazu 26) – O:</w:t>
              <w:br/>
            </w:r>
            <w:r>
              <w:rPr>
                <w:b w:val="off"/>
                <w:color w:val="000000"/>
                <w:rFonts w:ascii="Times New Roman" w:hAnsi="Times New Roman" w:cs="Times New Roman" w:eastAsia="Times New Roman"/>
                <w:sz w:val="24"/>
              </w:rPr>
              <w:t>V poznámke pod čiarou k odkazu 26 odporúčame slová „§ 594 až 601“ nahradiť slovami „§ 595 až 602“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136. K čl. CXLV bodu 5 (zákon č. 218/2013 Z. z. poznámka pod čiarou k odkazu 23) – O:</w:t>
              <w:br/>
            </w:r>
            <w:r>
              <w:rPr>
                <w:b w:val="off"/>
                <w:color w:val="000000"/>
                <w:rFonts w:ascii="Times New Roman" w:hAnsi="Times New Roman" w:cs="Times New Roman" w:eastAsia="Times New Roman"/>
                <w:sz w:val="24"/>
              </w:rPr>
              <w:t>V poznámke pod čiarou k odkazu 23 odporúčame slová „§ 286 až 289“ nahradiť slovami „§ 288 až 291“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137. K čl. CXLVI bodu 2 (zákon č. 305/2013 Z. z. poznámka pod čiarou k odkazu 9b) – O:</w:t>
              <w:br/>
            </w:r>
            <w:r>
              <w:rPr>
                <w:b w:val="off"/>
                <w:color w:val="000000"/>
                <w:rFonts w:ascii="Times New Roman" w:hAnsi="Times New Roman" w:cs="Times New Roman" w:eastAsia="Times New Roman"/>
                <w:sz w:val="24"/>
              </w:rPr>
              <w:t>V poznámke pod čiarou k odkazu 9b odporúčame slová „§ 288 ods. 1 Občianskeho zákonníka“ nahradiť slovami „§ 290 ods. 1 Občianskeho zákonníka“ (oprava nesprávnej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139. K čl. CC bodu 1 (zákon č. 222/2022 Z. z.) – O:</w:t>
              <w:br/>
            </w:r>
            <w:r>
              <w:rPr>
                <w:b w:val="off"/>
                <w:color w:val="000000"/>
                <w:rFonts w:ascii="Times New Roman" w:hAnsi="Times New Roman" w:cs="Times New Roman" w:eastAsia="Times New Roman"/>
                <w:sz w:val="24"/>
              </w:rPr>
              <w:t>Slová „V poznámka“ odporúčame nahradiť slovami „V poznámke“ (gramatická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140. K čl. CCVII bod 11 (zákon č. 261/2023 Z. z. § 24 ods. 1) – O:</w:t>
              <w:br/>
            </w:r>
            <w:r>
              <w:rPr>
                <w:b w:val="off"/>
                <w:color w:val="000000"/>
                <w:rFonts w:ascii="Times New Roman" w:hAnsi="Times New Roman" w:cs="Times New Roman" w:eastAsia="Times New Roman"/>
                <w:sz w:val="24"/>
              </w:rPr>
              <w:t>Z dôvodu zrozumiteľnosti a prehľadnosti odporúčame novelizačný bod 11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 § 24 odsek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Ak súd žalobe vyhovie, vo výroku určí neprijateľnosť podmienky v spotrebiteľskej zmluve a znenie tejto neprijateľnej podmienky výslovne uvedie, vo výroku určí, že obchodná praktika je nekalá alebo vo výroku určí, že došlo k porušeniu právnych predpisov na ochranu spotrebiteľa; inak žalobu zamietne.““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141. K čl. CCVII bodu  12 (zákon č. 261/2023 Z. z. § 24 ods. 2) – O:</w:t>
              <w:br/>
            </w:r>
            <w:r>
              <w:rPr>
                <w:b w:val="off"/>
                <w:color w:val="000000"/>
                <w:rFonts w:ascii="Times New Roman" w:hAnsi="Times New Roman" w:cs="Times New Roman" w:eastAsia="Times New Roman"/>
                <w:sz w:val="24"/>
              </w:rPr>
              <w:t>Z dôvodu zrozumiteľnosti a prehľadnosti odporúčame novelizačný bod 12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V § 24 ods. 2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Ak súd určí neprijateľnosť podmienky  v spotrebiteľskej zmluve, určí, že obchodná praktika je nekalá alebo určí, že došlo k porušeniu právnych predpisov na ochranu spotrebiteľa, zakáže obchodníkovi používať túto neprijateľnú podmienku alebo zmluvnú podmienku s rovnakým významom vo všetkých spotrebiteľských zmluvách alebo v iných zmluvných dokumentoch súvisiacich so spotrebiteľskou zmluvou, zakáže obchodníkovi používať nekalú obchodnú praktiku alebo zakáže obchodníkovi konať v rozpore s právnymi predpismi na ochranu spotrebiteľa.““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142. K čl. CCVII bodu 13 (zákon č. 261/2023 Z. z. § 25) – O:</w:t>
              <w:br/>
            </w:r>
            <w:r>
              <w:rPr>
                <w:b w:val="off"/>
                <w:color w:val="000000"/>
                <w:rFonts w:ascii="Times New Roman" w:hAnsi="Times New Roman" w:cs="Times New Roman" w:eastAsia="Times New Roman"/>
                <w:sz w:val="24"/>
              </w:rPr>
              <w:t>Bod 13 odporúčame uviesť v tomto znení:</w:t>
              <w:br/>
            </w:r>
            <w:r>
              <w:rPr>
                <w:b w:val="off"/>
                <w:color w:val="000000"/>
                <w:rFonts w:ascii="Times New Roman" w:hAnsi="Times New Roman" w:cs="Times New Roman" w:eastAsia="Times New Roman"/>
                <w:sz w:val="24"/>
              </w:rPr>
              <w:t>„13.  V § 25 sa slová „zmluvnej podmienky“ nahrádzajú slovami „podmienky v spotrebiteľskej zmluve“.“ (legislatívno-technická pripomienka a oprava textu, keďže § 25 nie je členený na odseky).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145.  K čl. X – nad rámec návrhu zákona (zákon č. 111/1990 Zb. poznámka pod čiarou) – O:</w:t>
              <w:br/>
            </w:r>
            <w:r>
              <w:rPr>
                <w:b w:val="off"/>
                <w:color w:val="000000"/>
                <w:rFonts w:ascii="Times New Roman" w:hAnsi="Times New Roman" w:cs="Times New Roman" w:eastAsia="Times New Roman"/>
                <w:sz w:val="24"/>
              </w:rPr>
              <w:t>Pripomienky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Odporúčame upraviť poznámku pod čiarou k odkazu 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Aktuálna právna úprava odkazuje v poznámke pod čiarou na ustanovenie § 116 Občianskeho zákonníka o blízkych osobách. Je potrebné zosúladiť poznámku pod čiarou so schváleným znením rekodifikovaného Občianskeho zákonníka (§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Odporúčame v bode 4 prílohy k zákonu nahradiť slová „podľa § 42a Občianskeho zákonníka“ slovami „podľa § 551 až 555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textu s obsahom rekodifikovaného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148.  K čl. XII – nad rámec návrhu zákona (zákon č. 530/1990 Zb. poznámka pod čiarou) – O:</w:t>
              <w:br/>
            </w:r>
            <w:r>
              <w:rPr>
                <w:b w:val="off"/>
                <w:color w:val="000000"/>
                <w:rFonts w:ascii="Times New Roman" w:hAnsi="Times New Roman" w:cs="Times New Roman" w:eastAsia="Times New Roman"/>
                <w:sz w:val="24"/>
              </w:rPr>
              <w:t>Odporúčame vypustiť poznámku pod čiarou k odkazu 3a pre jej neaktuálnosť.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149.  K čl. XVII – nad rámec návrhu zákona (zákon SNR č. 330/1991 Zb. poznámka pod čiarou) – O:</w:t>
              <w:br/>
            </w:r>
            <w:r>
              <w:rPr>
                <w:b w:val="off"/>
                <w:color w:val="000000"/>
                <w:rFonts w:ascii="Times New Roman" w:hAnsi="Times New Roman" w:cs="Times New Roman" w:eastAsia="Times New Roman"/>
                <w:sz w:val="24"/>
              </w:rPr>
              <w:t xml:space="preserve">Odporúčame upresniť poznámky pod čiarou k odkazom 1aa, 7bb, 9, 14 a 23fa.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 Uvedené poznámky pod čiarou odkazujú na neaktuálne ustanovenia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150. K čl. XVIII – nad rámec návrhu zákona (zákon č. 455/1991 Zb. poznámka pod čiarou) – O:</w:t>
              <w:br/>
            </w:r>
            <w:r>
              <w:rPr>
                <w:b w:val="off"/>
                <w:color w:val="000000"/>
                <w:rFonts w:ascii="Times New Roman" w:hAnsi="Times New Roman" w:cs="Times New Roman" w:eastAsia="Times New Roman"/>
                <w:sz w:val="24"/>
              </w:rPr>
              <w:t>Odporúčame upresniť poznámku pod čiarou k odkazu 33, nakoľko § 7 ods. 3 Obchodného zákonníka, na ktorý poznámka pod čiarou odkazuje je návrhom zákona (čl. II bod 4) vypustený. Správne má poznámka pod čiarou odkazovať na § 10 a 11 rekodifikovaného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151.  K čl. XXIII – nad rámec návrhu zákona (zákon NR SR č. 171/1993 Zb. poznámka pod čiarou) – O:</w:t>
              <w:br/>
            </w:r>
            <w:r>
              <w:rPr>
                <w:b w:val="off"/>
                <w:color w:val="000000"/>
                <w:rFonts w:ascii="Times New Roman" w:hAnsi="Times New Roman" w:cs="Times New Roman" w:eastAsia="Times New Roman"/>
                <w:sz w:val="24"/>
              </w:rPr>
              <w:t>Odporúčame upraviť znenie poznámky pod čiarou k odkazu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neaktuálnu poznámku pod čiarou. Aktuálne poznámka pod čiarou k odkazu 2 odkazuje na ustanovenie § 2 Obchodného zákonníka, ktorý sa novelizuje (bod 2 v čl. II). Správne má poznámka pod čiarou k odkazu 2 obsahovať znenie ustanovenia § 8 rekodifikovaného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152. K čl. XXIV – nad rámec návrhu zákona (zákon NR SR č. 182/1993 Z. z.) – O:</w:t>
              <w:br/>
            </w:r>
            <w:r>
              <w:rPr>
                <w:b w:val="off"/>
                <w:color w:val="000000"/>
                <w:rFonts w:ascii="Times New Roman" w:hAnsi="Times New Roman" w:cs="Times New Roman" w:eastAsia="Times New Roman"/>
                <w:sz w:val="24"/>
              </w:rPr>
              <w:t>Odporúčame novelizovať aj zákon č. 25/2025 Z. z. Stavebný zákon a o zmene a doplnení niektorých zákonov (Stavebný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ustanovenie § 1683 a 1684 rekodifikovaného Občianskeho zákonníka upravujúcom pojmy „podlahová plocha bytu“ a „podlahová plocha nebytového priestoru“ navrhujeme upraviť poznámku pod čiarou k odkazu 3, ktorý naďalej odkazuje na ustanovenie § 2 písm. f) zákona NR SR č. 182/1993 Z. z. o vlastníctve bytov a nebytových priestorov v znení neskorších predpisov vypúšťané navrhovanou právnou úpravou (bližšie čl. XXIV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153. K čl. XXXI – nad rámec návrhu zákona (zákon NR SR č. 162/1995 Z. z. § 39) – O:</w:t>
              <w:br/>
            </w:r>
            <w:r>
              <w:rPr>
                <w:b w:val="off"/>
                <w:color w:val="000000"/>
                <w:rFonts w:ascii="Times New Roman" w:hAnsi="Times New Roman" w:cs="Times New Roman" w:eastAsia="Times New Roman"/>
                <w:sz w:val="24"/>
              </w:rPr>
              <w:t>V § 39 navrhujeme za odsek 1 vložiť nové odseky 2 a 3,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Okresný úrad zapíše poznámku o obmedzení práva na základe oznámenia notára, ktorý spísal dedičskú zmluvu, ak sa zmluvné strany dohodli, že poručiteľ určitú vec nescudzí alebo nezaťaží.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Okresný úrad zapíše poznámku o obmedzení práva na základe dohody podľa osobitného predpisu, ak poručiteľ uložil príkaz, aby dedič určitú vec z dedičstva nescudzil alebo nezaťažil.“.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odseky 2 a 3 sa označujú ako odseky 4 a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katastri nehnuteľností by mal reagovať na ustanovenia § 1740 a § 1818 Občianskeho zákonníka a upraviť postup pri zápise poznámky o obmedzení práva nakladať s nehnuteľnosťou.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Poručiteľ môže v dedičskej zmluve dohodnúť, že určitú vec nescudzí alebo nezaťaží. Ak ide o nehnuteľnú vec, obmedzenie práva sa zapisuje do katastra nehnuteľností.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Poručiteľ môže prikázať dedičovi, aby určitú vec z dedičstva nescudzil alebo nezaťažil. Ak ide o nehnuteľnú vec, obmedzenie práva sa zapisuje do katastra nehnuteľností. Zápis poznámky o obmedzení práva sa vykoná na základe dohody oprávnených osôb (dedič zaťažený príkazom a osoba legitimovaná na uplatnenie príkazu). Ak k dohode nedôjde, poznámka sa zapíše na základe rozhodnutia súdu o obmedzení práva nakladať s nehnuteľnosťou.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Pripomíname, že predkladateľ v tomto návrhu zákona upravuje zápis opísaného obmedzenia do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154.  K čl. CXLI – nad rámec návrhu zákona [zákon č. 251/2012 Z. z. § 28 ods. 1 písm. q)] – O:</w:t>
              <w:br/>
            </w:r>
            <w:r>
              <w:rPr>
                <w:b w:val="off"/>
                <w:color w:val="000000"/>
                <w:rFonts w:ascii="Times New Roman" w:hAnsi="Times New Roman" w:cs="Times New Roman" w:eastAsia="Times New Roman"/>
                <w:sz w:val="24"/>
              </w:rPr>
              <w:t>Upozorňujeme, že návrh zákona neupravuje ustanovenie § 28 ods. 1 písm. q), ktoré odkazuje na návrhom derogované ustanovenie § 374 Obchodného zákonníka o okolnostiach vylučujúcich zodpovednosť (článok II, bod 57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155.  K čl. CVII – nad rámec návrhu zákona [zákon č. 124/2006 Z. z. § 28 ods. 1 písm. q)] – O:</w:t>
              <w:br/>
            </w:r>
            <w:r>
              <w:rPr>
                <w:b w:val="off"/>
                <w:color w:val="000000"/>
                <w:rFonts w:ascii="Times New Roman" w:hAnsi="Times New Roman" w:cs="Times New Roman" w:eastAsia="Times New Roman"/>
                <w:sz w:val="24"/>
              </w:rPr>
              <w:t>V článku CVII návrhu, ktorým dochádza k zmene zákona č. 124/2006 Z. z. o bezpečnosti a ochrane zdravia pri práci a o zmene a doplnení niektorých zákonov bola opomenutá zmena ustanovenia § 32 ods. 2, v ktorom sa nachádza odkaz na ustanovenie § 5 Obchodného zákonníka, ktorý má byť zrušený a nahradený § 9 nového Občianskeho zákonníka. Rovnako tak posledná veta tohto odseku odkazuje na § 477 ods. 3 a § 488 Obchodného zákonníka o zmluve o predaji podniku, ktoré majú byť rovnako samotným návrhom zákona zrušené a nahradené § 835 a 842 nového Občianskeho zákonníka (článok II, body 4 a 57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156. K zákonu č. 442/2002 Z. z. – nad rámec návrhu zákona (§ 12 ods. 4) – O:</w:t>
              <w:br/>
            </w:r>
            <w:r>
              <w:rPr>
                <w:b w:val="off"/>
                <w:color w:val="000000"/>
                <w:rFonts w:ascii="Times New Roman" w:hAnsi="Times New Roman" w:cs="Times New Roman" w:eastAsia="Times New Roman"/>
                <w:sz w:val="24"/>
              </w:rPr>
              <w:t>Predkladaným návrhom zákona nedochádza aj k novelizácii zákona č. 442/2002 Z. z. o  verejných vodovodoch a verejných kanalizáciách a o zmene a doplnení zákona č. 276/2001 Z. z. o regulácii v sieťových odvetviach v znení neskorších predpisov, ktorý v ustanovení § 12 ods. 4 zamedzuje údaje o kvalite pitnej vody, a to výsledky rozboru vody utajovať ako obchodné tajomstvo podľa Obchodného zákonníka. V záujme zverejňovania informácií o bezpečnosti vodných zdrojov považujeme za vhodné novelizovať aj ustanovenie vyššie uvedeného zákona s odkazom na ustanovenie § 741 a nasl. nového Občianskeho zákonníka (bod 8 článok II, bod 8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71 ods. 3 bod 10</w:t>
              <w:br/>
            </w:r>
            <w:r>
              <w:rPr>
                <w:b w:val="off"/>
                <w:color w:val="000000"/>
                <w:rFonts w:ascii="Times New Roman" w:hAnsi="Times New Roman" w:cs="Times New Roman" w:eastAsia="Times New Roman"/>
                <w:sz w:val="24"/>
              </w:rPr>
              <w:t>K článku: Čl. V, bod 10</w:t>
              <w:br/>
            </w:r>
            <w:r>
              <w:rPr>
                <w:b w:val="off"/>
                <w:color w:val="000000"/>
                <w:rFonts w:ascii="Times New Roman" w:hAnsi="Times New Roman" w:cs="Times New Roman" w:eastAsia="Times New Roman"/>
                <w:sz w:val="24"/>
              </w:rPr>
              <w:t>K ustanoveniu: § 71 ods. 3 Civilného sporového poriadku</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ustanovenie § 71 ods. 3 Civilného sporového poriadku upraviť tak, aby sa vylúčila možnosť ustanoviť komisára pre osoby so zdravotným postihnutím alebo Úrad komisára pre osoby so zdravotným postihnutím za procesného opatrovníka.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umožňuje ustanoviť za procesného opatrovníka obce alebo iný vhodný subjekt, do pôsobnosti ktorých patrí ochrana práv a právom chránených záujmov osôb. Takto formulované vytvára priestor na výklad, podľa ktorého by za procesného opatrovníka mohol byť ustanovený aj komisár pre osoby so zdravotným postihnutím alebo Úrad komisára pre osoby so zdravotným postihnutím nakoľko v zmysle § 8 zákona č. 176/2015 Z. z. o komisárovi pre deti a komisárovi pre osoby so zdravotným postihnutím sa komisárka podieľa na ochrane práv osôb so zdravotným postihnutím a to najmä podporou, presadzovaním práv.</w:t>
              <w:br/>
            </w:r>
            <w:r>
              <w:rPr>
                <w:b w:val="off"/>
                <w:color w:val="000000"/>
                <w:rFonts w:ascii="Times New Roman" w:hAnsi="Times New Roman" w:cs="Times New Roman" w:eastAsia="Times New Roman"/>
                <w:sz w:val="24"/>
              </w:rPr>
              <w:t>Podľa § 10 ods. 2 písm. g) zákona č. 176/2015 Z. z. je komisár oprávnený zúčastňovať sa na súdnych konaniach podľa všeobecných predpisov o konaní pred súdmi. V spojení s § 13a Civilného mimosporového poriadku ide o osobitné oprávnenie komisára pre osoby so zdravotným postihnutím nezávisle participovať na vybraných druhoch súdnych konaní v záujme ochrany práv osôb so zdravotným postihnutím ako samostatný účastník konania. Zároveň v zmysle ustanovenia § 95 Civilného sporového poriadku v spojení s ustanovením § 12 Civilného mimosporového poriadku sa upravujú možnosti účasti ďalších subjektov v konaní, ktorých účasť môže byť významná z hľadiska ochrany práv dotknutej osoby.</w:t>
              <w:br/>
            </w:r>
            <w:r>
              <w:rPr>
                <w:b w:val="off"/>
                <w:color w:val="000000"/>
                <w:rFonts w:ascii="Times New Roman" w:hAnsi="Times New Roman" w:cs="Times New Roman" w:eastAsia="Times New Roman"/>
                <w:sz w:val="24"/>
              </w:rPr>
              <w:t>Ustanovením komisára alebo Úradu komisára za procesného opatrovníka by dochádzalo k nežiaducemu prelínaniu dvoch odlišných procesných postavení. Komisár by sa namiesto výkonu svojich zákonných oprávnení pri nezávislej ochrane práv osoby so zdravotným postihnutím v súdnych konaniach dostal do pozície procesného zástupcu tejto osoby. Takéto ustanovenie by mohlo fakticky obmedziť, prípadne znemožniť výkon jeho osobitných zákonných oprávnení v danom súdnom konaní, a tým oslabiť nezávislú ochranu práv osoby so zdravotným postihnutím.</w:t>
              <w:br/>
            </w:r>
            <w:r>
              <w:rPr>
                <w:b w:val="off"/>
                <w:color w:val="000000"/>
                <w:rFonts w:ascii="Times New Roman" w:hAnsi="Times New Roman" w:cs="Times New Roman" w:eastAsia="Times New Roman"/>
                <w:sz w:val="24"/>
              </w:rPr>
              <w:t>Uvedené riziko nie je iba hypotetické. V našej praxi sa vyskytol prípad, keď súd ustanovil komisára alebo Úrad pre osoby so zdravotným postihnutím za procesného opatrovníka osobám so zdravotným postihnutím, a to aj napriek osobitnému postaveniu komisára a jeho zákonným oprávneniam v oblasti ochrany práv týchto osôb. Ustanovenie za procesného opatrovníka sa udialo aj napriek aktuálnemu zneniu § 71 Civilného sporového poriadku, ktoré ustanovenie komisára a Úradu komisára pre osoby so zdravotným postihnutím ani neumožňuje.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248 bod 32</w:t>
              <w:br/>
            </w:r>
            <w:r>
              <w:rPr>
                <w:b w:val="off"/>
                <w:color w:val="000000"/>
                <w:rFonts w:ascii="Times New Roman" w:hAnsi="Times New Roman" w:cs="Times New Roman" w:eastAsia="Times New Roman"/>
                <w:sz w:val="24"/>
              </w:rPr>
              <w:t>K článku: Čl VI., bod 32</w:t>
              <w:br/>
            </w:r>
            <w:r>
              <w:rPr>
                <w:b w:val="off"/>
                <w:color w:val="000000"/>
                <w:rFonts w:ascii="Times New Roman" w:hAnsi="Times New Roman" w:cs="Times New Roman" w:eastAsia="Times New Roman"/>
                <w:sz w:val="24"/>
              </w:rPr>
              <w:t>K ustanoveniu: § 248 ods. 2 Civilného mimosporového poriadku</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xml:space="preserve">Legislatívny príkaz: Komisárka pre osoby so zdravotným postihnutím navrhuje dopracovať právnu úpravu týkajúcu sa správcu majetku v § 248 ods. 2 Civilného mimosporového poriadku.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vyvoláva otázky aplikačnej praxe ustanovenia § 173 nového Občianskeho zákonníka. Ustanovuje totiž povinnosť súdu ustanoviť osobe, ktorej obmedzí spôsobilosť na právne úkony, popri opatrovníkovi aj správcu majetku, ak jej nebol ustanovený už počas konania.</w:t>
              <w:br/>
            </w:r>
            <w:r>
              <w:rPr>
                <w:b w:val="off"/>
                <w:color w:val="000000"/>
                <w:rFonts w:ascii="Times New Roman" w:hAnsi="Times New Roman" w:cs="Times New Roman" w:eastAsia="Times New Roman"/>
                <w:sz w:val="24"/>
              </w:rPr>
              <w:t>Máme za to, že iba zo znenia ustanovenia § 173 a z dôvodovej správy ku LP/2025/486 bol inštitút správcu majetku vytvorený primárne na zabezpečenie správy majetku počas súdneho konania o obmedzenie spôsobilosti na právne úkony, a to z dôvodu potreby zabezpečenia nakladania s  majetkom inou osobou ako samotnou dotknutou osobou. Zároveň sa ustanovením § 173 ods. 5 nového Občianskeho zákonníka vylučuje, aby správcom majetku bol navrhovateľ obmedzenia spôsobilosti na právne úkony alebo navrhovaný opatrovník, a to s cieľom predchádzať možnému konfliktu záujmov.</w:t>
              <w:br/>
            </w:r>
            <w:r>
              <w:rPr>
                <w:b w:val="off"/>
                <w:color w:val="000000"/>
                <w:rFonts w:ascii="Times New Roman" w:hAnsi="Times New Roman" w:cs="Times New Roman" w:eastAsia="Times New Roman"/>
                <w:sz w:val="24"/>
              </w:rPr>
              <w:t>Navrhované znenie § 248 ods. 2 Civilného mimosporového poriadku, ako aj dôvodová správa, však ustanovujú súdu povinnosť ustanoviť správcu majetku aj v konečnom rozhodnutí. Máme za to, že takto formulované ustanovenie stanovuje povinnosť súdu ustanoviť správcu majetku bez ohľadu na rozsah obmedzenia spôsobilosti osoby a potrebu takejto správy. Napríklad pri obmedzení spôsobilosti na právne úkony týkajúcom sa rozhodovania o zdravotnej starostlivosti alebo iných osobných záležitostí nemusí existovať žiadny dôvod na ustanovenie správcu majetku.</w:t>
              <w:br/>
            </w:r>
            <w:r>
              <w:rPr>
                <w:b w:val="off"/>
                <w:color w:val="000000"/>
                <w:rFonts w:ascii="Times New Roman" w:hAnsi="Times New Roman" w:cs="Times New Roman" w:eastAsia="Times New Roman"/>
                <w:sz w:val="24"/>
              </w:rPr>
              <w:t>Považujeme preto za potrebné, aby sa ustanovenie správcu majetku viazalo na preukázanie jeho nevyhnutnosti a na rozsah obmedzenia spôsobilosti na právne úkony, ktoré sa týka majetkových práv a záujmov osoby. Samotné obmedzenie spôsobilosti na právne úkony totiž nemôže automaticky znamenať potrebu ďalšieho zásahu do možnosti osoby nakladať so svojím majetkom.</w:t>
              <w:br/>
            </w:r>
            <w:r>
              <w:rPr>
                <w:b w:val="off"/>
                <w:color w:val="000000"/>
                <w:rFonts w:ascii="Times New Roman" w:hAnsi="Times New Roman" w:cs="Times New Roman" w:eastAsia="Times New Roman"/>
                <w:sz w:val="24"/>
              </w:rPr>
              <w:t>Zároveň poukazujeme na nedostatočnú procesnú úpravu postavenia správcu majetku. Hoci § 173 ods. 4 nového Občianskeho zákonníka upravuje primerané použitie ustanovení o opatrovníkovi na kontrolu správcu majetku, Civilný mimosporový poriadok bližšie neupravuje procesný postup súdu pri jeho ustanovení a rozhodovaní o rozsahu jeho oprávnení a tak aj procesné záruky osoby, ktorej má byť ustanovený. Považujeme preto za potrebné túto procesnú úpravu dopracovať tak, aby bolo jednoznačné, akým spôsobom súd rozhoduje o ustanovení správcu majetku, napríklad odkazom na ustanovenia v opatrovníckych veciach.</w:t>
              <w:br/>
            </w:r>
            <w:r>
              <w:rPr>
                <w:b w:val="off"/>
                <w:color w:val="000000"/>
                <w:rFonts w:ascii="Times New Roman" w:hAnsi="Times New Roman" w:cs="Times New Roman" w:eastAsia="Times New Roman"/>
                <w:sz w:val="24"/>
              </w:rPr>
              <w:t>Osobitne upozorňujeme aj na potrebu jednoznačného výkladu § 173 ods. 5 Občianskeho zákonníka, podľa ktorého správcom majetku nemôže byť navrhovateľ obmedzenia spôsobilosti na právne úkony ani navrhovaný opatrovník. Z ustanovenia nie je dostatočne zrejmé, či sa uvedený zákaz vzťahuje aj na ustanovenie správcu majetku v meritórnom rozhodnutí súdu, najmä v situácii, keď už súd rozhodol o obmedzení spôsobilosti na právne úkony a ustanovení opatrovníka. Pri analogickom použití tohto ustanovenia aj na meritórne rozhodnutie o ustanovení správcu gramatický výklad môže vyvolávať otázky, či môže byť za správcu majetku ustanovený aj ustanovený opatrovník, prípadne navrhovateľ obmedzenia spôsobilosti na právne úkony. Z hľadiska účelu právnej úpravy, ktorým je predchádzanie konfliktu záujmov pri správe majetku osoby s obmedzenou spôsobilosťou na právne úkony, je potrebné túto otázku jednoznačne vyriešiť, nakoľko pri prihliadnutí na účel tohto ustanovenia nemôže byť v tomto prípade správcom majetku ani navrhovaný opatrovník ani navrhovateľ obmedzenia v žiadnom prípade.</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277c bod 44</w:t>
              <w:br/>
            </w:r>
            <w:r>
              <w:rPr>
                <w:b w:val="off"/>
                <w:color w:val="000000"/>
                <w:rFonts w:ascii="Times New Roman" w:hAnsi="Times New Roman" w:cs="Times New Roman" w:eastAsia="Times New Roman"/>
                <w:sz w:val="24"/>
              </w:rPr>
              <w:t>K článku: Čl VI., bod 44</w:t>
              <w:br/>
            </w:r>
            <w:r>
              <w:rPr>
                <w:b w:val="off"/>
                <w:color w:val="000000"/>
                <w:rFonts w:ascii="Times New Roman" w:hAnsi="Times New Roman" w:cs="Times New Roman" w:eastAsia="Times New Roman"/>
                <w:sz w:val="24"/>
              </w:rPr>
              <w:t>K ustanoveniu: § 277c a nasl. Civilného mimosporového poriadku</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dopracovať právnu úpravu predbežného prehlásenia tak, aby určila súdu osobitnú poučovaciu povinnosť o práve zvoliť si zástupcu a aby upravovala právo zvoliť si dôverníka.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nová právna úprava umožňuje podať návrh na zrušenie predbežného prehlásenia aj blízkym osobám, zdravotníckemu zariadeniu, poskytovateľovi sociálnych služieb alebo osobe, ktorá má na veci právny záujem, považujeme za nevyhnutné zabezpečiť primerané procesné záruky aj pre osobu, ktorá predbežné prehlásenie spísala.</w:t>
              <w:br/>
            </w:r>
            <w:r>
              <w:rPr>
                <w:b w:val="off"/>
                <w:color w:val="000000"/>
                <w:rFonts w:ascii="Times New Roman" w:hAnsi="Times New Roman" w:cs="Times New Roman" w:eastAsia="Times New Roman"/>
                <w:sz w:val="24"/>
              </w:rPr>
              <w:t>Konanie o zrušení predbežného prehlásenia sa môže uskutočniť v čase, keď sa zdravotný stav osoby zmenil a jej schopnosť samostatne sa zúčastňovať na súdnom konaní a uplatňovať svoje procesné práva môže byť obmedzená. Táto skutočnosť však nesmie viesť k oslabeniu jej procesného postavenia ani k tomu, aby sa o zrušení jej predbežného prehlásenia rozhodovalo bez zabezpečenia možnosti účinne vyjadriť svoju vôľu a stanovisko.</w:t>
              <w:br/>
            </w:r>
            <w:r>
              <w:rPr>
                <w:b w:val="off"/>
                <w:color w:val="000000"/>
                <w:rFonts w:ascii="Times New Roman" w:hAnsi="Times New Roman" w:cs="Times New Roman" w:eastAsia="Times New Roman"/>
                <w:sz w:val="24"/>
              </w:rPr>
              <w:t>Považujeme preto za potrebné výslovne upraviť právo tejto osoby zvoliť si právneho zástupcu a dôverníka, ktorý jej bude poskytovať podporu počas konania. Zároveň by mal mať súd osobitnú poučovaciu povinnosť a osobu zrozumiteľným a prístupným spôsobom poučiť o jej procesných právach a povinnostiach, najmä o práve na právne zastúpenie a práve zvoliť si dôverníka.</w:t>
              <w:br/>
            </w:r>
            <w:r>
              <w:rPr>
                <w:b w:val="off"/>
                <w:color w:val="000000"/>
                <w:rFonts w:ascii="Times New Roman" w:hAnsi="Times New Roman" w:cs="Times New Roman" w:eastAsia="Times New Roman"/>
                <w:sz w:val="24"/>
              </w:rPr>
              <w:t>Uvedené požiadavky vyplývajú aj z článku 12 Dohovoru OSN o právach osôb so zdravotným postihnutím, ktorý zdôrazňuje potrebu zabezpečenia podpory pri uplatňovaní právnej spôsobilosti a primeraných záruk rešpektujúcich práva, vôľu a preferencie osoby, ako aj z článku 13 Dohovoru, ktorý garantuje účinný prístup osôb so zdravotným postihnutím k spravodlivosti vrátane primeraných procesných úprav.</w:t>
              <w:br/>
            </w:r>
            <w:r>
              <w:rPr>
                <w:b w:val="off"/>
                <w:color w:val="000000"/>
                <w:rFonts w:ascii="Times New Roman" w:hAnsi="Times New Roman" w:cs="Times New Roman" w:eastAsia="Times New Roman"/>
                <w:sz w:val="24"/>
              </w:rPr>
              <w:t>Z uvedených dôvodov považujeme za potrebné doplniť procesnú úpravu tak, aby osoba, ktorej predbežné prehlásenie sa má zrušiť, mala reálnu možnosť zúčastniť sa na konaní, vyjadriť svoju vôľu a uplatňovať svoje práva za využitia potrebnej podpory.</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273a ods. 4 37</w:t>
              <w:br/>
            </w:r>
            <w:r>
              <w:rPr>
                <w:b w:val="off"/>
                <w:color w:val="000000"/>
                <w:rFonts w:ascii="Times New Roman" w:hAnsi="Times New Roman" w:cs="Times New Roman" w:eastAsia="Times New Roman"/>
                <w:sz w:val="24"/>
              </w:rPr>
              <w:t>K článku: Čl. VI, bod 37</w:t>
              <w:br/>
            </w:r>
            <w:r>
              <w:rPr>
                <w:b w:val="off"/>
                <w:color w:val="000000"/>
                <w:rFonts w:ascii="Times New Roman" w:hAnsi="Times New Roman" w:cs="Times New Roman" w:eastAsia="Times New Roman"/>
                <w:sz w:val="24"/>
              </w:rPr>
              <w:t xml:space="preserve">K ustanoveniu:  § 273a ods. 4 Civilného mimosporového poriadku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aby bol v §273a, ods. 4 názov „konanie o udelení súhlasu s umiestnením opatrovanca do pobytového zariadenia sociálnych služieb“ nahradený všeobecnejším názvom tohto konania, akým je „konanie o veciach pobytovej sociálnej služby opatrovanca“.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Komisárka pre osoby so zdravotným postihnutím navrhuje aby sa za účelom zjednotenia terminológie nového Občianskeho zákonníka, Civilného mimosporového poriadku a zákona č. 448/2008 Z. z. o sociálnych službách bolo toto konanie nazvané všeobecnejšie. </w:t>
              <w:br/>
            </w:r>
            <w:r>
              <w:rPr>
                <w:b w:val="off"/>
                <w:color w:val="000000"/>
                <w:rFonts w:ascii="Times New Roman" w:hAnsi="Times New Roman" w:cs="Times New Roman" w:eastAsia="Times New Roman"/>
                <w:sz w:val="24"/>
              </w:rPr>
              <w:t>Vzhľadom na novú právnu úpravu Občianskeho zákonníka a zákona č. 448/2008 máme za to, existujú dva právne základy, ktoré sa týkajú pobytovej sociálnej služby opatrovanca. Podľa § 188 nového Občianskeho zákonníka opatrovník nemôže bez súhlasu súdu rozhodnúť o umiestnení opatrovanca do pobytového zariadenia sociálnych služieb. V nadväznosti na to § 13 ods. 5 zákona č. 448/2008 Z. z. ustanovuje, že pobytovú sociálnu službu možno takejto osobe poskytnúť len so súhlasom súdu. Druhým právnym základom je § 6 ods. 3 písm. e) zákona č. 448/2008 Z. z. v spojení s § 9 ods. 14, ktorý upravuje možnosť prijímateľa sociálnej služby prejaviť vážne mienený nesúhlas s poskytovaním celoročnej pobytovej sociálnej služby a povinnosť poskytovateľa oznámiť tento nesúhlas príslušnému súdu. V zmysle dôvodovej správy k § 9 ods. 14 táto oznamovacia povinnosť vytvára predpoklad na posúdenie ďalšieho poskytovania sociálnej služby, prijatie potrebných opatrení a prípadné rozhodnutie súdu.</w:t>
              <w:br/>
            </w:r>
            <w:r>
              <w:rPr>
                <w:b w:val="off"/>
                <w:color w:val="000000"/>
                <w:rFonts w:ascii="Times New Roman" w:hAnsi="Times New Roman" w:cs="Times New Roman" w:eastAsia="Times New Roman"/>
                <w:sz w:val="24"/>
              </w:rPr>
              <w:t>Názov „konanie o udelení súhlasu s umiestnením opatrovanca do pobytového zariadenia sociálnych služieb“ preto nezahŕňa všetky uvedené situácie, keďže sa vzťahuje predovšetkým na budúce umiestnenie opatrovanca do zariadenia podľa § 188 Občianskeho zákonníka. Nová právna úprava zákona č. 448/2008 Z. z. však počíta aj so situáciou, keď je osoba už prijímateľom sociálnej služby a následne prejaví nesúhlas s jej ďalším poskytovaním.</w:t>
              <w:br/>
            </w:r>
            <w:r>
              <w:rPr>
                <w:b w:val="off"/>
                <w:color w:val="000000"/>
                <w:rFonts w:ascii="Times New Roman" w:hAnsi="Times New Roman" w:cs="Times New Roman" w:eastAsia="Times New Roman"/>
                <w:sz w:val="24"/>
              </w:rPr>
              <w:t>I keď bolo možno úmyslom predkladateľa upraviť samostatne iba konanie v zmysle § 188 ods. 1 nového Občianskeho zákonníka v nadväznosti na uvedené považujeme za potrebné, aby názov konania zodpovedal obom právnym základom a zabezpečil tak jednoznačnú aplikáciu procesných záruk ustanovených v § 273a ods. 1 až 3 Civilného mimosporového poriadku bez ohľadu na to, či sa súd zaoberá budúcim umiestnením opatrovanca do pobytového zariadenia alebo nesúhlasom s pokračovaním v poskytovaní už existujúcej pobytovej sociálnej služby.</w:t>
              <w:br/>
            </w:r>
            <w:r>
              <w:rPr>
                <w:b w:val="off"/>
                <w:color w:val="000000"/>
                <w:rFonts w:ascii="Times New Roman" w:hAnsi="Times New Roman" w:cs="Times New Roman" w:eastAsia="Times New Roman"/>
                <w:sz w:val="24"/>
              </w:rPr>
              <w:t>Zároveň je potrebné zdôrazniť, že súd v týchto konaniach neposudzuje iba potrebu a opodstatnenosť poskytovania sociálnej služby, ale aj prípustnosť jej poskytovania v režime celoročného pobytu bez súhlasu opatrovanca. Samotná potreba sociálnej služby totiž automaticky neznamená, že je nevyhnutné, aby bola osobe poskytovaná práve v pobytovom zariadení a proti jej vôli. Súd môže dospieť k záveru, že osoba sociálnu službu potrebuje, avšak jej poskytovanie formou celoročného pobytu v zariadení nie je nevyhnutné. Ide teda aj o posudzovanie faktického zásahu do osobnej slobody osoby, ktorý môže mať charakter sociálnej detencie.</w:t>
              <w:br/>
            </w:r>
            <w:r>
              <w:rPr>
                <w:b w:val="off"/>
                <w:color w:val="000000"/>
                <w:rFonts w:ascii="Times New Roman" w:hAnsi="Times New Roman" w:cs="Times New Roman" w:eastAsia="Times New Roman"/>
                <w:sz w:val="24"/>
              </w:rPr>
              <w:t>Článok 19 Dohovoru OSN o právach osôb so zdravotným psotihnutím zdôrazňuje právo na nezávislý spôsob života a slobodnú voľbu miesta a spôsobu života. Pri rozhodovaní o pobytovej sociálnej službe je preto nevyhnutné zohľadňovať nielen potrebu poskytovania sociálnej služby, ale aj vôľu a preferencie samotnej osoby a rešpektovať jej právo na slobodnú voľbu miesta a spôsobu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273a ods. 4 bod 37</w:t>
              <w:br/>
            </w:r>
            <w:r>
              <w:rPr>
                <w:b w:val="off"/>
                <w:color w:val="000000"/>
                <w:rFonts w:ascii="Times New Roman" w:hAnsi="Times New Roman" w:cs="Times New Roman" w:eastAsia="Times New Roman"/>
                <w:sz w:val="24"/>
              </w:rPr>
              <w:t>K článku: Čl. VI, bod 37</w:t>
              <w:br/>
            </w:r>
            <w:r>
              <w:rPr>
                <w:b w:val="off"/>
                <w:color w:val="000000"/>
                <w:rFonts w:ascii="Times New Roman" w:hAnsi="Times New Roman" w:cs="Times New Roman" w:eastAsia="Times New Roman"/>
                <w:sz w:val="24"/>
              </w:rPr>
              <w:t xml:space="preserve">K ustanoveniu:  § 273a ods. 4 Civilného mimosporového poriadku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xml:space="preserve">Legislatívny príkaz: Komisárka pre osoby so zdravotným postihnutím žiada, aby sa v rozhodnutia konaní o veciach pobytovej sociálnej služby opatrovanca (konanie o udelení súhlasu s umiestnením opatrovanca do pobytového zariadenie sociálnych služieb) pravidelne preskúmavali o ich potrebe trvania.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Komisárka pre osoby so zdravotným postihnutím považuje za potrebné zabezpečiť pravidelné súdne preskúmavanie trvania dôvodov, na základe ktorých bol udelený súhlas s umiestnením opatrovanca do pobytového zariadenia sociálnych služieb, prípadne s poskytovaním pobytovej sociálnej služby bez jeho súhlasu, teda ňou navrhnuté konanie o veciach pobytovej sociálnej služby,. Potreba poskytovania sociálnej služby, ako aj nevyhnutnosť pobytu osoby v zariadení sa môžu v čase meniť, a preto nemožno predpokladať, že dôvody pôvodného rozhodnutia zostávajú zachované počas celého obdobia poskytovania sociálnej služby. Pravidelné preskúmavanie je nevyhnutné na predchádzanie neodôvodnenému pokračovaniu zásahu do osobnej slobody osoby a na zabezpečenie rešpektovania jej vôle, preferencií a práva na nezávislý spôsob života v zmysle článkov 12 a 19 Dohovoru OSN o právach osôb so zdravotným postihnutím.</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73m bod 14</w:t>
              <w:br/>
            </w:r>
            <w:r>
              <w:rPr>
                <w:b w:val="off"/>
                <w:color w:val="000000"/>
                <w:rFonts w:ascii="Times New Roman" w:hAnsi="Times New Roman" w:cs="Times New Roman" w:eastAsia="Times New Roman"/>
                <w:sz w:val="24"/>
              </w:rPr>
              <w:t>K článku: Čl. XXI., bod 14</w:t>
              <w:br/>
            </w:r>
            <w:r>
              <w:rPr>
                <w:b w:val="off"/>
                <w:color w:val="000000"/>
                <w:rFonts w:ascii="Times New Roman" w:hAnsi="Times New Roman" w:cs="Times New Roman" w:eastAsia="Times New Roman"/>
                <w:sz w:val="24"/>
              </w:rPr>
              <w:t>K ustanoveniu: § 73m</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aby sa slová „pri narušení spôsobilosti na právne úkony“ nahradili slovami „pri uplatňovaní spôsobilosti na právne úkony“, alternatívne aby sa uvedené slová z ustanovenia úplne vypustili.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pre osoby so zdravotným postihnutím považuje za zásadné, aby sa podporné opatrenia nespájali s narušením spôsobilosti na právne úkony. Účelom podporných opatrení je umožnenie uplatňovať si spôsobilosť na právne úkony a prijímať vlastné rozhodnutia s potrebnou podporou, resp. určiť osobu, ktorá bude vykonávať právne úkony.</w:t>
              <w:br/>
            </w:r>
            <w:r>
              <w:rPr>
                <w:b w:val="off"/>
                <w:color w:val="000000"/>
                <w:rFonts w:ascii="Times New Roman" w:hAnsi="Times New Roman" w:cs="Times New Roman" w:eastAsia="Times New Roman"/>
                <w:sz w:val="24"/>
              </w:rPr>
              <w:t>Podľa Článku 12 Dohovoru OSN o právach osôb so zdravotným postihnutím majú osoby so zdravotným postihnutím právo na uznanie svojej právnej spôsobilosti na rovnakom základe s ostatnými a na prístup k podpore, ktorú môžu pri jej uplatňovaní potrebovať. Podporné opatrenia preto nemožno koncepčne spájať s narušením spôsobilosti na právne úkony, keďže takáto formulácia môže vyvolávať nesprávny dojem, že ich využívanie je podmienené existenciou nedostatku alebo narušenia na strane osoby.</w:t>
              <w:br/>
            </w:r>
            <w:r>
              <w:rPr>
                <w:b w:val="off"/>
                <w:color w:val="000000"/>
                <w:rFonts w:ascii="Times New Roman" w:hAnsi="Times New Roman" w:cs="Times New Roman" w:eastAsia="Times New Roman"/>
                <w:sz w:val="24"/>
              </w:rPr>
              <w:t>Nový Občiansky zákonník zároveň osobitne vymedzuje jednotlivé druhy podporných opatrení, a preto považujeme dodatočné označenie situácie, v ktorej sa tieto opatrenia využívajú prostredníctvom pojmu „narušenie spôsobilosti na právne úkony“, za nadbytočné.</w:t>
              <w:br/>
            </w:r>
            <w:r>
              <w:rPr>
                <w:b w:val="off"/>
                <w:color w:val="000000"/>
                <w:rFonts w:ascii="Times New Roman" w:hAnsi="Times New Roman" w:cs="Times New Roman" w:eastAsia="Times New Roman"/>
                <w:sz w:val="24"/>
              </w:rPr>
              <w:t>Z uvedených dôvodov navrhujeme predmetné slová nahradiť formuláciou „pri uplatňovaní spôsobilosti na právne úkony“, prípadne ich úplne vypustiť, aby právna úprava zodpovedala účelu podporných opatrení a princípom Dohovoru OSN o právach osôb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LXVII § § 27 ods. 1 bod 6</w:t>
              <w:br/>
            </w:r>
            <w:r>
              <w:rPr>
                <w:b w:val="off"/>
                <w:color w:val="000000"/>
                <w:rFonts w:ascii="Times New Roman" w:hAnsi="Times New Roman" w:cs="Times New Roman" w:eastAsia="Times New Roman"/>
                <w:sz w:val="24"/>
              </w:rPr>
              <w:t>K článku: Čl. LXVII., bod 6</w:t>
              <w:br/>
            </w:r>
            <w:r>
              <w:rPr>
                <w:b w:val="off"/>
                <w:color w:val="000000"/>
                <w:rFonts w:ascii="Times New Roman" w:hAnsi="Times New Roman" w:cs="Times New Roman" w:eastAsia="Times New Roman"/>
                <w:sz w:val="24"/>
              </w:rPr>
              <w:t xml:space="preserve">K ustanoveniu: § 27 ods. 1 Zákona č. 461/2003 Z. z.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aby sa slová „pri narušení spôsobilosti na právne úkony“ nahradili slovami „pri uplatňovaní spôsobilosti na právne úkony“, alternatívne aby sa uvedené slová z ustanovenia úplne vypustili.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pre osoby so zdravotným postihnutím považuje za zásadné, aby sa podporné opatrenia nespájali s narušením spôsobilosti na právne úkony. Účelom podporných opatrení je umožnenie uplatňovať si spôsobilosť na právne úkony a prijímať vlastné rozhodnutia s potrebnou podporou, resp. určiť osobu, ktorá bude vykonávať právne úkony.</w:t>
              <w:br/>
            </w:r>
            <w:r>
              <w:rPr>
                <w:b w:val="off"/>
                <w:color w:val="000000"/>
                <w:rFonts w:ascii="Times New Roman" w:hAnsi="Times New Roman" w:cs="Times New Roman" w:eastAsia="Times New Roman"/>
                <w:sz w:val="24"/>
              </w:rPr>
              <w:t>Podľa Článku 12 Dohovoru OSN o právach osôb so zdravotným postihnutím majú osoby so zdravotným postihnutím právo na uznanie svojej právnej spôsobilosti na rovnakom základe s ostatnými a na prístup k podpore, ktorú môžu pri jej uplatňovaní potrebovať. Podporné opatrenia preto nemožno koncepčne spájať s narušením spôsobilosti na právne úkony, keďže takáto formulácia môže vyvolávať nesprávny dojem, že ich využívanie je podmienené existenciou nedostatku alebo narušenia na strane osoby.</w:t>
              <w:br/>
            </w:r>
            <w:r>
              <w:rPr>
                <w:b w:val="off"/>
                <w:color w:val="000000"/>
                <w:rFonts w:ascii="Times New Roman" w:hAnsi="Times New Roman" w:cs="Times New Roman" w:eastAsia="Times New Roman"/>
                <w:sz w:val="24"/>
              </w:rPr>
              <w:t>Nový Občiansky zákonník zároveň osobitne vymedzuje jednotlivé druhy podporných opatrení, a preto považujeme dodatočné označenie situácie, v ktorej sa tieto opatrenia využívajú prostredníctvom pojmu „narušenie spôsobilosti na právne úkony“, za nadbytočné.</w:t>
              <w:br/>
            </w:r>
            <w:r>
              <w:rPr>
                <w:b w:val="off"/>
                <w:color w:val="000000"/>
                <w:rFonts w:ascii="Times New Roman" w:hAnsi="Times New Roman" w:cs="Times New Roman" w:eastAsia="Times New Roman"/>
                <w:sz w:val="24"/>
              </w:rPr>
              <w:t>Z uvedených dôvodov navrhujeme predmetné slová nahradiť formuláciou „pri uplatňovaní spôsobilosti na právne úkony“, prípadne ich úplne vypustiť, aby právna úprava zodpovedala účelu podporných opatrení a princípom Dohovoru OSN o právach osôb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CXIX § 6 ods. 3 písm. e) bod 9</w:t>
              <w:br/>
            </w:r>
            <w:r>
              <w:rPr>
                <w:b w:val="off"/>
                <w:color w:val="000000"/>
                <w:rFonts w:ascii="Times New Roman" w:hAnsi="Times New Roman" w:cs="Times New Roman" w:eastAsia="Times New Roman"/>
                <w:sz w:val="24"/>
              </w:rPr>
              <w:t>K článku: Čl. CXIX., bod 9</w:t>
              <w:br/>
            </w:r>
            <w:r>
              <w:rPr>
                <w:b w:val="off"/>
                <w:color w:val="000000"/>
                <w:rFonts w:ascii="Times New Roman" w:hAnsi="Times New Roman" w:cs="Times New Roman" w:eastAsia="Times New Roman"/>
                <w:sz w:val="24"/>
              </w:rPr>
              <w:t xml:space="preserve">K ustanoveniu: § 6, ods. 3, písm. e) zákona č. 448/2008 Z. z.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aby sa v § 6 ods. 3 písm. e) slovo „celoročnej“ vypustilo.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pre osoby so zdravotným postihnutím navrhuje vypustenie slova „celoročnej“ za účelom dosiahnutia terminologického a vecného súladu medzi novým Občianskym zákonníkom a zákonom č. 448/2008 Z. z. o sociálnych službách.</w:t>
              <w:br/>
            </w:r>
            <w:r>
              <w:rPr>
                <w:b w:val="off"/>
                <w:color w:val="000000"/>
                <w:rFonts w:ascii="Times New Roman" w:hAnsi="Times New Roman" w:cs="Times New Roman" w:eastAsia="Times New Roman"/>
                <w:sz w:val="24"/>
              </w:rPr>
              <w:t>Podľa § 188 nového Občianskeho zákonníka opatrovník nemôže bez súhlasu súdu rozhodnúť o umiestnení opatrovanca do pobytového zariadenia sociálnych služieb. Predmetné ustanovenie pritom myslí na umiestnenie do akéhokoľvek pobytového zariadenia sociálnych služieb bez ďalšieho rozlišovania poskytovanej pobytovej sociálnej služby, či už celoročnej alebo týždennej. Naproti tomu § 6 ods. 3 písm. e) zákona č. 448/2008 Z. z. priznáva právo prejaviť vážne mienený nesúhlas len s poskytovaním celoročnej pobytovej sociálnej služby.</w:t>
              <w:br/>
            </w:r>
            <w:r>
              <w:rPr>
                <w:b w:val="off"/>
                <w:color w:val="000000"/>
                <w:rFonts w:ascii="Times New Roman" w:hAnsi="Times New Roman" w:cs="Times New Roman" w:eastAsia="Times New Roman"/>
                <w:sz w:val="24"/>
              </w:rPr>
              <w:t>Takto vymedzený rozsah práva na prejavenie nesúhlasu je užší ako rozsah právnej úpravy podľa nového Občianskeho zákonníka. Považujeme za potrebné, aby možnosť prejaviť vážne mienený nesúhlas nebola obmedzená výlučne na pobytovú sociálnu službu poskytovanú celoročne. Rozsah ochrany práv prijímateľa sociálnej služby a možnosť uplatniť jeho vôľu a preferencie by totiž nemali závisieť od toho, či sa mu sociálna služba poskytuje celoročne alebo týždenne.</w:t>
              <w:br/>
            </w:r>
            <w:r>
              <w:rPr>
                <w:b w:val="off"/>
                <w:color w:val="000000"/>
                <w:rFonts w:ascii="Times New Roman" w:hAnsi="Times New Roman" w:cs="Times New Roman" w:eastAsia="Times New Roman"/>
                <w:sz w:val="24"/>
              </w:rPr>
              <w:t>Z uvedených dôvodov navrhujeme vypustiť slovo „celoročnej“, aby sa zabezpečil terminologický a vecný súlad oboch právnych predpisov a aby právo prijímateľa pobytovej sociálnej služby prejaviť vážne mienený nesúhlas nebolo obmedzené len na pobytovú sociálnu službu celoročne, a to aj v nadväznosti na našu pripomienku k § 273a Civilného mimosporového poriadku.</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cXIX § 9 ods. 14 11</w:t>
              <w:br/>
            </w:r>
            <w:r>
              <w:rPr>
                <w:b w:val="off"/>
                <w:color w:val="000000"/>
                <w:rFonts w:ascii="Times New Roman" w:hAnsi="Times New Roman" w:cs="Times New Roman" w:eastAsia="Times New Roman"/>
                <w:sz w:val="24"/>
              </w:rPr>
              <w:t>K článku: Čl. CXIX., bod 11</w:t>
              <w:br/>
            </w:r>
            <w:r>
              <w:rPr>
                <w:b w:val="off"/>
                <w:color w:val="000000"/>
                <w:rFonts w:ascii="Times New Roman" w:hAnsi="Times New Roman" w:cs="Times New Roman" w:eastAsia="Times New Roman"/>
                <w:sz w:val="24"/>
              </w:rPr>
              <w:t xml:space="preserve">K ustanoveniu: § 9, ods. 14 zákona č. 448/2008 Z. z.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 Komisárka pre osoby so zdravotným postihnutím navrhuje, aby sa v § 9 ods. 14 slovo „celoročnej“ vypustilo.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pre osoby so zdravotným postihnutím navrhuje vypustenie slova „celoročnej“ za účelom dosiahnutia terminologického a vecného súladu medzi novým Občianskym zákonníkom a zákonom č. 448/2008 Z. z. o sociálnych službách.</w:t>
              <w:br/>
            </w:r>
            <w:r>
              <w:rPr>
                <w:b w:val="off"/>
                <w:color w:val="000000"/>
                <w:rFonts w:ascii="Times New Roman" w:hAnsi="Times New Roman" w:cs="Times New Roman" w:eastAsia="Times New Roman"/>
                <w:sz w:val="24"/>
              </w:rPr>
              <w:t>Podľa § 188 nového Občianskeho zákonníka opatrovník nemôže bez súhlasu súdu rozhodnúť o umiestnení opatrovanca do pobytového zariadenia sociálnych služieb. Predmetné ustanovenie pritom myslí na umiestnenie do akéhokoľvek  pobytového zariadenia sociálnych služieb bez ďalšieho rozlišovania poskytovanej pobytovej sociálnej služby, či už celoročnej alebo týždennej. Naproti tomu § 6 ods. 3 písm. e) zákona č. 448/2008 Z. z. priznáva právo prejaviť vážne mienený nesúhlas len s poskytovaním celoročnej pobytovej sociálnej služby.</w:t>
              <w:br/>
            </w:r>
            <w:r>
              <w:rPr>
                <w:b w:val="off"/>
                <w:color w:val="000000"/>
                <w:rFonts w:ascii="Times New Roman" w:hAnsi="Times New Roman" w:cs="Times New Roman" w:eastAsia="Times New Roman"/>
                <w:sz w:val="24"/>
              </w:rPr>
              <w:t>Takto vymedzený rozsah práva na prejavenie nesúhlasu je užší ako rozsah právnej úpravy podľa nového Občianskeho zákonníka. Považujeme za potrebné, aby možnosť prejaviť vážne mienený nesúhlas nebola obmedzená výlučne na pobytovú sociálnu službu poskytovanú celoročne. Rozsah ochrany práv prijímateľa sociálnej služby a možnosť uplatniť jeho vôľu a preferencie by totiž nemali závisieť od toho, či sa mu sociálna služba poskytuje celoročne alebo týždenne.</w:t>
              <w:br/>
            </w:r>
            <w:r>
              <w:rPr>
                <w:b w:val="off"/>
                <w:color w:val="000000"/>
                <w:rFonts w:ascii="Times New Roman" w:hAnsi="Times New Roman" w:cs="Times New Roman" w:eastAsia="Times New Roman"/>
                <w:sz w:val="24"/>
              </w:rPr>
              <w:t>Z uvedených dôvodov navrhujeme vypustiť slovo „celoročnej“, aby sa zabezpečil terminologický a vecný súlad oboch právnych predpisov a aby právo prijímateľa pobytovej sociálnej služby prejaviť vážne mienený nesúhlas nebolo obmedzené len na pobytovú sociálnu službu celoročne, a to aj v nadväznosti na našu pripomienku k § 273a Civilného mimosporového poriadku.</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248 ods. 2</w:t>
              <w:br/>
            </w:r>
            <w:r>
              <w:rPr>
                <w:b w:val="off"/>
                <w:color w:val="000000"/>
                <w:rFonts w:ascii="Times New Roman" w:hAnsi="Times New Roman" w:cs="Times New Roman" w:eastAsia="Times New Roman"/>
                <w:sz w:val="24"/>
              </w:rPr>
              <w:t>K článku: Čl. VI.</w:t>
              <w:br/>
            </w:r>
            <w:r>
              <w:rPr>
                <w:b w:val="off"/>
                <w:color w:val="000000"/>
                <w:rFonts w:ascii="Times New Roman" w:hAnsi="Times New Roman" w:cs="Times New Roman" w:eastAsia="Times New Roman"/>
                <w:sz w:val="24"/>
              </w:rPr>
              <w:t xml:space="preserve">K ustanoveniu: § 248 ods. 2 Civilného mimosporového poriadku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xml:space="preserve">Legislatívny príkaz: Komisárka pre osoby so zdravotným postihnutím navrhuje, aby sa v nadväznosti na novú právnu úpravu zmenila aj Vyhláška Ministerstva spravodlivosti Slovenskej republiky č. 543/2005 Z. z. o Spravovacom a kancelárskom poriadku pre okresné súdy, krajské súdy, Špeciálny súd a vojenské súdy, najmä v ustanoveniach, ktoré súvisia s opatrovníctvom, najmä s povinnosťami opatrovníka a v nadväznosti na nový inštitút správcu majetku, aby sa primerane vyhláška upravila aj vo vzťahu k nemu.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novú právnu úpravu opatrovníctva a zavedenie inštitútu správcu majetku podľa nového Občianskeho zákonníka považujeme za potrebné zosúladiť aj vykonávaciu právnu úpravu. Súčasná vyhláška upravuje viaceré povinnosti a postupy súvisiace s výkonom opatrovníctva, pričom po zavedení správcu majetku je potrebné primerane upraviť aj jeho postavenie, povinnosti, spôsob výkonu správy majetku a kontrolu jeho činnosti. Bez zodpovedajúcej úpravy vyhlášky môže v aplikačnej praxi dochádzať k nejasnostiam a právnej neistote pri výkone opatrovníctva a správy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a CYIX 37</w:t>
              <w:br/>
            </w:r>
            <w:r>
              <w:rPr>
                <w:b w:val="off"/>
                <w:color w:val="000000"/>
                <w:rFonts w:ascii="Times New Roman" w:hAnsi="Times New Roman" w:cs="Times New Roman" w:eastAsia="Times New Roman"/>
                <w:sz w:val="24"/>
              </w:rPr>
              <w:t xml:space="preserve">K článku: Čl. IV, bod 37; Čl. CXIX body 9, 11, 12, 39 </w:t>
              <w:br/>
            </w:r>
            <w:r>
              <w:rPr>
                <w:b w:val="off"/>
                <w:color w:val="000000"/>
                <w:rFonts w:ascii="Times New Roman" w:hAnsi="Times New Roman" w:cs="Times New Roman" w:eastAsia="Times New Roman"/>
                <w:sz w:val="24"/>
              </w:rPr>
              <w:t>K ustanoveniu: § 273a ods. 4 Civilného mimosporového poriadku; § 6 ods. 3 písm. e), § 9 ods. 14, § 13 ods. 5 a Príloha č. 2, kritérium 1.14 zákona o sociálnych službách</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Legislatívny príkaz:</w:t>
              <w:br/>
            </w:r>
            <w:r>
              <w:rPr>
                <w:b w:val="off"/>
                <w:color w:val="000000"/>
                <w:rFonts w:ascii="Times New Roman" w:hAnsi="Times New Roman" w:cs="Times New Roman" w:eastAsia="Times New Roman"/>
                <w:sz w:val="24"/>
              </w:rPr>
              <w:t>Komisárka pre osoby so zdravotným postihnutím navrhuje doplniť do Civilného mimosporového poriadku samostatnú úpravu konania vo veciach pobytovej sociálnej služby opatrovanca vrátane procesného postupu súdu po oznámení vážne mieneného nesúhlasu prijímateľa sociálnej služby podľa § 9 ods. 14 zákona č. 448/2008 Z. z. o sociálnych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pre osoby so zdravotným postihnutím považuje navrhovanú právnu úpravu za nedostatočnú z hľadiska procesných záruk ochrany osobnej slobody osôb, ktorým sa poskytuje pobytová sociálna služba bez ich súhlasu.</w:t>
              <w:br/>
            </w:r>
            <w:r>
              <w:rPr>
                <w:b w:val="off"/>
                <w:color w:val="000000"/>
                <w:rFonts w:ascii="Times New Roman" w:hAnsi="Times New Roman" w:cs="Times New Roman" w:eastAsia="Times New Roman"/>
                <w:sz w:val="24"/>
              </w:rPr>
              <w:t>Rozhodovanie o umiestnení osoby do pobytového zariadenia sociálnych služieb proti jej vôli alebo o pokračovaní takéhoto pobytu napriek jej vážne mienenému nesúhlasu predstavuje zásah do osobnej slobody osoby. Z pohľadu osoby umiestnenej v zariadení ide o situáciu porovnateľnú s prípadmi, v ktorých sa rozhoduje o prípustnosti prevzatia a držania osoby v zdravotníckom zariadení bez jej súhlasu. Civilný mimosporový poriadok preto pre tieto prípady ustanovuje osobitné procesné záruky v rámci konania o prípustnosti prevzatia a držania v zdravotníckom zariadení (§ 252 až § 271 Civilného mimosporového poriadku). Navrhovaná právna úprava však obdobný procesný rámec pre rozhodovanie o faktickom obmedzení osobnej slobody prostredníctvom pobytovej sociálnej služby nevytvára.</w:t>
              <w:br/>
            </w:r>
            <w:r>
              <w:rPr>
                <w:b w:val="off"/>
                <w:color w:val="000000"/>
                <w:rFonts w:ascii="Times New Roman" w:hAnsi="Times New Roman" w:cs="Times New Roman" w:eastAsia="Times New Roman"/>
                <w:sz w:val="24"/>
              </w:rPr>
              <w:t>Nová právna úprava pritom vychádza z predpokladu súdnej kontroly takýchto zásahov. Podľa § 188 ods. 1 nového Občianskeho zákonníka opatrovník nemôže bez súhlasu súdu rozhodnúť o umiestnení opatrovanca do pobytového zariadenia sociálnych služieb. Na uvedenú úpravu nadväzuje § 13 ods. 5 zákona č. 448/2008 Z. z. o sociálnych službách, podľa ktorého možno pobytovú sociálnu službu osobe, ktorej spôsobilosť na právne úkony je obmedzená v rozsahu, ktorý jej neumožňuje zmeniť bydlisko alebo uzavrieť zmluvu o poskytovaní sociálnej služby, poskytovať len so súhlasom súdu. Súčasne z dôvodovej správy k bodu 39 (Príloha č. 2, kritérium 1.14 zákona o sociálnych službách) vyplýva, že ak vyhodnotenie prejavov vôle prijímateľa sociálnej služby nasvedčuje tomu, že ide o vážne mienený nesúhlas, poskytovateľ sociálnej služby musí bezodkladne aktivovať zákonom ustanovený ochranný mechanizmus. Dôvodová správa zároveň uvádza, že cieľom tejto úpravy je zabezpečiť, aby sa vôľa prijímateľa sociálnej služby neprehliadala ani nenahrádzala výlučne vôľou opatrovníka. Z uvedeného je zrejmé, že samotný predkladateľ vychádza z potreby existencie osobitného ochranného mechanizmu a súdneho preskúmania aj v prípadoch, keď osoba už pobytovú sociálnu službu prijíma a následne prejaví nesúhlas s jej ďalším poskytovaním.</w:t>
              <w:br/>
            </w:r>
            <w:r>
              <w:rPr>
                <w:b w:val="off"/>
                <w:color w:val="000000"/>
                <w:rFonts w:ascii="Times New Roman" w:hAnsi="Times New Roman" w:cs="Times New Roman" w:eastAsia="Times New Roman"/>
                <w:sz w:val="24"/>
              </w:rPr>
              <w:t>Navrhovaná novela však súčasne počíta aj so situáciou, keď je osoba už umiestnená v zariadení sociálnych služieb a následne prejaví vážne mienený nesúhlas s ďalším poskytovaním pobytovej sociálnej služby. Ustanovenie § 6 ods. 3 písm. e) zákona o sociálnych službách priznáva prijímateľovi sociálnej služby právo prejaviť takýto nesúhlas, § 9 ods. 14 zákona o sociálnych službách zavádza povinnosť poskytovateľa oznámiť tento nesúhlas opatrovníkovi a príslušnému súdu a príloha č. 2 ku zákonu o sociálnych službách v kritériu 1.14 ustanovuje povinnosť poskytovateľa sociálnej služby priebežne sledovať, aktívne zisťovať, zaznamenávať a vyhodnocovať prejavy vôle prijímateľa sociálnej služby vo vzťahu k prijímaniu tejto sociálnej služby. Návrh teda výslovne počíta so situáciou, keď osoba už umiestnená v zariadení prejaví nesúhlas s ďalším zotrvaním v zariadení.</w:t>
              <w:br/>
            </w:r>
            <w:r>
              <w:rPr>
                <w:b w:val="off"/>
                <w:color w:val="000000"/>
                <w:rFonts w:ascii="Times New Roman" w:hAnsi="Times New Roman" w:cs="Times New Roman" w:eastAsia="Times New Roman"/>
                <w:sz w:val="24"/>
              </w:rPr>
              <w:t>Napriek tomu návrh neustanovuje, aký procesný postup má po oznámení vážne mieneného nesúhlasu nasledovať. Nie je zrejmé, aké konanie má súd viesť, kto je oprávnený podať návrh, v akej lehote má súd konať, aké procesné práva má dotknutá osoba ani akým rozhodnutím má súd o ďalšom poskytovaní pobytovej sociálnej služby rozhodnúť. Chýba aj explicitné prepojenie medzi zákonom o sociálnych službách a Civilným mimosporovým poriadkom.</w:t>
              <w:br/>
            </w:r>
            <w:r>
              <w:rPr>
                <w:b w:val="off"/>
                <w:color w:val="000000"/>
                <w:rFonts w:ascii="Times New Roman" w:hAnsi="Times New Roman" w:cs="Times New Roman" w:eastAsia="Times New Roman"/>
                <w:sz w:val="24"/>
              </w:rPr>
              <w:t>Osobitnú pozornosť si vyžaduje skutočnosť, že dôvodová správa k navrhovanému § 9 ods. 14 zákona o sociálnych službách uvádza iba možnosť „prípadného rozhodnutia súdu“ po oznámení vážne mieneného nesúhlasu prijímateľa sociálnej služby. Takáto formulácia vyvoláva pochybnosti o tom, či má byť súdne preskúmanie ďalšieho poskytovania pobytovej sociálnej služby obligatórnym následkom oznámeného nesúhlasu alebo iba fakultatívnou možnosťou.</w:t>
              <w:br/>
            </w:r>
            <w:r>
              <w:rPr>
                <w:b w:val="off"/>
                <w:color w:val="000000"/>
                <w:rFonts w:ascii="Times New Roman" w:hAnsi="Times New Roman" w:cs="Times New Roman" w:eastAsia="Times New Roman"/>
                <w:sz w:val="24"/>
              </w:rPr>
              <w:t>Ak však zákon vychádza z predpokladu, že osoba umiestnená v zariadení sociálnych službách môže vysloviť vážne mienený nesúhlas s ďalším poskytovaním pobytovej sociálnej služby, nejde len o otázku organizácie poskytovania sociálnej služby, ale o situáciu, ktorá môže predstavovať zásah do osobnej slobody osoby. V takom prípade by súdne preskúmanie nemalo byť iba fakultatívnou možnosťou, ale malo by predstavovať povinnú procesnú záruku ochrany práv dotknutej osoby.</w:t>
              <w:br/>
            </w:r>
            <w:r>
              <w:rPr>
                <w:b w:val="off"/>
                <w:color w:val="000000"/>
                <w:rFonts w:ascii="Times New Roman" w:hAnsi="Times New Roman" w:cs="Times New Roman" w:eastAsia="Times New Roman"/>
                <w:sz w:val="24"/>
              </w:rPr>
              <w:t>Predložený návrh tak síce rieši situáciu pred umiestnením osoby do zariadenia sociálnych služieb, avšak dostatočne neupravuje právne postavenie osoby, ktorá sa už v zariadení nachádza a následne prejaví nesúhlas s poskytovaním sociálnej služby. Práve v tejto fáze pritom môže dochádzať k dlhodobému poskytovaniu sociálnej služby bez súhlasu osoby, teda k situáciám označovaným aj ako sociálna detencia.</w:t>
              <w:br/>
            </w:r>
            <w:r>
              <w:rPr>
                <w:b w:val="off"/>
                <w:color w:val="000000"/>
                <w:rFonts w:ascii="Times New Roman" w:hAnsi="Times New Roman" w:cs="Times New Roman" w:eastAsia="Times New Roman"/>
                <w:sz w:val="24"/>
              </w:rPr>
              <w:t>Komisárka preto považuje za nevyhnutné, aby Civilný mimosporový poriadok obsahoval samostatnú procesnú úpravu konania vo veciach pobytovej sociálnej služby opatrovanca vrátane jasného procesného postupu súdu po oznámení vážne mieneného nesúhlasu prijímateľa sociálnej služby. Zároveň považuje za potrebné výslovne prepojiť právnu úpravu zákona o sociálnych službách s Civilným mimosporovým poriadkom tak, aby bolo jednoznačne určené, akým spôsobom sa v týchto prípadoch uplatňuje súdna ochrana práv dotknutej osoby. Takáto úprava je nevyhnutná na zabezpečenie účinného súdneho preskúmania zákonnosti a ďalšieho trvania zásahu do osobnej slobody osoby, ktorá nesúhlasí s poskytovaním pobytovej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bod 3.</w:t>
              <w:br/>
            </w:r>
            <w:r>
              <w:rPr>
                <w:b w:val="off"/>
                <w:color w:val="000000"/>
                <w:rFonts w:ascii="Times New Roman" w:hAnsi="Times New Roman" w:cs="Times New Roman" w:eastAsia="Times New Roman"/>
                <w:sz w:val="24"/>
              </w:rPr>
              <w:t>Navrhujeme v § 6 ods. 4 nahradiť prvú vetu týmito vetami:</w:t>
              <w:br/>
            </w:r>
            <w:r>
              <w:rPr>
                <w:b w:val="off"/>
                <w:color w:val="000000"/>
                <w:rFonts w:ascii="Times New Roman" w:hAnsi="Times New Roman" w:cs="Times New Roman" w:eastAsia="Times New Roman"/>
                <w:sz w:val="24"/>
              </w:rPr>
              <w:t>„Názov združenia musí obsahovať označenie „občianske združenie“ alebo skratku „o.z.“. Ak je združenie odborovou organizáciou, jeho názov musí namiesto označenia podľa prvej vety obsahovať označenie „odborová organizácia“ alebo „odborový zväz“.“</w:t>
              <w:br/>
            </w:r>
            <w:r>
              <w:rPr>
                <w:b w:val="off"/>
                <w:color w:val="000000"/>
                <w:rFonts w:ascii="Times New Roman" w:hAnsi="Times New Roman" w:cs="Times New Roman" w:eastAsia="Times New Roman"/>
                <w:sz w:val="24"/>
              </w:rPr>
              <w:t>Doterajšia druhá veta zostáva nezmenená.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zohľadňuje osobitné postavenie odborových organizácií a odborových zväzov a zabezpečuje sa, aby povinné označenie v názve združenia výstižne vyjadrovalo jeho povahu a postavenie v právnych vzťahoch.</w:t>
              <w:br/>
            </w:r>
            <w:r>
              <w:rPr>
                <w:b w:val="off"/>
                <w:color w:val="000000"/>
                <w:rFonts w:ascii="Times New Roman" w:hAnsi="Times New Roman" w:cs="Times New Roman" w:eastAsia="Times New Roman"/>
                <w:sz w:val="24"/>
              </w:rPr>
              <w:t>Hoci je odborová organizácia podľa § 230 ods. 1 Zákonníka práce občianskym združením podľa osobitného predpisu, v pracovnoprávnych vzťahoch má osobitné postavenie a oprávnenia, ktoré občianskemu združeniu bez postavenia odborovej organizácie nepatria. Ide najmä o zastupovanie zamestnancov, kolektívne vyjednávanie, uzavieranie kolektívnych zmlúv a uplatňovanie práv na informácie, prerokovanie, spolurozhodovanie a kontrolnú činnosť. Označenia „odborová organizácia“ a „odborový zväz“ preto vyjadrujú osobitnú povahu a účel týchto subjektov.</w:t>
              <w:br/>
            </w:r>
            <w:r>
              <w:rPr>
                <w:b w:val="off"/>
                <w:color w:val="000000"/>
                <w:rFonts w:ascii="Times New Roman" w:hAnsi="Times New Roman" w:cs="Times New Roman" w:eastAsia="Times New Roman"/>
                <w:sz w:val="24"/>
              </w:rPr>
              <w:t>Podľa dôvodovej správy je účelom navrhovanej úpravy zabezpečiť, aby názov právnickej osoby obsahoval označenie jej právnej formy. Navrhovaná výnimka nemení právnu formu odborových organizácií, ale umožňuje splniť požiadavku na označenie v názve použitím osobitného označenia „odborová organizácia“, resp. „odborový zväz“. Takéto označenie zároveň umožňuje odlíšiť tieto subjekty od ostatných občianskych združení a poukazuje na ich osobitné postavenie pri zastupovaní a ochrane práv a záujmov zamestnancov. Bez navrhovanej výnimky by novozakladané odborové organizácie a odborové zväzy, na ktoré sa nová povinnosť bude vzťahovať, museli k názvu obsahujúcemu označenie ich odborovej povahy dopĺňať aj všeobecné označenie „občianske združenie“ alebo skratku „o.z.“. Takéto súbežné označovanie by zbytočne predlžovalo názov bez zodpovedajúceho prínosu pre jeho zrozumiteľnosť. Ak by sa naopak používalo iba všeobecné označenie občianskeho združenia, z názvu by nemuselo byť zrejmé, že ide o subjekt s osobitným postavením v kolektívnych pracovnoprávnych vzťahoch.</w:t>
              <w:br/>
            </w:r>
            <w:r>
              <w:rPr>
                <w:b w:val="off"/>
                <w:color w:val="000000"/>
                <w:rFonts w:ascii="Times New Roman" w:hAnsi="Times New Roman" w:cs="Times New Roman" w:eastAsia="Times New Roman"/>
                <w:sz w:val="24"/>
              </w:rPr>
              <w:t>Navrhované znenie preto výslovne ustanovuje, že osobitné označenie „odborová organizácia“, resp. „odborový zväz“ nahrádza všeobecné označenie „občianske združenie“ alebo skratku „o.z.“. Odstraňuje tým pochybnosti o potrebe uvádzať obe označenia súčasne a podporuje jednoznačnú identifikáciu subjektu vo vzťahu k zamestnancom, zamestnávateľom aj ďalším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w:t>
              <w:br/>
            </w:r>
            <w:r>
              <w:rPr>
                <w:b w:val="off"/>
                <w:color w:val="000000"/>
                <w:rFonts w:ascii="Times New Roman" w:hAnsi="Times New Roman" w:cs="Times New Roman" w:eastAsia="Times New Roman"/>
                <w:sz w:val="24"/>
              </w:rPr>
              <w:t>Komora reštaurátorov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XXIX novelizačný bod 3</w:t>
              <w:br/>
            </w:r>
            <w:r>
              <w:rPr>
                <w:b w:val="off"/>
                <w:color w:val="000000"/>
                <w:rFonts w:ascii="Times New Roman" w:hAnsi="Times New Roman" w:cs="Times New Roman" w:eastAsia="Times New Roman"/>
                <w:sz w:val="24"/>
              </w:rPr>
              <w:t>Novelizačný bod 3 ČL. XXIX navrhujeme doplniť tak, že namiesto bodky na konci vety sa vkladajú slová „a za druhú vetu sa vkladá nová tretia veta, ktorá znie: „Reštaurátor môže vykonávať reštaurovanie aj prostredníctvom spoločnosti s ručením obmedzeným, ktorej je jediným spoločníkom a jediným konateľom.“.“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v nadväznosti na navrhovanú zmenu § 12 ods. 1. Doterajšie znenie upravuje obchodnú spoločnosť založenú len na základe spoločenskej zmluvy, hoci spoločnosť s ručením obmedzeným možno založiť aj jedným zakladateľom.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 v Nitre</w:t>
              <w:br/>
            </w:r>
            <w:r>
              <w:rPr>
                <w:b w:val="off"/>
                <w:color w:val="000000"/>
                <w:rFonts w:ascii="Times New Roman" w:hAnsi="Times New Roman" w:cs="Times New Roman" w:eastAsia="Times New Roman"/>
                <w:sz w:val="24"/>
              </w:rPr>
              <w:t>Krajský súd v Nitre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22,40, 471f body 6 a 30 návrhu</w:t>
              <w:br/>
            </w:r>
            <w:r>
              <w:rPr>
                <w:b w:val="off"/>
                <w:color w:val="000000"/>
                <w:rFonts w:ascii="Times New Roman" w:hAnsi="Times New Roman" w:cs="Times New Roman" w:eastAsia="Times New Roman"/>
                <w:sz w:val="24"/>
              </w:rPr>
              <w:t xml:space="preserve">Pripomienky k zmene § 40 a k prechodnému ustanoveniu § 471 f CSP (LP/2026/517 – článok V. o zmene Civilného sporového poriadku - body 6 a 30 návrhu) a navrhované zmeny - doplnenia tohto ustanovenia : </w:t>
              <w:br/>
            </w:r>
            <w:r>
              <w:rPr>
                <w:b w:val="off"/>
                <w:color w:val="000000"/>
                <w:rFonts w:ascii="Times New Roman" w:hAnsi="Times New Roman" w:cs="Times New Roman" w:eastAsia="Times New Roman"/>
                <w:sz w:val="24"/>
              </w:rPr>
              <w:t>1.	Navrhovaný text označiť ako ods. 1 a doplniť ďalším odsekom 2 tohto znenia :</w:t>
              <w:br/>
            </w:r>
            <w:r>
              <w:rPr>
                <w:b w:val="off"/>
                <w:color w:val="000000"/>
                <w:rFonts w:ascii="Times New Roman" w:hAnsi="Times New Roman" w:cs="Times New Roman" w:eastAsia="Times New Roman"/>
                <w:sz w:val="24"/>
              </w:rPr>
              <w:t xml:space="preserve">„Funkčná príslušnosť odvolacích súdov pre veci podľa zrušeného ustanovenia § 22 však zostáva zachovaná aj pre odvolacie konania začaté po 01.07.2027“.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Navrhovaný text doplniť na konci druhou vetou tohto znenia :</w:t>
              <w:br/>
            </w:r>
            <w:r>
              <w:rPr>
                <w:b w:val="off"/>
                <w:color w:val="000000"/>
                <w:rFonts w:ascii="Times New Roman" w:hAnsi="Times New Roman" w:cs="Times New Roman" w:eastAsia="Times New Roman"/>
                <w:sz w:val="24"/>
              </w:rPr>
              <w:t>„Pre odvolacie konania vo veciach podľa zrušeného § 22 začaté aj po 01.07.2027 však naďalej platí funkčná a kauzálna príslušnosť odvolacích súdov z ustanovenia § 34 a § 40 CSP v jeho znení do 30.06.2026“.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Navrhovaný text ustanovenia ukončiť na konci bodkočiarkou a doplniť text tohto znenia: </w:t>
              <w:br/>
            </w:r>
            <w:r>
              <w:rPr>
                <w:b w:val="off"/>
                <w:color w:val="000000"/>
                <w:rFonts w:ascii="Times New Roman" w:hAnsi="Times New Roman" w:cs="Times New Roman" w:eastAsia="Times New Roman"/>
                <w:sz w:val="24"/>
              </w:rPr>
              <w:t>„Funkčná príslušnosť pre prípadné odvolacie konanie sa však určuje podľa právneho stavu ku dňu 30.06.2027“.</w:t>
              <w:br/>
            </w:r>
            <w:r>
              <w:rPr>
                <w:b w:val="off"/>
                <w:color w:val="000000"/>
                <w:rFonts w:ascii="Times New Roman" w:hAnsi="Times New Roman" w:cs="Times New Roman" w:eastAsia="Times New Roman"/>
                <w:sz w:val="24"/>
              </w:rPr>
              <w:t xml:space="preserve">Odôvodnenie námietky: </w:t>
              <w:br/>
            </w:r>
            <w:r>
              <w:rPr>
                <w:b w:val="off"/>
                <w:color w:val="000000"/>
                <w:rFonts w:ascii="Times New Roman" w:hAnsi="Times New Roman" w:cs="Times New Roman" w:eastAsia="Times New Roman"/>
                <w:sz w:val="24"/>
              </w:rPr>
              <w:t>Vzhľadom k reálnemu hmotnoprávnemu  zjednoteniu občianskoprávnej a obchodnoprávnej úpravy v Občianskom zákonníku až v (do) budúcnosti ( na vzťahy vzniknuté po 1.7.2027), ako aj vzhľadom na zavedenú funkčnú (kauzálnu) špecializáciu odvolacích súdov v roku 2023 ( tzv. Súdnou mapou, s využitím finančných prostriedkov Európskej únie na jej realizáciu) a na zmeny v zníženom počte tabuľkových miest (po roku 2023) na odvolacích súdoch túto obchodnoprávnu agendu už nevybavujúcich (keď tiež mnohí sudcovia týchto súdov nikdy na odvolacích ani prvoinštančných súdoch túto obchodnoprávnu agendu nerozhodovali) a tiež aj vzhľadom na časové obdobie potrebné pre doplnenie nového - zvýšeného počtu tabuľkového stavu miest a zabezpečenie dosiahnutia reálneho počtu sudcov na odvolacích súdoch  zasiahnutých zmenou - rozšírením ich funkčnej príslušnosti je potrebné, aby všetky obchodnoprávne spory začaté na súde prvej inštancie do 30.06.2027 prebehli aj v rovine funkčnej/kauzálnej príslušnosti špecializovaných odvolacích súdov podľa pôvodnej právnej úpravy; zachovanie doterajšej príslušnosti a špecializácie zabezpečí kvalitu rozhodovania a  zabráni presúvaniu spisov medzi súdmi a predlžovaniu konaní. Nová procesnoprávna úprava by nemala byť účinná skôr ako dobehnú vzťahy z pôvodnej hmotnoprávnej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 ako celku</w:t>
              <w:br/>
            </w:r>
            <w:r>
              <w:rPr>
                <w:b w:val="off"/>
                <w:color w:val="000000"/>
                <w:rFonts w:ascii="Times New Roman" w:hAnsi="Times New Roman" w:cs="Times New Roman" w:eastAsia="Times New Roman"/>
                <w:sz w:val="24"/>
              </w:rPr>
              <w:t>Žiadame z predloženého návrhu zákona vypustiť všetky novelizačné body, ktoré priamo nesúvisia s rekodifikáciou Občianskeho zákonníka a nie sú nevyhnutné na zosúladenie dotknutých právnych predpisov s novou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Účelom predloženého návrhu zákona má byť zabezpečenie súladu právneho poriadku s prijatým novým Občianskym zákonníkom. Rozsah navrhovaných zmien by preto mal byť obmedzený výlučne na úpravy, ktoré priamo vyplývajú z rekodifikácie a sú nevyhnutné na zabezpečenie vzájomného súladu a právnej kontinuity jednotlivých právnych predpisov. Nesúhlasíme s tým, aby sa v rámci takto koncipovaného návrhu zákona prijímali aj samostatné vecné zmeny právnej úpravy, ktoré nesúvisia priamo s rekodifikáciou Občianskeho zákonníka. Vzhľadom na mimoriadny rozsah predloženého materiálu, ktorý zasahuje do veľkého počtu právnych predpisov a viacerých oblastí práva, je už samotné posúdenie nevyhnutných zosúlaďovacích zmien mimoriadne náročné. Zahrnutie ďalších vecných zmien, ktoré nie sú priamym dôsledkom rekodifikácie, výrazne sťažuje ich identifikáciu, dôsledné posúdenie a vyhodnotenie ich praktických dosahov na dotknuté subjekty. Považujeme za potrebné, aby akékoľvek ďalšie vecné zmeny jednotlivých právnych predpisov, ktoré presahujú rámec nevyhnutného zosúladenia s novým Občianskym zákonníkom, boli predmetom samostatných legislatívnych procesov. Takýto postup umožní transparentné posúdenie navrhovaných zmien, ich riadne odôvodnenie a vyhodnotenie vplyvov, ako aj vytvorenie dostatočného priestoru na odbornú diskusiu a uplatnenie pripomienok všetkých relevantných dotknutých subjektov vrátane sociálnych partnerov.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19 – § 15 Zákonníka práce, str. 8</w:t>
              <w:br/>
            </w:r>
            <w:r>
              <w:rPr>
                <w:b w:val="off"/>
                <w:color w:val="000000"/>
                <w:rFonts w:ascii="Times New Roman" w:hAnsi="Times New Roman" w:cs="Times New Roman" w:eastAsia="Times New Roman"/>
                <w:sz w:val="24"/>
              </w:rPr>
              <w:t xml:space="preserve">Žiadame upraviť navrhované znenie § 15 tak, aby sa zákaz vzťahoval len na právne úkony uskutočnené výlučne automatizovaným systémom bez rozhodnutia fyzickej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vylučuje možnosť uskutočňovania právnych úkonov prostredníctvom automatizovaného systému v pracovnoprávnych vzťahoch bez ohľadu na povahu právneho úkonu a mieru zapojenia fyzickej osoby. Takto formulovaný zákaz môže neprimerane obmedziť využívanie automatizovaných systémov pri bežných personálnych procesoch, napríklad pri schvaľovaní dovoleniek alebo elektronickom vyhotovovaní a doručovaní pracovnoprávnych dokumentov. Považujeme preto za potrebné rozlišovať medzi právnymi úkonmi, pri ktorých rozhodnutie prijíma výlučne automatizovaný systém, a prípadmi, keď automatizovaný systém slúži len na vyhotovenie, evidenciu alebo odoslanie právneho úkonu, o ktorom rozhodla fyzická osoba. Navrhované spresnenie umožní zachovať ochranu zamestnancov pred automatizovaným rozhodovaním bez ľudského posúdenia a súčasne predísť neprimeranému obmedzeniu digitalizácie personálnych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29 – § 34b Zákonníka práce, str. 11</w:t>
              <w:br/>
            </w:r>
            <w:r>
              <w:rPr>
                <w:b w:val="off"/>
                <w:color w:val="000000"/>
                <w:rFonts w:ascii="Times New Roman" w:hAnsi="Times New Roman" w:cs="Times New Roman" w:eastAsia="Times New Roman"/>
                <w:sz w:val="24"/>
              </w:rPr>
              <w:t>Žiadame upraviť navrhovaný § 34b podľa vzoru § 144a ods. 4 českého Zákonníka práce tak, aby sa obmedzenie jednostranného započítania vzťahovalo len na mzdu a ďalšie zákonom vymedzené príjmy zamestnanca a aby bolo započítanie prípustné za podmienok ustanovených pre výkon rozhodnutia zrážkami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34b zavádza všeobecný zákaz jednostranného započítania pohľadávok zamestnávateľa voči zamestnancovi bez ohľadu na povahu jednotlivých pohľadávok. Takto formulovaný zákaz považujeme za neprimerane široký, keďže sa vzťahuje aj na pohľadávky, ktoré nesúvisia so mzdou zamestnanca. Dôvodová správa odkazuje na § 144a ods. 4 českého Zákonníka práce, ktorý však upravuje započítanie odlišne. Česká právna úprava sa vzťahuje len na mzdu, plat, odmenu z dohody a náhradu mzdy alebo platu. Započítanie voči týmto príjmom pritom nezakazuje absolútne, ale pripúšťa ho za podmienok ustanovených pre výkon rozhodnutia zrážkami zo mzdy. Navrhovaná slovenská úprava je preto podstatne prísnejšia než česká právna úprava, z ktorej predkladateľ vychádza. Považujeme za potrebné zachovať ochranu príjmov zamestnanca, ale súčasne umožniť vysporiadanie vzájomných pohľadávok v zákonom stanovenom rozsahu. Žiadame preto zosúladiť navrhované ustanovenie s českou právnou úpravou, na ktorú odkazuje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33 – § 38 ods. 6 Zákonníka práce, str. 11 - 12</w:t>
              <w:br/>
            </w:r>
            <w:r>
              <w:rPr>
                <w:b w:val="off"/>
                <w:color w:val="000000"/>
                <w:rFonts w:ascii="Times New Roman" w:hAnsi="Times New Roman" w:cs="Times New Roman" w:eastAsia="Times New Roman"/>
                <w:sz w:val="24"/>
              </w:rPr>
              <w:t xml:space="preserve">Žiadame vypustiť čl. III bod 33.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osobitný režim elektronického doručovania pracovnoprávnych písomností, ktorý podmieňuje uzavretím dohody medzi zamestnávateľom a zamestnancom s použitím kvalifikovaných elektronických podpisov oboch strán. Hoci cieľom úpravy má byť umožnenie elektronického doručovania, navrhované podmienky môžu jeho praktické využívanie výrazne obmedziť. Požiadavka na kvalifikovaný elektronický podpis zamestnanca predstavuje administratívnu a technickú prekážku, ktorá nie je dostatočne odôvodnená. Zavedenie osobitných podmienok elektronického doručovania predstavuje samostatnú vecnú úpravu pracovnoprávnych vzťahov, ktorej nevyhnutnosť v súvislosti s rekodifikáciou Občianskeho zákonníka nebola preukázaná.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 – § 3 ods. 6 Daňového poriadku, str. 20</w:t>
              <w:br/>
            </w:r>
            <w:r>
              <w:rPr>
                <w:b w:val="off"/>
                <w:color w:val="000000"/>
                <w:rFonts w:ascii="Times New Roman" w:hAnsi="Times New Roman" w:cs="Times New Roman" w:eastAsia="Times New Roman"/>
                <w:sz w:val="24"/>
              </w:rPr>
              <w:t>Žiadame vypustiť čl. IV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Navrhovaná úprava zavádza osobitné pravidlo o neprihliadaní na zmluvy o spoločnom imaní manželov, dedičské zmluvy a odkazy, ktorých účelom je obchádzanie daňových povinností. Upozorňujeme, že platný § 3 ods. 6 Daňového poriadku už obsahuje všeobecné pravidlo, podľa ktorého sa pri správe daní neprihliada na právne úkony uskutočnené bez riadneho podnikateľského alebo iného dôvodu, ktorých účelom je obchádzanie daňovej povinnosti alebo získanie neoprávneného daňového zvýhodnenia. Navrhované doplnenie preto považujeme za nadbytočné, keďže existujúca úprava sa vzťahuje aj na uvedené právne úkony. Osobitné zdôraznenie vybraných súkromnoprávnych inštitútov môže navyše vyvolávať výkladové nejasnosti o rozsahu uplatňovania všeobecnej zásady zákazu zneužitia práva. Potreba zavedenia osobitného pravidla nevyplýva ani z rekodifikácie Občianskeho zákonníka, preto navrhujeme zachovať súčasnú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5 – § 4a ods. 2 Daňového poriadku, str. 20 - 21</w:t>
              <w:br/>
            </w:r>
            <w:r>
              <w:rPr>
                <w:b w:val="off"/>
                <w:color w:val="000000"/>
                <w:rFonts w:ascii="Times New Roman" w:hAnsi="Times New Roman" w:cs="Times New Roman" w:eastAsia="Times New Roman"/>
                <w:sz w:val="24"/>
              </w:rPr>
              <w:t xml:space="preserve">Žiadame v čl. IV bode 5 vypustiť v navrhovanom § 4a ods. 2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Rozumieme potrebe upraviť postavenie správcu dedičstva na účely správy daní v nadväznosti na novú právnu úpravu dedenia. Nepovažujeme však za odôvodnené, aby sa v rámci tejto úpravy zavádzali ďalšie procesné obmedzenia. Vylúčenie možnosti podať opravný prostriedok proti rozhodnutiu správcu dane o určení správcu dedičstva predstavuje zásah do procesných práv dotknutých osôb. Takéto rozhodnutie pritom zakladá určenej osobe povinnosti voči správcovi dane, s ktorými môže byť spojená aj zodpovednosť za ich nesplnenie. Nevyhnutnosť vylúčenia opravného prostriedku v súvislosti s rekodifikáciou Občianskeho zákonníka nebola dostatočne odôvodnená.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5 – § 4a ods. 1 a 3 Daňového poriadku, str. 20 - 21</w:t>
              <w:br/>
            </w:r>
            <w:r>
              <w:rPr>
                <w:b w:val="off"/>
                <w:color w:val="000000"/>
                <w:rFonts w:ascii="Times New Roman" w:hAnsi="Times New Roman" w:cs="Times New Roman" w:eastAsia="Times New Roman"/>
                <w:sz w:val="24"/>
              </w:rPr>
              <w:t>Žiadame v navrhovanom § 4a ods. 1 nahradiť slová „§ 1851 a 1852“ slovami „§ 1855 a 1856“ a v § 4a ods. 3 nahradiť slová „nie určený“ slovami „nie je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4a ods. 1 obsahuje nesprávny odkaz na ustanovenia Občianskeho zákonníka. Ustanovenia § 1851 a § 1852 upravujú odmietnutie dedičstva, zatiaľ čo ustanovenia § 1855 a § 1856 upravujú ustanovenie správcu dedičstva poručiteľom a súdom. Na tieto ustanovenia správne odkazujú aj ďalšie odseky navrhovaného § 4a. Navrhovanú opravu považujeme za potrebnú na zabezpečenie jednoznačnosti právnej úpravy. Súčasne upozorňujeme na gramatickú chybu v § 4a ods. 3, ktorú žiadame opraviť.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26, 27 – § 342a Civilného sporového poriadku, str. 27</w:t>
              <w:br/>
            </w:r>
            <w:r>
              <w:rPr>
                <w:b w:val="off"/>
                <w:color w:val="000000"/>
                <w:rFonts w:ascii="Times New Roman" w:hAnsi="Times New Roman" w:cs="Times New Roman" w:eastAsia="Times New Roman"/>
                <w:sz w:val="24"/>
              </w:rPr>
              <w:t xml:space="preserve">Žiadame body 26 a 27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nový procesný inštitút, ktorý umožňuje osobe podať vyjadrenie k očakávanému návrhu na nariadenie neodkladného opatrenia ešte pred začatím konania. Ide o samostatnú vecnú zmenu Civilného sporového poriadku, ktorá priamo nevyplýva z rekodifikácie Občianskeho zákonníka a nie je nevyhnutná na zosúladenie právnej úpravy s novým Občianskym zákonníkom. Dôvodová správa pritom sama uvádza, že plnohodnotné zavedenie tohto inštitútu by si vyžadovalo vytvorenie osobitného registra predbežných podaní, a preto predkladateľ pristúpil iba k jeho zjednodušenej úprave. Navrhované znenie však dostatočne nerieši viaceré praktické otázky, najmä určenie príslušného súdu pred podaním návrhu na neodkladné opatrenie, evidenciu preventívnych vyjadrení a zabezpečenie ich zohľadnenia pri rozhodovaní súdu. Považujeme za nevhodné, aby sa legislatívny proces zameraný na zosúladenie právnych predpisov s novým Občianskym zákonníkom využíval na zavádzanie nových procesných inštitútov, ktorých prijatie si vyžaduje samostatné odborné posúdenie. Ak predkladateľ považuje zavedenie preventívneho vyjadrenia za potrebné, žiadame riešiť túto otázku v osobitnom legislatívnom procese, ktorý umožní dôkladne posúdiť jeho praktické fungovanie, vplyv na rozhodovaciu činnosť súdov a vytvorí priestor na vyjadrenie všetkých relevantných dotknutých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bod 14 – § 73l ods. 5 Notárskeho poriadku, str. 60 - 61</w:t>
              <w:br/>
            </w:r>
            <w:r>
              <w:rPr>
                <w:b w:val="off"/>
                <w:color w:val="000000"/>
                <w:rFonts w:ascii="Times New Roman" w:hAnsi="Times New Roman" w:cs="Times New Roman" w:eastAsia="Times New Roman"/>
                <w:sz w:val="24"/>
              </w:rPr>
              <w:t xml:space="preserve">Žiadame v čl. XXI bode 14 upraviť navrhovaný § 73l ods. 5 tak, aby bolo sprístupnenie informácií z Notárskeho centrálneho registra modifikácií spoločného imania manželov podmienené preukázaním oprávneného záujmu osoby, ktorá o ich sprístupnenie žiada.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prostredníctvom webového sídla Notárskej komory Slovenskej republiky sprístupňovať informácie o existencii zápisu v Notárskom centrálnom registri modifikácií spoločného imania manželov vrátane dátumu registrácie a označenia právneho úkonu. Hoci rozumieme potrebe zabezpečiť prístup k týmto informáciám, najmä na účely ochrany práv tretích osôb a právnej istoty v majetkových vzťahoch, nepovažujeme za primerané, aby boli údaje o majetkovom režime manželov dostupné bez potreby preukázania oprávneného záujmu na ich získaní. Navrhovaný spôsob sprístupňovania údajov umožňuje tretím osobám získavať informácie o existencii a druhu právnych úkonov týkajúcich sa majetkového režimu konkrétnych manželov bez ohľadu na účel ich získania. Považujeme za potrebné rozlišovať medzi vedením registra na účely zabezpečenia právnej istoty a ochrany tretích osôb a všeobecným sprístupňovaním informácií o súkromných majetkových pomeroch fyzických osôb. Z uvedeného dôvodu žiadame podmieniť sprístupňovanie týchto informácií preukázaním oprávneného záujmu, čím sa zabezpečí prístup k údajom osobám, ktoré ich potrebujú na ochranu svojich práv alebo právom chránených záujmov, pri zachovaní primeranej ochrany súkromia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bod 14 – § 73m ods. 6 Notárskeho poriadku, str. 60 - 61</w:t>
              <w:br/>
            </w:r>
            <w:r>
              <w:rPr>
                <w:b w:val="off"/>
                <w:color w:val="000000"/>
                <w:rFonts w:ascii="Times New Roman" w:hAnsi="Times New Roman" w:cs="Times New Roman" w:eastAsia="Times New Roman"/>
                <w:sz w:val="24"/>
              </w:rPr>
              <w:t xml:space="preserve">Žiadame v čl. XXI bode 14 upraviť navrhovaný § 73m ods. 6 tak, aby bolo sprístupnenie informácií z Notárskeho centrálneho registra podporných opatrení podmienené preukázaním oprávneného záujmu osoby, ktorá o ich sprístupnenie žiada.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prostredníctvom webového sídla Notárskej komory Slovenskej republiky sprístupňovať informácie o existencii zápisu v Notárskom centrálnom registri podporných opatrení vrátane dátumu registrácie a označenia právneho úkonu. Takto nastavené sprístupňovanie údajov umožňuje tretím osobám zistiť, či konkrétna fyzická osoba uskutočnila predbežné vyhlásenie alebo uzavrela zmluvu o podporovanom rozhodovaní, a to bez potreby preukázania oprávneného záujmu na získaní týchto informácií. Upozorňujeme, že aj samotná informácia o existencii a druhu podporného opatrenia môže vypovedať o osobných pomeroch fyzickej osoby. Hoci navrhované ustanovenie neumožňuje verejne sprístupniť totožnosť osoby určenej za budúceho opatrovníka, nepovažujeme za primerané, aby boli informácie o využívaní týchto právnych inštitútov dostupné bez ohľadu na účel ich získania. Účelom podporných opatrení je posilnenie autonómie a ochrany fyzických osôb pri rozhodovaní o ich záležitostiach. Sprístupňovanie informácií o ich využívaní bez potreby preukázania oprávneného záujmu môže predstavovať neprimeraný zásah do súkromia dotknutých osôb. Z uvedeného dôvodu žiadame podmieniť sprístupňovanie týchto informácií preukázaním oprávneného záujmu, aby bol zabezpečený prístup k údajom osobám, ktoré ich potrebujú na ochranu svojich práv alebo právom chránených záujmov, pri zachovaní primeranej ochrany súkromia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 bod 34 – § 42 ods. 3 katastrálneho zákona, str. 83</w:t>
              <w:br/>
            </w:r>
            <w:r>
              <w:rPr>
                <w:b w:val="off"/>
                <w:color w:val="000000"/>
                <w:rFonts w:ascii="Times New Roman" w:hAnsi="Times New Roman" w:cs="Times New Roman" w:eastAsia="Times New Roman"/>
                <w:sz w:val="24"/>
              </w:rPr>
              <w:t xml:space="preserve">Žiadame v bode 34 vypustiť navrhované § 42 ods. 3 písm. d), o), p) a q) a nadväzujúco upraviť označenie zostávajúcich písmen.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rozširuje okruh prípadov, v ktorých sa vyžaduje úradné osvedčenie podpisov na listinách predkladaných na zápis do katastra nehnuteľností. Takéto rozšírenie predstavuje dodatočnú administratívnu a finančnú záťaž pre dotknuté osoby vrátane podnikateľských subjektov. Dôvodová správa odôvodňuje rozšírenie požiadaviek predovšetkým potrebou zosúladenia s novým Občianskym zákonníkom, neuvádza však konkrétne dôvody zavedenia tejto povinnosti pri jednotlivých právnych úkonoch. Upozorňujeme, že nový Občiansky zákonník pri dohode o urovnaní ani pri zmluve o zriadení záložného práva všeobecnú požiadavku úradného osvedčenia podpisov nezavádza. Navrhované rozšírenie preto nemožno považovať za nevyhnutný dôsledok rekodifikácie súkromného práva. Osobitne problematické je rozšírenie tejto povinnosti pri úkonoch súvisiacich so zriadením a zánikom záložného práva, ktoré sú bežnou súčasťou financovania nehnuteľností. Predkladateľ pritom dostatočne neodôvodnil, prečo existujúce mechanizmy overovania právnych úkonov nepostačujú a aký konkrétny prínos má navrhované sprísnenie priniesť. Navrhujeme preto zachovať súčasný rozsah požiadaviek na úradné osvedčenie podpisov a nezavádzať ďalšie povinnosti bez preukázania ich nevyhnutnosti.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LIII bod 1 – § 13a ods. 11 zákona o nadáciách, str. 117 - 118</w:t>
              <w:br/>
            </w:r>
            <w:r>
              <w:rPr>
                <w:b w:val="off"/>
                <w:color w:val="000000"/>
                <w:rFonts w:ascii="Times New Roman" w:hAnsi="Times New Roman" w:cs="Times New Roman" w:eastAsia="Times New Roman"/>
                <w:sz w:val="24"/>
              </w:rPr>
              <w:t xml:space="preserve">Žiadame v navrhovanom § 13a ods. 11 ustanoviť výnimku, ktorá umožní nadácii založenej pre prípad smrti vykonávať pred zápisom hodnoty nadačného imania úkony nevyhnutné na správu zdedeného majetku a zachovanie jeho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Navrhované ustanovenie obmedzuje činnosť nadácie založenej pre prípad smrti až do zápisu hodnoty nadačného imania a zdedeného vkladu. Rozumieme potrebe zabezpečiť, aby nadácia začala vykonávať svoju činnosť až po splnení zákonom ustanovených podmienok. Plošné obmedzenie však môže v praxi spôsobovať problémy pri správe majetku, ktorý nadácia nadobudne dedením. V prípade nehnuteľností, obchodných podielov alebo iného majetku môže byť potrebné vykonávať úkony nevyhnutné na jeho ochranu, údržbu alebo zachovanie hodnoty. Zápis hodnoty nadačného imania je pritom viazaný na právoplatné skončenie dedičského konania, ktorého dĺžku nadácia nemôže ovplyvniť. Navrhovaná úprava jednoznačne nerieši, ako má byť v tomto období zabezpečená správa zdedeného majetku. Považujeme preto za potrebné umožniť vykonávanie nevyhnutných úkonov smerujúcich k jeho ochrane a zachovaniu hodnoty, a to bez toho, aby nadácia mohla pred splnením zákonných podmienok vykonávať svoju bežnú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LXXVI bod 23 – § 17 ods. 21 zákona o dani z príjmov, str. 142</w:t>
              <w:br/>
            </w:r>
            <w:r>
              <w:rPr>
                <w:b w:val="off"/>
                <w:color w:val="000000"/>
                <w:rFonts w:ascii="Times New Roman" w:hAnsi="Times New Roman" w:cs="Times New Roman" w:eastAsia="Times New Roman"/>
                <w:sz w:val="24"/>
              </w:rPr>
              <w:t>Žiadame vypustiť bod 23 alebo upraviť navrhované znenie § 17 ods. 21 tak, aby nedošlo k rozšíreniu rozsahu nepeňažného príjmu prenajímateľa podliehajúceho zdaneniu oproti súčasnej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Podľa súčasného znenia § 17 ods. 21 zákona o dani z príjmov sa za nepeňažný príjem prenajímateľa považujú výdavky nájomcu na opravy prenajatého hmotného majetku, ktoré sú zahrnuté do daňových výdavkov nájomcu a presahujú jeho povinnosti dohodnuté v nájomnej zmluve. Navrhovaná úprava mení podmienky vzniku nepeňažného príjmu prenajímateľa, keď namiesto rozsahu povinností nájomcu dohodnutých v nájomnej zmluve zavádza kritérium bežných opráv a bežnej údržby podľa § 873 Občianskeho zákonníka. Súčasne vypúšťa podmienku zahrnutia výdavkov do daňových výdavkov nájomcu. V dôsledku navrhovanej zmeny tak môže prenajímateľovi vzniknúť zdaniteľný nepeňažný príjem aj v prípadoch, keď nájomca vykonáva opravy na vlastné náklady v súlade so svojimi zmluvnými povinnosťami. Návrh preto predstavuje vecné rozšírenie rozsahu zdaňovania, ktoré nie je nevyhnutným dôsledkom rekodifikácie Občianskeho zákonníka. Za problematické považujeme aj to, že navrhovaná úprava sa má vzťahovať na výdavky vynaložené od 1. júla 2027 aj na základe nájomných zmlúv uzavretých pred týmto dátumom, čím môže zasiahnuť do existujúcich zmluvných vzťahov. Považujeme za potrebné, aby sa zmeny zákona o dani z príjmov v rámci predloženého návrhu obmedzili na úpravy nevyhnutné na zosúladenie s novým Občianskym zákonníkom a neviedli k rozšíreniu daňovej povinnosti prenajímateľov. Ak predkladateľ považuje zmenu rozsahu zdaňovania za potrebnú, mala by byť predmetom samostatného legislatívneho procesu, v ktorom bude možné riadne posúdiť jej daňové a ekonomické dôsledky.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CLXXIV – § 16 ods. 4 zákona č. 315/2016 Z. z. o registri partnerov verejného sektora, str. 236</w:t>
              <w:br/>
            </w:r>
            <w:r>
              <w:rPr>
                <w:b w:val="off"/>
                <w:color w:val="000000"/>
                <w:rFonts w:ascii="Times New Roman" w:hAnsi="Times New Roman" w:cs="Times New Roman" w:eastAsia="Times New Roman"/>
                <w:sz w:val="24"/>
              </w:rPr>
              <w:t>Žiadame v navrhovanom § 16 ods. 4 výslovne ustanoviť, že primerané použitie ustanovení Občianskeho zákonníka o príkaznej zmluve nemá vplyv na nezávislosť oprávnenej osoby od pokynov partnera verejného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nahrádza doterajší odkaz na zmluvu o kontrolnej činnosti odkazom na príkaznú zmluvu podľa nového Občianskeho zákonníka. Podľa § 1035 ods. 1 Občianskeho zákonníka je príkazník povinný postupovať podľa pokynov príkazcu. Oprávnená osoba však musí podľa § 11 ods. 5 zákona o registri partnerov verejného sektora pri identifikácii a overovaní konečného užívateľa výhod konať nestranne, s odbornou starostlivosťou a nezávisle od pokynov partnera verejného sektora. Hoci osobitná úprava nezávislosti oprávnenej osoby zostáva zachovaná, považujeme za potrebné výslovne spresniť jej vzťah k ustanoveniam o príkaznej zmluve. Cieľom pripomienky je predísť výkladovým nejasnostiam a zabezpečiť, aby zmena zmluvného režimu nemala vplyv na nezávislé postavenie oprávnenej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CLXVI</w:t>
              <w:br/>
            </w:r>
            <w:r>
              <w:rPr>
                <w:b w:val="off"/>
                <w:color w:val="000000"/>
                <w:rFonts w:ascii="Times New Roman" w:hAnsi="Times New Roman" w:cs="Times New Roman" w:eastAsia="Times New Roman"/>
                <w:sz w:val="24"/>
              </w:rPr>
              <w:t>V čl. CLXVI žiadame za bod 13 vložiť nový bod 14,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Za § 187y sa vkladá nový § 187z,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„187z</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verejné obstarávanie podľa tohto zákona začalo pred dňom nadobudnutia účinnosti Občianskeho zákonníka, súkromné práva a povinnosti zo zmluvy, rámcovej dohody alebo koncesnej zmluvy uzavretej na základe tohto postupu vrátane práv a povinností z ich porušenia sa spravujú doterajšími predpismi, ak verejný obstarávateľ alebo obstarávateľ v dokumentoch potrebných na vypracovanie ponuky, návrhu alebo na preukázanie splnenia podmienok účasti neurčí inak. Tým nie je dotknuté právo zmluvných strán dohodnúť sa, že sa ich súkromné práva a povinnosti budú spravovať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Nový Občiansky zákonník bude účinný od 1. júla 2027 a od toho dňa sa záväzkové vzťahy budú spravovať novou úpravou. Ministerstvo dopravy SR je v súčasnosti v procese verejného obstarávania projektu verejno-súkromného partnerstva (PPP) pre komplexnú obnovu mostov na cestách I. triedy, a to formou súťažného dialógu. S ohľadom na náročnosť projektu a komplexnosť postupu súťažného dialógu predpokladáme, že koncesná zmluva k predmetnému PPP projektu do 1. júla 2027 uzavretá nebude, no súťaž bola vyhlásená a koncesná zmluva bola pripravená podľa, okrem iného, súčasného Občianskeho zákonníka a Obchodného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Zmluva uzavretá na základe verejného obstarávania však nemôže byť v rozpore so znením zmluvy, ktorá bola súčasťou súťažných podkladov. Ak teda zákon o verejnom obstarávaní neurčí, ktorá úprava sa na takúto zmluvu má aplikovať, dostaneme sa do situácie, keď koncesnú zmluvu nebude možné bez právneho rizika ani podpísať v súťažnom znení, ani ju prispôsobiť novému Občianskemu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situácia sa však netýka len predmetného PPP projektu, ale všetkých dlhšie trvajúcich obstarávaní, ktoré boli vyhlásené počas účinnosti pôvodného Občianskeho zákonníka a Obchodného zákonníka a budú ukončené počas účinnosti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situácia tak vytvára značnú právnu neistotu verejných obstarávateľov a obstarávateľov v aktuálne prebiehajúcich verejných obstarávaniach, pričom implementačný zákon neobsahuje žiadne prechodné ustanovenia pre zákon č. 343/2015 Z. z. o verejnom obstarávaní a o zmene a doplnení niektorých zákonov v znení neskorších predpisov, ktorý by tieto situácie riešil. V prípade absencie prechodných ustanovení by tak mohla nastať situácia, že zmluva, ktorá bola súčasťou súťažných podkladov by bola v nesúlade s ustanoveniami nového Občianskeho zákonníka, avšak s ohľadom na predpisy o verejnom obstarávaní by nebolo možné ju zmeniť.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uvádzame, že Česká republika mala pri rekodifikácii presne ten istý problém a vyriešila ho v čl. LXXV zákona č. 303/2013 Sb. tak, že zmluvy uzavreté na základe zadávacieho konania začatého pred účinnosťou nového zákonníka sa spravujú doterajšou úpravou, ak zadávateľ neurčí inak, a strany sa zároveň môžu dohodnúť na novej úprave. Náš návrh tak je aplikačnou praxou overený a v praxi fungujúci.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Navrhujeme čl. XXIV vrátane osobitnej časti dôvodovej správy upraviť takto:</w:t>
              <w:br/>
            </w:r>
            <w:r>
              <w:rPr>
                <w:b w:val="off"/>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 xml:space="preserve">Zákon Národnej rady Slovenskej republiky č. 182/1993 Z. z. o vlastníctve bytov a nebytových priestorov v znení zákona Národnej rady Slovenskej republiky č. 151/1995 Z. z., </w:t>
              <w:br/>
            </w:r>
            <w:r>
              <w:rPr>
                <w:b w:val="off"/>
                <w:color w:val="000000"/>
                <w:rFonts w:ascii="Times New Roman" w:hAnsi="Times New Roman" w:cs="Times New Roman" w:eastAsia="Times New Roman"/>
                <w:sz w:val="24"/>
              </w:rPr>
              <w:t xml:space="preserve">zákona č. 158/1998 Z. z., zákona č. 173/1999 Z. z., zákona č. 252/1999 Z. z., </w:t>
              <w:br/>
            </w:r>
            <w:r>
              <w:rPr>
                <w:b w:val="off"/>
                <w:color w:val="000000"/>
                <w:rFonts w:ascii="Times New Roman" w:hAnsi="Times New Roman" w:cs="Times New Roman" w:eastAsia="Times New Roman"/>
                <w:sz w:val="24"/>
              </w:rPr>
              <w:t xml:space="preserve">zákona č. 400/2002 Z. z., zákona č. 512/2003 Z. z., zákona č. 367/2004 Z. z., </w:t>
              <w:br/>
            </w:r>
            <w:r>
              <w:rPr>
                <w:b w:val="off"/>
                <w:color w:val="000000"/>
                <w:rFonts w:ascii="Times New Roman" w:hAnsi="Times New Roman" w:cs="Times New Roman" w:eastAsia="Times New Roman"/>
                <w:sz w:val="24"/>
              </w:rPr>
              <w:t xml:space="preserve">zákona č. 469/2005 Z. z., zákona č. 268/2007 Z. z., zákona č. 325/2007 Z. z., </w:t>
              <w:br/>
            </w:r>
            <w:r>
              <w:rPr>
                <w:b w:val="off"/>
                <w:color w:val="000000"/>
                <w:rFonts w:ascii="Times New Roman" w:hAnsi="Times New Roman" w:cs="Times New Roman" w:eastAsia="Times New Roman"/>
                <w:sz w:val="24"/>
              </w:rPr>
              <w:t xml:space="preserve">zákona č. 595/2009 Z. z., zákona č. 70/2010 Z. z., zákona č. 69/2012 Z. z., </w:t>
              <w:br/>
            </w:r>
            <w:r>
              <w:rPr>
                <w:b w:val="off"/>
                <w:color w:val="000000"/>
                <w:rFonts w:ascii="Times New Roman" w:hAnsi="Times New Roman" w:cs="Times New Roman" w:eastAsia="Times New Roman"/>
                <w:sz w:val="24"/>
              </w:rPr>
              <w:t xml:space="preserve">zákona č. 205/2014 Z. z., zákona č. 246/2015 Z. z., zákona č. 125/2016 Z. z., </w:t>
              <w:br/>
            </w:r>
            <w:r>
              <w:rPr>
                <w:b w:val="off"/>
                <w:color w:val="000000"/>
                <w:rFonts w:ascii="Times New Roman" w:hAnsi="Times New Roman" w:cs="Times New Roman" w:eastAsia="Times New Roman"/>
                <w:sz w:val="24"/>
              </w:rPr>
              <w:t xml:space="preserve">zákona č. 177/2018 Z. z., zákona č. 283/2018 Z. z., zákona č. 63/2019 Z. z., </w:t>
              <w:br/>
            </w:r>
            <w:r>
              <w:rPr>
                <w:b w:val="off"/>
                <w:color w:val="000000"/>
                <w:rFonts w:ascii="Times New Roman" w:hAnsi="Times New Roman" w:cs="Times New Roman" w:eastAsia="Times New Roman"/>
                <w:sz w:val="24"/>
              </w:rPr>
              <w:t xml:space="preserve">zákona č. 230/2019 Z. z., zákona č. 476/2019 Z. z., zákona č. 205/2023 Z. z., </w:t>
              <w:br/>
            </w:r>
            <w:r>
              <w:rPr>
                <w:b w:val="off"/>
                <w:color w:val="000000"/>
                <w:rFonts w:ascii="Times New Roman" w:hAnsi="Times New Roman" w:cs="Times New Roman" w:eastAsia="Times New Roman"/>
                <w:sz w:val="24"/>
              </w:rPr>
              <w:t>zákona č. 325/2024 Z. z. a zákona č. 26/2025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 a 2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 xml:space="preserve">„(1) Tento zákon upravuje </w:t>
              <w:br/>
            </w:r>
            <w:r>
              <w:rPr>
                <w:b w:val="off"/>
                <w:color w:val="000000"/>
                <w:rFonts w:ascii="Times New Roman" w:hAnsi="Times New Roman" w:cs="Times New Roman" w:eastAsia="Times New Roman"/>
                <w:sz w:val="24"/>
              </w:rPr>
              <w:t>a)	správu domu,1) jeho spoločných častí, príslušenstva1a) a priľahlého pozemku,1b)</w:t>
              <w:br/>
            </w:r>
            <w:r>
              <w:rPr>
                <w:b w:val="off"/>
                <w:color w:val="000000"/>
                <w:rFonts w:ascii="Times New Roman" w:hAnsi="Times New Roman" w:cs="Times New Roman" w:eastAsia="Times New Roman"/>
                <w:sz w:val="24"/>
              </w:rPr>
              <w:t xml:space="preserve">b)	práva a povinnosti osoby zodpovednej za správu, </w:t>
              <w:br/>
            </w:r>
            <w:r>
              <w:rPr>
                <w:b w:val="off"/>
                <w:color w:val="000000"/>
                <w:rFonts w:ascii="Times New Roman" w:hAnsi="Times New Roman" w:cs="Times New Roman" w:eastAsia="Times New Roman"/>
                <w:sz w:val="24"/>
              </w:rPr>
              <w:t xml:space="preserve">c)	práva a povinnosti vlastníkov bytov a nebytových priestorov, </w:t>
              <w:br/>
            </w:r>
            <w:r>
              <w:rPr>
                <w:b w:val="off"/>
                <w:color w:val="000000"/>
                <w:rFonts w:ascii="Times New Roman" w:hAnsi="Times New Roman" w:cs="Times New Roman" w:eastAsia="Times New Roman"/>
                <w:sz w:val="24"/>
              </w:rPr>
              <w:t>d)	podmienky nadobudnutia vlastníctva bytov a nebytových priestorov, spoločných 	častí domu a jeho príslušenstva formou vstavby, nadstavby alebo prístavby.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Tento zákon sa nevzťahuje na </w:t>
              <w:br/>
            </w:r>
            <w:r>
              <w:rPr>
                <w:b w:val="off"/>
                <w:color w:val="000000"/>
                <w:rFonts w:ascii="Times New Roman" w:hAnsi="Times New Roman" w:cs="Times New Roman" w:eastAsia="Times New Roman"/>
                <w:sz w:val="24"/>
              </w:rPr>
              <w:t>a)	domy, ktoré majú len jeden byt alebo len jeden nebytový priestor,</w:t>
              <w:br/>
            </w:r>
            <w:r>
              <w:rPr>
                <w:b w:val="off"/>
                <w:color w:val="000000"/>
                <w:rFonts w:ascii="Times New Roman" w:hAnsi="Times New Roman" w:cs="Times New Roman" w:eastAsia="Times New Roman"/>
                <w:sz w:val="24"/>
              </w:rPr>
              <w:t>b)	nebytové domy podľa osobitného predpisu.1c)“.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w:t>
              <w:br/>
            </w:r>
            <w:r>
              <w:rPr>
                <w:b w:val="off"/>
                <w:color w:val="000000"/>
                <w:rFonts w:ascii="Times New Roman" w:hAnsi="Times New Roman" w:cs="Times New Roman" w:eastAsia="Times New Roman"/>
                <w:sz w:val="24"/>
              </w:rPr>
              <w:t xml:space="preserve">„Na účely tohto zákona sa rozumie </w:t>
              <w:br/>
            </w:r>
            <w:r>
              <w:rPr>
                <w:b w:val="off"/>
                <w:color w:val="000000"/>
                <w:rFonts w:ascii="Times New Roman" w:hAnsi="Times New Roman" w:cs="Times New Roman" w:eastAsia="Times New Roman"/>
                <w:sz w:val="24"/>
              </w:rPr>
              <w:t xml:space="preserve">a)	bytovým domom budova, v ktorej </w:t>
              <w:br/>
            </w:r>
            <w:r>
              <w:rPr>
                <w:b w:val="off"/>
                <w:color w:val="000000"/>
                <w:rFonts w:ascii="Times New Roman" w:hAnsi="Times New Roman" w:cs="Times New Roman" w:eastAsia="Times New Roman"/>
                <w:sz w:val="24"/>
              </w:rPr>
              <w:t xml:space="preserve">1.	je viac ako polovica podlahovej plochy určená na bývanie, </w:t>
              <w:br/>
            </w:r>
            <w:r>
              <w:rPr>
                <w:b w:val="off"/>
                <w:color w:val="000000"/>
                <w:rFonts w:ascii="Times New Roman" w:hAnsi="Times New Roman" w:cs="Times New Roman" w:eastAsia="Times New Roman"/>
                <w:sz w:val="24"/>
              </w:rPr>
              <w:t xml:space="preserve">2.	sú byty alebo nebytové priestory vo vlastníctve alebo spoluvlastníctve jednotlivých vlastníkov a </w:t>
              <w:br/>
            </w:r>
            <w:r>
              <w:rPr>
                <w:b w:val="off"/>
                <w:color w:val="000000"/>
                <w:rFonts w:ascii="Times New Roman" w:hAnsi="Times New Roman" w:cs="Times New Roman" w:eastAsia="Times New Roman"/>
                <w:sz w:val="24"/>
              </w:rPr>
              <w:t xml:space="preserve">3.	sú spoločné časti súčasne v pridruženom spoluvlastníctve týchto vlastníkov bytov a nebytových priestorov, </w:t>
              <w:br/>
            </w:r>
            <w:r>
              <w:rPr>
                <w:b w:val="off"/>
                <w:color w:val="000000"/>
                <w:rFonts w:ascii="Times New Roman" w:hAnsi="Times New Roman" w:cs="Times New Roman" w:eastAsia="Times New Roman"/>
                <w:sz w:val="24"/>
              </w:rPr>
              <w:t xml:space="preserve">b)	nebytovým domom budova, v ktorej </w:t>
              <w:br/>
            </w:r>
            <w:r>
              <w:rPr>
                <w:b w:val="off"/>
                <w:color w:val="000000"/>
                <w:rFonts w:ascii="Times New Roman" w:hAnsi="Times New Roman" w:cs="Times New Roman" w:eastAsia="Times New Roman"/>
                <w:sz w:val="24"/>
              </w:rPr>
              <w:t xml:space="preserve">1.	je menej ako polovica podlahovej plochy určená na bývanie, </w:t>
              <w:br/>
            </w:r>
            <w:r>
              <w:rPr>
                <w:b w:val="off"/>
                <w:color w:val="000000"/>
                <w:rFonts w:ascii="Times New Roman" w:hAnsi="Times New Roman" w:cs="Times New Roman" w:eastAsia="Times New Roman"/>
                <w:sz w:val="24"/>
              </w:rPr>
              <w:t xml:space="preserve">2.	sú byty alebo nebytové priestory vo vlastníctve alebo spoluvlastníctve jednotlivých vlastníkov a </w:t>
              <w:br/>
            </w:r>
            <w:r>
              <w:rPr>
                <w:b w:val="off"/>
                <w:color w:val="000000"/>
                <w:rFonts w:ascii="Times New Roman" w:hAnsi="Times New Roman" w:cs="Times New Roman" w:eastAsia="Times New Roman"/>
                <w:sz w:val="24"/>
              </w:rPr>
              <w:t xml:space="preserve">3.	sú spoločné časti súčasne v pridruženom spoluvlastníctve týchto vlastníkov bytov a nebytových priestorov, </w:t>
              <w:br/>
            </w:r>
            <w:r>
              <w:rPr>
                <w:b w:val="off"/>
                <w:color w:val="000000"/>
                <w:rFonts w:ascii="Times New Roman" w:hAnsi="Times New Roman" w:cs="Times New Roman" w:eastAsia="Times New Roman"/>
                <w:sz w:val="24"/>
              </w:rPr>
              <w:t>c)	domom bytový dom alebo nebytový dom,</w:t>
              <w:br/>
            </w:r>
            <w:r>
              <w:rPr>
                <w:b w:val="off"/>
                <w:color w:val="000000"/>
                <w:rFonts w:ascii="Times New Roman" w:hAnsi="Times New Roman" w:cs="Times New Roman" w:eastAsia="Times New Roman"/>
                <w:sz w:val="24"/>
              </w:rPr>
              <w:t xml:space="preserve">d)	spoločnou časťou domu časť domu nevyhnutná na jeho podstatu, prevádzku a bezpečnosť, najmä základy domu, strecha, chodba, obvodové múry, priečelie, vchody, schodištia, terasa, podkrovie, povala, vodorovné nosné a izolačné konštrukcie, zvislé nosné konštrukcie, ako aj miestnosť domu, ktorá je určená na spoločné užívanie a umiestnenie technologických zariadení, najmä práčovne, kotolne, sušiarne alebo kočikárne; ako aj technologické zariadenie, ktoré je určené na spoločné užívanie a slúži výlučne tomuto domu alebo viacerým domom, a to aj keď je umiestnené mimo domu, najmä výťah, zariadenie na výrobu tepla a teplej úžitkovej vody, vzduchotechnika, spoločné elektrické a telekomunikačné rozvody, bleskozvod, komín, vodovodná prípojka, teplonosná prípojka, kanalizačná prípojka, elektrická prípojka, plynová prípojka a telekomunikačná prípojka; ustanovenia osobitného predpisu2) tým nie sú dotknuté,  </w:t>
              <w:br/>
            </w:r>
            <w:r>
              <w:rPr>
                <w:b w:val="off"/>
                <w:color w:val="000000"/>
                <w:rFonts w:ascii="Times New Roman" w:hAnsi="Times New Roman" w:cs="Times New Roman" w:eastAsia="Times New Roman"/>
                <w:sz w:val="24"/>
              </w:rPr>
              <w:t xml:space="preserve">e)	prevádzkou činnosti a prostriedky potrebné na pravidelné udržiavanie spoločných častí domu, príslušenstva domu a priľahlého pozemku v stave spôsobilom na ich riadne užívanie; za prevádzku sa považujú aj povinné revízie technických zariadení podľa osobitného predpisu,5a) </w:t>
              <w:br/>
            </w:r>
            <w:r>
              <w:rPr>
                <w:b w:val="off"/>
                <w:color w:val="000000"/>
                <w:rFonts w:ascii="Times New Roman" w:hAnsi="Times New Roman" w:cs="Times New Roman" w:eastAsia="Times New Roman"/>
                <w:sz w:val="24"/>
              </w:rPr>
              <w:t xml:space="preserve">f)	údržbou činnosti, ktoré sú potrebné na zachovanie pôvodného štandardu a kvality spoločných častí domu a príslušenstva domu, ako aj odstránenie nedostatkov zistených servisnou kontrolou, </w:t>
              <w:br/>
            </w:r>
            <w:r>
              <w:rPr>
                <w:b w:val="off"/>
                <w:color w:val="000000"/>
                <w:rFonts w:ascii="Times New Roman" w:hAnsi="Times New Roman" w:cs="Times New Roman" w:eastAsia="Times New Roman"/>
                <w:sz w:val="24"/>
              </w:rPr>
              <w:t xml:space="preserve">g)	opravou odstránenie čiastočného fyzického opotrebovania alebo poškodenia spoločných častí domu a príslušenstva domu z dôvodu ich uvedenia do predchádzajúceho stavu alebo prevádzkyschopného stavu, </w:t>
              <w:br/>
            </w:r>
            <w:r>
              <w:rPr>
                <w:b w:val="off"/>
                <w:color w:val="000000"/>
                <w:rFonts w:ascii="Times New Roman" w:hAnsi="Times New Roman" w:cs="Times New Roman" w:eastAsia="Times New Roman"/>
                <w:sz w:val="24"/>
              </w:rPr>
              <w:t xml:space="preserve">h)	rekonštrukciou zásahy do spoločných častí domu a príslušenstva domu, ktoré znamenajú zmenu v ich kvalite alebo technických parametroch, </w:t>
              <w:br/>
            </w:r>
            <w:r>
              <w:rPr>
                <w:b w:val="off"/>
                <w:color w:val="000000"/>
                <w:rFonts w:ascii="Times New Roman" w:hAnsi="Times New Roman" w:cs="Times New Roman" w:eastAsia="Times New Roman"/>
                <w:sz w:val="24"/>
              </w:rPr>
              <w:t xml:space="preserve">i)	modernizáciou obnova, zlepšenie alebo rozšírenie vybavenosti a použiteľnosti spoločných častí domu a príslušenstva domu, </w:t>
              <w:br/>
            </w:r>
            <w:r>
              <w:rPr>
                <w:b w:val="off"/>
                <w:color w:val="000000"/>
                <w:rFonts w:ascii="Times New Roman" w:hAnsi="Times New Roman" w:cs="Times New Roman" w:eastAsia="Times New Roman"/>
                <w:sz w:val="24"/>
              </w:rPr>
              <w:t>j)	pravidlami pre výkon správy domu práva a povinnosti týkajúce sa výkonu správy, dohodnuté v zmluve o výkone správy alebo v zmluve o spoločenstve, prípadne v stanovách, ak sú v spoločenstve prijaté,5b)</w:t>
              <w:br/>
            </w:r>
            <w:r>
              <w:rPr>
                <w:b w:val="off"/>
                <w:color w:val="000000"/>
                <w:rFonts w:ascii="Times New Roman" w:hAnsi="Times New Roman" w:cs="Times New Roman" w:eastAsia="Times New Roman"/>
                <w:sz w:val="24"/>
              </w:rPr>
              <w:t>k)	pravidlami pre užívanie spoločných častí domu, príslušenstva domu a priľahlého pozemku súbor základných pravidiel, zásad, prípadne iných rozhodnutí prijatých vlastníkmi bytov a nebytových priestorov, spojených s užívaním spoločných častí domu, príslušenstva domu a priľahlého pozemku, a s dodržiavaním dobrých mravov nevyhnutných pre spoločenské spolunažívanie,5c), napríklad domový poriadok,</w:t>
              <w:br/>
            </w:r>
            <w:r>
              <w:rPr>
                <w:b w:val="off"/>
                <w:color w:val="000000"/>
                <w:rFonts w:ascii="Times New Roman" w:hAnsi="Times New Roman" w:cs="Times New Roman" w:eastAsia="Times New Roman"/>
                <w:sz w:val="24"/>
              </w:rPr>
              <w:t>l)	osobou zodpovednou za správu domu spoločenstvo vlastníkov bytov a nebytových priestorov (ďalej aj „spoločenstvo“), správca bytov a nebytových priestorov (ďalej aj „správca“) alebo vlastník, v ktorého výlučnom vlastníctve sú všetky byty alebo všetky nebytové priestory v dome.5d)“.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 až 2 a 5 až 5d znejú:</w:t>
              <w:br/>
            </w:r>
            <w:r>
              <w:rPr>
                <w:b w:val="off"/>
                <w:color w:val="000000"/>
                <w:rFonts w:ascii="Times New Roman" w:hAnsi="Times New Roman" w:cs="Times New Roman" w:eastAsia="Times New Roman"/>
                <w:sz w:val="24"/>
              </w:rPr>
              <w:t xml:space="preserve"> „1)	§ 1678 ods. 1 Občianskeho zákonníka.  </w:t>
              <w:br/>
            </w:r>
            <w:r>
              <w:rPr>
                <w:b w:val="off"/>
                <w:color w:val="000000"/>
                <w:rFonts w:ascii="Times New Roman" w:hAnsi="Times New Roman" w:cs="Times New Roman" w:eastAsia="Times New Roman"/>
                <w:sz w:val="24"/>
              </w:rPr>
              <w:t xml:space="preserve">1a) 	§ 1684 ods. 2 Občianskeho zákonníka. </w:t>
              <w:br/>
            </w:r>
            <w:r>
              <w:rPr>
                <w:b w:val="off"/>
                <w:color w:val="000000"/>
                <w:rFonts w:ascii="Times New Roman" w:hAnsi="Times New Roman" w:cs="Times New Roman" w:eastAsia="Times New Roman"/>
                <w:sz w:val="24"/>
              </w:rPr>
              <w:t>1b) 	§ 1683 Občianskeho zákonníka.</w:t>
              <w:br/>
            </w:r>
            <w:r>
              <w:rPr>
                <w:b w:val="off"/>
                <w:color w:val="000000"/>
                <w:rFonts w:ascii="Times New Roman" w:hAnsi="Times New Roman" w:cs="Times New Roman" w:eastAsia="Times New Roman"/>
                <w:sz w:val="24"/>
              </w:rPr>
              <w:t>1c) 	Zákon Národnej rady Slovenskej republiky č. 278/1993 Z. z. o správe majetku štátu v znení neskorších predpisov.</w:t>
              <w:br/>
            </w:r>
            <w:r>
              <w:rPr>
                <w:b w:val="off"/>
                <w:color w:val="000000"/>
                <w:rFonts w:ascii="Times New Roman" w:hAnsi="Times New Roman" w:cs="Times New Roman" w:eastAsia="Times New Roman"/>
                <w:sz w:val="24"/>
              </w:rPr>
              <w:t>2) 	§ 1684 ods. 1 a 3 Občianskeho zákonníka.</w:t>
              <w:br/>
            </w:r>
            <w:r>
              <w:rPr>
                <w:b w:val="off"/>
                <w:color w:val="000000"/>
                <w:rFonts w:ascii="Times New Roman" w:hAnsi="Times New Roman" w:cs="Times New Roman" w:eastAsia="Times New Roman"/>
                <w:sz w:val="24"/>
              </w:rPr>
              <w:t>5a)	Napríklad zákon č. 314/2001 Z. z. o ochrane pred požiarmi v znení neskorších predpisov, zákon č. 124/2006 Z. z. o bezpečnosti a ochrane zdravia pri práci a o zmene a doplnení niektorých zákonov v znení neskorších predpisov, zákon č. 355/2007 Z. z. o ochrane, podpore a rozvoji verejného zdravia a o zmene a doplnení niektorých zákonov v znení neskorších predpisov, zákon č. 56/2018 Z. z. o posudzovaní zhody výrobku, sprístupňovaní určeného výrobku na trhu a o zmene a doplnení niektorých zákonov v znení neskorších predpisov.</w:t>
              <w:br/>
            </w:r>
            <w:r>
              <w:rPr>
                <w:b w:val="off"/>
                <w:color w:val="000000"/>
                <w:rFonts w:ascii="Times New Roman" w:hAnsi="Times New Roman" w:cs="Times New Roman" w:eastAsia="Times New Roman"/>
                <w:sz w:val="24"/>
              </w:rPr>
              <w:t>5b) 	§ 1699 ods. 2 písm. a) a § 1707 ods. 1 a 2 Občianskeho zákonníka.</w:t>
              <w:br/>
            </w:r>
            <w:r>
              <w:rPr>
                <w:b w:val="off"/>
                <w:color w:val="000000"/>
                <w:rFonts w:ascii="Times New Roman" w:hAnsi="Times New Roman" w:cs="Times New Roman" w:eastAsia="Times New Roman"/>
                <w:sz w:val="24"/>
              </w:rPr>
              <w:t>5c) 	§ 1699 ods. 2 písm. b) a § 1707 ods. 1 a 2 Občianskeho zákonníka.</w:t>
              <w:br/>
            </w:r>
            <w:r>
              <w:rPr>
                <w:b w:val="off"/>
                <w:color w:val="000000"/>
                <w:rFonts w:ascii="Times New Roman" w:hAnsi="Times New Roman" w:cs="Times New Roman" w:eastAsia="Times New Roman"/>
                <w:sz w:val="24"/>
              </w:rPr>
              <w:t>5d) 	§ 1699 ods. 2 písm. c.) a § 1705 ods. 3 a 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 sa vypúšťa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4 vrátane nadpisu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Nadpis druhej časti znie: „VÝKON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5 vrátane nadpisu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 8 a 9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6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Vlastníci bytov a nebytových priestorov v dome sú povinní zabezpečiť správu domu spoločenstvom alebo správcom. Povinnosť správy domu vzniká dňom nadobudnutia vlastníckeho práva k bytom a nebytovým priestorom podľa osobitného predpisu.10aa)“. Povinnosť správy domu podľa prvej vety sa nevzťahuje na domy, v ktorých sú najviac tri byty alebo najviac tri nebytové priestory, alebo najviac spoločne tri byty a nebytové priestory.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10aa znie:</w:t>
              <w:br/>
            </w:r>
            <w:r>
              <w:rPr>
                <w:b w:val="off"/>
                <w:color w:val="000000"/>
                <w:rFonts w:ascii="Times New Roman" w:hAnsi="Times New Roman" w:cs="Times New Roman" w:eastAsia="Times New Roman"/>
                <w:sz w:val="24"/>
              </w:rPr>
              <w:t>„10aa) § 1695 a 1696 až 1698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6 sa za odsek 1 vkladá nový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je výlučným vlastníkom všetkých bytov a všetkých nebytových priestorov v dome jeden vlastník, je oprávnený realizovať výkon správy domu vo vlastnom mene; pri výkone správy domu sa na takéhoto vlastníka neuplatňujú povinnosti podľa odseku 1 a osobitného predpisu.12ca) Povinnosť zabezpečiť výkon správy domu podľa odseku 1 vzniká dňom, ak aspoň k jednému bytu alebo jednému nebytovému priestoru v dome nadobudne vlastnícke právo iný ako pôvodný vlastník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 3 sa označujú ako odseky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6 ods. 3 sa slová „správca alebo spoločenstvo zabezpečuje pre vlastníkov bytov a nebytových priestorov“ nahrádzajú slovami „osoba zodpovedná za správu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6 ods. 3 písm. a), § 9 ods. 5 písm. e) a § 10 ods. 1 písm. b) a ods. 2 sa vypúšťajú slová „spoločných zariadení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6 ods. 3 písm. e) sa za slovo „domu“ vkladajú slová „a priľahlého pozemku“ a za slovo „dome“ sa pripájajú slová „alebo vo viacerých domoch“.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 6 sa dopĺňa odsekom 5, ktorý znie:</w:t>
              <w:br/>
            </w:r>
            <w:r>
              <w:rPr>
                <w:b w:val="off"/>
                <w:color w:val="000000"/>
                <w:rFonts w:ascii="Times New Roman" w:hAnsi="Times New Roman" w:cs="Times New Roman" w:eastAsia="Times New Roman"/>
                <w:sz w:val="24"/>
              </w:rPr>
              <w:t>„(5)	Odsek 4 sa neuplatní v prípade uzatvorenia zmluvy o výkone správy ku dňu zrušenia spoločenstva a jeho vstupe do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7 ods. 1 sa vypúšťajú sa slová „a spoločné zariadenia domu“ a slovo „obvodným“ sa nahrádza slovom „okresným“.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 7 ods. 6 sa slová „príslušnej krajskej správe“ nahrádza slovami „príslušnému krajskému pracovisku“.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 7a sa vypúšťa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 4 sa označujú ako odseky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7a ods. 2 písm. c) a § 8a ods. 1 písm. b) sa vypúšťajú slová „spoločných zariadení domu,“ a za slovo „a“ sa vkladá slovo „priľahlého“.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7b ods. 1 sa slová „s úhradami“ nahrádzajú slovami „so zálohami“, slovo „úhrad“ sa nahrádza slovom „záloh“, slová „úhrady za plnenia“ sa nahrádzajú slovami „zálohy na plnenia“, slovo „príspevkov“ sa nahrádza slovom „platieb“, za slová „v mene vlastníkov bytov“ sa vkladajú slová „a nebytových priestorov“ a vypúšťajú sa slová „a zariadenia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7b ods. 2 sa slová „úhrad za“ nahrádza slovami „záloh na“ a vypúšťajú sa slová „a spoločných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 7b ods. 3 sa slová „spoločných zariadení“ nahrádza slovom „príslušenstve“ a vypúšťa sa čiarka za slovom ,,opráv“ a slová „úhrad za plnenia rozúčtované na jednotlivé byty a nebytové priestory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V § 7b sa vypúšťajú odseky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V § 7c ods. 2 písm. c) a g) a § 8a ods. 1 písm. d) a ods. 4 sa slová „úhrad za“ nahrádzajú slovami „záloh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 § 7c ods. 2 písm. d) sa slovo „správu“ nahrádza slovami „výkon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V § 7c ods. 2 písm. f) sa slovo „príspevkov“ nahrádza slovom „platieb“.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7c ods. 2 písm. h) a § 8b ods. 1 písm. i) sa slová „exekučné konanie“ nahrádza slovami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7c ods. 2 písm. i) sa vypúšťajú slová „podľa § 15“ a nad slovo ,,pohľadávok“ sa umiestňuje odkaz 12ad.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Poznámka pod čiarou k odkazu 12ad znie:</w:t>
              <w:br/>
            </w:r>
            <w:r>
              <w:rPr>
                <w:b w:val="off"/>
                <w:color w:val="000000"/>
                <w:rFonts w:ascii="Times New Roman" w:hAnsi="Times New Roman" w:cs="Times New Roman" w:eastAsia="Times New Roman"/>
                <w:sz w:val="24"/>
              </w:rPr>
              <w:t xml:space="preserve"> „12ad) § 1723 ods. 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 § 7d ods. 3 sa slová „Zhromaždenie môže“ nahrádzajú slovami „Vlastníci bytov a nebytových priestorov môžu“ a slová „úhrad za“ sa nahrádzajú slovami „záloh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7d ods. 5 a § 10 ods. 3 sa slová „úhrady za“ nahrádzajú slovami „zálohy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7d ods. 6 sa slovo „Obchodného“ nahrádza slovom „Občianskeho“ a odkaz „12c)“ sa nahrádza odkazom „12ba)“.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12ba znie:</w:t>
              <w:br/>
            </w:r>
            <w:r>
              <w:rPr>
                <w:b w:val="off"/>
                <w:color w:val="000000"/>
                <w:rFonts w:ascii="Times New Roman" w:hAnsi="Times New Roman" w:cs="Times New Roman" w:eastAsia="Times New Roman"/>
                <w:sz w:val="24"/>
              </w:rPr>
              <w:t>„12ba) § 254 a 255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 8 ods. 3 sa slová „z úhrad za“ nahrádzajú slovami „zo záloh na“ a slovo „prostriedky“ sa nahrádzajú slovami „platieb do“.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	V § 8a ods. 2 sa slová „spoločných zariadení domu“ nahrádzajú slovami „príslušenstve domu“ a  vypúšťa sa čiarka za slovom ,,opráv“ a slová „úhrad za plnenia rozúčtované na jednotlivé byty a nebytové priestory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 8a sa vypúšťa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odseky 8 až 11 sa označujú ako odseky 7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V § 8a ods. 9 písm. b) sa číslo „8“ nahrádza číslom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 8a ods. 9 písm. c) sa slová „písm. k)“ nahrádzajú slovami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V § 8a ods. 10 sa slová „9 a 10“ nahrádzajú slovami „8 a 9“ a vypúšťajú sa slová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V § 8b ods. 1 písm. e) sa slová „úhrady za“ nahrádzajú slovami „zálohy na“ a slovo „preddavok“ sa nahrádza slovom „platieb“.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V § 8b ods. 1 písm. g) a § 14b ods. 1 písm. k) sa vypúšťajú slová „a spoločných zariadení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	V § 8b ods. 1 písm. h) sa slová „§ 15“ nahrádzajú slovami „osobitného predpisu,12aaac)“.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12aaac znie:</w:t>
              <w:br/>
            </w:r>
            <w:r>
              <w:rPr>
                <w:b w:val="off"/>
                <w:color w:val="000000"/>
                <w:rFonts w:ascii="Times New Roman" w:hAnsi="Times New Roman" w:cs="Times New Roman" w:eastAsia="Times New Roman"/>
                <w:sz w:val="24"/>
              </w:rPr>
              <w:t>„12aaac) § 1723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V § 9 odseky 1 až 4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Správca a spoločenstvo zodpovedajú za záväzky vzniknuté pri výkone správy domu až do výšky splatených záloh na plnenia alebo do výšky zostatku fondu prevádzky, údržby a opráv v príslušnom dome. V prípade, ak záväzky týkajúce sa správy domu nie sú uhradené zo záloh na plnenia alebo z prostriedkov fondu prevádzky, údržby a opráv príslušného domu, zodpovedá každý vlastník bytu a nebytového priestoru v dome za tieto záväzky svojim vlastným majetkom v rozsahu svojho spoluvlastníckeho podielu na spoločných častiach domu. Ak tieto záväzky nie sú kryté zaplatenými zálohami na plnenia alebo platbami do fondu prevádzky, údržby a opráv, vlastník bytu a nebytového priestoru v dome zodpovedá za záväzky nad rámec zaplatených záloh na plnenia alebo platieb do fondu prevádzky, údržby a opráv v rozsahu svojho spoluvlastníckeho podielu.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Osoba zodpovedná za správu je oprávnená na účely výkonu správy domu spracúvať osobné údaje vlastníkov bytov a nebytových priestorov v dome, alebo ich užívateľov, v rozsahu podľa osobitného predpisu.12ea)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Správca alebo spoločenstvo je oprávnené na účel ochrany majetku vlastníkov bytov a nebytových priestorov v dome zverejňovať zoznam vlastníkov bytov a nebytových priestorov v dome, ktorí majú úhrnnú výšku nedoplatkov na platbách do fondu prevádzky, údržby a opráv domu a na zálohách na plnenie aspoň vo výške trojnásobku ich aktuálneho mesačného určenia. V zozname sa uvedie meno a priezvisko vlastníka bytu alebo nebytového priestoru v dome a suma nedoplatku na platbách do fondu prevádzky, údržby a opráv domu alebo na zálohách na plnenie. Zoznam sa zverejňuje na mieste obvyklom na oznamovanie informácií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Osoba zodpovedná za správu domu je povinná zabezpečiť odstránenie chyby alebo poruchy technického zariadenia, ktoré boli zistené kontrolou stavu bezpečnosti technického zariadenia,5a) ak bezprostredne ohrozujú život, zdravie alebo majetok, a to aj bez súhlasu vlastníkov bytov a nebytových priestorov v dome. Osoba zodpovedná za správu domu je povinná zabezpečiť aj bez súhlasu vlastníkov bytov a nebytových priestorov v dome odstránenie chyby, poruchy alebo poškodenia spoločných častí domu a príslušenstva, ak bezprostredne ohrozujú život, zdravie alebo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12ea znie:</w:t>
              <w:br/>
            </w:r>
            <w:r>
              <w:rPr>
                <w:b w:val="off"/>
                <w:color w:val="000000"/>
                <w:rFonts w:ascii="Times New Roman" w:hAnsi="Times New Roman" w:cs="Times New Roman" w:eastAsia="Times New Roman"/>
                <w:sz w:val="24"/>
              </w:rPr>
              <w:t>„12ea)	§ 1712 a 1713 Občianskeho zákonníka a zákon č. 18/2018 Z. z. o ochrane osobných údajov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38.	V § 9 sa odsek 5 dopĺňa písmenami f) a g),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zverejniť pravidlá pre výkon správy domu a pravidlá pre užívanie spoločných častí domu a priľahlého pozemku na mieste obvyklom na oznamovanie informácií v dome,</w:t>
              <w:br/>
            </w:r>
            <w:r>
              <w:rPr>
                <w:b w:val="off"/>
                <w:color w:val="000000"/>
                <w:rFonts w:ascii="Times New Roman" w:hAnsi="Times New Roman" w:cs="Times New Roman" w:eastAsia="Times New Roman"/>
                <w:sz w:val="24"/>
              </w:rPr>
              <w:t>g)	plniť oznamovaciu povinnosť.12g)“.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12g znie:</w:t>
              <w:br/>
            </w:r>
            <w:r>
              <w:rPr>
                <w:b w:val="off"/>
                <w:color w:val="000000"/>
                <w:rFonts w:ascii="Times New Roman" w:hAnsi="Times New Roman" w:cs="Times New Roman" w:eastAsia="Times New Roman"/>
                <w:sz w:val="24"/>
              </w:rPr>
              <w:t>„12g)	§ 1714 ods. 1 a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V § 9 odsek 6 sa na konci pripája táto veta: „Povinnosť podľa druhej vety sa primerane vzťahuje aj na vlastníka, v ktorého výlučnom vlastníctve sú všetky byty alebo všetky nebytové priestory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40.	V § 9 sa vypúšťa odsek 7 a doterajší odsek 8 sa označuje ako odsek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V § 10 sa vypúšťajú odseky 1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až 6 sa označujú ako odseky 1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V § 10 ods. 1 písm. a) sa slovo „preddavky“ nahrádza slovom „platby“.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V § 10 ods. 1 písm. d) sa slová „tohto zákona,“ nahrádzajú slovami „osobitného predpisu,12i)“.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12i znie:</w:t>
              <w:br/>
            </w:r>
            <w:r>
              <w:rPr>
                <w:b w:val="off"/>
                <w:color w:val="000000"/>
                <w:rFonts w:ascii="Times New Roman" w:hAnsi="Times New Roman" w:cs="Times New Roman" w:eastAsia="Times New Roman"/>
                <w:sz w:val="24"/>
              </w:rPr>
              <w:t>„12i)	§ 1723 a 1724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V § 10 ods. 5 sa vypúšťa prvá veta, slová „úhrad za“ sa nahrádzajú slovami „záloh na“ a vypúšťajú sa slová „a spoločných zariadení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45.	§ 11 až 13 vrátane nadpisu nad § 11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	V § 14 sa vypúšťajú odseky 1 a 3.</w:t>
              <w:br/>
            </w:r>
            <w:r>
              <w:rPr>
                <w:b w:val="off"/>
                <w:color w:val="000000"/>
                <w:rFonts w:ascii="Times New Roman" w:hAnsi="Times New Roman" w:cs="Times New Roman" w:eastAsia="Times New Roman"/>
                <w:sz w:val="24"/>
              </w:rPr>
              <w:t xml:space="preserve">	Doterajšie odseky 2 a 4 sa označujú ako odseky 1 a 2.</w:t>
              <w:br/>
            </w:r>
            <w:r>
              <w:rPr>
                <w:b w:val="off"/>
                <w:color w:val="000000"/>
                <w:rFonts w:ascii="Times New Roman" w:hAnsi="Times New Roman" w:cs="Times New Roman" w:eastAsia="Times New Roman"/>
                <w:sz w:val="24"/>
              </w:rPr>
              <w:t>47.	V § 14b ods. 1 písm. d) sa slová „predsedovi a členom“ nahrádzajú slovami „za výkon funkcie predsedu a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48.	V § 14b ods. 1 písm. i) sa slovo „preddavkoch“ nahrádza slovom „platbách“.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49.	V § 14b ods. 1 písm. j) sa slová „úhrad za“ nahrádza slovami „záloh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V § 14b ods. 1 písm. l) sa vypúšťajú slová „do spoločných zariadení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V § 14b ods. 1 písm. m) sa vypúšťajú slová „zasahuje do spoločných zariadení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V § 14b ods. 1 písm. n) sa slová „spoločných zariadeniach domu“ nahrádzajú slovami „príslušenstve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V § 14b ods. 1 písm. o) sa slová „exekučné konanie“ nahrádzajú slovami „vykonanie exekúcie12ab)“.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54.	V § 14b ods. 1 písm. p) sa vypúšťajú slová „spoločných zariadení domu“ a na konci sa pripájajú tieto slová: „a priľahlého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55.	V § 14b ods. 1 písm. r) sa vypúšťajú slová „spoločné zariadenia domu,“ a slová „podľa § 19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56.	V § 14b ods. 1 písm. s) sa slová „domového poriadku.“ nahrádzajú slovami „pravidiel pre užívanie spoločných častí domu, príslušenstva domu a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57.	V § 14b sa odsek 1 dopĺňa písmenami t) a u),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	zmene účelu užívania spoločných častí domu, </w:t>
              <w:br/>
            </w:r>
            <w:r>
              <w:rPr>
                <w:b w:val="off"/>
                <w:color w:val="000000"/>
                <w:rFonts w:ascii="Times New Roman" w:hAnsi="Times New Roman" w:cs="Times New Roman" w:eastAsia="Times New Roman"/>
                <w:sz w:val="24"/>
              </w:rPr>
              <w:t xml:space="preserve"> u)	iných skutočnostiach podľa osobitného predpisu.14a)“.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14a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„14a) Napríklad § 1702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58.	V § 14b ods. 2 sa vypúšťa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b) až g) sa označujú ako písmená a)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59.	V § 14b ods. 2 písm. d) sa vypúšťajú slová „nového spoločného zariadenia domu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60.	V § 14b ods. 2 písm. e) sa vypúšťa čiarka za slovami „časť domu“, slová „nové spoločné zariadenie domu“ a  slová „spoločné zariadenie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V § 14b ods. 2 písm. f) sa vypúšťajú slová „spoločným zariadeniam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V § 14b sa odsek 2 dopĺňa písmenom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prístavbe výlučne novej spoločnej časti domu alebo výlučne nového príslušenstva, ktorými sa dom pôdorysne rozšíri a ktoré budú prevádzkovo spojené s domom.15b)“.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V § 14b ods. 3 písm. a) sa slovo „podielovom“ nahrádza slovom „pridruženom“.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64.	V § 14b ods. 3 sa vypúšťa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sa zrušuje označenie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65.	§ 15 až 20b, § 23, 24a a 25 vrátane nadpisu § 16, nadpisu nad § 17, nadpisov § 18, § 18a, § 20 až 20b a 23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66.	Tretia časť vrátane nadpisu tretej časti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štvrtá časť sa označuje ako tretia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67.	V § 24 ods. 1 sa vypúšťajú slová „okrem § 29 a § 29a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68.	V § 24 sa vypúšťa odsek 2.</w:t>
              <w:br/>
            </w:r>
            <w:r>
              <w:rPr>
                <w:b w:val="off"/>
                <w:color w:val="000000"/>
                <w:rFonts w:ascii="Times New Roman" w:hAnsi="Times New Roman" w:cs="Times New Roman" w:eastAsia="Times New Roman"/>
                <w:sz w:val="24"/>
              </w:rPr>
              <w:t>Súčasne sa zrušuje označenie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69.	Za § 32j sa vkladá § 32k,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32k</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odseky 2 a 3 neustanovujú inak, právne vzťahy vzniknuté podľa tohto zákona v znení účinnom do 30. júna 2027, ako aj práva a povinnosti z nich vyplývajúce sa posudzujú podľa tohto zákona v znení účinnom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Zmluvy o spoločenstve alebo zmluvy o výkone správy, ktoré upravujú splatnosť úhrad poukazovaných vlastníkmi bytov a nebytových priestorov ako platby do fondu prevádzky, údržby a opráv alebo ako zálohy na plnenia odlišne od § 1716 a 1719 Občianskeho zákonníka, je potrebné zosúladiť s § 1716 a 1719 Občianskeho zákonníka o splatnosti do 31.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nájomca družstevného bytu, garáže alebo ateliéru, ktorý je členom bytového družstva, požiadal bytové družstvo o prevod družstevného bytu, garáže alebo ateliéru do 30. júna 2027, povinnosti bytového družstva podľa § 29 ods. 1 a povinnosť vypočítať cenu podľa § 18, § 18a ods. 1 a § 18b tohto zákona v znení účinnom do 30. júna 2027 zostávajú zachované.“.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xml:space="preserve">Nový Občiansky zákonník v sebe zahŕňa úpravu vlastníctva bytov a nebytových priestorov, ktorú doposiaľ upravovali ustanovenia zákona NR SR č. 182/1993 Z. z. o vlastníctve bytov a nebytových priestorov v znení neskorších predpisov. Ide najmä o ustanovenia týkajúce sa vzniku a zániku vlastníctva, základných pojmov (byt, nebytový priestor, spoločné časti domu, príslušenstvo a pozemok) a pod. Samotný výkon správy bytových a nebytových domov vzhľadom na svoje špecifiká má byť upravený v osobitnom zákone. Vzhľadom na navrhovanú účinnosť nového Občianskeho zákonníka sa do času prípravy nového zákona o správe domov preto navrhuje úprava zákona  NR SR č. 182/1993 Z. z. Cieľom tejto úpravy je vypustenie častí obsiahnutých v Občianskom zákonníku, zosúladenie pojmov a došpecifikovanie niektorých ustanovení (k novým inštitútom obsiahnutým v Občianskom zákonníku) tak, aby bol umožnený výkon správy bytových a nebytových domov na obdobie do prijatia nového zákona o správe domov.  Aj v nadväznosti na uvedené sa v §1 navrhuje zmena rozsahu pôsobnosti zákona. Ďalej sa upravuje okruh nehnuteľností, na ktoré sa zákon nevzťahuje so zohľadnením viac ako 30 -ročného vývoja bytového a nebytového fondu v Slovenskej republike a primeranosť zásahu štátu do vlastníckych práv. Zákon sa naďalej nevzťahuje na domy s jedným bytom alebo jedným nebytovým priestorom (rodinné domy s jednou bytovou jednotkou alebo samostatné jednopriestorové objekty) a nebytové domy vo vlastníctve štátu. Upravujú sa definície pojmov, najmä ich zosúladenie s novým Občianskym zákonníkom.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 xml:space="preserve">Legislatívnotechnická úprava zohľadňujúca úpravu § 1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 xml:space="preserve">Vypustenie častí obsiahnutých v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 xml:space="preserve">Legislatívnotechnická úprava zohľadňujúca systematiku Občianskeho zákonníka a nadväzujúcu úpravu rozsahu zákona v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xml:space="preserve">Vypustenie častí obsiahnutých v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bodom 6 a 7 </w:t>
              <w:br/>
            </w:r>
            <w:r>
              <w:rPr>
                <w:b w:val="off"/>
                <w:color w:val="000000"/>
                <w:rFonts w:ascii="Times New Roman" w:hAnsi="Times New Roman" w:cs="Times New Roman" w:eastAsia="Times New Roman"/>
                <w:sz w:val="24"/>
              </w:rPr>
              <w:t>Definuje sa kedy vzniká povinnosť zabezpečiť správu podľa tohto zákona. Zachováva sa výnimka, podľa ktorej povinnosť zabezpečiť správu správcom alebo spoločenstvom sa neuplatňuje na domy, v ktorých sú najviac tri byty, najviac tri nebytové priestory, alebo najviac spoločne tri byty a nebytové priestory. Zároveň v nadväznosti na § 1694 až 1702 Občianskeho zákonníka sa upravuje výnimka pri vlastníctve všetkých bytov a nebytových priestorov v dome jedným subjektom a definuje sa kedy v takomto prípade vzniká povinnosť zabezpečiť správu podľa tohto zákona. „Pôvodným vlastníkom domu“ sa nerozumie len originárny vlastník domu pred vznikom bytov a nebytových priestorov, ale aj osoba, ktorá po rozdelení domu nadobudne všetky byty a nebytové priestory v dome do svojho vlastníctva. Následne aj takémuto subjektu vznikne povinnosť zabezpečiť správu pri prvom prevode bytu alebo nebytového priestoru na ďalšiu tretiu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8 a 9</w:t>
              <w:br/>
            </w:r>
            <w:r>
              <w:rPr>
                <w:b w:val="off"/>
                <w:color w:val="000000"/>
                <w:rFonts w:ascii="Times New Roman" w:hAnsi="Times New Roman" w:cs="Times New Roman" w:eastAsia="Times New Roman"/>
                <w:sz w:val="24"/>
              </w:rPr>
              <w:t xml:space="preserve">Legislatívnotechnická úprava zohľadňujúca terminológiu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 xml:space="preserve">Legislatívnotechnická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11</w:t>
              <w:br/>
            </w:r>
            <w:r>
              <w:rPr>
                <w:b w:val="off"/>
                <w:color w:val="000000"/>
                <w:rFonts w:ascii="Times New Roman" w:hAnsi="Times New Roman" w:cs="Times New Roman" w:eastAsia="Times New Roman"/>
                <w:sz w:val="24"/>
              </w:rPr>
              <w:t xml:space="preserve">Uvedenou úpravou sa umožňuje plynulý prechod a výkon správy v prípade likvidácie spoločenstva a odstraňujú sa aplikačné problémy z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12 a 13</w:t>
              <w:br/>
            </w:r>
            <w:r>
              <w:rPr>
                <w:b w:val="off"/>
                <w:color w:val="000000"/>
                <w:rFonts w:ascii="Times New Roman" w:hAnsi="Times New Roman" w:cs="Times New Roman" w:eastAsia="Times New Roman"/>
                <w:sz w:val="24"/>
              </w:rPr>
              <w:t>Legislatívnotechnická úprava a zosúladenie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14</w:t>
              <w:br/>
            </w:r>
            <w:r>
              <w:rPr>
                <w:b w:val="off"/>
                <w:color w:val="000000"/>
                <w:rFonts w:ascii="Times New Roman" w:hAnsi="Times New Roman" w:cs="Times New Roman" w:eastAsia="Times New Roman"/>
                <w:sz w:val="24"/>
              </w:rPr>
              <w:t xml:space="preserve">Vypustenie úpravy obsiahnutej v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15 až 18</w:t>
              <w:br/>
            </w:r>
            <w:r>
              <w:rPr>
                <w:b w:val="off"/>
                <w:color w:val="000000"/>
                <w:rFonts w:ascii="Times New Roman" w:hAnsi="Times New Roman" w:cs="Times New Roman" w:eastAsia="Times New Roman"/>
                <w:sz w:val="24"/>
              </w:rPr>
              <w:t>Zosúladenie pojmov s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19</w:t>
              <w:br/>
            </w:r>
            <w:r>
              <w:rPr>
                <w:b w:val="off"/>
                <w:color w:val="000000"/>
                <w:rFonts w:ascii="Times New Roman" w:hAnsi="Times New Roman" w:cs="Times New Roman" w:eastAsia="Times New Roman"/>
                <w:sz w:val="24"/>
              </w:rPr>
              <w:t xml:space="preserve">Vypustenie úpravy obsiahnutej v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20 až 22</w:t>
              <w:br/>
            </w:r>
            <w:r>
              <w:rPr>
                <w:b w:val="off"/>
                <w:color w:val="000000"/>
                <w:rFonts w:ascii="Times New Roman" w:hAnsi="Times New Roman" w:cs="Times New Roman" w:eastAsia="Times New Roman"/>
                <w:sz w:val="24"/>
              </w:rPr>
              <w:t>Zosúladenie pojmov s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23</w:t>
              <w:br/>
            </w:r>
            <w:r>
              <w:rPr>
                <w:b w:val="off"/>
                <w:color w:val="000000"/>
                <w:rFonts w:ascii="Times New Roman" w:hAnsi="Times New Roman" w:cs="Times New Roman" w:eastAsia="Times New Roman"/>
                <w:sz w:val="24"/>
              </w:rPr>
              <w:t xml:space="preserve">Legislatívnotechnická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24</w:t>
              <w:br/>
            </w:r>
            <w:r>
              <w:rPr>
                <w:b w:val="off"/>
                <w:color w:val="000000"/>
                <w:rFonts w:ascii="Times New Roman" w:hAnsi="Times New Roman" w:cs="Times New Roman" w:eastAsia="Times New Roman"/>
                <w:sz w:val="24"/>
              </w:rPr>
              <w:t xml:space="preserve">Legislatívnotechnická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25 a 26</w:t>
              <w:br/>
            </w:r>
            <w:r>
              <w:rPr>
                <w:b w:val="off"/>
                <w:color w:val="000000"/>
                <w:rFonts w:ascii="Times New Roman" w:hAnsi="Times New Roman" w:cs="Times New Roman" w:eastAsia="Times New Roman"/>
                <w:sz w:val="24"/>
              </w:rPr>
              <w:t>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27 </w:t>
              <w:br/>
            </w:r>
            <w:r>
              <w:rPr>
                <w:b w:val="off"/>
                <w:color w:val="000000"/>
                <w:rFonts w:ascii="Times New Roman" w:hAnsi="Times New Roman" w:cs="Times New Roman" w:eastAsia="Times New Roman"/>
                <w:sz w:val="24"/>
              </w:rPr>
              <w:t>Zosúladenie pojmov s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28 a 29</w:t>
              <w:br/>
            </w:r>
            <w:r>
              <w:rPr>
                <w:b w:val="off"/>
                <w:color w:val="000000"/>
                <w:rFonts w:ascii="Times New Roman" w:hAnsi="Times New Roman" w:cs="Times New Roman" w:eastAsia="Times New Roman"/>
                <w:sz w:val="24"/>
              </w:rPr>
              <w:t xml:space="preserve">Zosúladenie terminológie.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30 až 33</w:t>
              <w:br/>
            </w:r>
            <w:r>
              <w:rPr>
                <w:b w:val="off"/>
                <w:color w:val="000000"/>
                <w:rFonts w:ascii="Times New Roman" w:hAnsi="Times New Roman" w:cs="Times New Roman" w:eastAsia="Times New Roman"/>
                <w:sz w:val="24"/>
              </w:rPr>
              <w:t xml:space="preserve">Legislatívnotechnická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34 až 39</w:t>
              <w:br/>
            </w:r>
            <w:r>
              <w:rPr>
                <w:b w:val="off"/>
                <w:color w:val="000000"/>
                <w:rFonts w:ascii="Times New Roman" w:hAnsi="Times New Roman" w:cs="Times New Roman" w:eastAsia="Times New Roman"/>
                <w:sz w:val="24"/>
              </w:rPr>
              <w:t xml:space="preserve">Legislatívnotechnická úprava zohľadňujúca systematiku a terminológiu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40 a 41:</w:t>
              <w:br/>
            </w:r>
            <w:r>
              <w:rPr>
                <w:b w:val="off"/>
                <w:color w:val="000000"/>
                <w:rFonts w:ascii="Times New Roman" w:hAnsi="Times New Roman" w:cs="Times New Roman" w:eastAsia="Times New Roman"/>
                <w:sz w:val="24"/>
              </w:rPr>
              <w:t xml:space="preserve">Vypustenie úpravy obsiahnutej v novom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42</w:t>
              <w:br/>
            </w:r>
            <w:r>
              <w:rPr>
                <w:b w:val="off"/>
                <w:color w:val="000000"/>
                <w:rFonts w:ascii="Times New Roman" w:hAnsi="Times New Roman" w:cs="Times New Roman" w:eastAsia="Times New Roman"/>
                <w:sz w:val="24"/>
              </w:rPr>
              <w:t xml:space="preserve">Zosúladenie terminológie.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43</w:t>
              <w:br/>
            </w:r>
            <w:r>
              <w:rPr>
                <w:b w:val="off"/>
                <w:color w:val="000000"/>
                <w:rFonts w:ascii="Times New Roman" w:hAnsi="Times New Roman" w:cs="Times New Roman" w:eastAsia="Times New Roman"/>
                <w:sz w:val="24"/>
              </w:rPr>
              <w:t xml:space="preserve">Legislatívnotechnická úprava zohľadňujúca systematiku nového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44</w:t>
              <w:br/>
            </w:r>
            <w:r>
              <w:rPr>
                <w:b w:val="off"/>
                <w:color w:val="000000"/>
                <w:rFonts w:ascii="Times New Roman" w:hAnsi="Times New Roman" w:cs="Times New Roman" w:eastAsia="Times New Roman"/>
                <w:sz w:val="24"/>
              </w:rPr>
              <w:t xml:space="preserve">Zosúladenie terminológie.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45 a 46</w:t>
              <w:br/>
            </w:r>
            <w:r>
              <w:rPr>
                <w:b w:val="off"/>
                <w:color w:val="000000"/>
                <w:rFonts w:ascii="Times New Roman" w:hAnsi="Times New Roman" w:cs="Times New Roman" w:eastAsia="Times New Roman"/>
                <w:sz w:val="24"/>
              </w:rPr>
              <w:t>Vypustenie úpravy obsiahnutej v novom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47 </w:t>
              <w:br/>
            </w:r>
            <w:r>
              <w:rPr>
                <w:b w:val="off"/>
                <w:color w:val="000000"/>
                <w:rFonts w:ascii="Times New Roman" w:hAnsi="Times New Roman" w:cs="Times New Roman" w:eastAsia="Times New Roman"/>
                <w:sz w:val="24"/>
              </w:rPr>
              <w:t>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48 až 56</w:t>
              <w:br/>
            </w:r>
            <w:r>
              <w:rPr>
                <w:b w:val="off"/>
                <w:color w:val="000000"/>
                <w:rFonts w:ascii="Times New Roman" w:hAnsi="Times New Roman" w:cs="Times New Roman" w:eastAsia="Times New Roman"/>
                <w:sz w:val="24"/>
              </w:rPr>
              <w:t xml:space="preserve">Legislatívnotechnická úprava zohľadňujúca systematiku a terminológiu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bodom 57 až 61 </w:t>
              <w:br/>
            </w:r>
            <w:r>
              <w:rPr>
                <w:b w:val="off"/>
                <w:color w:val="000000"/>
                <w:rFonts w:ascii="Times New Roman" w:hAnsi="Times New Roman" w:cs="Times New Roman" w:eastAsia="Times New Roman"/>
                <w:sz w:val="24"/>
              </w:rPr>
              <w:t xml:space="preserve">Legislatívnotechnická úprava zohľadňujúca systematiku a terminológiu nového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62</w:t>
              <w:br/>
            </w:r>
            <w:r>
              <w:rPr>
                <w:b w:val="off"/>
                <w:color w:val="000000"/>
                <w:rFonts w:ascii="Times New Roman" w:hAnsi="Times New Roman" w:cs="Times New Roman" w:eastAsia="Times New Roman"/>
                <w:sz w:val="24"/>
              </w:rPr>
              <w:t xml:space="preserve">Navrhuje sa úprava hlasovacieho kvóra v prípade prístavby výlučne novej spoločnej časti alebo príslušenstva domu, ktorou sa budova pôdorysne rozšíri. Doteraz požadovaný 100 % súhlas všetkých vlastníkov bytov a nebytových priestorov sa znižuje na dvojtretinovú väčšinu hlasov. Uvedenou zmenou sa odstraňujú prekážky pri realizácii stavebných úprav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 xml:space="preserve">Zosúladenie terminológie.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64</w:t>
              <w:br/>
            </w:r>
            <w:r>
              <w:rPr>
                <w:b w:val="off"/>
                <w:color w:val="000000"/>
                <w:rFonts w:ascii="Times New Roman" w:hAnsi="Times New Roman" w:cs="Times New Roman" w:eastAsia="Times New Roman"/>
                <w:sz w:val="24"/>
              </w:rPr>
              <w:t xml:space="preserve">Legislatívnotechnická úprava nadväzujúca na bod 62.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65</w:t>
              <w:br/>
            </w:r>
            <w:r>
              <w:rPr>
                <w:b w:val="off"/>
                <w:color w:val="000000"/>
                <w:rFonts w:ascii="Times New Roman" w:hAnsi="Times New Roman" w:cs="Times New Roman" w:eastAsia="Times New Roman"/>
                <w:sz w:val="24"/>
              </w:rPr>
              <w:t xml:space="preserve">V súčasnosti možno konštatovať, že základný účel zákona  NR SR č. 182/1993 Z. z., a to  transformácia vlastníctva bytového fondu z pôvodného vlastníctva štátu, miest, obcí a stavebných bytových družstiev do osobného vlastníctva dovtedajších nájomcov bytov a nebytových priestorov bol už naplnený. Len minimum nájomcov bytov si nepožiadalo o prevod vlastníctva v zmysle ustanovení zákona NR SR č. 182/1993 Z. z. V prípade obcí a štátu bol povinný prevod za ceny stanovené týmto zákonom ukončený k 31.12.2016. Uvedené ustanovenia ostali v platnosti v prípade bytových družstiev. V nadväznosti na uvedené sa vypúšťajú ustanovenia o povinnom prevode vlastníctva bytov za zákonom stanovených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66</w:t>
              <w:br/>
            </w:r>
            <w:r>
              <w:rPr>
                <w:b w:val="off"/>
                <w:color w:val="000000"/>
                <w:rFonts w:ascii="Times New Roman" w:hAnsi="Times New Roman" w:cs="Times New Roman" w:eastAsia="Times New Roman"/>
                <w:sz w:val="24"/>
              </w:rPr>
              <w:t xml:space="preserve">Vypustenie častí obsiahnutých v Občianskom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67 a 68</w:t>
              <w:br/>
            </w:r>
            <w:r>
              <w:rPr>
                <w:b w:val="off"/>
                <w:color w:val="000000"/>
                <w:rFonts w:ascii="Times New Roman" w:hAnsi="Times New Roman" w:cs="Times New Roman" w:eastAsia="Times New Roman"/>
                <w:sz w:val="24"/>
              </w:rPr>
              <w:t xml:space="preserve">Legislatívnotechnická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69</w:t>
              <w:br/>
            </w:r>
            <w:r>
              <w:rPr>
                <w:b w:val="off"/>
                <w:color w:val="000000"/>
                <w:rFonts w:ascii="Times New Roman" w:hAnsi="Times New Roman" w:cs="Times New Roman" w:eastAsia="Times New Roman"/>
                <w:sz w:val="24"/>
              </w:rPr>
              <w:t xml:space="preserve">Prechodnými ustanoveniami sa rieši konflikt starej a novej právnej úpravy. Hlavným cieľom je zabezpečiť právnu istotu, ochranu legitímnych očakávaní dotknutých subjektov a plynulý prechod na novú právnu úpravu s účinnosťou od 1. júla 2027. </w:t>
              <w:br/>
            </w:r>
            <w:r>
              <w:rPr>
                <w:b w:val="off"/>
                <w:color w:val="000000"/>
                <w:rFonts w:ascii="Times New Roman" w:hAnsi="Times New Roman" w:cs="Times New Roman" w:eastAsia="Times New Roman"/>
                <w:sz w:val="24"/>
              </w:rPr>
              <w:t>Zavádza sa povinnosť zosúladiť doterajšie zmluvy o spoločenstve vlastníkov a zmluvy o výkone správy s novou systematikou nového Občianskeho zákonníka (§ 1716 a § 1719), ktorá po novom unifikuje a upravuje problematiku splatnosti záväzkov a platieb.</w:t>
              <w:br/>
            </w:r>
            <w:r>
              <w:rPr>
                <w:b w:val="off"/>
                <w:color w:val="000000"/>
                <w:rFonts w:ascii="Times New Roman" w:hAnsi="Times New Roman" w:cs="Times New Roman" w:eastAsia="Times New Roman"/>
                <w:sz w:val="24"/>
              </w:rPr>
              <w:t>V súvislosti s vypustením ustanovení o povinnom prevode vlastníctva bytov za zákonom stanovených podmienok, je prechodným ustanovením stanovená povinnosť pre bytové družstvá dokončiť proces prevodu podľa doterajších predpisov pre žiadosti podané do 30. júna 2027. Na žiadosti podané po 30. júni 2027 sa už nebudú vzťahovať ustanovenia toho zákona účinného do 30. júna 2027. Týmto ustanovením je zároveň ukončená transformácia bytového fondu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rozpočet</w:t>
              <w:br/>
            </w:r>
            <w:r>
              <w:rPr>
                <w:b w:val="off"/>
                <w:color w:val="000000"/>
                <w:rFonts w:ascii="Times New Roman" w:hAnsi="Times New Roman" w:cs="Times New Roman" w:eastAsia="Times New Roman"/>
                <w:sz w:val="24"/>
              </w:rPr>
              <w:t xml:space="preserve">Z technického hľadiska k analýze vplyvov na rozpočet uvádzame: </w:t>
              <w:br/>
            </w:r>
            <w:r>
              <w:rPr>
                <w:b w:val="off"/>
                <w:color w:val="000000"/>
                <w:rFonts w:ascii="Times New Roman" w:hAnsi="Times New Roman" w:cs="Times New Roman" w:eastAsia="Times New Roman"/>
                <w:sz w:val="24"/>
              </w:rPr>
              <w:t xml:space="preserve">	a) v doložke vybraných vplyvov sa uvádza, že vplyv je čiastočne zabezpečený, avšak v analýze vplyvov na rozpočet tabuľke č. 1/A v riadku „Financovanie zabezpečené v rozpočte“ je uvedená nulová suma; uvedené je potrebné zosúladiť,</w:t>
              <w:br/>
            </w:r>
            <w:r>
              <w:rPr>
                <w:b w:val="off"/>
                <w:color w:val="000000"/>
                <w:rFonts w:ascii="Times New Roman" w:hAnsi="Times New Roman" w:cs="Times New Roman" w:eastAsia="Times New Roman"/>
                <w:sz w:val="24"/>
              </w:rPr>
              <w:t xml:space="preserve">	b) vo všetkých tabuľkách je potrebné uvádzať sumy v celých číslach, t. j. bez desatinných miest,</w:t>
              <w:br/>
            </w:r>
            <w:r>
              <w:rPr>
                <w:b w:val="off"/>
                <w:color w:val="000000"/>
                <w:rFonts w:ascii="Times New Roman" w:hAnsi="Times New Roman" w:cs="Times New Roman" w:eastAsia="Times New Roman"/>
                <w:sz w:val="24"/>
              </w:rPr>
              <w:t xml:space="preserve">	c) v tabuľke č. 1/A je potrebné v príjmovej časti v riadku „v tom: ÚGKK SR – správne poplatky (VPS)“ jednoznačne uviesť subjekt verejnej správy, pre ktorý sú predmetné príjmy určené; uvedené je potrebné zohľadniť aj v tabuľke č. 3,</w:t>
              <w:br/>
            </w:r>
            <w:r>
              <w:rPr>
                <w:b w:val="off"/>
                <w:color w:val="000000"/>
                <w:rFonts w:ascii="Times New Roman" w:hAnsi="Times New Roman" w:cs="Times New Roman" w:eastAsia="Times New Roman"/>
                <w:sz w:val="24"/>
              </w:rPr>
              <w:t xml:space="preserve">	d) v tabuľke č. 1/A v rokoch 2028 a 2029 v riadku „v tom: ÚGKK SR – správne poplatky (VPS)“ sumu „0 031 685“ nahradiť sumou „1 031 685“,</w:t>
              <w:br/>
            </w:r>
            <w:r>
              <w:rPr>
                <w:b w:val="off"/>
                <w:color w:val="000000"/>
                <w:rFonts w:ascii="Times New Roman" w:hAnsi="Times New Roman" w:cs="Times New Roman" w:eastAsia="Times New Roman"/>
                <w:sz w:val="24"/>
              </w:rPr>
              <w:t xml:space="preserve">	e) v tabuľke č. 3 je potrebné, aby boli príjmy rozpísané až do položiek platnej ekonomickej klasifikácie,</w:t>
              <w:br/>
            </w:r>
            <w:r>
              <w:rPr>
                <w:b w:val="off"/>
                <w:color w:val="000000"/>
                <w:rFonts w:ascii="Times New Roman" w:hAnsi="Times New Roman" w:cs="Times New Roman" w:eastAsia="Times New Roman"/>
                <w:sz w:val="24"/>
              </w:rPr>
              <w:t xml:space="preserve">	f) v tabuľke č. 4/B (metodika ESA 2010) pri kapitole Ministerstvo dopravy SR odporúčame doplniť poznámku, ktoré položky z kategórie 640 ovplyvňujú vyšší limit verejných výdavkov v porovnaní s tabuľkou č. 4/A, </w:t>
              <w:br/>
            </w:r>
            <w:r>
              <w:rPr>
                <w:b w:val="off"/>
                <w:color w:val="000000"/>
                <w:rFonts w:ascii="Times New Roman" w:hAnsi="Times New Roman" w:cs="Times New Roman" w:eastAsia="Times New Roman"/>
                <w:sz w:val="24"/>
              </w:rPr>
              <w:t xml:space="preserve">	g) za subjekt MD SR zosúladiť údaje uvedené v tabuľke č. 4/B s tabuľkou č. 4/A a následne upraviť sumy v tabuľke č. 1/B v riadkoch „Vplyv na limit verejných výdavkov verejnej správy celkom (v metodike ESA 2010)“, „v tom: MD SR, ÚGKK SR“ a „vplyv na limit verejných výdavkov ŠR“,</w:t>
              <w:br/>
            </w:r>
            <w:r>
              <w:rPr>
                <w:b w:val="off"/>
                <w:color w:val="000000"/>
                <w:rFonts w:ascii="Times New Roman" w:hAnsi="Times New Roman" w:cs="Times New Roman" w:eastAsia="Times New Roman"/>
                <w:sz w:val="24"/>
              </w:rPr>
              <w:t xml:space="preserve">	h) v tabuľke č. 1/A doplniť subjekt MF SR a v roku 2027 doplniť sumu 648 277 eur v riadkoch „Výdavky verejnej správy celkom v tom: MF SR (org. FR SR)“, „Vplyv na limit verejných výdavkov verejnej správy celkom (v metodike ESA 2010) v tom: MF SR (org. FR SR)“, doplniť tabuľky č. 4/A a 4/B za subjekt MF SR – kapitálové výdavky 718006 Softvér.</w:t>
              <w:br/>
            </w:r>
            <w:r>
              <w:rPr>
                <w:b w:val="off"/>
                <w:color w:val="000000"/>
                <w:rFonts w:ascii="Times New Roman" w:hAnsi="Times New Roman" w:cs="Times New Roman" w:eastAsia="Times New Roman"/>
                <w:sz w:val="24"/>
              </w:rPr>
              <w:t xml:space="preserve">	i) v nadväznosti zmeny uvedené v písmenách g) a h) upraviť súčty v týchto riadkoch:</w:t>
              <w:br/>
            </w:r>
            <w:r>
              <w:rPr>
                <w:b w:val="off"/>
                <w:color w:val="000000"/>
                <w:rFonts w:ascii="Times New Roman" w:hAnsi="Times New Roman" w:cs="Times New Roman" w:eastAsia="Times New Roman"/>
                <w:sz w:val="24"/>
              </w:rPr>
              <w:t xml:space="preserve">	 	i) „Výdavky verejnej správy celkom“,</w:t>
              <w:br/>
            </w:r>
            <w:r>
              <w:rPr>
                <w:b w:val="off"/>
                <w:color w:val="000000"/>
                <w:rFonts w:ascii="Times New Roman" w:hAnsi="Times New Roman" w:cs="Times New Roman" w:eastAsia="Times New Roman"/>
                <w:sz w:val="24"/>
              </w:rPr>
              <w:t xml:space="preserve">		ii) „z toho: - vplyv na ŠR a Rozpočtové prostriedky“,</w:t>
              <w:br/>
            </w:r>
            <w:r>
              <w:rPr>
                <w:b w:val="off"/>
                <w:color w:val="000000"/>
                <w:rFonts w:ascii="Times New Roman" w:hAnsi="Times New Roman" w:cs="Times New Roman" w:eastAsia="Times New Roman"/>
                <w:sz w:val="24"/>
              </w:rPr>
              <w:t xml:space="preserve">		iii) „Rozpočtovo nekrytý vplyv“,</w:t>
              <w:br/>
            </w:r>
            <w:r>
              <w:rPr>
                <w:b w:val="off"/>
                <w:color w:val="000000"/>
                <w:rFonts w:ascii="Times New Roman" w:hAnsi="Times New Roman" w:cs="Times New Roman" w:eastAsia="Times New Roman"/>
                <w:sz w:val="24"/>
              </w:rPr>
              <w:t xml:space="preserve">		iv) „Vplyv na limit verejných výdavkov verejnej správy celkom (v metodike ESA 2010)“,</w:t>
              <w:br/>
            </w:r>
            <w:r>
              <w:rPr>
                <w:b w:val="off"/>
                <w:color w:val="000000"/>
                <w:rFonts w:ascii="Times New Roman" w:hAnsi="Times New Roman" w:cs="Times New Roman" w:eastAsia="Times New Roman"/>
                <w:sz w:val="24"/>
              </w:rPr>
              <w:t xml:space="preserve">		v) „z toho: vplyv na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je potrebné časti 2.1.1 a 2.2.1 analýzy vplyvov na rozpočet doplniť o textovú časť týkajúcu sa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materiálom zakladajúcim rozpočtovo nekryté vplyvy nie je možné súhlasiť. Všetky rozpočtové dôsledky, a to vrátane vplyvov za zamestnanosť, vyplývajúce z predloženého materiálu žiadame zabezpečiť v rámci schválených limitov dotknutých subjektov verejnej správy na príslušné rozpočtové roky, bez dodatočných požiadaviek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Upozorňujeme, že s ohľadom na zmeny navrhovaných ustanovení v priebehu legislatívneho procesu je potrebné upraviť aj doložku zlučiteľnosti a súvisiace tabuľky zhody. Napríklad je potrebné do predloženého materiálu doplniť tabuľku zhody smernice Európskeho parlamentu a Rady 2014/56/EÚ zo 16. apríla 2014, ktorou sa mení smernica 2006/43/ES o štatutárnom audite ročných účtovných závierok a konsolidovaných účtovných závierok (Ú. v. EÚ L 158, 27.5.2014) v platnom znení, ktorá sa týka čl. CLXVIII (zákon č. 423/2015 Z. z. o štatutárnom audite).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IV bode 5 § 4a ods. 2 druhej vete slovo „Dediči“ nahradiť slovom „Dedičia“ z dôvodu zosúladenia s terminológiou použitou v ustanoveniach Občianskeho zákonníka, v § 4a ods. 3 slová „nie určený“ nahradiť slovami „nie je určený“, v bode 13 za slová „§ 54“ vložiť slovo „sa“, bod 14 preformulovať takto: „14. Poznámka pod čiarou k odkazu 37b znie: „37b) § 115b Obchodného zákonníka.“.“, v bode 17 za slová „zákonníka.45)“ vložiť úvodzovky hore, v bode 21 za slovo „pohľadávok“ vložiť bodku (2x), v bode 27 slová „pôde79)“ nahradiť slovami „pôde,79)“ a slová „predpisu79)“ nahradiť slovami „predpisu,79), v čl. XXIV bode 1 § 2 písm. d) za slovo „elektrické“ vložiť slovo „rozvody“, v poznámkach pod čiarou k odkazom 5b a 5c vypustiť slová „ods. 1 a 2“ ako nadbytočné, pretože § 1711 Občianskeho zákonníka obsahuje dva odseky, v bode 4 slová „Výkon správy“ nahradiť slovami „VÝKON SPRÁVY“, v bode 5 druhej vete slová „8 a 9“ nahradiť slovami „8, 9 a 9a“, v bode 7 § 6 ods. 2 prvej vete slovo „neuplatňuje“ nahradiť slovom „nevzťahujú“, v bode 8 za slová „ods. 3“ vložiť slová „úvodnej vete“, v bode 10 slová „za slovo „dome“ sa pripájajú slová“ nahradiť slovami „na konci sa pripájajú tieto slová:“ z dôvodu zosúladenia s bodom 35.2 LPV, v bode 35 slovo „preddavok“ nahradiť slovom „preddavkov“, v bode 38 poznámke pod čiarou k odkazu 12ea na konci pripojiť tieto slová: „v znení neskorších predpisov“, do poznámky pod čiarou doplniť aj citáciu  nariadenia GDPR a poznámku pod čiarou zosúladiť s bodom 23.6 LPV, v bode 39 § 9 ods. 5 písm. f) vypustiť duplicitné slová „na mieste obvyklom“, v poznámke pod čiarou k odkazu 12g vypustiť slová „ods. 1 a 2“ ako nadbytočné, bod 66 preformulovať z dôvodu, že jeho navrhované znenie je zmätočné, v čl. XXV bode 9 nad slová „stavba“ a „budova“ vložiť odkaz „13abf)“, v bode 32 na konci doplniť bodku, v bode 42 za slová „ods. 1“ vložiť slová „úvodnej vete“, v čl. XXX úvodnej vete slová „zákona č. 131/2026 Z. z. a zákona č. 165/2026 Z. z.“ nahradiť slovami „zákona č. 131/2026 Z. z., zákona č. 165/2026 Z. z., zákona č. 240/2026 Z. z. a zákona č. 249/2026 Z. z.“, v čl. XLIX úvodnej vete za slovo „mení“ vložiť slová „a dopĺňa“, v čl. LII bode 5 § 36 ods. 1 prvej vete slová „zaväzuje príkazník“ nahradiť slovami „príkazník zaväzuje“, v § 36 ods. 2 slová „§ 36 ods. 1“ nahradiť slovami „odseku 1“, v bode 17 § 53i ods. 3 písm. c) za slovo „povinnom“ vložiť slová „z predkupného práva“, v § 53i ods. 10 druhej vete slová „povinnému a oprávnenému“ nahradiť slovami „povinnému z predkupného práva a oprávnenému z predkupného práva“, v § 53k ods. 1 písm. b) a § 53l ods. 3 písm. c) za slovo „kúpy“ vložiť čiarku, aby bolo zrejmé, že ide o rozsah údajov upravených v odseku 2, a nie o rozsah výhrady spätnej kúpy, ktorá nie je upravená v odseku 2, v čl. LXXVI v úvodnej vete slová „č. 406/2025 Z. z. a zákona č. .../2026 Z. z.“ nahradiť slovami „č. 406/2025 Z. z., zákona č. 243/2026 Z. z. a zákona č. .../2026 Z. z.“, v bode 4 odkaz „4)“ nahradiť odkazom „4)“ (použiť horný index), v bode 12 slovo „slová“ nahradiť slovom „slovo“, v bode 29 za slovo „čiarou“ vložiť slová „k odkazu“, v bodoch 42 a 43 slovo „dani“ nahradiť slovom „daní“ (5x), v čl. LXXXII bode 1 poznámke pod čiarou k odkazu 3 pred číslo „694“ vložiť paragrafovú značku, v čl. XCIII úvodnej vete slová „zákona č. 335/2025 Z. z. a zákona č. 131/2026 Z. z.“ nahradiť slovami „zákona č. 335/2025 Z. z., zákona č. 131/2026 Z. z. a zákona č. 243/2026 Z. z.“, v čl. XCVI bode 4 slová „§ 8“ nahradiť slovami „§ 8a“ a slovo „overil“ nahradiť slovom „poveril“, v čl. CXXXIX body 11 a 13 zlúčiť do jedného novelizačného bodu, v čl. CLVI bode 15 za slová „ods. 2“ vložiť slová „úvodnej vete“, v čl. CLXX úvodnej vete slová „zákona č. 144/2026 Z. z.“ nahradiť slovami „zákona č. 144/2025 Z. z.“, v čl. CLXXI úvodnej vete za slovo „sa“ vložiť slová „mení a“, v bode 2 § 20a vložiť paragrafovú značku pred slová „20a“, v § 20a ods. 1 písm. c) vypustiť slovo „c)“ ako nadbytočné, bod 4 preformulovať takto: „4. Slová „uzatvorenie“ a „uzatvorený“ vo všetkých tvaroch sa v celom texte zákona nahrádzajú slovami „uzavieranie“ a „uzavretý“ v príslušnom tvare.“., v čl. CCXXIII úvodnej vete za slovo „sa“ vložiť slová „mení a“, v bode 6 druhej vete číslo „120“ nahradiť slovom „120a“, v bode 7 pred slová „48a“ vložiť paragrafovú značku, v § 48a ods. 1 písm. c) slovo „zakonníka“ nahradiť slovom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 K bodu 22</w:t>
              <w:br/>
            </w:r>
            <w:r>
              <w:rPr>
                <w:b w:val="off"/>
                <w:color w:val="000000"/>
                <w:rFonts w:ascii="Times New Roman" w:hAnsi="Times New Roman" w:cs="Times New Roman" w:eastAsia="Times New Roman"/>
                <w:sz w:val="24"/>
              </w:rPr>
              <w:t>V bode 22 je potrebné na konci pripojiť tieto slová: „a na konci sa pripája táto veta: „Záložný veriteľ je na výzvu správcu dane povinný oznámiť do 15 dní od doručenia výzvy výšku pohľadávky, na ktorej zabezpečenie bolo zriadené záložné právo, a dátum vzniku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Uvedenou úpravou sa definuje postup a poradie uspokojovania prednostných a ďalších záložných veriteľov tak, aby  správca dane mohol v daňovom exekučnom konaní správne a zákonne rozdeliť výťažok a rešpektovať poradie iných záložných veriteľov. Zavedenie tejto povinnosti zabezpečí ochranu práv záložných veriteľov a plynulý priebeh daňovej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 xml:space="preserve">Za bod 23 je potrebné vložiť nové body 24 až 30,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„24. V § 88 odsek 10 znie: </w:t>
              <w:br/>
            </w:r>
            <w:r>
              <w:rPr>
                <w:b w:val="off"/>
                <w:color w:val="000000"/>
                <w:rFonts w:ascii="Times New Roman" w:hAnsi="Times New Roman" w:cs="Times New Roman" w:eastAsia="Times New Roman"/>
                <w:sz w:val="24"/>
              </w:rPr>
              <w:t xml:space="preserve">	„(10) Predmetom daňovej exekúcie môže byť aj majetok patriaci do spoločného imania manželov </w:t>
              <w:br/>
            </w:r>
            <w:r>
              <w:rPr>
                <w:b w:val="off"/>
                <w:color w:val="000000"/>
                <w:rFonts w:ascii="Times New Roman" w:hAnsi="Times New Roman" w:cs="Times New Roman" w:eastAsia="Times New Roman"/>
                <w:sz w:val="24"/>
              </w:rPr>
              <w:t>najviac do výšky polovice hodnoty tohto majetku. Stanovená výška hodnoty majetku podľa prvej vety sa neuplatní, ak ide o spoločný daňový nedoplatok manželov. Účastníkom daňového exekučného konania je aj manžel daňového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V § 90 ods. 3 sa za slovo „dlžníka“ vkladá čiarka a slová „manželovi daňového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26. V § 91 odsek 7 znie: </w:t>
              <w:br/>
            </w:r>
            <w:r>
              <w:rPr>
                <w:b w:val="off"/>
                <w:color w:val="000000"/>
                <w:rFonts w:ascii="Times New Roman" w:hAnsi="Times New Roman" w:cs="Times New Roman" w:eastAsia="Times New Roman"/>
                <w:sz w:val="24"/>
              </w:rPr>
              <w:t xml:space="preserve">	„(7) Správca dane môže v priebehu daňového exekučného konania vykonať daňovú exekúciu ďalším spôsobom podľa tohto zákona alebo uplatniť daňovú exekúciu na ďalší majetok, ak daňové exekučné konanie nevedie k úplnému uspokojeniu vymáhaného daňového nedoplatku alebo ak majetok nepostačuje na úhradu vymáhaného daňového nedoplatku. Správca dane  oznámi osobe, ktorá predmet daňovej exekúcie užíva, spravuje, eviduje alebo s ním nakladá, že dňom doručenia tohto oznámenia sa na tento predmet daňovej exekúcie vzťahuje zákaz nakladania; spolu s oznámením správca dane zašle aj rovnopis pôvodného rozhodnutia o začatí daňového exekučného konania. Toto oznámenie sa nedoručuje orgánu Policajného zboru pri daňovej exekúcii zadržaním vodičského preukazu. Pri elektronickej komunikácii s poskytovateľom platobných služieb, ktorým je banka alebo pobočka zahraničnej banky, sa rozhodnutie o začatí daňového exekučného konania doručí za podmienok uvedených v dohode uzatvorenej podľa § 108 ods. 11. Ak je na majetok daňového dlžníka zriadené záložné právo iným záložným veriteľom, správca dane postupuje podľa § 88 ods. 12. Ak správca dane uplatní postup podľa prvej vety, zašle daňovému dlžníkovi daňovú exekučnú výzvu; na takúto daňovú exekučnú výzvu sa rovnako vzťahujú ustanovenia odsekov 2 až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27. V § 92 ods. 1 sa slová „márnom uplynutí lehoty na podanie odvolania voči daňovej exekučnej výzve alebo po zastavení odvolacieho konania podľa § 72 ods. 6, alebo po doručení rozhodnutia odvolacieho orgánu, ktorým sa odvolanie zamietlo, správcovi dane“ nahrádzajú slovami „právoplatnosti daňovej exekučnej výzvy“.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28. V § 95 ods. 1 sa na konci pripája bodkočiarka a tieto slová: „daňovú exekúciu môže správca dane odložiť aj čiastočne“.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 § 96 sa dopĺňa odsekom 4, ktorý znie: </w:t>
              <w:br/>
            </w:r>
            <w:r>
              <w:rPr>
                <w:b w:val="off"/>
                <w:color w:val="000000"/>
                <w:rFonts w:ascii="Times New Roman" w:hAnsi="Times New Roman" w:cs="Times New Roman" w:eastAsia="Times New Roman"/>
                <w:sz w:val="24"/>
              </w:rPr>
              <w:t xml:space="preserve">	„(4) Správca dane vyznačí v evidencii vozidiel prostredníctvom elektronickej služby zavedenej na tento účel, že daňové exekučné konanie proti vlastníkovi vozidla bolo zastavené.47a)“.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30. V § 108 ods. 1 sa na konci pripája táto veta: „Peňažné prostriedky, ktoré patria do spoločného imania manželov môžu byť postihnuté najviac do výšky polovice ich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k bodom 24 až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24 (§ 88 ods. 10) a bode 25 (§ 90 ods. 3) sa upravuje rozsah postihu majetku patriaceho do spoločného imania manželov v daňovom exekučnom konaní tak, aby sa pri vymáhaní individuálneho dlhu jedného z manželov postihoval tento majetok najviac do výšky polovice jeho hodnoty. Zároveň sa upravuje procesné postavenie manžela daňového dlžníka a vymedzujú sa prípady, v ktorých sa spoločný majetok nemôže postihnúť. Cieľom je zabezpečiť ochranu majetkových práv manžela, ktorý nie je daňovým dlžníkom, pri zachovaní možnosti vymáhať daňové nedoplatky. Súčasne sa upravuje doručovanie rozhodnutia o začatí daňového exekučného konania. Ak ide o spoločný dlh manželov, predmetom daňovej exekúcie je majetok patriaci do spoločného imania manželov v celom rozsahu. Manžel dlžníka je účastníkom daňového exekučného konania aj z dôvodu, aby mohol uplatniť postup na vylúčenie majetku z predmetu daňovej exekúcie podľa § 88 ods. 11 Daňového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Príklad:</w:t>
              <w:br/>
            </w:r>
            <w:r>
              <w:rPr>
                <w:b w:val="off"/>
                <w:color w:val="000000"/>
                <w:rFonts w:ascii="Times New Roman" w:hAnsi="Times New Roman" w:cs="Times New Roman" w:eastAsia="Times New Roman"/>
                <w:sz w:val="24"/>
              </w:rPr>
              <w:t xml:space="preserve">	Manželia vlastnia majetok patriaci do spoločného imania manželov v hodnote 100 000 eur. Daňový nedoplatok vo výške 70 000 eur má iba jeden z manželov. Podľa navrhovanej úpravy pri individuálnom dlhu možno postihnúť spoločný majetok najviac do výšky 50 000 eur.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bode 26 doplnenom ustanovení odseku 7 v § 91 sa spresňuje postup správcu dane pri vykonávaní daňovej exekúcie ďalším spôsobom alebo postihnutím ďalšieho majetku daňového dlžníka, ak doterajší postup nevedie k úplnému uspokojeniu vymáhaného daňového nedoplatku. Zároveň sa upravuje informovanie osoby, ktorá predmet daňovej exekúcie užíva, spravuje, eviduje alebo s ním nakladá, o zákaze nakladania s týmto predmetom, ako aj zaslanie rovnopisu pôvodného rozhodnutia o začatí daňového exekučného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Úprava v bode 27 sa navrhuje z dôvodu zabezpečenia terminologickej správnosti a všeobecnej 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Zmenou v bode 28 (§ 95 ods. 1) sa upravuje možnosť čiastočného odloženia exekúcie, a to v nadväznosti na potrebu procesného dokazovania a zabezpečenia ochrany majetkového podielu manžela daňového dlžníka v súlade s novou hmotnoprávnou úpravou v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Úprava v bode 29 (§ 96 ods. 4) zabezpečuje, aby negatívne dopady daňovej exekúcie na vlastnícke právo daňového dlžníka pominuli bezodkladne po zastavení daňového exekučného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30 (§ 108 ods. 1) sa zosúlaďuje spôsob postihnutia peňažných prostriedkov s novou úpravou v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 xml:space="preserve">Za doterajší bod 24 je potrebné vložiť nové body 25 až 28,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V § 108 sa za odsek 3 vkladajú nové odseky 4 a 5, ktoré znejú:</w:t>
              <w:br/>
            </w:r>
            <w:r>
              <w:rPr>
                <w:b w:val="off"/>
                <w:color w:val="000000"/>
                <w:rFonts w:ascii="Times New Roman" w:hAnsi="Times New Roman" w:cs="Times New Roman" w:eastAsia="Times New Roman"/>
                <w:sz w:val="24"/>
              </w:rPr>
              <w:t xml:space="preserve">	„(4) Poskytovateľ platobných služieb zablokuje peňažné prostriedky nachádzajúce sa na účte daňového dlžníka, ktorý je jedným z manželov, účte manžela daňového dlžníka alebo na spoločnom účte manželov najviac do výšky polovice peňažných prostriedkov nachádzajúcich sa na účte v čase doručenia rozhodnutia o začatí daňového exekučného konania; to platí aj pre peňažné prostriedky pripísané na účet po doručení tohto rozhodnutia.</w:t>
              <w:br/>
            </w:r>
            <w:r>
              <w:rPr>
                <w:b w:val="off"/>
                <w:color w:val="000000"/>
                <w:rFonts w:ascii="Times New Roman" w:hAnsi="Times New Roman" w:cs="Times New Roman" w:eastAsia="Times New Roman"/>
                <w:sz w:val="24"/>
              </w:rPr>
              <w:t xml:space="preserve">	(5) Ak sa na účte daňového dlžníka, ktorý je jedným z manželov, na účte manžela daňového dlžníka alebo na spoločnom účte manželov vykonáva daňová exekúcia na základe viacerých rozhodnutí o začatí daňového exekučného konania, celková suma zablokovaných peňažných prostriedkov nesmie presiahnuť limit podľa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odseky 4 až 9 sa označujú ako odseky 6 až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26. V § 108 ods. 7 sa slová „odseku 4“ nahrádzajú slovami „odseku 6“ a na konci sa pripája táto veta: „Ak boli peňažné prostriedky, ktoré nemali byť predmetom daňovej exekúcie, odpísané z účtu podľa odseku 2 a boli poukázané na účet správcovi dane, správca dane ich vráti na tento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27. V § 108 ods. 10 sa slová „odseku 4“ nahrádzajú slovami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28. V § 109 odsek 3 znie: </w:t>
              <w:br/>
            </w:r>
            <w:r>
              <w:rPr>
                <w:b w:val="off"/>
                <w:color w:val="000000"/>
                <w:rFonts w:ascii="Times New Roman" w:hAnsi="Times New Roman" w:cs="Times New Roman" w:eastAsia="Times New Roman"/>
                <w:sz w:val="24"/>
              </w:rPr>
              <w:t xml:space="preserve">	„(3) Daňový dlžník je povinný predložiť poskytovateľom platobných služieb a príslušnému správcovi dane písomné vyhlásenie o tom, že na jeho účte vedenom u poskytovateľa platobných služieb sú aj peňažné prostriedky, ktoré nepodliehajú daňovej exekúcii a súčasne uviesť výšku týchto peňažných prostriedkov. Poskytovateľ platobných služieb uvoľní peňažné prostriedky len po predchádzajúcom súhlase správcu dane, ktorý správca dane vydá na základe žiadosti daňového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k bodom 25 až 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25 (§ 108 ods. 4 a 5) a bode 26 (§ 108 ods. 7) sa dopĺňa osobitná úprava daňovej exekúcie prikázaním pohľadávky z účtu pri peňažných prostriedkoch patriacich do spoločného imania manželov. Upravuje sa rozsah blokácie peňažných prostriedkov najviac do výšky polovice ich hodnoty, postup pri súbehu viacerých exekučných konaní a povinnosť správcu dane vrátiť neoprávnene odpísané peňažné prostriedky. Cieľom je zabezpečiť primeranú ochranu majetkových práv manžela daňového dlžníka pri zachovaní efektívnosti daňovej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Príklad:</w:t>
              <w:br/>
            </w:r>
            <w:r>
              <w:rPr>
                <w:b w:val="off"/>
                <w:color w:val="000000"/>
                <w:rFonts w:ascii="Times New Roman" w:hAnsi="Times New Roman" w:cs="Times New Roman" w:eastAsia="Times New Roman"/>
                <w:sz w:val="24"/>
              </w:rPr>
              <w:t xml:space="preserve">	Na účte manžela daňového dlžníka sa nachádza 20 000 eur, ktoré patria do spoločného imania manželov. Daňový nedoplatok má iba druhý manžel. Podľa navrhovanej úpravy poskytovateľ platobných služieb zablokuje peňažné prostriedky najviac do výšky 10 000 eur. Ak správca dane napriek zákonnému limitu dostane na svoj účet aj sumu, ktorá nemala byť predmetom exekúcie, musí ju vrátiť na účet, z ktorého bola odpísaná.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27 ide o úpravu vnútorného odkazu v nadväznosti na vloženie nových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Úpravou v bode 28 (§ 109 ods. 3) sa zvyšuje transparentnosť pri preukazovaní spoločného imania manželov. Zároveň sa upravujú pravidlá pre uvoľňovanie prostriedkov nepodliehajúcich exekúcií, najmä v súvislosti s prostriedkami patriacimi do spoločného imania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 xml:space="preserve">Za doterajší bod 28 je potrebné vložiť nový bod 29,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 V § 129 ods. 12 druhá veta znie: „Na výťažok z dražby správca dane uplatní postup podľa § 152.“.“.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novom bode 29 (§ 129 ods. 12) sa zosúlaďuje úprava Občianskeho zákonníka v súvislosti s výkonom záložného práva a rozvrhom výťažku. Pôvodné znenie nezohľadňuje existenciu iných, napríklad prednostných záložných veriteľov. Vyžaduje sa, aby správca dane aplikoval komplexný postup pri rozdeľovaní výťažku, ktorý zohľadňuje nielen daňový nedoplatok a exekučné náklady, ale aj hierarchiu záložných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 xml:space="preserve">Za doterajší bod 30 je potrebné vložiť nový bod 31,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„31. V § 137 sa odsek 1 dopĺňa písmenom d), ktoré znie:</w:t>
              <w:br/>
            </w:r>
            <w:r>
              <w:rPr>
                <w:b w:val="off"/>
                <w:color w:val="000000"/>
                <w:rFonts w:ascii="Times New Roman" w:hAnsi="Times New Roman" w:cs="Times New Roman" w:eastAsia="Times New Roman"/>
                <w:sz w:val="24"/>
              </w:rPr>
              <w:t xml:space="preserve">	„d) je iný dôvod na jej zrušenie.“.“.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Úpravou v novom bode 31 [§ 137 ods. 1 písm. d)] sa rozširujú dôvody na zrušenie exekučného príkazu o všeobecnú klauzulu umožňujúcu jeho zrušenie aj z iného zákonného relevantného dôvodu.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 xml:space="preserve">Za doterajší bod 31 je potrebné vložiť nové body 32 až 34,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„32. Za § 148a sa vkladá § 148b, ktorý vrátane nadpisu nad paragrafom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„Desiaty oddiel</w:t>
              <w:br/>
            </w:r>
            <w:r>
              <w:rPr>
                <w:b w:val="off"/>
                <w:color w:val="000000"/>
                <w:rFonts w:ascii="Times New Roman" w:hAnsi="Times New Roman" w:cs="Times New Roman" w:eastAsia="Times New Roman"/>
                <w:sz w:val="24"/>
              </w:rPr>
              <w:t>Právo vykúpiť vec z daňovej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Oprávnenou osobou na uplatnenie práva vykúpiť vec, ktoré patrí do spoločného imania manželov, je manžel daňového dlžníka a bývalý manžel daňového dlžníka, ak spoločné imanie manželov nie je vyporiadané.</w:t>
              <w:br/>
            </w:r>
            <w:r>
              <w:rPr>
                <w:b w:val="off"/>
                <w:color w:val="000000"/>
                <w:rFonts w:ascii="Times New Roman" w:hAnsi="Times New Roman" w:cs="Times New Roman" w:eastAsia="Times New Roman"/>
                <w:sz w:val="24"/>
              </w:rPr>
              <w:t xml:space="preserve">	(2) Oprávnená osoba má právo vykúpiť spísanú hnuteľnú vec najneskôr do udelenia príklepu na dražbe za polovicu ceny určenej podľa tohto zákona. Uvedené platí aj pre opätovnú dražbu a predaj hnuteľnej veci na základe ponuky.</w:t>
              <w:br/>
            </w:r>
            <w:r>
              <w:rPr>
                <w:b w:val="off"/>
                <w:color w:val="000000"/>
                <w:rFonts w:ascii="Times New Roman" w:hAnsi="Times New Roman" w:cs="Times New Roman" w:eastAsia="Times New Roman"/>
                <w:sz w:val="24"/>
              </w:rPr>
              <w:t xml:space="preserve">	(3) Oprávnená osoba má právo vykúpiť nehnuteľnosť najneskôr do udelenia príklepu na dražbe, ak uhradí správcovi dane polovicu ceny nehnuteľnosti určenej znaleckým posudkom podľa § 131. Uvedené platí aj pre opakovanú dražbu, opätovnú dražbu a prechod vlastníckeho práva na základe ponuky, ak oprávnená osoba uhradí správcovi dane polovicu ceny nehnuteľnosti určenej podľa tohto zákona.</w:t>
              <w:br/>
            </w:r>
            <w:r>
              <w:rPr>
                <w:b w:val="off"/>
                <w:color w:val="000000"/>
                <w:rFonts w:ascii="Times New Roman" w:hAnsi="Times New Roman" w:cs="Times New Roman" w:eastAsia="Times New Roman"/>
                <w:sz w:val="24"/>
              </w:rPr>
              <w:t xml:space="preserve">	(4) Ak sa poruší právo oprávnenej osoby vykúpiť vec z daňovej exekúcie, oprávnená osoba má právo domáhať sa od nadobúdateľa, ktorý nie je daňovým dlžníkom, aby jej vec ponúkol na predaj. Toto právo zaniká, ak sa neuplatní do troch mesiacov od speňaženia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33. V § 151 odsek 2 znie: </w:t>
              <w:br/>
            </w:r>
            <w:r>
              <w:rPr>
                <w:b w:val="off"/>
                <w:color w:val="000000"/>
                <w:rFonts w:ascii="Times New Roman" w:hAnsi="Times New Roman" w:cs="Times New Roman" w:eastAsia="Times New Roman"/>
                <w:sz w:val="24"/>
              </w:rPr>
              <w:t xml:space="preserve">	„(2) Na daňový exekučný účet sa poukazujú tieto platby:</w:t>
              <w:br/>
            </w:r>
            <w:r>
              <w:rPr>
                <w:b w:val="off"/>
                <w:color w:val="000000"/>
                <w:rFonts w:ascii="Times New Roman" w:hAnsi="Times New Roman" w:cs="Times New Roman" w:eastAsia="Times New Roman"/>
                <w:sz w:val="24"/>
              </w:rPr>
              <w:t xml:space="preserve">	a) plnenie na základe daňovej exekučnej výzvy vydanej správcom dane,</w:t>
              <w:br/>
            </w:r>
            <w:r>
              <w:rPr>
                <w:b w:val="off"/>
                <w:color w:val="000000"/>
                <w:rFonts w:ascii="Times New Roman" w:hAnsi="Times New Roman" w:cs="Times New Roman" w:eastAsia="Times New Roman"/>
                <w:sz w:val="24"/>
              </w:rPr>
              <w:t xml:space="preserve">	b) plnenia z jednotlivých spôsobov vykonávania daňovej exekúcie podľa § 98 ods. 1, </w:t>
              <w:br/>
            </w:r>
            <w:r>
              <w:rPr>
                <w:b w:val="off"/>
                <w:color w:val="000000"/>
                <w:rFonts w:ascii="Times New Roman" w:hAnsi="Times New Roman" w:cs="Times New Roman" w:eastAsia="Times New Roman"/>
                <w:sz w:val="24"/>
              </w:rPr>
              <w:t xml:space="preserve">	c) z predaja na dražbe, z predaja na základe ponuky alebo z prechodu vlastníckeho práva k nehnuteľnosti alebo k majetku podniku alebo jeho časti na základe ponuky,</w:t>
              <w:br/>
            </w:r>
            <w:r>
              <w:rPr>
                <w:b w:val="off"/>
                <w:color w:val="000000"/>
                <w:rFonts w:ascii="Times New Roman" w:hAnsi="Times New Roman" w:cs="Times New Roman" w:eastAsia="Times New Roman"/>
                <w:sz w:val="24"/>
              </w:rPr>
              <w:t xml:space="preserve">	d) na základe uplatnenia predkupného práva spoluvlastníkom,</w:t>
              <w:br/>
            </w:r>
            <w:r>
              <w:rPr>
                <w:b w:val="off"/>
                <w:color w:val="000000"/>
                <w:rFonts w:ascii="Times New Roman" w:hAnsi="Times New Roman" w:cs="Times New Roman" w:eastAsia="Times New Roman"/>
                <w:sz w:val="24"/>
              </w:rPr>
              <w:t xml:space="preserve">	e) z dražobnej zábezpeky vydražiteľa, ktorý nezaplatil najvyššie podanie podľa § 144 ods. 2,</w:t>
              <w:br/>
            </w:r>
            <w:r>
              <w:rPr>
                <w:b w:val="off"/>
                <w:color w:val="000000"/>
                <w:rFonts w:ascii="Times New Roman" w:hAnsi="Times New Roman" w:cs="Times New Roman" w:eastAsia="Times New Roman"/>
                <w:sz w:val="24"/>
              </w:rPr>
              <w:t xml:space="preserve">	f) z dražobnej zábezpeky vydražiteľa,</w:t>
              <w:br/>
            </w:r>
            <w:r>
              <w:rPr>
                <w:b w:val="off"/>
                <w:color w:val="000000"/>
                <w:rFonts w:ascii="Times New Roman" w:hAnsi="Times New Roman" w:cs="Times New Roman" w:eastAsia="Times New Roman"/>
                <w:sz w:val="24"/>
              </w:rPr>
              <w:t xml:space="preserve">	g) z dražobných zábezpek dražiteľov,</w:t>
              <w:br/>
            </w:r>
            <w:r>
              <w:rPr>
                <w:b w:val="off"/>
                <w:color w:val="000000"/>
                <w:rFonts w:ascii="Times New Roman" w:hAnsi="Times New Roman" w:cs="Times New Roman" w:eastAsia="Times New Roman"/>
                <w:sz w:val="24"/>
              </w:rPr>
              <w:t xml:space="preserve">	h) z úhrad exekučných nákladov a hotových výdavkov,</w:t>
              <w:br/>
            </w:r>
            <w:r>
              <w:rPr>
                <w:b w:val="off"/>
                <w:color w:val="000000"/>
                <w:rFonts w:ascii="Times New Roman" w:hAnsi="Times New Roman" w:cs="Times New Roman" w:eastAsia="Times New Roman"/>
                <w:sz w:val="24"/>
              </w:rPr>
              <w:t xml:space="preserve">	i) plnenie prijaté od dožiadaného orgánu členského alebo zmluvného štátu podľa osobitného predpisu,93)</w:t>
              <w:br/>
            </w:r>
            <w:r>
              <w:rPr>
                <w:b w:val="off"/>
                <w:color w:val="000000"/>
                <w:rFonts w:ascii="Times New Roman" w:hAnsi="Times New Roman" w:cs="Times New Roman" w:eastAsia="Times New Roman"/>
                <w:sz w:val="24"/>
              </w:rPr>
              <w:t xml:space="preserve">	j) plnenie z iných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34. § 152 sa dopĺňa odsekom 9, ktorý znie: </w:t>
              <w:br/>
            </w:r>
            <w:r>
              <w:rPr>
                <w:b w:val="off"/>
                <w:color w:val="000000"/>
                <w:rFonts w:ascii="Times New Roman" w:hAnsi="Times New Roman" w:cs="Times New Roman" w:eastAsia="Times New Roman"/>
                <w:sz w:val="24"/>
              </w:rPr>
              <w:t xml:space="preserve">	„(9) Ak sa dosiahne výťažok z predaja veci, ktorá patrila do spoločného imania manželov a právo vykúpiť vec z daňovej exekúcie podľa § 148b nebolo úspešne uplatnené, správca dane vyplatí polovicu dosiahnutého výťažku manželovi daňového dlžníka na účet, ktorý na tento účel oznámi správcovi dane manžel daňového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k bodom 32 až 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32 (§ 148b) sa zavádza právo manžela daňového dlžníka, prípadne bývalého manžela pri nevyporiadanom spoločnom imaní manželov, vykúpiť vec patriacu do spoločného imania manželov pred jej speňažením v daňovej exekúcii. Súčasne sa upravujú následky porušenia tohto práva a spôsob naloženia s výťažkom z predaja tak, aby polovica výťažku pripadajúca na podiel v spoločnom imaní bola vyplatená manželovi daňového dlžníka. Navrhovaná úprava sleduje zosúladenie Daňového poriadku s novou hmotnoprávnou úpravou spoločného imania manželov a posilňuje ochranu majetkových práv osoby, ktorá nie je daňovým dlžníkom.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33 (§ 151 ods. 2) sa navrhovanou zmenou zabezpečí potreba riadneho účtovania vymožených prostriedkov na základe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34 (§ 152 ods. 9) sa zosúlaďuje spôsob vyplatenia polovice dosiahnutého výťažku manželovi daňového dlžníka v súlade s novým Občianskym zákonníkom.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(Daňový poriadok)</w:t>
              <w:br/>
            </w:r>
            <w:r>
              <w:rPr>
                <w:b w:val="off"/>
                <w:color w:val="000000"/>
                <w:rFonts w:ascii="Times New Roman" w:hAnsi="Times New Roman" w:cs="Times New Roman" w:eastAsia="Times New Roman"/>
                <w:sz w:val="24"/>
              </w:rPr>
              <w:t>Za bod 32 je potrebné vložiť nový bod 33,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165r</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Platnosť a právne účinky úkonov vykonaných v daňovom exekučnom konaní do 30. júna 2027 zostávajú zachované. Ustanovenia § 88, § 90 až 92, § 95, § 96, § 108 až 110, § 112, § 117, § 123, § 130, § 137, § 147, § 148b a 152 v znení účinnom od 1. júla 2027 sa použijú aj na daňové exekučné konanie začaté a neukončené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Doterajší bod 33 sa primerane prečísluje.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novom bode 33 (§ 165r) sa navrhuje prechodným ustanovením zabezpečiť kontinuita daňových exekučných konaní začatých a neukončených pred 1. júlom 2027. Zachováva sa platnosť a právne účinky úkonov vykonaných do 30. júna 2027 a zároveň sa ustanovuje použitie novej právnej úpravy na ďalší postup v týchto konaniach. Cieľom je zabezpečiť jednotný postup správcu dane pri uplatňovaní novej právnej úpravy a predísť pochybnostiam o jej časovej pôsobnosti. Uvedená zmena zabezpečuje, aby negatívne dopady daňovej exekúcie na vlastnícke právo daňového dlžníka pominuli bezodkladne po zastavení daňového exekučného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 (zákon SNR. č. 71/1992 Zb. o súdnych poplatkoch)</w:t>
              <w:br/>
            </w:r>
            <w:r>
              <w:rPr>
                <w:b w:val="off"/>
                <w:color w:val="000000"/>
                <w:rFonts w:ascii="Times New Roman" w:hAnsi="Times New Roman" w:cs="Times New Roman" w:eastAsia="Times New Roman"/>
                <w:sz w:val="24"/>
              </w:rPr>
              <w:t xml:space="preserve">Za bod 4 je potrebné vložiť nové body 5 až 9, ktoré znejú: </w:t>
              <w:br/>
            </w:r>
            <w:r>
              <w:rPr>
                <w:b w:val="off"/>
                <w:color w:val="000000"/>
                <w:rFonts w:ascii="Times New Roman" w:hAnsi="Times New Roman" w:cs="Times New Roman" w:eastAsia="Times New Roman"/>
                <w:sz w:val="24"/>
              </w:rPr>
              <w:t xml:space="preserve">	„5. V prílohe Sadzobníku súdnych poplatkov položke 1 časti Poznámky k položke 1 bode 6. sa slová „obchodnej spoločnosti alebo družstva“ nahrádzajú slovami „právnickej osoby“ a slovo „vymenovanie“ sa nahrádza slovom „ustanovenie“.</w:t>
              <w:br/>
            </w:r>
            <w:r>
              <w:rPr>
                <w:b w:val="off"/>
                <w:color w:val="000000"/>
                <w:rFonts w:ascii="Times New Roman" w:hAnsi="Times New Roman" w:cs="Times New Roman" w:eastAsia="Times New Roman"/>
                <w:sz w:val="24"/>
              </w:rPr>
              <w:t xml:space="preserve">	6. V prílohe Sadzobníku súdnych poplatkov položke 6 písm. a) a b) sa za slová „bezpodielového spoluvlastníctva manželov“ vkladajú slová „alebo jeho časti“.</w:t>
              <w:br/>
            </w:r>
            <w:r>
              <w:rPr>
                <w:b w:val="off"/>
                <w:color w:val="000000"/>
                <w:rFonts w:ascii="Times New Roman" w:hAnsi="Times New Roman" w:cs="Times New Roman" w:eastAsia="Times New Roman"/>
                <w:sz w:val="24"/>
              </w:rPr>
              <w:t xml:space="preserve">	7. V prílohe Sadzobníku súdnych poplatkov položke 7b písm. a) a b) a položke 7d písm. a) a b) sa slovo „ujmy“ nahrádza slovom „škody“.</w:t>
              <w:br/>
            </w:r>
            <w:r>
              <w:rPr>
                <w:b w:val="off"/>
                <w:color w:val="000000"/>
                <w:rFonts w:ascii="Times New Roman" w:hAnsi="Times New Roman" w:cs="Times New Roman" w:eastAsia="Times New Roman"/>
                <w:sz w:val="24"/>
              </w:rPr>
              <w:t xml:space="preserve">	8. V prílohe Sadzobníku súdnych poplatkov položke 13a sa slová „obchodnej spoločnosti alebo družstva“ nahrádzajú slovami „právnickej osoby“.</w:t>
              <w:br/>
            </w:r>
            <w:r>
              <w:rPr>
                <w:b w:val="off"/>
                <w:color w:val="000000"/>
                <w:rFonts w:ascii="Times New Roman" w:hAnsi="Times New Roman" w:cs="Times New Roman" w:eastAsia="Times New Roman"/>
                <w:sz w:val="24"/>
              </w:rPr>
              <w:t xml:space="preserve">	9. V prílohe Sadzobníku súdnych poplatkov sa vypúšťa položka 18e.“.</w:t>
              <w:br/>
            </w:r>
            <w:r>
              <w:rPr>
                <w:b w:val="off"/>
                <w:color w:val="000000"/>
                <w:rFonts w:ascii="Times New Roman" w:hAnsi="Times New Roman" w:cs="Times New Roman" w:eastAsia="Times New Roman"/>
                <w:sz w:val="24"/>
              </w:rPr>
              <w:t xml:space="preserve">	Nasledujúce body sa primerane prečíslujú.</w:t>
              <w:br/>
            </w:r>
            <w:r>
              <w:rPr>
                <w:b w:val="off"/>
                <w:color w:val="000000"/>
                <w:rFonts w:ascii="Times New Roman" w:hAnsi="Times New Roman" w:cs="Times New Roman" w:eastAsia="Times New Roman"/>
                <w:sz w:val="24"/>
              </w:rPr>
              <w:t xml:space="preserve">	Zmeny v bodoch 5 a 8 súvisia so zmenou piatej hlavy druhej časti Civilného mimosporového poriadku, kde dochádza k zovšeobecneniu súčasnej úpravy konania o zrušení obchodnej spoločnosti alebo družstva na konanie o zrušení právnickej osoby, a to v reakcii na znenie nového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Zmena v bode 6 súvisí s úpravou nového Občianskeho zákonníka, ktorý predpokladá možnosť vyporiadania len časti spoločného imania manželov, preto je potrebné doplnenie navrhovaných slov do príslušnej položky.</w:t>
              <w:br/>
            </w:r>
            <w:r>
              <w:rPr>
                <w:b w:val="off"/>
                <w:color w:val="000000"/>
                <w:rFonts w:ascii="Times New Roman" w:hAnsi="Times New Roman" w:cs="Times New Roman" w:eastAsia="Times New Roman"/>
                <w:sz w:val="24"/>
              </w:rPr>
              <w:t xml:space="preserve">	Zmena v bode 7 je potrebná vzhľadom na zásadné zmeny, ktoré so sebou prináša nový Občiansky zákonník v úprave mimozmluvných (deliktných) záväzkoch. Doteraz používaný pojem „ujma“ (pripadne jeho alternatívy ako „nemajetková ujma“) by sa v zásade mal nahradiť pojmom „škoda“, resp. „nemajetková škoda“.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Vypustenie položky 18e (v bode 9) súvisí so skutočnosťou, že táto položka je obsolentná, pretože zoznam závetov a listín o vydedení od roku 2003 nevedie súd, ale Notárska komora SR. Zákonom č. 526/2002 Z. z. bol s účinnosťou od 1. januára 2003 v čl. II novelizovaný zákon SNR č. 323/1992 Zb. o notároch a notárskej činnosti (Notársky poriadok) v znení neskorších predpisov, ktorým sa zaviedol Notársky centrálny register závetov. Jeho správa patrí výlučne Notárskej komore SR. Za uloženie závetov a listín o vydedení do tohto registra sa platí odmena notárovi podľa vyhlášky Ministerstva spravodlivosti SR č. 31/1993 Z. z. o odmenách a náhradách notárov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w:t>
              <w:br/>
            </w:r>
            <w:r>
              <w:rPr>
                <w:b w:val="off"/>
                <w:color w:val="000000"/>
                <w:rFonts w:ascii="Times New Roman" w:hAnsi="Times New Roman" w:cs="Times New Roman" w:eastAsia="Times New Roman"/>
                <w:sz w:val="24"/>
              </w:rPr>
              <w:t>V súvislosti s navrhovanými zmenami a úpravami v odkazoch a citáciách v poznámkach pod čiarou navrhujeme v celom texte zákona prehodnotiť spôsob odkazovania na ustanovenia Občianskeho zákonníka, pretože Občiansky zákonník nie je osobitným predpisom, ale právnym predpisom kódexového typu. V uvedenom kontexte navrhujeme prehodnotiť aj opodstatnenosť niektorých odkazov a poznámok pod čiarou, napríklad v bode 1 § 2 písm. d) poznámku pod čiarou k odkazu 2, v bode 6 poznámku pod čiarou k odkazu 10aa, v bode 37 poznámku pod čiarou k odkazu 12aaac, v bode 38 poznámku pod čiarou k odkazu 12ea alebo v bode 44 poznámku pod čiarou k odkazu 12h.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1</w:t>
              <w:br/>
            </w:r>
            <w:r>
              <w:rPr>
                <w:b w:val="off"/>
                <w:color w:val="000000"/>
                <w:rFonts w:ascii="Times New Roman" w:hAnsi="Times New Roman" w:cs="Times New Roman" w:eastAsia="Times New Roman"/>
                <w:sz w:val="24"/>
              </w:rPr>
              <w:t xml:space="preserve">V § 1 ods. 1 písm. d) navrhujeme za slovo „vstavby“ vložiť čiarku a slovo „prístavby“.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Uvedené doplnenie navrhujeme z dôvodu uvádzania úplného výpočtu stavebných úprav, ktorými možno nadobudnúť vlastníctvo bytu, nebytového priestoru alebo spoločných častí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1</w:t>
              <w:br/>
            </w:r>
            <w:r>
              <w:rPr>
                <w:b w:val="off"/>
                <w:color w:val="000000"/>
                <w:rFonts w:ascii="Times New Roman" w:hAnsi="Times New Roman" w:cs="Times New Roman" w:eastAsia="Times New Roman"/>
                <w:sz w:val="24"/>
              </w:rPr>
              <w:t>V § 2 písm. d) navrhujeme vypustiť časť vety za bodkočiarkou, pretože odkaz na Občiansky zákonník ako osobitný predpis je nepotrebný. Zároveň je potrebné vypustiť poznámku pod čiarou k odkazu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1</w:t>
              <w:br/>
            </w:r>
            <w:r>
              <w:rPr>
                <w:b w:val="off"/>
                <w:color w:val="000000"/>
                <w:rFonts w:ascii="Times New Roman" w:hAnsi="Times New Roman" w:cs="Times New Roman" w:eastAsia="Times New Roman"/>
                <w:sz w:val="24"/>
              </w:rPr>
              <w:t>V § 2 písm. k) navrhujeme vypustiť slová „spoločných zariadení domu,“ a slovo „spoločenské“ nahradiť slovom „spoločné“.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1</w:t>
              <w:br/>
            </w:r>
            <w:r>
              <w:rPr>
                <w:b w:val="off"/>
                <w:color w:val="000000"/>
                <w:rFonts w:ascii="Times New Roman" w:hAnsi="Times New Roman" w:cs="Times New Roman" w:eastAsia="Times New Roman"/>
                <w:sz w:val="24"/>
              </w:rPr>
              <w:t>V § 2 navrhujeme vypustiť odkazy 5b, 5c a 5d vrátane poznámok pod čiarou k týmto odkazom. Uvedené odkazy považujeme za nadbytočné, pretože dotknuté pojmy sú upravené na účely zákona NR SR č. 182/1993 Z. z. o vlastníctve bytov a nebytových priestorov a Občiansky zákonník ich nedefinuje.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58</w:t>
              <w:br/>
            </w:r>
            <w:r>
              <w:rPr>
                <w:b w:val="off"/>
                <w:color w:val="000000"/>
                <w:rFonts w:ascii="Times New Roman" w:hAnsi="Times New Roman" w:cs="Times New Roman" w:eastAsia="Times New Roman"/>
                <w:sz w:val="24"/>
              </w:rPr>
              <w:t xml:space="preserve">V bode 58 poznámke pod čiarou k odkazu 14a navrhujeme prehodnotiť charakter a znenie citácie, pretože sa uvádza citácia demonštratívneho charakteru s odkazom na Občiansky zákonník, ktorý nie je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navrhovaná úprava si vyžaduje taxatívny výpočet skutočností, na ktoré by sa malo vzťahovať požadované kvórum pri hlasovaní. Ustanovenie v navrhovanom znení môže v praxi vyvolať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bodom 63 a 65</w:t>
              <w:br/>
            </w:r>
            <w:r>
              <w:rPr>
                <w:b w:val="off"/>
                <w:color w:val="000000"/>
                <w:rFonts w:ascii="Times New Roman" w:hAnsi="Times New Roman" w:cs="Times New Roman" w:eastAsia="Times New Roman"/>
                <w:sz w:val="24"/>
              </w:rPr>
              <w:t xml:space="preserve">Body 63 a 65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5 ods. 3 Stavebného zákona prístavbou je pôdorysné rozšírenie existujúcej stavby pri zachovaní konštrukčnej a prevádzkovej jednoty stavby. Keďže pri prístavbe dochádza k pôdorysnému rozšíreniu existujúcej stavby, stavebník je povinný preukázať vlastnícke právo alebo iné právo k pozemku, na ktorom sa bude stavba realizovať. Týmto právom, ktoré oprávňuje uskutočniť stavbu podľa § 29 ods. 1 Stavebného zákona, musia disponovať všetci vlastníci bytov a nebytových priestorov. Z uvedeného dôvodu je potrebné zachovať existujúce stopercentné hlasovacie kvórum pri rozhodovaní o prístavbe.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64</w:t>
              <w:br/>
            </w:r>
            <w:r>
              <w:rPr>
                <w:b w:val="off"/>
                <w:color w:val="000000"/>
                <w:rFonts w:ascii="Times New Roman" w:hAnsi="Times New Roman" w:cs="Times New Roman" w:eastAsia="Times New Roman"/>
                <w:sz w:val="24"/>
              </w:rPr>
              <w:t xml:space="preserve">Bod 64 navrhujeme preformulovať takto: </w:t>
              <w:br/>
            </w:r>
            <w:r>
              <w:rPr>
                <w:b w:val="off"/>
                <w:color w:val="000000"/>
                <w:rFonts w:ascii="Times New Roman" w:hAnsi="Times New Roman" w:cs="Times New Roman" w:eastAsia="Times New Roman"/>
                <w:sz w:val="24"/>
              </w:rPr>
              <w:t xml:space="preserve">	„64. V § 14b ods. 3 písm. a) sa vypúšťa slovo „podielovom“.“.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64 [§ 14b ods. 3 písm. a)] sa navrhuje slovo „podielovom“ nahradiť slovom „pridruženom“. Odporúčame nenahrádzať slovo „podielovom“ slovom „pridruženom“, pretože v tomto kontexte nejde o pridružené spoluvlastníctvo. Nový Občiansky zákonník používa len pojem „spoluvlastníctvo“ (§ 1506), preto v § 14b ods. 3 písm. a) je potrebné vypustiť slovo „podielovom“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(zákon NR SR č. 182/1993 Z. z. o vlastníctve bytov a nebytových priestorov) K bodu 70</w:t>
              <w:br/>
            </w:r>
            <w:r>
              <w:rPr>
                <w:b w:val="off"/>
                <w:color w:val="000000"/>
                <w:rFonts w:ascii="Times New Roman" w:hAnsi="Times New Roman" w:cs="Times New Roman" w:eastAsia="Times New Roman"/>
                <w:sz w:val="24"/>
              </w:rPr>
              <w:t xml:space="preserve">V bode 70 § 32k navrhujeme vypustiť odsek 2 a v nadväznosti na túto zmenu odsek 3 označiť ako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zmluvy o spoločenstve a zmluvy o výkone správy upravujú splatnosť úhrad mesačne vopred, čo nebude ani po 1. júli 2027 v rozpore s novým Občianskym zákonníkom. Z uvedeného dôvodu je požiadavka na zosúladenie týchto zmlúv s § 1720 a 1723 Občianskeho zákonníka, ktoré upravujú splatnosť najneskôr do konca príslušného kalendárneho mesiaca, neopodstatnená. Navyše, takéto prechodné ustanovenie malo byť súčasťou Občianskeho zákonníka, keďže tento právny predpis v rámci úpravy správy domov upravuje aj splatnosť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XXV (zákon NR SR č. 278/1993 Z. z. o správe majetku štátu) K bodu 12</w:t>
              <w:br/>
            </w:r>
            <w:r>
              <w:rPr>
                <w:b w:val="off"/>
                <w:color w:val="000000"/>
                <w:rFonts w:ascii="Times New Roman" w:hAnsi="Times New Roman" w:cs="Times New Roman" w:eastAsia="Times New Roman"/>
                <w:sz w:val="24"/>
              </w:rPr>
              <w:t xml:space="preserve">V bode 12 je potrebné odkaz „17b“ nahradiť odkazom „17a“.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opravu nesprávneho odkazu na poznámku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XXV (zákon NR SR č. 278/1993 Z. z. o správe majetku štátu) K bodu 40</w:t>
              <w:br/>
            </w:r>
            <w:r>
              <w:rPr>
                <w:b w:val="off"/>
                <w:color w:val="000000"/>
                <w:rFonts w:ascii="Times New Roman" w:hAnsi="Times New Roman" w:cs="Times New Roman" w:eastAsia="Times New Roman"/>
                <w:sz w:val="24"/>
              </w:rPr>
              <w:t xml:space="preserve">V bode 40 § 13a ods. 7 je potrebné slová „hnuteľné veci a nehnuteľné veci vo vlastníctve štátu“ nahradiť slovami „hnuteľný majetok štátu a nehnuteľný majetok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navrhujeme z dôvodu spresnenia a zjednotenia používanej terminológie v súvislosti s majetkom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XXV (zákon NR SR č. 278/1993 Z. z. o správe majetku štátu) K bodu 44</w:t>
              <w:br/>
            </w:r>
            <w:r>
              <w:rPr>
                <w:b w:val="off"/>
                <w:color w:val="000000"/>
                <w:rFonts w:ascii="Times New Roman" w:hAnsi="Times New Roman" w:cs="Times New Roman" w:eastAsia="Times New Roman"/>
                <w:sz w:val="24"/>
              </w:rPr>
              <w:t xml:space="preserve">V bode 44 je potrebné za slová „ods. 2“ vložiť slová „úvodnej vete“ a pred slovo „Úrad“ vložiť slovo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legislatívno-technické spresnenie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XLVII (zákon č. 315/2001 Z. z. o Hasičskom a záchrannom zbore)  K bodu 26</w:t>
              <w:br/>
            </w:r>
            <w:r>
              <w:rPr>
                <w:b w:val="off"/>
                <w:color w:val="000000"/>
                <w:rFonts w:ascii="Times New Roman" w:hAnsi="Times New Roman" w:cs="Times New Roman" w:eastAsia="Times New Roman"/>
                <w:sz w:val="24"/>
              </w:rPr>
              <w:t>Bod 26 odporúčame preformulovať z dôvodu terminologickej nesprávnosti.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bodu 26 sa zamieňajú pojmy „pohľadávka“ a „dlh“. V pôvodnom znení § 176 ods. 3 sa upravuje povinnosť príslušníka zaplatiť peňažnú sumu služobnému úradu, ktorá predstavuje dlh príslušníka, a nie peňažnú pohľadávku príslušníka voči služobnému úradu. Rovnako nie je správne formulované ani ustanovenie o uspokojení peňažnej pohľadávky ručiteľom, keďže v danom prípade ide o zabezpečenie dlhu (záväzku) príslušníka, ktorý má ručiteľ splniť, ak ho nesplní príslušník sám. Z uvedených dôvodov navrhujeme uvedené ustanovenie preformulovať tak, aby zodpovedalo povahe upravovaného právneho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LXII (zákon č. 431/2002 Z. z. o účtovníctve)</w:t>
              <w:br/>
            </w:r>
            <w:r>
              <w:rPr>
                <w:b w:val="off"/>
                <w:color w:val="000000"/>
                <w:rFonts w:ascii="Times New Roman" w:hAnsi="Times New Roman" w:cs="Times New Roman" w:eastAsia="Times New Roman"/>
                <w:sz w:val="24"/>
              </w:rPr>
              <w:t>„Čl. LXII</w:t>
              <w:br/>
            </w:r>
            <w:r>
              <w:rPr>
                <w:b w:val="off"/>
                <w:color w:val="000000"/>
                <w:rFonts w:ascii="Times New Roman" w:hAnsi="Times New Roman" w:cs="Times New Roman" w:eastAsia="Times New Roman"/>
                <w:sz w:val="24"/>
              </w:rPr>
              <w:t xml:space="preserve">	Zákon č. 431/2002 Z. z. o účtovníctve v znení zákona č. 562/2003 Z. z., zákona č. 561/2004 Z. z., zákona č. 518/2005 Z. z., zákona č. 688/2006 Z. z., zákona č. 198/2007 Z. z., zákona č. 540/2007 Z. z., zákona č. 621/2007 Z. z., zákona č. 378/2008 Z. z., zákona č. 465/2008 Z. z., zákona č. 567/2008 Z. z., zákona č. 61/2009 Z. z., zákona č. 492/2009 Z. z., zákona č. 504/2009 Z. z., zákona č. 486/2010 Z. z., zákona č. 547/2011 Z. z., zákona č. 440/2012 Z. z., zákona č. 352/2013 Z. z., zákona č. 463/2013 Z. z., zákona č. 333/2014 Z. z., zákona č. 130/2015 Z. z., zákona č. 423/2015 Z. z., zákona č. 125/2016 Z. z., zákona č. 264/2017 Z. z., zákona č. 275/2017 Z. z., zákona č. 213/2018 Z. z., zákona č. 363/2019 Z. z., zákona č. 390/2019 Z. z., zákona č. 198/2020 Z. z., zákona č. 421/2020 Z. z., zákona č. 456/2021 Z. z., zákona č. 249/2022 Z. z., zákona č. 407/2022 Z. z., zákona č. 309/2023 Z. z., zákona č. 105/2024 Z. z., zákona č. 248/2024 Z. z., zákona č. 109/2025 Z. z., zákona č. 187/2025 Z. z., zákona č. 385/2025 Z. z., nálezu Ústavného súdu Slovenskej republiky č. 13/2026 Z. z., zákona č. 85/2026 Z. z. a zákona č. .../2026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Poznámka pod čiarou k odkazu 1 znie:</w:t>
              <w:br/>
            </w:r>
            <w:r>
              <w:rPr>
                <w:b w:val="off"/>
                <w:color w:val="000000"/>
                <w:rFonts w:ascii="Times New Roman" w:hAnsi="Times New Roman" w:cs="Times New Roman" w:eastAsia="Times New Roman"/>
                <w:sz w:val="24"/>
              </w:rPr>
              <w:t xml:space="preserve">	„1) § 2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 16 ods. 4 písm. h) sa slová „obchodného registra“ nahrádzajú slovami „verejného registra, v ktorom je zapísaná“.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V poznámke pod čiarou k odkazu 20b sa slová „§ 309d až 309h“ nahrádzajú slovami „§ 309a až 309d“.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Poznámka pod čiarou k odkazu 22a znie:</w:t>
              <w:br/>
            </w:r>
            <w:r>
              <w:rPr>
                <w:b w:val="off"/>
                <w:color w:val="000000"/>
                <w:rFonts w:ascii="Times New Roman" w:hAnsi="Times New Roman" w:cs="Times New Roman" w:eastAsia="Times New Roman"/>
                <w:sz w:val="24"/>
              </w:rPr>
              <w:t xml:space="preserve">	„22a) Nariadenie Európskeho parlamentu a Rady (ES) č. 1606/2002 z 19. júla 2002 o uplatňovaní medzinárodných účtovných noriem (Mimoriadne vydanie Ú. v. EÚ, kap. 13/zv. 29; Ú. v. ES L 243, 11. 9. 2002) v platnom znení.</w:t>
              <w:br/>
            </w:r>
            <w:r>
              <w:rPr>
                <w:b w:val="off"/>
                <w:color w:val="000000"/>
                <w:rFonts w:ascii="Times New Roman" w:hAnsi="Times New Roman" w:cs="Times New Roman" w:eastAsia="Times New Roman"/>
                <w:sz w:val="24"/>
              </w:rPr>
              <w:t xml:space="preserve">	Nariadenie Komisie (EÚ) 2023/1803 z 13. augusta 2023, ktorým sa v súlade s nariadením Európskeho parlamentu a Rady (ES) č. 1606/2002 prijímajú určité medzinárodné účtovné štandardy (Ú. v. EÚ L 237, 26. 9. 2023)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V § 17a ods. 3 písm. c) sa nad slovom „dňom“ vypúšťa odkaz 7a.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Poznámka pod čiarou k odkazu 7a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 V § 23a ods. 6 sa slová „bez zbytočného odkladu“ nahrádzajú slovom „bezodkladne“.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V § 23a ods. 10 sa na konci pripája táto veta: „Správca  dedičstva29iaaa)  je povinný uložiť dokumenty podľa § 23 ods. 2 za účtovnú jednotku uvedenú v § 1 ods. 1 písm. a) treťom bode, ktorá zomrela a za účtovnú jednotku, ktorej obchodný podiel je predmetom dedičstva a ktorej jediný konateľ a spoločník zomrel, až do právoplatného skončenia konania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29iaaa znie:</w:t>
              <w:br/>
            </w:r>
            <w:r>
              <w:rPr>
                <w:b w:val="off"/>
                <w:color w:val="000000"/>
                <w:rFonts w:ascii="Times New Roman" w:hAnsi="Times New Roman" w:cs="Times New Roman" w:eastAsia="Times New Roman"/>
                <w:sz w:val="24"/>
              </w:rPr>
              <w:t xml:space="preserve">	„29iaaa) § 4a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 Poznámka pod čiarou k odkazu 29ka znie:</w:t>
              <w:br/>
            </w:r>
            <w:r>
              <w:rPr>
                <w:b w:val="off"/>
                <w:color w:val="000000"/>
                <w:rFonts w:ascii="Times New Roman" w:hAnsi="Times New Roman" w:cs="Times New Roman" w:eastAsia="Times New Roman"/>
                <w:sz w:val="24"/>
              </w:rPr>
              <w:t xml:space="preserve">	„29ka) § 34 písm. h) zákona č. 29/2026 Z. z. o obchodnom registri a o zmene a doplnení niektorých zákonov (zákon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9. Poznámky pod čiarou k odkazom 41, 42 a 43 znejú:</w:t>
              <w:br/>
            </w:r>
            <w:r>
              <w:rPr>
                <w:b w:val="off"/>
                <w:color w:val="000000"/>
                <w:rFonts w:ascii="Times New Roman" w:hAnsi="Times New Roman" w:cs="Times New Roman" w:eastAsia="Times New Roman"/>
                <w:sz w:val="24"/>
              </w:rPr>
              <w:t xml:space="preserve">	„41) § 962 Občianskeho zákonníka.</w:t>
              <w:br/>
            </w:r>
            <w:r>
              <w:rPr>
                <w:b w:val="off"/>
                <w:color w:val="000000"/>
                <w:rFonts w:ascii="Times New Roman" w:hAnsi="Times New Roman" w:cs="Times New Roman" w:eastAsia="Times New Roman"/>
                <w:sz w:val="24"/>
              </w:rPr>
              <w:t xml:space="preserve">	42) § 426  Občianskeho zákonníka.</w:t>
              <w:br/>
            </w:r>
            <w:r>
              <w:rPr>
                <w:b w:val="off"/>
                <w:color w:val="000000"/>
                <w:rFonts w:ascii="Times New Roman" w:hAnsi="Times New Roman" w:cs="Times New Roman" w:eastAsia="Times New Roman"/>
                <w:sz w:val="24"/>
              </w:rPr>
              <w:t xml:space="preserve">	43) § 1467 až 1469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V § 36 ods. 3 sa slovo „lehôt“ nahrádza slovom „dôb“ a slovo „lehoty“ sa nahrádza slovom „doby“.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 Slová „zbierky listín“ vo všetkých tvaroch sa v celom texte zákona nahrádzajú slovami „zbierky dokumentov“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Súčasne je potrebné do osobitnej časti dôvodovej správy text k čl. LXII nahradiť textom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LXII </w:t>
              <w:br/>
            </w:r>
            <w:r>
              <w:rPr>
                <w:b w:val="off"/>
                <w:color w:val="000000"/>
                <w:rFonts w:ascii="Times New Roman" w:hAnsi="Times New Roman" w:cs="Times New Roman" w:eastAsia="Times New Roman"/>
                <w:sz w:val="24"/>
              </w:rPr>
              <w:t>(zákon č. 431/2002 Z. z. o účtovníctve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1 až 6, 8 až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legislatívno-technické úpravy v nadväznosti na nový Občiansky zákonník a zmeny uskutočnené v Obchodnom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Dopĺňa sa správca dedičstva v nadväznosti na § 4a Daňového poriadku. Správca dedičstva bude povinný vykonávať úkony spojené s povinnosťou uložiť účtovné dokumenty za účtovnú jednotku, ktorá je fyzickou osobou, v prípade jej úmrtia, ako aj za účtovnú jednotku, ktorej obchodný podiel je predmetom dedičstva a ktorej jediný konateľ a spoločník zomrel. Uvedené bude povinný uskutočňovať až do právoplatného skončenia konania o dedičstve.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3 je potrebné vložiť nový bod 4, ktorý znie: </w:t>
              <w:br/>
            </w:r>
            <w:r>
              <w:rPr>
                <w:b w:val="off"/>
                <w:color w:val="000000"/>
                <w:rFonts w:ascii="Times New Roman" w:hAnsi="Times New Roman" w:cs="Times New Roman" w:eastAsia="Times New Roman"/>
                <w:sz w:val="24"/>
              </w:rPr>
              <w:t xml:space="preserve">	„4. V § 2 písm. s) úvodnej vete sa slová „nájomnej zmluvy s dojednaným právom kúpy prenajatej veci“ nahrádzajú slovami „zmluvy o finančnom prenájme“.“.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reaguje na terminologickú zmenu v novom Občianskom zákonníku, ktorý nahrádza doterajšiu zmluvu o kúpe prenajatej veci zmluvou o finančnom prenájme.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V bode 5 je potrebné slová „§ 9 ods. 1 písm. n) a t)“ nahradiť slovami „§ 9 ods. 1 písm. t) a ods. 2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uvedenie správneho vnútorného odkazu.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Bod 9 je potrebné preformulovať takto: </w:t>
              <w:br/>
            </w:r>
            <w:r>
              <w:rPr>
                <w:b w:val="off"/>
                <w:color w:val="000000"/>
                <w:rFonts w:ascii="Times New Roman" w:hAnsi="Times New Roman" w:cs="Times New Roman" w:eastAsia="Times New Roman"/>
                <w:sz w:val="24"/>
              </w:rPr>
              <w:t xml:space="preserve">	„9. V § 8 sa odsek 1 dopĺňa písmenami u) a v), ktoré znejú: </w:t>
              <w:br/>
            </w:r>
            <w:r>
              <w:rPr>
                <w:b w:val="off"/>
                <w:color w:val="000000"/>
                <w:rFonts w:ascii="Times New Roman" w:hAnsi="Times New Roman" w:cs="Times New Roman" w:eastAsia="Times New Roman"/>
                <w:sz w:val="24"/>
              </w:rPr>
              <w:t xml:space="preserve">	„u) príjmy z predaja živých zvierat, ak nejde o príjmy podľa § 6, </w:t>
              <w:br/>
            </w:r>
            <w:r>
              <w:rPr>
                <w:b w:val="off"/>
                <w:color w:val="000000"/>
                <w:rFonts w:ascii="Times New Roman" w:hAnsi="Times New Roman" w:cs="Times New Roman" w:eastAsia="Times New Roman"/>
                <w:sz w:val="24"/>
              </w:rPr>
              <w:t xml:space="preserve">	v) príjmy vo výške rozdielu medzi hodnotou majetku v nepeňažnej forme nadobudnutého ako likvidačný zostatok oceneného spôsobom podľa § 2 písm. c) a sumou podielu na likvidačnom zostatku.“.“.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úpravy v novom Občianskom zákonníku umožňujúce výplatu likvidačného zostatku v nepeňažnej forme sa z dôvodu právnej istoty spresňujú ustanovenia zákona o dani z príjmov, a to zavedením samostatného druhu príjmov medzi ostatné príjmy. Do účinnosti tejto úpravy bol takýto druh príjmov zdaňovaný v rámci ostatných druhov príjmov ako iné príjmy.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10 je potrebné vložiť nový bod 11, ktorý znie: </w:t>
              <w:br/>
            </w:r>
            <w:r>
              <w:rPr>
                <w:b w:val="off"/>
                <w:color w:val="000000"/>
                <w:rFonts w:ascii="Times New Roman" w:hAnsi="Times New Roman" w:cs="Times New Roman" w:eastAsia="Times New Roman"/>
                <w:sz w:val="24"/>
              </w:rPr>
              <w:t xml:space="preserve">	„11. § 8 sa dopĺňa odsekom 18, ktorý znie:</w:t>
              <w:br/>
            </w:r>
            <w:r>
              <w:rPr>
                <w:b w:val="off"/>
                <w:color w:val="000000"/>
                <w:rFonts w:ascii="Times New Roman" w:hAnsi="Times New Roman" w:cs="Times New Roman" w:eastAsia="Times New Roman"/>
                <w:sz w:val="24"/>
              </w:rPr>
              <w:t xml:space="preserve">	„(18) Pri príjmoch z predaja majetku nadobudnutého v nepeňažnej forme ako likvidačný zostatok podľa odseku 1 písm. v) je výdavkom hodnota tohto majetku oceneného podľa § 2 písm. c) v čase jeho nadobudnutia.“.“.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úpravu v § 8 ods. 1 písm. v) sa ustanovuje výdavok pri následnom predaji majetku v nepeňažnej forme nadobudnutého v rámci likvidácie.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11 je potrebné vložiť nový bod 12, ktorý znie: </w:t>
              <w:br/>
            </w:r>
            <w:r>
              <w:rPr>
                <w:b w:val="off"/>
                <w:color w:val="000000"/>
                <w:rFonts w:ascii="Times New Roman" w:hAnsi="Times New Roman" w:cs="Times New Roman" w:eastAsia="Times New Roman"/>
                <w:sz w:val="24"/>
              </w:rPr>
              <w:t xml:space="preserve">	„12. V § 9 ods. 2 písm. i) úvodnej vete sa slovo „ujmy“ nahrádza slovom „škody“.“.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je reakciou na terminologické zmeny vyplývajúce z prijatia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Za bod 17 je potrebné vložiť nový bod 18, ktorý znie:</w:t>
              <w:br/>
            </w:r>
            <w:r>
              <w:rPr>
                <w:b w:val="off"/>
                <w:color w:val="000000"/>
                <w:rFonts w:ascii="Times New Roman" w:hAnsi="Times New Roman" w:cs="Times New Roman" w:eastAsia="Times New Roman"/>
                <w:sz w:val="24"/>
              </w:rPr>
              <w:t xml:space="preserve">	„18. V § 13 ods. 2 písm. j) sa slovo „ujmy“ nahrádza slovom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je reakciou na terminologické zmeny vyplývajúce z prijatia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Za bod 24 je potrebné vložiť nové body 25 a 26, ktoré znejú:</w:t>
              <w:br/>
            </w:r>
            <w:r>
              <w:rPr>
                <w:b w:val="off"/>
                <w:color w:val="000000"/>
                <w:rFonts w:ascii="Times New Roman" w:hAnsi="Times New Roman" w:cs="Times New Roman" w:eastAsia="Times New Roman"/>
                <w:sz w:val="24"/>
              </w:rPr>
              <w:t xml:space="preserve">	„25. V § 17 sa odsek 33 dopĺňa písmenom d), ktoré znie: </w:t>
              <w:br/>
            </w:r>
            <w:r>
              <w:rPr>
                <w:b w:val="off"/>
                <w:color w:val="000000"/>
                <w:rFonts w:ascii="Times New Roman" w:hAnsi="Times New Roman" w:cs="Times New Roman" w:eastAsia="Times New Roman"/>
                <w:sz w:val="24"/>
              </w:rPr>
              <w:t xml:space="preserve">	„d) sú príjmy (výnosy) vo výške rozdielu medzi hodnotou majetku v nepeňažnej forme nadobudnutého ako likvidačný zostatok  oceneného spôsobom podľa § 2 písm. c) a sumou podielu na likvidačnom zostatku.“.“.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26. V § 17 ods. 34 a 35 sa vypúšťajú slová „bez vopred dohodnutého práva kúpy prenajatej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nadväznosti na úpravy v novom Občianskom zákonníku umožňujúce výplatu likvidačného zostatku v nepeňažnej forme a z dôvodu právnej istoty sa v bode 25 spresňuje ustanovenie zákona o dani z príjmov, a to vymedzenie príjmov (výnosov), ktoré sú súčasťou základu dane. U spoločníka – právnickej osoby nebude predmetom dane len nárok na likvidačný zostatok vyčíslený ako záväzok v likvidovanej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26 sa reaguje na terminologickú zmenu v novom Občianskom zákonníku, ktorý nahrádza doterajšiu zmluvu o kúpe prenajatej veci zmluvou o finančnom prenájme.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36 je potrebné vložiť nový bod 37, ktorý znie: </w:t>
              <w:br/>
            </w:r>
            <w:r>
              <w:rPr>
                <w:b w:val="off"/>
                <w:color w:val="000000"/>
                <w:rFonts w:ascii="Times New Roman" w:hAnsi="Times New Roman" w:cs="Times New Roman" w:eastAsia="Times New Roman"/>
                <w:sz w:val="24"/>
              </w:rPr>
              <w:t xml:space="preserve">	„37. V § 25 ods. 1 písm. d) sa za slová „až c)“ vkladajú slová „a písm. i)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predstavuje legislatívno-technickú zmenu v nadväznosti na navrhovanú zmenu ustanovenia § 25 ods. 1 písm.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37 je potrebné vložiť nový bod 38, ktorý znie: </w:t>
              <w:br/>
            </w:r>
            <w:r>
              <w:rPr>
                <w:b w:val="off"/>
                <w:color w:val="000000"/>
                <w:rFonts w:ascii="Times New Roman" w:hAnsi="Times New Roman" w:cs="Times New Roman" w:eastAsia="Times New Roman"/>
                <w:sz w:val="24"/>
              </w:rPr>
              <w:t xml:space="preserve">	„38. V § 25 ods. 1 písmeno i) znie: </w:t>
              <w:br/>
            </w:r>
            <w:r>
              <w:rPr>
                <w:b w:val="off"/>
                <w:color w:val="000000"/>
                <w:rFonts w:ascii="Times New Roman" w:hAnsi="Times New Roman" w:cs="Times New Roman" w:eastAsia="Times New Roman"/>
                <w:sz w:val="24"/>
              </w:rPr>
              <w:t xml:space="preserve">	„i) reálna hodnota </w:t>
              <w:br/>
            </w:r>
            <w:r>
              <w:rPr>
                <w:b w:val="off"/>
                <w:color w:val="000000"/>
                <w:rFonts w:ascii="Times New Roman" w:hAnsi="Times New Roman" w:cs="Times New Roman" w:eastAsia="Times New Roman"/>
                <w:sz w:val="24"/>
              </w:rPr>
              <w:t xml:space="preserve">	1. presunutého hmotného majetku a nehmotného majetku, ktorou bol majetok ocenený na účely zdanenia pri presune majetku daňovníka, odchode daňovníka alebo presune podnikateľskej činnosti daňovníka do zahraničia (§ 17f ods. 6 a 8),</w:t>
              <w:br/>
            </w:r>
            <w:r>
              <w:rPr>
                <w:b w:val="off"/>
                <w:color w:val="000000"/>
                <w:rFonts w:ascii="Times New Roman" w:hAnsi="Times New Roman" w:cs="Times New Roman" w:eastAsia="Times New Roman"/>
                <w:sz w:val="24"/>
              </w:rPr>
              <w:t xml:space="preserve">	2. hmotného majetku a nehmotného majetku nadobudnutého ako likvidačný zostatok v čase jeho nadobudnutia.“.“.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predstavuje legislatívno-technickú zmenu v nadväznosti na spresnenie zdanenia príjmu pri nadobudnutí majetku v nepeňažnej forme pri likvidácii.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40 je potrebné vložiť nový bod 41, ktorý znie: </w:t>
              <w:br/>
            </w:r>
            <w:r>
              <w:rPr>
                <w:b w:val="off"/>
                <w:color w:val="000000"/>
                <w:rFonts w:ascii="Times New Roman" w:hAnsi="Times New Roman" w:cs="Times New Roman" w:eastAsia="Times New Roman"/>
                <w:sz w:val="24"/>
              </w:rPr>
              <w:t xml:space="preserve">	„41. V § 33 ods. 2 sa slová „plnoleté nezaopatrené dieťa“ nahrádzajú slovami „nezaopatrené dieťa, ktoré nadobudlo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predstavuje legislatívno-technickú zmenu v nadväznosti na nahradenie pojmu „plnoletosť“ pojmom „plná spôsobilosť na právne úkony“ v novom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Za bod 41 je potrebné vložiť nový bod 42, ktorý znie: </w:t>
              <w:br/>
            </w:r>
            <w:r>
              <w:rPr>
                <w:b w:val="off"/>
                <w:color w:val="000000"/>
                <w:rFonts w:ascii="Times New Roman" w:hAnsi="Times New Roman" w:cs="Times New Roman" w:eastAsia="Times New Roman"/>
                <w:sz w:val="24"/>
              </w:rPr>
              <w:t xml:space="preserve">	„42. V § 49 ods. 2 sa slovo „dedič“ nahrádza slovami „správca dedičstva na účely správy daní podľa § 4a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úprava je reakciou na zavedenie pojmu „správca dedičstva na účely správy daní“ v § 4a Daňového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V bode 45 je potrebné slovo „§ 52zzzm“ nahradiť slovom „52zzzn“, slovo „52zzzn“ nahradiť slovom 52zzzo“. Zároveň je potrebné § 52zzzo doplniť novým odsekom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Ustanovenia § 8 ods. 1 písm. u) a v) a ods. 18, § 17 ods. 33 písm. d) a § 25 ods. 1 písm. d) a písm. i) druhého bodu v znení účinnom od 1. júla 2027 sa prvýkrát použijú pri podiele na likvidačnom zostatku nadobudnutom od 1. januára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Úpravou v označení prechodných ustanovení sa reaguje na zákon č. 243/2026 Z. z., ktorým bolo do zákona o dani z príjmov doplnené ustanovenie § 52zzzn. Doplnenie nového odseku 3 sa navrhuje z dôvodu, že v § 8 ods. 1 písm. u) sa  z dôvodu boja proti množiteľom zvierat zavádza samostatný druh príjmov pre príjmy z predaja zvierat. Obdobne sa zavádza samostatný druh príjmov pri nadobudnutí majetku v nepeňažnej forme pri likvidácii.  Do účinnosti tohto zákona boli takéto príjmy zdaňované ako ostatný príjem v § 8 – iné.  Podľa ustanovení vymedzených v odseku 3  sa postupuje pri nadobudnutí majetku od 1. januára 2028 u fyzických osôb, u ktorých sa majetok nezaradí do obchodného majetku. U  fyzických osôb, ktoré o tomto majetku účtujú alebo ho zaevidujú do evidencie podľa § 6 ods. 11 zákona o dani z príjmov a u právnických osôb sa postupuje pri majetku účtovanom alebo evidovanom od 1. januára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 (zákon č. 595/2003 Z. z. o dani z príjmov)</w:t>
              <w:br/>
            </w:r>
            <w:r>
              <w:rPr>
                <w:b w:val="off"/>
                <w:color w:val="000000"/>
                <w:rFonts w:ascii="Times New Roman" w:hAnsi="Times New Roman" w:cs="Times New Roman" w:eastAsia="Times New Roman"/>
                <w:sz w:val="24"/>
              </w:rPr>
              <w:t xml:space="preserve">Do návrhu zákona je potrebné doplniť nový posledný bod v tomto znení: </w:t>
              <w:br/>
            </w:r>
            <w:r>
              <w:rPr>
                <w:b w:val="off"/>
                <w:color w:val="000000"/>
                <w:rFonts w:ascii="Times New Roman" w:hAnsi="Times New Roman" w:cs="Times New Roman" w:eastAsia="Times New Roman"/>
                <w:sz w:val="24"/>
              </w:rPr>
              <w:t xml:space="preserve">	„Slovo „uzatvorenie“ vo všetkých tvaroch sa v celom texte zákona nahrádza slovom „uzavretie“ v príslušnom tvare, slovo „uzatvoriť“ vo všetkých tvaroch sa v celom texte zákona nahrádza slovom „uzavrieť“ v príslušnom tvare a slovo „uzatvorený“ vo všetkých tvaroch sa v celom texte zákona nahrádza slovom „uzavretý“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 ktorou sa zjednocuje terminológia s novým Občianskym zákonníkom.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LXXXIX (zákon č. 523/2004 Z. z. o rozpočtových pravidlách)</w:t>
              <w:br/>
            </w:r>
            <w:r>
              <w:rPr>
                <w:b w:val="off"/>
                <w:color w:val="000000"/>
                <w:rFonts w:ascii="Times New Roman" w:hAnsi="Times New Roman" w:cs="Times New Roman" w:eastAsia="Times New Roman"/>
                <w:sz w:val="24"/>
              </w:rPr>
              <w:t xml:space="preserve">V čl. LXXXIX je potrebné doplniť nové body 5 a 6, ktoré znejú: </w:t>
              <w:br/>
            </w:r>
            <w:r>
              <w:rPr>
                <w:b w:val="off"/>
                <w:color w:val="000000"/>
                <w:rFonts w:ascii="Times New Roman" w:hAnsi="Times New Roman" w:cs="Times New Roman" w:eastAsia="Times New Roman"/>
                <w:sz w:val="24"/>
              </w:rPr>
              <w:t xml:space="preserve">	„5. Slovo „uzatvárať“ sa v celom texte zákona nahrádza slovom „uzavierať“ a slovo „uzatvoriť“ vo všetkých tvaroch sa v celom texte zákona nahrádza slovom „uzavrieť“ v príslušnom tvare. </w:t>
              <w:br/>
            </w:r>
            <w:r>
              <w:rPr>
                <w:b w:val="off"/>
                <w:color w:val="000000"/>
                <w:rFonts w:ascii="Times New Roman" w:hAnsi="Times New Roman" w:cs="Times New Roman" w:eastAsia="Times New Roman"/>
                <w:sz w:val="24"/>
              </w:rPr>
              <w:t xml:space="preserve">	6. Slovo „uzatvorených“ sa v celom texte zákona okrem § 37 ods. 7 a § 37a ods. 2 nahrádza slovom „uzavretých“.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doplnenie je potrebné doplniť do osobitnej časti dôvodovej správy odôvodnenie k bodom 5 a 6, ktoré navrhujeme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bodom 5 a 6</w:t>
              <w:br/>
            </w:r>
            <w:r>
              <w:rPr>
                <w:b w:val="off"/>
                <w:color w:val="000000"/>
                <w:rFonts w:ascii="Times New Roman" w:hAnsi="Times New Roman" w:cs="Times New Roman" w:eastAsia="Times New Roman"/>
                <w:sz w:val="24"/>
              </w:rPr>
              <w:t xml:space="preserve">	Navrhuje sa zosúladenie zodpovedajúce novej terminologickej koncepcii Občianskeho zákonníka v súvislosti so zmluvami.“.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XCIII (zákon č. 582/2004 Z. z. o miestnych daniach)</w:t>
              <w:br/>
            </w:r>
            <w:r>
              <w:rPr>
                <w:b w:val="off"/>
                <w:color w:val="000000"/>
                <w:rFonts w:ascii="Times New Roman" w:hAnsi="Times New Roman" w:cs="Times New Roman" w:eastAsia="Times New Roman"/>
                <w:sz w:val="24"/>
              </w:rPr>
              <w:t xml:space="preserve">V bode 6 je potrebné slovo „§ 104s“ nahradiť slovom „§ 104t“ a slovo „§ 104t“ nahradiť slovom „§ 104u“.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Úpravou v označení prechodných ustanovení sa reaguje na zákon č. 243/2026 Z. z., v ktorom už je obsiahnuté prechodné ustanovenie označené ako § 104t s účinnosťou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CXXI (zákon č. 528/2008 Z. z. o pomoci a podpore poskytovanej z fondov EÚ) K bodu 3</w:t>
              <w:br/>
            </w:r>
            <w:r>
              <w:rPr>
                <w:b w:val="off"/>
                <w:color w:val="000000"/>
                <w:rFonts w:ascii="Times New Roman" w:hAnsi="Times New Roman" w:cs="Times New Roman" w:eastAsia="Times New Roman"/>
                <w:sz w:val="24"/>
              </w:rPr>
              <w:t>V bode 3 je potrebné slovo „§ 15“ nahradiť slovom „§ 12“ z dôvodu uvedenia správneho ustanovenia, v ktorom sa používa pojem „neuzatvára“.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CXXI (zákon č. 528/2008 Z. z. o pomoci a podpore poskytovanej z fondov EÚ) K bodu 7</w:t>
              <w:br/>
            </w:r>
            <w:r>
              <w:rPr>
                <w:b w:val="off"/>
                <w:color w:val="000000"/>
                <w:rFonts w:ascii="Times New Roman" w:hAnsi="Times New Roman" w:cs="Times New Roman" w:eastAsia="Times New Roman"/>
                <w:sz w:val="24"/>
              </w:rPr>
              <w:t>V bode 7 je potrebné za slovo „§ 28a“ vložiť slová „ods. 6“, pretože slovo „úroky“ sa vyskytuje iba v odseku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CXLIII (zákon č. 442/2012 Z. z. o medzinárodnej pomoci pri správe daní)</w:t>
              <w:br/>
            </w:r>
            <w:r>
              <w:rPr>
                <w:b w:val="off"/>
                <w:color w:val="000000"/>
                <w:rFonts w:ascii="Times New Roman" w:hAnsi="Times New Roman" w:cs="Times New Roman" w:eastAsia="Times New Roman"/>
                <w:sz w:val="24"/>
              </w:rPr>
              <w:t xml:space="preserve">Za bod 1 je potrebné vložiť nové body 2 a 3, ktoré znejú: </w:t>
              <w:br/>
            </w:r>
            <w:r>
              <w:rPr>
                <w:b w:val="off"/>
                <w:color w:val="000000"/>
                <w:rFonts w:ascii="Times New Roman" w:hAnsi="Times New Roman" w:cs="Times New Roman" w:eastAsia="Times New Roman"/>
                <w:sz w:val="24"/>
              </w:rPr>
              <w:t xml:space="preserve">	„2. V § 8 ods. 3 písm. b) sa slová „porušeniu obchodného tajomstva, práv priemyselného vlastníctva“ nahrádzajú slovami „ťaženiu z obchodného tajomstva podľa § 732 Občianskeho zákonníka, k porušeniu práv priemyselného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V § 8f ods. 1 písm. c) druhom bode sa slová „porušeniu obchodného tajomstva, práv priemyselného vlastníctva“ nahrádzajú slovami „ťaženiu z obchodného tajomstva podľa § 732 Občianskeho zákonníka, k porušeniu práv priemyselného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úpravy v bodoch 2 a 3 predstavujú zosúladenie so znením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CXLIII (zákon č. 442/2012 Z. z. o medzinárodnej pomoci pri správe daní)</w:t>
              <w:br/>
            </w:r>
            <w:r>
              <w:rPr>
                <w:b w:val="off"/>
                <w:color w:val="000000"/>
                <w:rFonts w:ascii="Times New Roman" w:hAnsi="Times New Roman" w:cs="Times New Roman" w:eastAsia="Times New Roman"/>
                <w:sz w:val="24"/>
              </w:rPr>
              <w:t xml:space="preserve">Bod 2 je potrebné preformulovať takto: </w:t>
              <w:br/>
            </w:r>
            <w:r>
              <w:rPr>
                <w:b w:val="off"/>
                <w:color w:val="000000"/>
                <w:rFonts w:ascii="Times New Roman" w:hAnsi="Times New Roman" w:cs="Times New Roman" w:eastAsia="Times New Roman"/>
                <w:sz w:val="24"/>
              </w:rPr>
              <w:t xml:space="preserve">	„2. V § 15 ods. 1 písm. d) sa slová „porušeniu obchodného tajomstva,19)“ nahrádzajú slovami „ťaženiu z obchodného tajomstva podľa § 732 Občianskeho zákonníka,“.</w:t>
              <w:br/>
            </w:r>
            <w:r>
              <w:rPr>
                <w:b w:val="off"/>
                <w:color w:val="000000"/>
                <w:rFonts w:ascii="Times New Roman" w:hAnsi="Times New Roman" w:cs="Times New Roman" w:eastAsia="Times New Roman"/>
                <w:sz w:val="24"/>
              </w:rPr>
              <w:t xml:space="preserve">	Poznámka pod čiarou k odkazu 19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predstavuje zosúladenie so znením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CLVII (zákon č. 39/2015 Z. z. o poisťovníctve) K bodu 3</w:t>
              <w:br/>
            </w:r>
            <w:r>
              <w:rPr>
                <w:b w:val="off"/>
                <w:color w:val="000000"/>
                <w:rFonts w:ascii="Times New Roman" w:hAnsi="Times New Roman" w:cs="Times New Roman" w:eastAsia="Times New Roman"/>
                <w:sz w:val="24"/>
              </w:rPr>
              <w:t>V bode 3 preformulovať nadpis § 164 takto: „Informačné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v § 164 sa upravujú informačné povinnosti nielen v rámci predzmluvných vzťahov, ale v odsekoch 4 a 6 sa upravujú povinnosti dotknutých subjektoch počas trvania poistnej zmluvy, je vhodnejšie nadpis § 164 upraviť všeobecne tak, ako sa navrhuje.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CLXVIII (zákon č. 423/2015 Z. z. o štatutárnom audite)</w:t>
              <w:br/>
            </w:r>
            <w:r>
              <w:rPr>
                <w:b w:val="off"/>
                <w:color w:val="000000"/>
                <w:rFonts w:ascii="Times New Roman" w:hAnsi="Times New Roman" w:cs="Times New Roman" w:eastAsia="Times New Roman"/>
                <w:sz w:val="24"/>
              </w:rPr>
              <w:t xml:space="preserve">Za bod 7 je potrebné vložiť nový bod 8, ktorý znie: </w:t>
              <w:br/>
            </w:r>
            <w:r>
              <w:rPr>
                <w:b w:val="off"/>
                <w:color w:val="000000"/>
                <w:rFonts w:ascii="Times New Roman" w:hAnsi="Times New Roman" w:cs="Times New Roman" w:eastAsia="Times New Roman"/>
                <w:sz w:val="24"/>
              </w:rPr>
              <w:t xml:space="preserve">	„8. V § 66 ods. 3 sa slovo „uzatvárať“ nahrádza slovom „uzavierať“.“.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Doterajší bod 8 sa označí ako bod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zmena sa navrhuje z dôvodu zosúladenia so znením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CLXXI (zákon č. 90/2016 Z. z. o úveroch na bývanie) K bodu 1</w:t>
              <w:br/>
            </w:r>
            <w:r>
              <w:rPr>
                <w:b w:val="off"/>
                <w:color w:val="000000"/>
                <w:rFonts w:ascii="Times New Roman" w:hAnsi="Times New Roman" w:cs="Times New Roman" w:eastAsia="Times New Roman"/>
                <w:sz w:val="24"/>
              </w:rPr>
              <w:t xml:space="preserve">Poznámky pod čiarou k odkazom 38 a 39 je potrebné preformulovať takto: </w:t>
              <w:br/>
            </w:r>
            <w:r>
              <w:rPr>
                <w:b w:val="off"/>
                <w:color w:val="000000"/>
                <w:rFonts w:ascii="Times New Roman" w:hAnsi="Times New Roman" w:cs="Times New Roman" w:eastAsia="Times New Roman"/>
                <w:sz w:val="24"/>
              </w:rPr>
              <w:t xml:space="preserve">	„38) § 59 až 65 a § 622 až 637 Občianskeho zákonníka.</w:t>
              <w:br/>
            </w:r>
            <w:r>
              <w:rPr>
                <w:b w:val="off"/>
                <w:color w:val="000000"/>
                <w:rFonts w:ascii="Times New Roman" w:hAnsi="Times New Roman" w:cs="Times New Roman" w:eastAsia="Times New Roman"/>
                <w:sz w:val="24"/>
              </w:rPr>
              <w:t xml:space="preserve">	39)  § 636 Občianskeho zákonníka.</w:t>
              <w:br/>
            </w:r>
            <w:r>
              <w:rPr>
                <w:b w:val="off"/>
                <w:color w:val="000000"/>
                <w:rFonts w:ascii="Times New Roman" w:hAnsi="Times New Roman" w:cs="Times New Roman" w:eastAsia="Times New Roman"/>
                <w:sz w:val="24"/>
              </w:rPr>
              <w:t xml:space="preserve">	Nariadenie vlády Slovenskej republiky č. .../2027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zachovania kontinuity predchádzajúcej právnej úpravy a novej právnej úpravy v Občianskom zákonníku navrhujeme rozšírenie citácie v poznámke pod čiarou k odkazu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39 prvej citácii navrhujeme úpravu citácie z dôvodu posunu ustanovení v Občianskom zákonníku v rámci legislatívneho procesu a zmenu v druhej citácii vyvolalo zrušenie nariadenia vlády SR č. 87/1995 Z. z., ktorým sa vykonávajú niektoré ustanovenia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CLXXI (zákon č. 90/2016 Z. z. o úveroch na bývanie) K bodu 3</w:t>
              <w:br/>
            </w:r>
            <w:r>
              <w:rPr>
                <w:b w:val="off"/>
                <w:color w:val="000000"/>
                <w:rFonts w:ascii="Times New Roman" w:hAnsi="Times New Roman" w:cs="Times New Roman" w:eastAsia="Times New Roman"/>
                <w:sz w:val="24"/>
              </w:rPr>
              <w:t xml:space="preserve">Poznámku pod čiarou k odkazu 55 je potrebné preformulovať takto: </w:t>
              <w:br/>
            </w:r>
            <w:r>
              <w:rPr>
                <w:b w:val="off"/>
                <w:color w:val="000000"/>
                <w:rFonts w:ascii="Times New Roman" w:hAnsi="Times New Roman" w:cs="Times New Roman" w:eastAsia="Times New Roman"/>
                <w:sz w:val="24"/>
              </w:rPr>
              <w:t xml:space="preserve">	„55) § 622 až 637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zachovania kontinuity predchádzajúcej právnej úpravy a novej právnej úpravy v Občianskom zákonníku navrhujeme rozšírenie citácie v poznámke pod čiarou k odkazu 55.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CLXXI (zákon č. 90/2016 Z. z. o úveroch na bývanie) K bodu 4</w:t>
              <w:br/>
            </w:r>
            <w:r>
              <w:rPr>
                <w:b w:val="off"/>
                <w:color w:val="000000"/>
                <w:rFonts w:ascii="Times New Roman" w:hAnsi="Times New Roman" w:cs="Times New Roman" w:eastAsia="Times New Roman"/>
                <w:sz w:val="24"/>
              </w:rPr>
              <w:t xml:space="preserve">Bod 4 je potrebné preformulovať takto: </w:t>
              <w:br/>
            </w:r>
            <w:r>
              <w:rPr>
                <w:b w:val="off"/>
                <w:color w:val="000000"/>
                <w:rFonts w:ascii="Times New Roman" w:hAnsi="Times New Roman" w:cs="Times New Roman" w:eastAsia="Times New Roman"/>
                <w:sz w:val="24"/>
              </w:rPr>
              <w:t xml:space="preserve">	„4. Slová „uzatvorenie“ a „uzatvorený“ vo všetkých tvaroch sa v celom texte zákona nahrádzajú slovami „uzavieranie“ a „uzavretý“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Zosúladenie zodpovedajúce novej terminologickej koncepcii Občianskeho zákonníka v súvislosti so zmluvami.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CCXXIII (zákon č. 312/2025 Z. z. o spotrebiteľských úveroch) K bodu 1</w:t>
              <w:br/>
            </w:r>
            <w:r>
              <w:rPr>
                <w:b w:val="off"/>
                <w:color w:val="000000"/>
                <w:rFonts w:ascii="Times New Roman" w:hAnsi="Times New Roman" w:cs="Times New Roman" w:eastAsia="Times New Roman"/>
                <w:sz w:val="24"/>
              </w:rPr>
              <w:t>V úvodnej vete bodu 1 je potrebné slová „a 27“ nahradiť čiarkou a slovami „27 a 28“ z dôvodu doplnenia citácie poznámky pod čiarou k odkazu 28. Zároveň je potrebné doplniť poznámku pod čiarou k odkazu 28 v tomto znení:</w:t>
              <w:br/>
            </w:r>
            <w:r>
              <w:rPr>
                <w:b w:val="off"/>
                <w:color w:val="000000"/>
                <w:rFonts w:ascii="Times New Roman" w:hAnsi="Times New Roman" w:cs="Times New Roman" w:eastAsia="Times New Roman"/>
                <w:sz w:val="24"/>
              </w:rPr>
              <w:t xml:space="preserve">               „28) Napríklad nariadenie vlády Slovenskej republiky č. .../2027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CCXXIII (zákon č. 312/2025 Z. z. o spotrebiteľských úveroch) K bodu 5</w:t>
              <w:br/>
            </w:r>
            <w:r>
              <w:rPr>
                <w:b w:val="off"/>
                <w:color w:val="000000"/>
                <w:rFonts w:ascii="Times New Roman" w:hAnsi="Times New Roman" w:cs="Times New Roman" w:eastAsia="Times New Roman"/>
                <w:sz w:val="24"/>
              </w:rPr>
              <w:t xml:space="preserve">V poznámke pod čiarou k odkazu 119 je potrebné citáciu „§ 1 a 1a nariadenia vlády Slovenskej republiky č. 87/1995 Z. z. v znení neskorších predpisov“ nahradiť citáciou „Nariadenie vlády Slovenskej republiky č. .../2007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a doplnenie citácií je odôvodnená zrušením nariadenia vlády Slovenskej republiky č. 87/1995 Z. z., ktorým sa vykonávajú niektoré ustanovenia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 úpravy vyvolané posunmi ustanovení Občianskeho zákonníka</w:t>
              <w:br/>
            </w:r>
            <w:r>
              <w:rPr>
                <w:b w:val="off"/>
                <w:color w:val="000000"/>
                <w:rFonts w:ascii="Times New Roman" w:hAnsi="Times New Roman" w:cs="Times New Roman" w:eastAsia="Times New Roman"/>
                <w:sz w:val="24"/>
              </w:rPr>
              <w:t>Z dôvodu zmien číslovania ustanovení Občianskeho zákonníka, ku ktorému došlo počas legislatívneho procesu navrhujeme vykonať tieto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IV (Daňový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bode 2 § 3 ods. 6 je potrebné slová „§ 297“ nahradiť slovami „§ 298“.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bode 5 § 4a ods. 1 je potrebné slová „§ 1851 a 1852“ nahradiť slovami „§ 1855 a 1856“.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XXXV (zákon NR SR č. 118/1996 Z. z. o ochrane vkladov)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jedinom novelizačnom bode je potrebné slová „§ 1177 až 1188“ nahradiť slovami „1192 a 1193“.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LXXVI (zákon č. 595/2003 Z. z. o dani z príjmov)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bode 6 je potrebné slová „§ 832 až 842“ nahradiť slovami „§ 831 až 841“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bode 12 je potrebné slová „§ 306 až 311“ nahradiť slovami „§ 304 až 310“</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3. V bode 17 je potrebné slová „§ 847 až 862“ nahradiť slovami „§ 846 až 861“.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V bode 18 je potrebné slovo „§ 263“ nahradiť slovom „§ 261“.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V bode 24 je potrebné slovo „§ 488“ nahradiť slovom „§ 487“.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CLVI (zákon č. 374/2014 Z. z. o pohľadávkach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6 je potrebné slovo „§ 618“ nahradiť slovom „§ 617“.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CCXIV (zákon č. 279/2024 Z. z. o dani z finančných transakcií)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jedinom novelizačnom bode je potrebné slovo „§ 286“ nahradiť slovom „§ 289“.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CCXXIII (zákon č. 312/2025 Z. z. o spotrebiteľských úveroch)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7 poznámke pod čiarou k odkazu 120b je potrebné slovo „§ 634“ nahradiť slovom „§ 635“.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doplnenie novelizačných článkov</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Slovenskej národnej rady č. 138/1991 Zb. o majetku obcí v znení zákona Slovenskej národnej rady č. 306/1992 Zb., zákona Národnej rady Slovenskej republiky č. 43/1993 Z. z., zákona Národnej rady Slovenskej republiky č. 278/1993 Z. z., zákona Národnej rady Slovenskej republiky č. 245/1994 Z. z., zákona Národnej rady Slovenskej republiky č. 147/1995 Z. z., nálezu Ústavného súdu Slovenskej republiky č. 130/1996 Z. z., zákona č. 447/2001 Z. z., zákona č. 522/2003 Z. z., zákona č. 12/2004 Z. z., zákona č. 445/2004 Z. z., zákona č. 535/2008 Z. z., zákona č. 258/2009 Z. z., zákona č. 507/2010 Z. z., zákona č. 125/2016 Z. z., zákona č. 315/2016 Z. z., zákona č. 112/2018 Z. z., zákona č. 4/2019 Z. z., zákona č. 241/2019 Z. z., zákona č. 137/2023 Z. z., zákona č. 32/2024 Z. z. a zákona č. 320/2024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 9 ods. 2 písm. b) sa slová „podmienky obchodnej verejnej súťaže“ nahrádzajú slovami „podmienky verejnej súťaže o najvhodnejší návrh22b) (ďalej len „obchodná verejná súťaž“)“.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22b znie: </w:t>
              <w:br/>
            </w:r>
            <w:r>
              <w:rPr>
                <w:b w:val="off"/>
                <w:color w:val="000000"/>
                <w:rFonts w:ascii="Times New Roman" w:hAnsi="Times New Roman" w:cs="Times New Roman" w:eastAsia="Times New Roman"/>
                <w:sz w:val="24"/>
              </w:rPr>
              <w:t>„22b) § 594 až 601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9a ods. 1 písm. a) sa vypúšťa odkaz 22b.“.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články sa primerane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Navrhovaná zmena predstavuje zosúladenie terminológie s novou právnou úpravou v rámci rekodifikácie Občianskeho zákonníka, ktorou sa pojem „obchodná verejná súťaž“ používaný v Obchodnom zákonníku nahrádza pojmom „verejná súťaž o najvhodnejší návrh“ upraveným v novom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doplnenie novelizačných článkov</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 Slovenskej národnej rady č. 78/1992 Zb. o daňových poradcoch a Slovenskej komore daňových poradcov v znení zákona Národnej rady Slovenskej republiky č. 249/1994 Z. z., zákona Národnej rady Slovenskej republiky č. 101/1995 Z. z., zákona Národnej rady Slovenskej republiky č. 378/1996 Z. z., zákona č. 68/2005 Z. z., zákona č. 136/2010 Z. z., zákona č. 354/2013 Z. z., zákona č. 91/2016 Z. z., zákona č. 125/2016 Z. z., zákona č. 35/2019 Z. z., zákona č. 369/2019 Z. z., zákona č. 387/2024 Z. z. a zákona č.  200/2025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 8 ods. 7 úvodná veta znie: „Komora vydá osvedčenie na výkon daňového poradenstva na žiadosť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 8 odsek 8 znie: </w:t>
              <w:br/>
            </w:r>
            <w:r>
              <w:rPr>
                <w:b w:val="off"/>
                <w:color w:val="000000"/>
                <w:rFonts w:ascii="Times New Roman" w:hAnsi="Times New Roman" w:cs="Times New Roman" w:eastAsia="Times New Roman"/>
                <w:sz w:val="24"/>
              </w:rPr>
              <w:t xml:space="preserve">	„(8) Komora bezodkladne zapíše do zoznamu právnickú osobu, ktorej vydala osvedčenie na výkon daňového poradenstva na základe žiadosti podľa odseku 7, a ktorá preukáže, že je zapísaná v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V § 22 odsek 2 znie: </w:t>
              <w:br/>
            </w:r>
            <w:r>
              <w:rPr>
                <w:b w:val="off"/>
                <w:color w:val="000000"/>
                <w:rFonts w:ascii="Times New Roman" w:hAnsi="Times New Roman" w:cs="Times New Roman" w:eastAsia="Times New Roman"/>
                <w:sz w:val="24"/>
              </w:rPr>
              <w:t xml:space="preserve">	„(2) Podrobnosti o organizácii komory, jej orgánoch a ich pôsobnosti, najmä o počte členov prezídia, dozornej rady a disciplinárnej komisie, podmienkach vzniku a zániku členstva v orgánoch komory, podmienkach výkonu funkcie v orgánoch komory, spôsobe zvolávania, rokovania a rozhodovania zhromaždenia a orgánov komory, pravidlách ich vnútorného fungovania, spôsobe konania v mene komory a zastupovania komory, ako aj o rozdelení a výkone právomocí v rámci orgánov komory upraví štatút, ak § 21 ods. 4 až 6 a § 23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články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k bodom 1 až 3: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bodoch 1 a 2 sa vzhľadom na to, že sa právnickým osobám vydáva samostatné osvedčenie, ktoré nie je odvodené od osvedčenia fyzickej osoby, je nevyhnutné, aby právnická osoba v čase vydania osvedčenia a jej zápisu do zoznamu už disponovala právnou subjektivitou, teda aby právne existovala. Komore sa navrhovanou úpravou umožní zabezpečiť stav, aby v zozname nebola vedená osoba, ktorá neexistuje, napríklad je vymazaná alebo nezapísaná v obchodnom registri, alebo nespĺňa zákonné podmienky na výkon činnosti daňového poradcu.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3 (§ 22 ods. 2) sa navrhuje zosúladenie právnej úpravy vnútorného usporiadania komory s koncepciou nového Občianskeho zákonníka, ktorý posilňuje všeobecnú úpravu právnických osôb, ich orgánov a rozhodovania. Keďže nový Občiansky zákonník upraví základný rámec fungovania právnických osôb, osobitný zákon, akým je práve zákon č. 78/1992 Zb. o daňových poradcoch a Slovenskej komore daňových poradcov, má ustanoviť najmä nevyhnutné osobitosti komory ako profesijnej samosprávnej organizácie a podrobnosti na základe splnomocňovacieho zákonného ustanovenia ponechať na jej štatút. Navrhované ustanovenie preto výslovne vymedzuje okruh vnútorných organizačných a procesných otázok, ktoré môže štatút upraviť, najmä zloženie a členstvo v orgánoch komory, výkon funkcií, zvolávanie, rokovanie a rozhodovanie orgánov, konanie v mene komory a jej zastupovanie. Navrhovaná právna úprava tým podporuje autonómiu komory, znižuje riziko konfliktu právnej úpravy s novou všeobecnou úpravou právnických osôb, a zároveň zachováva požiadavku právnej istoty tým, že štatút sa môže uplatniť len v medziach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doplnenie novelizačných článkov</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 č. 80/1997 Z. z. o Exportno-importnej banke Slovenskej republiky v znení zákona č. 336/1998 Z. z., zákona č. 214/2000 Z. z., zákona č. 623/2004 Z. z. , zákona č. 688/2006 Z. z., zákona č. 659/2007 Z. z., zákona č. 567/2008 Z. z., zákona č. 492/2009 Z. z., zákona č. 414/2012 Z. z., zákona č. 36/2013 Z. z., zákona č. 352/2013 Z. z., zákona č. 355/2013 Z. z., zákona č. 213/2014 Z. z., zákona č. 32/2015 Z. z., zákona č. 359/2015 Z. z., zákona č. 392/2015 Z. z., zákona č. 279/2017 Z. z., zákona č. 373/2018 Z. z., zákona č. 281/2019 Z. z. a zákona č. 294/2025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 2 písm. e) sa na konci pripája bodkočiarka a tieto slová: „ak sa poskytuje finančná záruka, možno ju označiť ako banková záruka“.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 24 ods. 5 písm. c) sa nad slovom „akreditívy“ vypúšťa odkaz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9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články sa primerane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 k bodom 1 a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Exportno-importná banka Slovenskej republiky ako exportná úverová agentúra prostredníctvom záruk podporuje slovenských vývozcov pri realizácii ich obchodných aktivít na zahraničných trhoch, zabezpečuje plnenie ich zmluvných záväzkov a prispieva k znižovaniu rizík spojených s exportnými transakciami. Takto vystavované záruky sú štandardne označované ako bankové záruky a sú ako také akceptované účastníkmi obchodných vzťahov. Prijatím nového Občianskeho zákonníka dochádza k zrušeniu § 762 Obchodného zákonníka, ktorý zabezpečoval prepojenie právnej úpravy činnosti Exportno-importnej banky Slovenskej republiky obsiahnutej v osobitnom zákone s právnou úpravou bankových záruk obsiahnutej v Obchodnom zákonníku. Cieľom navrhovanej úpravy je zachovať kontinuitu existujúceho právneho stavu aj po zrušení § 762 Obchodného zákonníka. To znamená, že pre Exportno-importnú banku Slovenskej republiky sa neustanovuje nové právo, ale existujúca situácia sa premieta do nového právneho stavu vyvolaného prijatím Občianskeho zákonníka, ktorý nevylučuje takúto úpravu. Ďalej sa vypúšťa odkaz 9 a poznámka pod čiarou k odkazu 9 z dôvodu, že zmluvu o akreditíve už nebude upravená v Obchodnom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doplnenie novelizačných článkov</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 č. 446/2001 Z. z. o majetku vyšších územných celkov v znení zákona č. 521/2003 Z. z., zákona č. 540/2005 Z. z., zákona č. 279/2006 Z. z., zákona č. 258/2009 Z. z., zákona č. 509/2010 Z. z., zákona č. 125/2016 Z. z., zákona č. 315/2016 Z. z., zákona č. 112/2018 Z. z., zákona č. 4/2019 Z. z., zákona č. 241/2019 Z. z.  a zákona č. 32/2024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 9 ods. 3 písm. b) sa slová „podmienky obchodnej verejnej súťaže“ nahrádzajú slovami „podmienky verejnej súťaže o najvhodnejší návrh19a) (ďalej len „obchodná verejná súťaž“)“.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19a znie: </w:t>
              <w:br/>
            </w:r>
            <w:r>
              <w:rPr>
                <w:b w:val="off"/>
                <w:color w:val="000000"/>
                <w:rFonts w:ascii="Times New Roman" w:hAnsi="Times New Roman" w:cs="Times New Roman" w:eastAsia="Times New Roman"/>
                <w:sz w:val="24"/>
              </w:rPr>
              <w:t xml:space="preserve">	„19a) § 594 až 601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 9a ods. 1 písm. a) a § 9b ods. 1 sa vypúšťa odkaz 19a.“.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články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zmena predstavuje zosúladenie terminológie s novou právnou úpravou v rámci rekodifikácie Občianskeho zákonníka, ktorou sa pojem „obchodná verejná súťaž“ používaný v Obchodnom zákonníku nahrádza pojmom „verejná súťaž o najvhodnejší návrh“ upraveným v novom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doplnenie novelizačných článkov</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 č. 176/2004 Z. z. o nakladaní s majetkom verejnoprávnych inštitúcií a o zmene zákona Národnej rady Slovenskej republiky č. 259/1993 Z. z. o Slovenskej lesníckej komore v znení zákona č. 464/2002 Z. z. v znení zákona č. 581/2004 Z. z., zákona č. 506/2010 Z. z., zákona č. 324/2014 Z. z., zákona č. 315/2016 Z. z., zákona č. 4/2019 Z. z. a zákona č. 241/2019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 5 ods. 1 sa slová „obchodnej verejnej súťaže11)“ nahrádzajú slovami „verejnej súťaže o najvhodnejší návrh11) (ďalej len „obchodná verejná súťaž“)“.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11 znie: </w:t>
              <w:br/>
            </w:r>
            <w:r>
              <w:rPr>
                <w:b w:val="off"/>
                <w:color w:val="000000"/>
                <w:rFonts w:ascii="Times New Roman" w:hAnsi="Times New Roman" w:cs="Times New Roman" w:eastAsia="Times New Roman"/>
                <w:sz w:val="24"/>
              </w:rPr>
              <w:t xml:space="preserve">	„11) § 594 až 601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V § 5 ods. 6 a § 10 ods. 3 písm. a) sa vypúšťa odkaz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články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predstavuje zosúladenie terminológie s novou právnou úpravou v rámci rekodifikácie Občianskeho zákonníka, ktorou sa pojem „obchodná verejná súťaž“ používaný v Obchodnom zákonníku nahrádza pojmom „verejná súťaž o najvhodnejší návrh“ upraveným v novom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CLIV</w:t>
              <w:br/>
            </w:r>
            <w:r>
              <w:rPr>
                <w:b w:val="off"/>
                <w:color w:val="000000"/>
                <w:rFonts w:ascii="Times New Roman" w:hAnsi="Times New Roman" w:cs="Times New Roman" w:eastAsia="Times New Roman"/>
                <w:sz w:val="24"/>
              </w:rPr>
              <w:t>(zákon č. 335/2014 Z. z. o spotrebiteľskom rozhodcovskom konaní a o zmene a doplnení niektorých zákonov v znení neskorších predpisov)</w:t>
              <w:br/>
            </w:r>
            <w:r>
              <w:rPr>
                <w:b w:val="off"/>
                <w:color w:val="000000"/>
                <w:rFonts w:ascii="Times New Roman" w:hAnsi="Times New Roman" w:cs="Times New Roman" w:eastAsia="Times New Roman"/>
                <w:sz w:val="24"/>
              </w:rPr>
              <w:t>K bodu 12 (poznámka pod čiarou k odkazu 17)</w:t>
              <w:br/>
            </w:r>
            <w:r>
              <w:rPr>
                <w:b w:val="off"/>
                <w:color w:val="000000"/>
                <w:rFonts w:ascii="Times New Roman" w:hAnsi="Times New Roman" w:cs="Times New Roman" w:eastAsia="Times New Roman"/>
                <w:sz w:val="24"/>
              </w:rPr>
              <w:t>Poznámku pod čiarou k odkazu 17 navrhujeme uviesť v nasledovnom znení:</w:t>
              <w:br/>
            </w:r>
            <w:r>
              <w:rPr>
                <w:b w:val="off"/>
                <w:color w:val="000000"/>
                <w:rFonts w:ascii="Times New Roman" w:hAnsi="Times New Roman" w:cs="Times New Roman" w:eastAsia="Times New Roman"/>
                <w:sz w:val="24"/>
              </w:rPr>
              <w:t>„17) Napríklad § 626 Občianskeho zákonníka, zákon č. 108/2024 Z. z. v znení neskorších predpisov, zákon č. 311/2025 Z. z. o ochrane spotrebiteľa pri finančných službách na diaľku a o zmene a doplnení niektorých zákonov, zákon č. 312/2025 Z. z. o spotrebiteľských úveroch a o iných úveroch a pôžičkách pre spotrebiteľov a o zmene a doplnení niektorých zákonov, čl. 3 ods. 1 nariadenia Európskeho parlamentu a Rady (EÚ) č. 2017/2394 z 12. decembra 2017 o spolupráci medzi národnými orgánmi zodpovednými za presadzovanie právnych predpisov na ochranu spotrebiteľa a o zrušení nariadenia (ES) č. 2006/2004 (Ú. v. EÚ L 345, 27. 12. 2017)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poznámke pod čiarou k odkazu 17 žiadame nahradiť odkaz na § 627 Občianskeho zákonníka odkazom na § 626 Občianskeho zákonníka, nakoľko predmetné ustanovenie má odkazovať na generálny zákaz používania neprijateľných podmienok v spotrebiteľských zmluvách obsiahnutý v § 626 nového Občianskeho zákonníka. Zároveň žiadame uvádzať správnu citáciu nariadenia (EÚ) 2017/2394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CLXXI</w:t>
              <w:br/>
            </w:r>
            <w:r>
              <w:rPr>
                <w:b w:val="off"/>
                <w:color w:val="000000"/>
                <w:rFonts w:ascii="Times New Roman" w:hAnsi="Times New Roman" w:cs="Times New Roman" w:eastAsia="Times New Roman"/>
                <w:sz w:val="24"/>
              </w:rPr>
              <w:t>(zákon č. 90/2016 Z. z. o úveroch na bývanie a o zmene a doplnení niektorých zákonov v znení neskorších predpisov)</w:t>
              <w:br/>
            </w:r>
            <w:r>
              <w:rPr>
                <w:b w:val="off"/>
                <w:color w:val="000000"/>
                <w:rFonts w:ascii="Times New Roman" w:hAnsi="Times New Roman" w:cs="Times New Roman" w:eastAsia="Times New Roman"/>
                <w:sz w:val="24"/>
              </w:rPr>
              <w:t>K bodu 1 (poznámky pod čiarou k odkazom 38, 39 a 45f)</w:t>
              <w:br/>
            </w:r>
            <w:r>
              <w:rPr>
                <w:b w:val="off"/>
                <w:color w:val="000000"/>
                <w:rFonts w:ascii="Times New Roman" w:hAnsi="Times New Roman" w:cs="Times New Roman" w:eastAsia="Times New Roman"/>
                <w:sz w:val="24"/>
              </w:rPr>
              <w:t>Poznámky pod čiarou k odkazom 38 a 39 navrhujeme uviesť v nasledovnom znení:</w:t>
              <w:br/>
            </w:r>
            <w:r>
              <w:rPr>
                <w:b w:val="off"/>
                <w:color w:val="000000"/>
                <w:rFonts w:ascii="Times New Roman" w:hAnsi="Times New Roman" w:cs="Times New Roman" w:eastAsia="Times New Roman"/>
                <w:sz w:val="24"/>
              </w:rPr>
              <w:t>„38) § 58 až 65 a § 622 až 637 Občianskeho zákonníka.</w:t>
              <w:br/>
            </w:r>
            <w:r>
              <w:rPr>
                <w:b w:val="off"/>
                <w:color w:val="000000"/>
                <w:rFonts w:ascii="Times New Roman" w:hAnsi="Times New Roman" w:cs="Times New Roman" w:eastAsia="Times New Roman"/>
                <w:sz w:val="24"/>
              </w:rPr>
              <w:t>39) § 636 Občianskeho zákonníka.</w:t>
              <w:br/>
            </w:r>
            <w:r>
              <w:rPr>
                <w:b w:val="off"/>
                <w:color w:val="000000"/>
                <w:rFonts w:ascii="Times New Roman" w:hAnsi="Times New Roman" w:cs="Times New Roman" w:eastAsia="Times New Roman"/>
                <w:sz w:val="24"/>
              </w:rPr>
              <w:t>§ 1 a 1a nariadenia vlády Slovenskej republiky č. 87/1995 Z. z., ktorým sa vykonávajú niektoré ustanovenia Občianskeho zákonníka v znení neskorších predpisov.“.</w:t>
              <w:br/>
            </w:r>
            <w:r>
              <w:rPr>
                <w:b w:val="off"/>
                <w:color w:val="000000"/>
                <w:rFonts w:ascii="Times New Roman" w:hAnsi="Times New Roman" w:cs="Times New Roman" w:eastAsia="Times New Roman"/>
                <w:sz w:val="24"/>
              </w:rPr>
              <w:t>Zároveň žiadame preveriť nadväznosť poznámky pod čiarou k odkazu 39 na príslušnú vykonávaciu právnu úpravu.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aktualizácia poznámky pod čiarou k odkazu 38 nezohľadňuje v celom rozsahu novú právnu úpravu spotrebiteľských zmlúv. Doterajší odkaz na § 43a až 54 Občianskeho zákonníka zahŕňa okrem pravidiel uzavierania zmlúv aj ustanovenia o ochrane spotrebiteľa vrátane neprijateľných zmluvných podmienok. Navrhovaný odkaz na § 622 až 627 nového Občianskeho zákonníka však opomína relevantné ustanovenia obsahujúce ďalšie osobitné pravidlá pre spotrebiteľské zmluvy, navrhujeme preto rozšíriť vnútorný odkaz na § 622 až 637. Zároveň navrhujeme doplniť § 58 upravujúci všeobecné spôsoby uzavierania zmlúv.</w:t>
              <w:br/>
            </w:r>
            <w:r>
              <w:rPr>
                <w:b w:val="off"/>
                <w:color w:val="000000"/>
                <w:rFonts w:ascii="Times New Roman" w:hAnsi="Times New Roman" w:cs="Times New Roman" w:eastAsia="Times New Roman"/>
                <w:sz w:val="24"/>
              </w:rPr>
              <w:t>Pri odkaze 39 navrhujeme nahradiť § 637 ustanovením § 636, ktoré upravuje obmedzenie odplaty a sankcií za omeškanie (doterajší odkaz na § 53 ods. 6 Občianskeho zákonníka). Súčasne upozorňujeme, že nariadenie vlády Slovenskej republiky č. 87/1995 Z. z., na ktoré návrh poznámky pod čiarou naďalej odkazuje, sa podľa § 1919 bodu 6 nového Občianskeho zákonníka zrušuje. Je preto potrebné vypustiť odkaz na zrušovaný právny predpis a preveriť nadväznosť na vykonávaciu právnu úpravu podľa § 636 nového Občianskeho zákonníka. Hoci poznámky pod čiarou nemajú normatívny charakter, považujeme za potrebné zabezpečiť ich obsahovú a systematickú správnosť.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CCVII</w:t>
              <w:br/>
            </w:r>
            <w:r>
              <w:rPr>
                <w:b w:val="off"/>
                <w:color w:val="000000"/>
                <w:rFonts w:ascii="Times New Roman" w:hAnsi="Times New Roman" w:cs="Times New Roman" w:eastAsia="Times New Roman"/>
                <w:sz w:val="24"/>
              </w:rPr>
              <w:t>(zákon č. 261/2023 Z. z. o žalobách na ochranu kolektívnych záujmov spotrebiteľov a o zmene a doplnení niektorých zákonov)</w:t>
              <w:br/>
            </w:r>
            <w:r>
              <w:rPr>
                <w:b w:val="off"/>
                <w:color w:val="000000"/>
                <w:rFonts w:ascii="Times New Roman" w:hAnsi="Times New Roman" w:cs="Times New Roman" w:eastAsia="Times New Roman"/>
                <w:sz w:val="24"/>
              </w:rPr>
              <w:t>K bodu 11 (§ 24 ods. 1)</w:t>
              <w:br/>
            </w:r>
            <w:r>
              <w:rPr>
                <w:b w:val="off"/>
                <w:color w:val="000000"/>
                <w:rFonts w:ascii="Times New Roman" w:hAnsi="Times New Roman" w:cs="Times New Roman" w:eastAsia="Times New Roman"/>
                <w:sz w:val="24"/>
              </w:rPr>
              <w:t>Navrhujeme nasledovné znenie novelizačného bodu:</w:t>
              <w:br/>
            </w:r>
            <w:r>
              <w:rPr>
                <w:b w:val="off"/>
                <w:color w:val="000000"/>
                <w:rFonts w:ascii="Times New Roman" w:hAnsi="Times New Roman" w:cs="Times New Roman" w:eastAsia="Times New Roman"/>
                <w:sz w:val="24"/>
              </w:rPr>
              <w:t>11. V § 24 ods. 1 sa za slovami „vo výroku určí neprijateľnosť“ slová „zmluvnej podmienky“ nahrádzajú slovami „podmienky v spotrebiteľskej zmluve“ a za slovami „znenie tejto“ sa slovo „zmluvnej“ nahrádza slovom „neprijateľnej“.</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Vzhľadom na znenie § 24 ods. 1 zákona č. 261/2023 Z. z. v platnom znení je potrebné gramaticky upraviť úvodnú vetu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CCIX</w:t>
              <w:br/>
            </w:r>
            <w:r>
              <w:rPr>
                <w:b w:val="off"/>
                <w:color w:val="000000"/>
                <w:rFonts w:ascii="Times New Roman" w:hAnsi="Times New Roman" w:cs="Times New Roman" w:eastAsia="Times New Roman"/>
                <w:sz w:val="24"/>
              </w:rPr>
              <w:t>(zákon č. 108/2024 Z. z. o ochrane spotrebiteľa a o zmene a doplnení niektorých zákonov v znení neskorších predpisov)</w:t>
              <w:br/>
            </w:r>
            <w:r>
              <w:rPr>
                <w:b w:val="off"/>
                <w:color w:val="000000"/>
                <w:rFonts w:ascii="Times New Roman" w:hAnsi="Times New Roman" w:cs="Times New Roman" w:eastAsia="Times New Roman"/>
                <w:sz w:val="24"/>
              </w:rPr>
              <w:t>K bodu 10 [§ 4 ods. 2 písm. e)]</w:t>
              <w:br/>
            </w:r>
            <w:r>
              <w:rPr>
                <w:b w:val="off"/>
                <w:color w:val="000000"/>
                <w:rFonts w:ascii="Times New Roman" w:hAnsi="Times New Roman" w:cs="Times New Roman" w:eastAsia="Times New Roman"/>
                <w:sz w:val="24"/>
              </w:rPr>
              <w:t>Navrhujeme nasledovné znenie novelizačného bodu:</w:t>
              <w:br/>
            </w:r>
            <w:r>
              <w:rPr>
                <w:b w:val="off"/>
                <w:color w:val="000000"/>
                <w:rFonts w:ascii="Times New Roman" w:hAnsi="Times New Roman" w:cs="Times New Roman" w:eastAsia="Times New Roman"/>
                <w:sz w:val="24"/>
              </w:rPr>
              <w:t>10. V § 4 ods. 2 písm. e) sa slová „§ 622 ods. 3 a 4, § 623 ods. 2 a § 852h ods. 6 a 7 Občianskeho zákonníka“ nahrádzajú slovami „§ 817 ods. 1 a 2, § 818 ods. 2 a § 1021 ods. 2 a 3 Občianskeho zákonníka“.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V úvodnej časti vety absentuje vnútorný odkaz na § 623 ods. 2 Občianskeho zákonníka, ktorý je obsiahnutý v platnom a účinnom znení § 4 ods. 2 písm. e) zákona 108/2024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20 (§ 9 ods. 9)</w:t>
              <w:br/>
            </w:r>
            <w:r>
              <w:rPr>
                <w:b w:val="off"/>
                <w:color w:val="000000"/>
                <w:rFonts w:ascii="Times New Roman" w:hAnsi="Times New Roman" w:cs="Times New Roman" w:eastAsia="Times New Roman"/>
                <w:sz w:val="24"/>
              </w:rPr>
              <w:t>Navrhujeme nasledovné znenie novelizačného bodu:</w:t>
              <w:br/>
            </w:r>
            <w:r>
              <w:rPr>
                <w:b w:val="off"/>
                <w:color w:val="000000"/>
                <w:rFonts w:ascii="Times New Roman" w:hAnsi="Times New Roman" w:cs="Times New Roman" w:eastAsia="Times New Roman"/>
                <w:sz w:val="24"/>
              </w:rPr>
              <w:t>20. V § 9 ods. 9 sa slová „nie je dotknutý § 49a Občianskeho zákonníka“ nahrádzajú slovami „nie sú dotknuté § 91 až 94 a § 735 až 737 Občianskeho zákonníka“.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Navrhuje sa gramatická úprava z jednotného na množné číslo v nadväznosti na vloženie viacerých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CCXXIII</w:t>
              <w:br/>
            </w:r>
            <w:r>
              <w:rPr>
                <w:b w:val="off"/>
                <w:color w:val="000000"/>
                <w:rFonts w:ascii="Times New Roman" w:hAnsi="Times New Roman" w:cs="Times New Roman" w:eastAsia="Times New Roman"/>
                <w:sz w:val="24"/>
              </w:rPr>
              <w:t>(zákon č. 312/2025 Z. z. o spotrebiteľských úveroch a o iných úveroch a pôžičkách pre spotrebiteľov a o zmene a doplnení niektorých zákonov)</w:t>
              <w:br/>
            </w:r>
            <w:r>
              <w:rPr>
                <w:b w:val="off"/>
                <w:color w:val="000000"/>
                <w:rFonts w:ascii="Times New Roman" w:hAnsi="Times New Roman" w:cs="Times New Roman" w:eastAsia="Times New Roman"/>
                <w:sz w:val="24"/>
              </w:rPr>
              <w:t>K bodu 1 (poznámky pod čiarou k odkazom 1, 7, 23 a 27)</w:t>
              <w:br/>
            </w:r>
            <w:r>
              <w:rPr>
                <w:b w:val="off"/>
                <w:color w:val="000000"/>
                <w:rFonts w:ascii="Times New Roman" w:hAnsi="Times New Roman" w:cs="Times New Roman" w:eastAsia="Times New Roman"/>
                <w:sz w:val="24"/>
              </w:rPr>
              <w:t>Poznámku pod čiarou k odkazu 27 navrhujeme uviesť v nasledovnom znení:</w:t>
              <w:br/>
            </w:r>
            <w:r>
              <w:rPr>
                <w:b w:val="off"/>
                <w:color w:val="000000"/>
                <w:rFonts w:ascii="Times New Roman" w:hAnsi="Times New Roman" w:cs="Times New Roman" w:eastAsia="Times New Roman"/>
                <w:sz w:val="24"/>
              </w:rPr>
              <w:t xml:space="preserve">„27) Napríklad § 626 až 632 Občianskeho zákonníka.“.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aktualizácia poznámky pod čiarou k odkazu 27 nezohľadňuje v celom rozsahu právnu úpravu zabezpečenia záväzkov zo spotrebiteľských zmlúv podľa nového Občianskeho zákonníka. Navrhovaný odkaz na § 626 až 629 síce zahŕňa všeobecnú úpravu neprijateľných zmluvných podmienok vrátane neprimeraného zabezpečenia záväzku spotrebiteľa (§ 629 písm. r)), opomína však osobitné ustanovenia o zakázaných spôsoboch zabezpečenia záväzkov (§ 631) a výkone záložného práva (§ 632). Hoci v poznámke pod čiarou ide len o príkladný výpočet, považujeme za vhodné, aby odkaz zahŕňal predovšetkým ustanovenia bezprostredne súvisiace s predmetom odkazujúcej právnej normy. Z uvedeného dôvodu navrhujeme poznámku pod čiarou doplniť tak, aby presnejšie odrážala obsahové a systematické usporiadanie novej právnej úpravy. Ide o legislatívno-technické spresnenie bez zmeny normatívneho obsahu § 4 ods. 2 zákona č. 312/2025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Navrhujeme vložiť nový novelizačný článok v tomto znení:</w:t>
              <w:br/>
            </w:r>
            <w:r>
              <w:rPr>
                <w:b w:val="off"/>
                <w:color w:val="000000"/>
                <w:rFonts w:ascii="Times New Roman" w:hAnsi="Times New Roman" w:cs="Times New Roman" w:eastAsia="Times New Roman"/>
                <w:sz w:val="24"/>
              </w:rPr>
              <w:t>„ Čl. ....</w:t>
              <w:br/>
            </w:r>
            <w:r>
              <w:rPr>
                <w:b w:val="off"/>
                <w:color w:val="000000"/>
                <w:rFonts w:ascii="Times New Roman" w:hAnsi="Times New Roman" w:cs="Times New Roman" w:eastAsia="Times New Roman"/>
                <w:sz w:val="24"/>
              </w:rPr>
              <w:t>Zákon č. 242/2026 Z. z. o zodpovednosti za škodu spôsobenú vadným výrobkom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písm. b) sa slová „hmotná vec, nehmotná vec“ nahrádzajú slovami „hmotný predmet, nehmotný predmet“.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 písm. d) sa slová „hmotnej veci“ nahrádzajú slovami „hmotného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 písm. i) sa slovo „splnomocnenia“ nahrádza slovom „plnomocenstva“.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Poznámka pod čiarou k odkazu 9 znie: </w:t>
              <w:br/>
            </w:r>
            <w:r>
              <w:rPr>
                <w:b w:val="off"/>
                <w:color w:val="000000"/>
                <w:rFonts w:ascii="Times New Roman" w:hAnsi="Times New Roman" w:cs="Times New Roman" w:eastAsia="Times New Roman"/>
                <w:sz w:val="24"/>
              </w:rPr>
              <w:t>„9) Napríklad§ 653 až 670 Občianskeho zákonníka, § 195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Poznámka pod čiarou k odkazu 13 znie:</w:t>
              <w:br/>
            </w:r>
            <w:r>
              <w:rPr>
                <w:b w:val="off"/>
                <w:color w:val="000000"/>
                <w:rFonts w:ascii="Times New Roman" w:hAnsi="Times New Roman" w:cs="Times New Roman" w:eastAsia="Times New Roman"/>
                <w:sz w:val="24"/>
              </w:rPr>
              <w:t>„13) § 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6 ods. 5 sa slovo „uzatvárať“ nahrádza slovom „uzavierať“.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Poznámka pod čiarou k odkazu 15 znie:</w:t>
              <w:br/>
            </w:r>
            <w:r>
              <w:rPr>
                <w:b w:val="off"/>
                <w:color w:val="000000"/>
                <w:rFonts w:ascii="Times New Roman" w:hAnsi="Times New Roman" w:cs="Times New Roman" w:eastAsia="Times New Roman"/>
                <w:sz w:val="24"/>
              </w:rPr>
              <w:t>„15) § 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10 ods. 1 sa slová „§ 440 Občianskeho zákonníka“ nahrádzajú slovami „§ 648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11 písmeno b) znie:</w:t>
              <w:br/>
            </w:r>
            <w:r>
              <w:rPr>
                <w:b w:val="off"/>
                <w:color w:val="000000"/>
                <w:rFonts w:ascii="Times New Roman" w:hAnsi="Times New Roman" w:cs="Times New Roman" w:eastAsia="Times New Roman"/>
                <w:sz w:val="24"/>
              </w:rPr>
              <w:t>„b) osoba, na ktorú pohľadávka na náhradu škody podľa § 3 ods. 1 prešla alebo ktorej  bola táto pohľadávka  postúpená,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12  sa slovo „mohol“ nahrádza slovom „musel“.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Poznámka pod čiarou k odkazu 18 znie:</w:t>
              <w:br/>
            </w:r>
            <w:r>
              <w:rPr>
                <w:b w:val="off"/>
                <w:color w:val="000000"/>
                <w:rFonts w:ascii="Times New Roman" w:hAnsi="Times New Roman" w:cs="Times New Roman" w:eastAsia="Times New Roman"/>
                <w:sz w:val="24"/>
              </w:rPr>
              <w:t xml:space="preserve">            „18) § 741 ods. 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bodom 1 a 2</w:t>
              <w:br/>
            </w:r>
            <w:r>
              <w:rPr>
                <w:b w:val="off"/>
                <w:color w:val="000000"/>
                <w:rFonts w:ascii="Times New Roman" w:hAnsi="Times New Roman" w:cs="Times New Roman" w:eastAsia="Times New Roman"/>
                <w:sz w:val="24"/>
              </w:rPr>
              <w:t>Terminologicky sa zosúlaďujú definície komponentu a digitálneho výrobného súboru s novým Občianskym zákonníkom bez zmeny ich vecného rozsahu. Nový Občiansky zákonník nepoužíva pojmy „hmotná vec“ a „nehmotná vec“, ale rozlišuje medzi právnymi predmetmi a vecami, pričom veci tvoria len jednu z kategórií právnych predmetov. Zároveň sa terminológia spresňuje tak, aby zodpovedala významu pojmu použitého v anglickom jazykovom znení smernice (EÚ) 2024/2853.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Zosúlaďuje sa terminológia zákona o zodpovednosti za škodu spôsobenú vadným výrobkom s novým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4, 5, 7, 8 a 11</w:t>
              <w:br/>
            </w:r>
            <w:r>
              <w:rPr>
                <w:b w:val="off"/>
                <w:color w:val="000000"/>
                <w:rFonts w:ascii="Times New Roman" w:hAnsi="Times New Roman" w:cs="Times New Roman" w:eastAsia="Times New Roman"/>
                <w:sz w:val="24"/>
              </w:rPr>
              <w:t>Ide o legislatívno-technickú úpravu nadväzujúcu na nahradenie zákona č. 40/1964 Zb. Občiansky zákonník v znení neskorších predpisov novým Občianskych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Zosúlaďuje sa terminológia, zákona o zodpovednosti za škodu spôsobenú vadným výrobkom s novým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9</w:t>
              <w:br/>
            </w:r>
            <w:r>
              <w:rPr>
                <w:b w:val="off"/>
                <w:color w:val="000000"/>
                <w:rFonts w:ascii="Times New Roman" w:hAnsi="Times New Roman" w:cs="Times New Roman" w:eastAsia="Times New Roman"/>
                <w:sz w:val="24"/>
              </w:rPr>
              <w:t>Zosúlaďuje sa terminológia ustanovenia s novým Občianskym zákonníkom, podľa ktorého je predmetom prechodu a postúpenia pohľadávka.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Zosúlaďuje sa terminológia ustanovenia o začiatku plynutia premlčacej lehoty s § 158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 a tabuľkám zhody</w:t>
              <w:br/>
            </w:r>
            <w:r>
              <w:rPr>
                <w:b w:val="off"/>
                <w:color w:val="000000"/>
                <w:rFonts w:ascii="Times New Roman" w:hAnsi="Times New Roman" w:cs="Times New Roman" w:eastAsia="Times New Roman"/>
                <w:sz w:val="24"/>
              </w:rPr>
              <w:t>Navrhujeme doplniť v bode 3 písm. b) doložky zlučiteľnosti tieto smernice Európskeho parlamentu a Rady, ktorých gestorom je MH SR: 98/6/ES, 2005/29/ES, 2006/114/ES, 2008/122/ES, 2011/83/EÚ, (EÚ) 2019/770, (EÚ) 2019/771, (EÚ) 2019/2161, (EÚ) 2024/825 a (EÚ) 2024/2853 a v nadväznosti na to primerane aktualizovať aj bod 4 doložky zlučiteľnosti a zároveň doplniť tabuľky zhody k uvedeným smerniciam.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je potrebné na  riadne vykázanie vzťahu návrhu zákona k dotknutým právnym aktom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vplyvom na podnikateľské prostredie</w:t>
              <w:br/>
            </w:r>
            <w:r>
              <w:rPr>
                <w:b w:val="off"/>
                <w:color w:val="000000"/>
                <w:rFonts w:ascii="Times New Roman" w:hAnsi="Times New Roman" w:cs="Times New Roman" w:eastAsia="Times New Roman"/>
                <w:sz w:val="24"/>
              </w:rPr>
              <w:t>Odporúčame predkladateľovi doplniť  vplyvy na podnikateľské prostredie, najmä v oblasti časových a prípadných finančných nákladov na oboznámenie sa s novou právnou úpravou a jej uplatňovanie v praxi. Všetky identifikované vplyvy, ktoré je možné kvantifikovať, odporúčame premietnuť aj do Kalkulačky nákladov. Zároveň odporúčame doplniť Analýzu vplyvov na podnikateľské prostredie v plnom rozsahu vrátane kompletnej úvodnej tabuľky. Odporúčame zohľadniť aj nepriame vplyvy vyplývajúce zo zmien jednotlivých právnych predpisov, najmä prípadnú potrebu úpravy zmluvnej a internej dokumentácie, ako aj súvisiacich interných postupov podnikateľských subjektov.</w:t>
              <w:br/>
            </w:r>
            <w:r>
              <w:rPr>
                <w:b w:val="off"/>
                <w:color w:val="000000"/>
                <w:rFonts w:ascii="Times New Roman" w:hAnsi="Times New Roman" w:cs="Times New Roman" w:eastAsia="Times New Roman"/>
                <w:sz w:val="24"/>
              </w:rPr>
              <w:t>Odôvodnenie: Návrh zákona obsahuje zmeny viacerých právnych predpisov, ktoré môžu ovplyvniť uplatňovanie práv a plnenie povinností podnikateľských subjektov v praxi. Z tohto dôvodu je potrebné zohľadniť aj časové a prípadné finančné náklady spojené s oboznámením sa s novou právnou úpravou, jej uplatňovaním a prípadným prispôsobením zmluvnej a internej dokumentácie či interných postupov. Úplné vyhodnotenie vplyvov je potrebné na posúdenie rozsahu nákladov, ktoré môžu podnikateľským subjektom v súvislosti s navrhovanými zmenami vzniknúť.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Odporúčame predkladateľovi predložiť materiál na záverečné posúdenie vybraných vplyvov v súlade s Jednotnou metodikou na posudzovanie vybraných vplyvov, keďže predložením materiálu súbežne do predbežného pripomienkového konania (PPK) a pripomienkového konania (PK) nedodržal stanovený procesný postup.</w:t>
              <w:br/>
            </w:r>
            <w:r>
              <w:rPr>
                <w:b w:val="off"/>
                <w:color w:val="000000"/>
                <w:rFonts w:ascii="Times New Roman" w:hAnsi="Times New Roman" w:cs="Times New Roman" w:eastAsia="Times New Roman"/>
                <w:sz w:val="24"/>
              </w:rPr>
              <w:t>Odôvodnenie: Dodržanie jednotlivých fáz posudzovania vybraných vplyvov je nevyhnutné na zabezpečenie riadneho procesu posudzovania vplyvov pred pokračovaním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odporúčame zosúladiť s Legislatívnymi pravidlami vlády Slovenskej republiky, a to napríklad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bod 21 spojiť s bodom 23, bod 22 s bodom 25 a 28, nakoľko ide o rovnakú právnu úpravu.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V </w:t>
              <w:br/>
            </w:r>
            <w:r>
              <w:rPr>
                <w:b w:val="off"/>
                <w:color w:val="000000"/>
                <w:rFonts w:ascii="Times New Roman" w:hAnsi="Times New Roman" w:cs="Times New Roman" w:eastAsia="Times New Roman"/>
                <w:sz w:val="24"/>
              </w:rPr>
              <w:t>Odporúčame v bode 13 doplniť aj ustanovenie § 126 ods. 2, v ktorom je rovnako použité slovo „urobené" v spojení  „urobené elektronickými prostriedkami" tak ako je to aj v § 121 ods. 5, v ktorom sa navrhuje zmena slova „urobené".</w:t>
              <w:br/>
            </w:r>
            <w:r>
              <w:rPr>
                <w:b w:val="off"/>
                <w:color w:val="000000"/>
                <w:rFonts w:ascii="Times New Roman" w:hAnsi="Times New Roman" w:cs="Times New Roman" w:eastAsia="Times New Roman"/>
                <w:sz w:val="24"/>
              </w:rPr>
              <w:t>Odporúčame v bode 20 § 289a ods. 1 slová „až 6" nahradiť slovami „až 4", vzhľadom na to, že § 289a obsahuje len odseky 1 až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V bodoch 5 a 6 odporúčame slová „ods. 1" nahradiť slovami „ods. 2", vzhľadom na to, že odsek 1 nie je členený na písmená a ide zjavne o úpravu v § 10 ods. 2.</w:t>
              <w:br/>
            </w:r>
            <w:r>
              <w:rPr>
                <w:b w:val="off"/>
                <w:color w:val="000000"/>
                <w:rFonts w:ascii="Times New Roman" w:hAnsi="Times New Roman" w:cs="Times New Roman" w:eastAsia="Times New Roman"/>
                <w:sz w:val="24"/>
              </w:rPr>
              <w:t>Odporúčame spojiť novelizačné body 13 a15 do jedného novelizačného bodu z dôvodu rovnakej právnej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XLIV</w:t>
              <w:br/>
            </w:r>
            <w:r>
              <w:rPr>
                <w:b w:val="off"/>
                <w:color w:val="000000"/>
                <w:rFonts w:ascii="Times New Roman" w:hAnsi="Times New Roman" w:cs="Times New Roman" w:eastAsia="Times New Roman"/>
                <w:sz w:val="24"/>
              </w:rPr>
              <w:t>V  bode 4 odporúčame za slovo „zemepisnom“ vložiť slovo „pôvode“, v bode 5 znenie poznámky pod čiarou uviesť aj s označením čísla odkazu a v bode 6 postupovať podľa bodu 38 prílohy č. 1 LPV SR a vypustenie poznámky pod čiarou uviesť vetou „Poznámka pod čiarou k odkazu 9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Čl. XLVI a čl. XLVII</w:t>
              <w:br/>
            </w:r>
            <w:r>
              <w:rPr>
                <w:b w:val="off"/>
                <w:color w:val="000000"/>
                <w:rFonts w:ascii="Times New Roman" w:hAnsi="Times New Roman" w:cs="Times New Roman" w:eastAsia="Times New Roman"/>
                <w:sz w:val="24"/>
              </w:rPr>
              <w:t xml:space="preserve">V čl. XLVI bode 9 odporúčame postupovať podľa bodu 55 Prílohy č. 1 LPV SR a neuvádzať slová „a nasl." rovnakú úpravu odporúčame aj v  čl. XLVII bode 8.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LIV </w:t>
              <w:br/>
            </w:r>
            <w:r>
              <w:rPr>
                <w:b w:val="off"/>
                <w:color w:val="000000"/>
                <w:rFonts w:ascii="Times New Roman" w:hAnsi="Times New Roman" w:cs="Times New Roman" w:eastAsia="Times New Roman"/>
                <w:sz w:val="24"/>
              </w:rPr>
              <w:t xml:space="preserve">Bod 1 odporúčame preformulovať nasledovne: </w:t>
              <w:br/>
            </w:r>
            <w:r>
              <w:rPr>
                <w:b w:val="off"/>
                <w:color w:val="000000"/>
                <w:rFonts w:ascii="Times New Roman" w:hAnsi="Times New Roman" w:cs="Times New Roman" w:eastAsia="Times New Roman"/>
                <w:sz w:val="24"/>
              </w:rPr>
              <w:t>„V § 23 ods. 3 sa na konci vypúšťa odkaz 20.</w:t>
              <w:br/>
            </w:r>
            <w:r>
              <w:rPr>
                <w:b w:val="off"/>
                <w:color w:val="000000"/>
                <w:rFonts w:ascii="Times New Roman" w:hAnsi="Times New Roman" w:cs="Times New Roman" w:eastAsia="Times New Roman"/>
                <w:sz w:val="24"/>
              </w:rPr>
              <w:t>Poznámka pod čiarou k odkazu 20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LXIV </w:t>
              <w:br/>
            </w:r>
            <w:r>
              <w:rPr>
                <w:b w:val="off"/>
                <w:color w:val="000000"/>
                <w:rFonts w:ascii="Times New Roman" w:hAnsi="Times New Roman" w:cs="Times New Roman" w:eastAsia="Times New Roman"/>
                <w:sz w:val="24"/>
              </w:rPr>
              <w:t>V čl. LXIV odporúčame spojiť body 5 a 6 a v bode 3 odporúčame nasledovné znenie:</w:t>
              <w:br/>
            </w:r>
            <w:r>
              <w:rPr>
                <w:b w:val="off"/>
                <w:color w:val="000000"/>
                <w:rFonts w:ascii="Times New Roman" w:hAnsi="Times New Roman" w:cs="Times New Roman" w:eastAsia="Times New Roman"/>
                <w:sz w:val="24"/>
              </w:rPr>
              <w:t>„Poznámka pod čiarou k odkazu 6 znie:</w:t>
              <w:br/>
            </w:r>
            <w:r>
              <w:rPr>
                <w:b w:val="off"/>
                <w:color w:val="000000"/>
                <w:rFonts w:ascii="Times New Roman" w:hAnsi="Times New Roman" w:cs="Times New Roman" w:eastAsia="Times New Roman"/>
                <w:sz w:val="24"/>
              </w:rPr>
              <w:t>"6) § 4 Občianskeho zákonníka.".“.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CXXXI </w:t>
              <w:br/>
            </w:r>
            <w:r>
              <w:rPr>
                <w:b w:val="off"/>
                <w:color w:val="000000"/>
                <w:rFonts w:ascii="Times New Roman" w:hAnsi="Times New Roman" w:cs="Times New Roman" w:eastAsia="Times New Roman"/>
                <w:sz w:val="24"/>
              </w:rPr>
              <w:t xml:space="preserve">V bode 20 § 24h odporúčame slová „31. júna“ nahradiť slovami „30. júna“.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CXLVI</w:t>
              <w:br/>
            </w:r>
            <w:r>
              <w:rPr>
                <w:b w:val="off"/>
                <w:color w:val="000000"/>
                <w:rFonts w:ascii="Times New Roman" w:hAnsi="Times New Roman" w:cs="Times New Roman" w:eastAsia="Times New Roman"/>
                <w:sz w:val="24"/>
              </w:rPr>
              <w:t>Odporúčame novelizačný bod 13 vypustiť, z dôvodu duplicitnej úpravy v novelizačnom bode 9.</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CLIV</w:t>
              <w:br/>
            </w:r>
            <w:r>
              <w:rPr>
                <w:b w:val="off"/>
                <w:color w:val="000000"/>
                <w:rFonts w:ascii="Times New Roman" w:hAnsi="Times New Roman" w:cs="Times New Roman" w:eastAsia="Times New Roman"/>
                <w:sz w:val="24"/>
              </w:rPr>
              <w:t>V čl. CLIV úvodnej vete odporúčame slová „a zákona č. 335/2014 Z. z.“ vypustiť.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CLVIII</w:t>
              <w:br/>
            </w:r>
            <w:r>
              <w:rPr>
                <w:b w:val="off"/>
                <w:color w:val="000000"/>
                <w:rFonts w:ascii="Times New Roman" w:hAnsi="Times New Roman" w:cs="Times New Roman" w:eastAsia="Times New Roman"/>
                <w:sz w:val="24"/>
              </w:rPr>
              <w:t>V čl. CLVIII úvodnej vete odporúčame slová „zákona č. 40/2015 Z. z.,“ vypustiť z dôvodu duplicity.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CLXXXIX</w:t>
              <w:br/>
            </w:r>
            <w:r>
              <w:rPr>
                <w:b w:val="off"/>
                <w:color w:val="000000"/>
                <w:rFonts w:ascii="Times New Roman" w:hAnsi="Times New Roman" w:cs="Times New Roman" w:eastAsia="Times New Roman"/>
                <w:sz w:val="24"/>
              </w:rPr>
              <w:t>V čl. CLXXXIX úvodnej vete odporúčame slová „zákona 67“ nahradiť slovami „zákona č. 67“.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CXXIV</w:t>
              <w:br/>
            </w:r>
            <w:r>
              <w:rPr>
                <w:b w:val="off"/>
                <w:color w:val="000000"/>
                <w:rFonts w:ascii="Times New Roman" w:hAnsi="Times New Roman" w:cs="Times New Roman" w:eastAsia="Times New Roman"/>
                <w:sz w:val="24"/>
              </w:rPr>
              <w:t>V bode 2 odporúčame pojem „lehota" upraviť aj v § 123 ods. 5 (2x), keďže aj v tomto prípade ide o dobu.</w:t>
              <w:br/>
            </w:r>
            <w:r>
              <w:rPr>
                <w:b w:val="off"/>
                <w:color w:val="000000"/>
                <w:rFonts w:ascii="Times New Roman" w:hAnsi="Times New Roman" w:cs="Times New Roman" w:eastAsia="Times New Roman"/>
                <w:sz w:val="24"/>
              </w:rPr>
              <w:t>V bode 4 odporúčame pojem „uzatvoril" upraviť aj v § 121a ods. 2 a § 139b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CXXVIII, Čl. CXXXVI, Čl. CXCVII a Čl. CCX</w:t>
              <w:br/>
            </w:r>
            <w:r>
              <w:rPr>
                <w:b w:val="off"/>
                <w:color w:val="000000"/>
                <w:rFonts w:ascii="Times New Roman" w:hAnsi="Times New Roman" w:cs="Times New Roman" w:eastAsia="Times New Roman"/>
                <w:sz w:val="24"/>
              </w:rPr>
              <w:t>V čl. CXXVIII zákone č. 514/2009 Z. z., v čl. CXXXVI zákone č. 324/2011 Z. z., v čl. CXCVII zákone č. 452/2021 Z. z. a v čl. CCX  zákone č. 142/2024 Z. z.  odporúčame pojem „uzatvoriť" vo všetkých tvaroch nahradiť  pojmom „uzavrieť" vo všetkých tvaroch, keďže uvedený pojem sa v zákonoch nachádza viackrát.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CLXIX – zákon č. 440/2015 Z. z.</w:t>
              <w:br/>
            </w:r>
            <w:r>
              <w:rPr>
                <w:b w:val="off"/>
                <w:color w:val="000000"/>
                <w:rFonts w:ascii="Times New Roman" w:hAnsi="Times New Roman" w:cs="Times New Roman" w:eastAsia="Times New Roman"/>
                <w:sz w:val="24"/>
              </w:rPr>
              <w:t xml:space="preserve">V návrhu zákona odporúčame zjednotiť  terminológiu s navrhovanými zmenami v Zákonníku práce (čl. III), ktorý  používa pojem „rok života“.  Uvedené tak odporúčame primerane upraviť v celom texte zákona č. 440/2015 Z. z. </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46 ods. 2 zákona č. 440/2015 Z. z.  odporúčame upraviť rozsah odkazov na Zákonník práce, vzhľadom na navrhované zmeny v Zákonníku práce. </w:t>
              <w:br/>
            </w:r>
            <w:r>
              <w:rPr>
                <w:b w:val="off"/>
                <w:color w:val="000000"/>
                <w:rFonts w:ascii="Times New Roman" w:hAnsi="Times New Roman" w:cs="Times New Roman" w:eastAsia="Times New Roman"/>
                <w:sz w:val="24"/>
              </w:rPr>
              <w:t>V súvislosti  s novelizačným bodom 2 a nahradením doterajšej „zmluvy o združení“ novým označením ako „zmluva o spoločenstve“  v novom Občianskom zákonníku,  odporúčame doplniť prechodné ustanovenie vo vzťahu k § 15 ods. 2 zákona č. 440/2015 Z. z., tak aby sa predmetné ustanovenie aj naďalej primerane vzťahovalo na združenie osôb na základe zmluvy o združení, ktoré sú na účely podľa § 15 ods. 2 zákona č. 440/2015 Z. z. v platnom znení považované za športový klub.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CXXI, Čl. CXLVI, Čl. CLIII, Čl. CLXVI, Čl. CXCIX.</w:t>
              <w:br/>
            </w:r>
            <w:r>
              <w:rPr>
                <w:b w:val="off"/>
                <w:color w:val="000000"/>
                <w:rFonts w:ascii="Times New Roman" w:hAnsi="Times New Roman" w:cs="Times New Roman" w:eastAsia="Times New Roman"/>
                <w:sz w:val="24"/>
              </w:rPr>
              <w:t>Odporúčame návrh legislatívno-technicky upraviť, najmä</w:t>
              <w:br/>
            </w:r>
            <w:r>
              <w:rPr>
                <w:b w:val="off"/>
                <w:color w:val="000000"/>
                <w:rFonts w:ascii="Times New Roman" w:hAnsi="Times New Roman" w:cs="Times New Roman" w:eastAsia="Times New Roman"/>
                <w:sz w:val="24"/>
              </w:rPr>
              <w:t>v čl. CXXI (zákon č. 528/2008 Z. z.) v bode 1 vypustiť bodku za slovom „zákonníka“ a v bode 3 slová „§ 15“ nahradiť slovami „§ 12“;</w:t>
              <w:br/>
            </w:r>
            <w:r>
              <w:rPr>
                <w:b w:val="off"/>
                <w:color w:val="000000"/>
                <w:rFonts w:ascii="Times New Roman" w:hAnsi="Times New Roman" w:cs="Times New Roman" w:eastAsia="Times New Roman"/>
                <w:sz w:val="24"/>
              </w:rPr>
              <w:t xml:space="preserve">v čl. CXLVI (zákon č. 305/2013 Z. z.) v bode 5 za slovami „ods. 6“ čiarku nahradiť spojkou „a“, v bode 9 za slovami „ods. 4“ čiarku nahradiť spojkou „a“ a v bode 12 slová „ods. 7“ nahradiť slovami „ods. 4“; </w:t>
              <w:br/>
            </w:r>
            <w:r>
              <w:rPr>
                <w:b w:val="off"/>
                <w:color w:val="000000"/>
                <w:rFonts w:ascii="Times New Roman" w:hAnsi="Times New Roman" w:cs="Times New Roman" w:eastAsia="Times New Roman"/>
                <w:sz w:val="24"/>
              </w:rPr>
              <w:t>v čl. CLIII (zákon č. 292/2014 Z. z.) v bode 3 za slovami „ods. 2“ čiarku nahradiť spojkou „a“;</w:t>
              <w:br/>
            </w:r>
            <w:r>
              <w:rPr>
                <w:b w:val="off"/>
                <w:color w:val="000000"/>
                <w:rFonts w:ascii="Times New Roman" w:hAnsi="Times New Roman" w:cs="Times New Roman" w:eastAsia="Times New Roman"/>
                <w:sz w:val="24"/>
              </w:rPr>
              <w:t>v čl. CLXVI (zákon č. 343/2015 Z. z.) v bode 10 na konci § 104 ods. 3 za úvodzovky pripojiť bodku;</w:t>
              <w:br/>
            </w:r>
            <w:r>
              <w:rPr>
                <w:b w:val="off"/>
                <w:color w:val="000000"/>
                <w:rFonts w:ascii="Times New Roman" w:hAnsi="Times New Roman" w:cs="Times New Roman" w:eastAsia="Times New Roman"/>
                <w:sz w:val="24"/>
              </w:rPr>
              <w:t>v čl. CXCIX (zákon č. 121/2022 Z. z.) upraviť znenie bodu 12 tak, aby znel: „12. V § 44 ods. 6 sa slovo „úroky“ nahrádza slovom „úrok“.“.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CLXV.</w:t>
              <w:br/>
            </w:r>
            <w:r>
              <w:rPr>
                <w:b w:val="off"/>
                <w:color w:val="000000"/>
                <w:rFonts w:ascii="Times New Roman" w:hAnsi="Times New Roman" w:cs="Times New Roman" w:eastAsia="Times New Roman"/>
                <w:sz w:val="24"/>
              </w:rPr>
              <w:t>Odporúčame čl. CLXV doplniť o nasledovný nový novelizačný bod 4:</w:t>
              <w:br/>
            </w:r>
            <w:r>
              <w:rPr>
                <w:b w:val="off"/>
                <w:color w:val="000000"/>
                <w:rFonts w:ascii="Times New Roman" w:hAnsi="Times New Roman" w:cs="Times New Roman" w:eastAsia="Times New Roman"/>
                <w:sz w:val="24"/>
              </w:rPr>
              <w:t>„4. Za § 26 sa vkladá § 27, ktorý vrátane nadpisu znie:</w:t>
              <w:br/>
            </w:r>
            <w:r>
              <w:rPr>
                <w:b w:val="off"/>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tohto zákona sa zmluvou uzavretou podľa ustanovení Občianskeho zákonníka rozumie aj zmluva, ktorá bola do 30. júna 2027 uzavretá podľa tomu zodpovedajúcich ustanovení Obchodného zákonníka v znení účinnom do 30. júna 2027; právne vzťahy vzniknuté do 30. júna 2027 a práva a povinnosti z nich vyplývajúce vrátane práv a povinností z porušenia zmlúv uzavretých do 30. júna 2027 sa spravujú právnymi predpismi účinnými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Vzhľadom na  úpravy v novelizačných bodoch 2 a 3 odporúčame doplniť úpravu prechodných ustanovení obdobne, ako je tomu v čl. CLIII a čl. CXXI vlastného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III, bod 45, str. 12.</w:t>
              <w:br/>
            </w:r>
            <w:r>
              <w:rPr>
                <w:b w:val="off"/>
                <w:color w:val="000000"/>
                <w:rFonts w:ascii="Times New Roman" w:hAnsi="Times New Roman" w:cs="Times New Roman" w:eastAsia="Times New Roman"/>
                <w:sz w:val="24"/>
              </w:rPr>
              <w:t xml:space="preserve">Odporúčame v 45. bode na konci novelizačného návrhu v § 57 ods. 1 doplniť bodku nasledovne: </w:t>
              <w:br/>
            </w:r>
            <w:r>
              <w:rPr>
                <w:b w:val="off"/>
                <w:color w:val="000000"/>
                <w:rFonts w:ascii="Times New Roman" w:hAnsi="Times New Roman" w:cs="Times New Roman" w:eastAsia="Times New Roman"/>
                <w:sz w:val="24"/>
              </w:rPr>
              <w:t>„45.	V § 57 ods. 1 sa slová „potrebné obdobie“ nahrádzajú slovami „potrebnú 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XVIII, bod 1, str. 55.</w:t>
              <w:br/>
            </w:r>
            <w:r>
              <w:rPr>
                <w:b w:val="off"/>
                <w:color w:val="000000"/>
                <w:rFonts w:ascii="Times New Roman" w:hAnsi="Times New Roman" w:cs="Times New Roman" w:eastAsia="Times New Roman"/>
                <w:sz w:val="24"/>
              </w:rPr>
              <w:t>Odporúčame v prvej vete medzi slová „rokov“ a „preukazuje“ doplniť čiarku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 sa za odsek 1 vkladá nový odsek 2, ktorý znie:</w:t>
              <w:br/>
            </w:r>
            <w:r>
              <w:rPr>
                <w:b w:val="off"/>
                <w:color w:val="000000"/>
                <w:rFonts w:ascii="Times New Roman" w:hAnsi="Times New Roman" w:cs="Times New Roman" w:eastAsia="Times New Roman"/>
                <w:sz w:val="24"/>
              </w:rPr>
              <w:t>„(2) Fyzická osoba, ktorá nedovŕšila vek 18 rokov, preukazuje splnenie všeobecnej podmienky prevádzkovania živnosti podľa odseku 1 písm. b) právoplatným rozhodnutím súdu, ktorým bol schválený súhlas jej zákonného zástupcu na podnikanie a bola jej priznaná čiastočná spôsobilosť na právne úkony súvisiace s podnikaním podľa § 171 ods. 3 a 4 Občianskeho zákonníka; všeobecná podmienka prevádzkovania živnosti podľa odseku 1 písm. a) sa na túto osobu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XXI, bod 6, str. 58.</w:t>
              <w:br/>
            </w:r>
            <w:r>
              <w:rPr>
                <w:b w:val="off"/>
                <w:color w:val="000000"/>
                <w:rFonts w:ascii="Times New Roman" w:hAnsi="Times New Roman" w:cs="Times New Roman" w:eastAsia="Times New Roman"/>
                <w:sz w:val="24"/>
              </w:rPr>
              <w:t>Odporúčame v navrhovanom § 53a ods. 1 druhej vete medzi slová „manželia“ a „notár“ doplniť čiarku nasledovne:</w:t>
              <w:br/>
            </w:r>
            <w:r>
              <w:rPr>
                <w:b w:val="off"/>
                <w:color w:val="000000"/>
                <w:rFonts w:ascii="Times New Roman" w:hAnsi="Times New Roman" w:cs="Times New Roman" w:eastAsia="Times New Roman"/>
                <w:sz w:val="24"/>
              </w:rPr>
              <w:t xml:space="preserve">„6.	Za § 53 sa vkladá § 53a,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53a</w:t>
              <w:br/>
            </w:r>
            <w:r>
              <w:rPr>
                <w:b w:val="off"/>
                <w:color w:val="000000"/>
                <w:rFonts w:ascii="Times New Roman" w:hAnsi="Times New Roman" w:cs="Times New Roman" w:eastAsia="Times New Roman"/>
                <w:sz w:val="24"/>
              </w:rPr>
              <w:t xml:space="preserve">(1)	Pred spísaním dedičskej zmluvy notár poučí účastníkov, že v dedičskej zmluve môžu dohodnúť dôvody, pre ktoré môže zmluvná strana od dedičskej zmluvy odstúpiť alebo dohodnúť, že zmluvná strana má právo odstúpiť od dedičskej zmluvy aj bez uvedenia dôvodu. Ak sú zmluvnými stranami manželia, notár poučí účastníkov, že v dedičskej zmluve môžu dohodou vylúčiť, že rozvod manželstva spôsobuje zánik dedičskej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XXIV, bod 7, str. 66.</w:t>
              <w:br/>
            </w:r>
            <w:r>
              <w:rPr>
                <w:b w:val="off"/>
                <w:color w:val="000000"/>
                <w:rFonts w:ascii="Times New Roman" w:hAnsi="Times New Roman" w:cs="Times New Roman" w:eastAsia="Times New Roman"/>
                <w:sz w:val="24"/>
              </w:rPr>
              <w:t xml:space="preserve">Odporúčame v prvej vete slovo „neuplatňuje“ nahradiť slovom „neuplatňujú“ nasledovne: </w:t>
              <w:br/>
            </w:r>
            <w:r>
              <w:rPr>
                <w:b w:val="off"/>
                <w:color w:val="000000"/>
                <w:rFonts w:ascii="Times New Roman" w:hAnsi="Times New Roman" w:cs="Times New Roman" w:eastAsia="Times New Roman"/>
                <w:sz w:val="24"/>
              </w:rPr>
              <w:t>„7.	V § 6 sa za odsek 1 vkladá nový odsek 2, ktorý znie:</w:t>
              <w:br/>
            </w:r>
            <w:r>
              <w:rPr>
                <w:b w:val="off"/>
                <w:color w:val="000000"/>
                <w:rFonts w:ascii="Times New Roman" w:hAnsi="Times New Roman" w:cs="Times New Roman" w:eastAsia="Times New Roman"/>
                <w:sz w:val="24"/>
              </w:rPr>
              <w:t>„(2) Ak je výlučným vlastníkom všetkých bytov a všetkých nebytových priestorov v dome jeden vlastník, je oprávnený realizovať výkon správy domu vo vlastnom mene; pri výkone správy domu sa na takéhoto vlastníka neuplatňujú povinnosti podľa odseku 1 a osobitného predpisu.12ca)“.“</w:t>
              <w:br/>
            </w:r>
            <w:r>
              <w:rPr>
                <w:b w:val="off"/>
                <w:color w:val="000000"/>
                <w:rFonts w:ascii="Times New Roman" w:hAnsi="Times New Roman" w:cs="Times New Roman" w:eastAsia="Times New Roman"/>
                <w:sz w:val="24"/>
              </w:rPr>
              <w:t xml:space="preserve">a zároveň </w:t>
              <w:br/>
            </w:r>
            <w:r>
              <w:rPr>
                <w:b w:val="off"/>
                <w:color w:val="000000"/>
                <w:rFonts w:ascii="Times New Roman" w:hAnsi="Times New Roman" w:cs="Times New Roman" w:eastAsia="Times New Roman"/>
                <w:sz w:val="24"/>
              </w:rPr>
              <w:t>odporúčame druhú vetu preformulovať nasledovne: „Povinnosť zabezpečiť výkon správy domu podľa odseku 1 vzniká dňom nadobudnutia vlastníckeho práva aspoň k jednému bytu alebo jednému nebytovému priestoru v dome osobou inou ako pôvodným vlastníkom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Oprava správneho tvaru slovesa a formálna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LXXV, bod 7, str. 137.</w:t>
              <w:br/>
            </w:r>
            <w:r>
              <w:rPr>
                <w:b w:val="off"/>
                <w:color w:val="000000"/>
                <w:rFonts w:ascii="Times New Roman" w:hAnsi="Times New Roman" w:cs="Times New Roman" w:eastAsia="Times New Roman"/>
                <w:sz w:val="24"/>
              </w:rPr>
              <w:t>Odporúčame doplniť číslo zákona v novelizačnom bode 7 v poznámke pod čiarou k odkazu 10 nasledovne: „10) Zákon č. 29/2026 Z. z. o obchodnom registri a o zmene a doplnení niektorých zákonov (zákon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Doplnenie chýbajúceho čísla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 xml:space="preserve">Odporúčame doplniť Vlastný materiál o novelizačné body k zákonu č. 357/2015 Z. z. o finančnej kontrole a audite a o zmene a doplnení niektorých zákonov v súvislosti s prijatím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 ods. 3 písm. d), § 10 ods. 2 písm. d) sa slovo „uzatvorených“ nahrádza slovom „uzavretých“.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 ods. 4 písm. d sa slovo „uzatvorenými“ nahrádza slovom „uzavretými“.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11 ods. 2, písm. b), § 13 ods. 4, § 20 ods. 3, písm. b), ods. 5 a 6 , § 22 ods. 4, písm. a), § 26 ods. 5 sa slovo „doručenia“ vo všetkých tvaroch sa v celom texte zákona nahrádza slovom „dôjdenia“ v príslušnom tvare, slovo „doručenej“ sa vo všetkých tvaroch v celom texte zákona  nahrádza slovom „dôjdenej“ v príslušnom tvare a slovo „doručením“ vo všetkých tvaroch sa v celom texte zákona nahrádza slovom nahrádza slovom „dôjdením“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návrhov zmien zákona č. 357/2015 Z. z. o finančnej kontrole a audite a o zmene a doplnení niektorých zákonov v súvislosti s prijatím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LVI</w:t>
              <w:br/>
            </w:r>
            <w:r>
              <w:rPr>
                <w:b w:val="off"/>
                <w:color w:val="000000"/>
                <w:rFonts w:ascii="Times New Roman" w:hAnsi="Times New Roman" w:cs="Times New Roman" w:eastAsia="Times New Roman"/>
                <w:sz w:val="24"/>
              </w:rPr>
              <w:t xml:space="preserve">K čl. LVI (zákon č. 49/2002 Z. z. o ochrane pamiatkového fondu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Novelizačný bod 3 odporúčame upraviť takto: </w:t>
              <w:br/>
            </w:r>
            <w:r>
              <w:rPr>
                <w:b w:val="off"/>
                <w:color w:val="000000"/>
                <w:rFonts w:ascii="Times New Roman" w:hAnsi="Times New Roman" w:cs="Times New Roman" w:eastAsia="Times New Roman"/>
                <w:sz w:val="24"/>
              </w:rPr>
              <w:t>„3.  Poznámka pod čiarou k odkazu 28 znie:</w:t>
              <w:br/>
            </w:r>
            <w:r>
              <w:rPr>
                <w:b w:val="off"/>
                <w:color w:val="000000"/>
                <w:rFonts w:ascii="Times New Roman" w:hAnsi="Times New Roman" w:cs="Times New Roman" w:eastAsia="Times New Roman"/>
                <w:sz w:val="24"/>
              </w:rPr>
              <w:t xml:space="preserve">,,28) § 1467 a 1468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novelizačný bod 3 odporúčame vložiť nový novelizačný bod 4, ktorý znie: </w:t>
              <w:br/>
            </w:r>
            <w:r>
              <w:rPr>
                <w:b w:val="off"/>
                <w:color w:val="000000"/>
                <w:rFonts w:ascii="Times New Roman" w:hAnsi="Times New Roman" w:cs="Times New Roman" w:eastAsia="Times New Roman"/>
                <w:sz w:val="24"/>
              </w:rPr>
              <w:t xml:space="preserve">„4. V § 30 ods. 2 sa slová „osobitného predpisu29)“ nahrádzajú slovami „Občianskeho zákonníka“.“. </w:t>
              <w:br/>
            </w:r>
            <w:r>
              <w:rPr>
                <w:b w:val="off"/>
                <w:color w:val="000000"/>
                <w:rFonts w:ascii="Times New Roman" w:hAnsi="Times New Roman" w:cs="Times New Roman" w:eastAsia="Times New Roman"/>
                <w:sz w:val="24"/>
              </w:rPr>
              <w:t xml:space="preserve">Poznámka pod čiarou k odkazu 29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Novelizačné body 5 a 6 sa označujú ako novelizačné body 6 a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CXVII</w:t>
              <w:br/>
            </w:r>
            <w:r>
              <w:rPr>
                <w:b w:val="off"/>
                <w:color w:val="000000"/>
                <w:rFonts w:ascii="Times New Roman" w:hAnsi="Times New Roman" w:cs="Times New Roman" w:eastAsia="Times New Roman"/>
                <w:sz w:val="24"/>
              </w:rPr>
              <w:t xml:space="preserve">K čl. CXVII (zákon č. 385/2008 Z. z. o Tlačovej agentúre Slovenskej republiky a o zmene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1 odporúčame na konci vložiť slová „a slovo „združenia“ sa nahrádza slovom „spoločenstva“.“.</w:t>
              <w:br/>
            </w:r>
            <w:r>
              <w:rPr>
                <w:b w:val="off"/>
                <w:color w:val="000000"/>
                <w:rFonts w:ascii="Times New Roman" w:hAnsi="Times New Roman" w:cs="Times New Roman" w:eastAsia="Times New Roman"/>
                <w:sz w:val="24"/>
              </w:rPr>
              <w:t>Odôvodnenie: Legislatívno – 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CCXI</w:t>
              <w:br/>
            </w:r>
            <w:r>
              <w:rPr>
                <w:b w:val="off"/>
                <w:color w:val="000000"/>
                <w:rFonts w:ascii="Times New Roman" w:hAnsi="Times New Roman" w:cs="Times New Roman" w:eastAsia="Times New Roman"/>
                <w:sz w:val="24"/>
              </w:rPr>
              <w:t xml:space="preserve">K čl. CCXI (zákon č. 157/2024 Z. z. o Slovenskej televízii a rozhlase a o zmene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7 odporúčame na konci vložiť slová „a slovo „združenia“ sa nahrádza slovom „spoločenstva“.“.</w:t>
              <w:br/>
            </w:r>
            <w:r>
              <w:rPr>
                <w:b w:val="off"/>
                <w:color w:val="000000"/>
                <w:rFonts w:ascii="Times New Roman" w:hAnsi="Times New Roman" w:cs="Times New Roman" w:eastAsia="Times New Roman"/>
                <w:sz w:val="24"/>
              </w:rPr>
              <w:t>Odôvodnenie: Legislatívno – 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CLXIV</w:t>
              <w:br/>
            </w:r>
            <w:r>
              <w:rPr>
                <w:b w:val="off"/>
                <w:color w:val="000000"/>
                <w:rFonts w:ascii="Times New Roman" w:hAnsi="Times New Roman" w:cs="Times New Roman" w:eastAsia="Times New Roman"/>
                <w:sz w:val="24"/>
              </w:rPr>
              <w:t>K čl. CLXIV (zákon č. 185/2015 Z. z. Autorský zákon v znení neskorších predpisov) a k tabuľke zhody k smernici Európskeho parlamentu a Rady 2004/48/ES z 29. apríla 2004 o vymožiteľnosti práv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Legislatívnu zmenu v bode 3 navrhujeme zohľadniť aj v tabuľke zhody k smernici Európskeho parlamentu a Rady 2004/48/ES z 29. apríla 2004 o vymožiteľnosti práv duševného vlastníctva. </w:t>
              <w:br/>
            </w:r>
            <w:r>
              <w:rPr>
                <w:b w:val="off"/>
                <w:color w:val="000000"/>
                <w:rFonts w:ascii="Times New Roman" w:hAnsi="Times New Roman" w:cs="Times New Roman" w:eastAsia="Times New Roman"/>
                <w:sz w:val="24"/>
              </w:rPr>
              <w:t>Odôvodnenie: Ustanovenie § 58 ods. 1 písm. g) Autorského zákona je pôvodne notifikované ustanovenie k čl. 13 ods. 1 smernice a jeho vypustenie považujeme za potrebné zohľadniť aj v tabuľke zhody s príslušným odôvodnením, že nemajetková ujma je po novom obsiahnutá vo všeobecnom ustanovení o škode v  § 58 ods. 1 písm. h) Autorského zákona, ktoré bolo k čl. 13 ods. 1 smernice pôvodne taktiež spolu notifikované.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čl. XVI</w:t>
              <w:br/>
            </w:r>
            <w:r>
              <w:rPr>
                <w:b w:val="off"/>
                <w:color w:val="000000"/>
                <w:rFonts w:ascii="Times New Roman" w:hAnsi="Times New Roman" w:cs="Times New Roman" w:eastAsia="Times New Roman"/>
                <w:sz w:val="24"/>
              </w:rPr>
              <w:t xml:space="preserve">K dôvodovej správe k čl. XVI (zákon č. 308/1991 Zb. o slobode náboženskej viery a postavení cirkví a náboženských spoločností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osobitnej časti dôvodovej správy k čl. XVI odporúčame slová „K bodu 1 (§4 ods. 2)“ nahradiť slovami „K bodu 1 (§4 ods. 5)“.  </w:t>
              <w:br/>
            </w:r>
            <w:r>
              <w:rPr>
                <w:b w:val="off"/>
                <w:color w:val="000000"/>
                <w:rFonts w:ascii="Times New Roman" w:hAnsi="Times New Roman" w:cs="Times New Roman" w:eastAsia="Times New Roman"/>
                <w:sz w:val="24"/>
              </w:rPr>
              <w:t>Odôvodnenie: Zosúladenie osobitnej časti dôvodovej správy s vlastným materiálom.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XXV</w:t>
              <w:br/>
            </w:r>
            <w:r>
              <w:rPr>
                <w:b w:val="off"/>
                <w:color w:val="000000"/>
                <w:rFonts w:ascii="Times New Roman" w:hAnsi="Times New Roman" w:cs="Times New Roman" w:eastAsia="Times New Roman"/>
                <w:sz w:val="24"/>
              </w:rPr>
              <w:t xml:space="preserve">K Čl. XXV (zákon č. 278/1993 Z. z. o správe majetku štátu v znení neskorších právnych prepisov)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novelizačnom bode 12 odporúčame v navrhovanom znení § 8f ods. 1 písm. b) slová „umelecké diela“ nahradiť slovami „umelecké dielo“.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úvodnú vetu ustanovenia a zaužívanú legislatívnu techniku odporúčame slovné spojenie uviesť v singulári.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XXIII - Zákon Národnej rady Slovenskej republiky č. 171/1993 Z. z. o Policajnom zbore -nad rámec návrhu zákona</w:t>
              <w:br/>
            </w:r>
            <w:r>
              <w:rPr>
                <w:b w:val="off"/>
                <w:color w:val="000000"/>
                <w:rFonts w:ascii="Times New Roman" w:hAnsi="Times New Roman" w:cs="Times New Roman" w:eastAsia="Times New Roman"/>
                <w:sz w:val="24"/>
              </w:rPr>
              <w:t>Do čl. XXIII žiadame doplniť novelizačný bod 8, ktorý znie:</w:t>
              <w:br/>
            </w:r>
            <w:r>
              <w:rPr>
                <w:b w:val="off"/>
                <w:color w:val="000000"/>
                <w:rFonts w:ascii="Times New Roman" w:hAnsi="Times New Roman" w:cs="Times New Roman" w:eastAsia="Times New Roman"/>
                <w:sz w:val="24"/>
              </w:rPr>
              <w:t>„8. V § 69d ods. 3 sa za slová „Slovenská informačná služba" vkladajú slová  „a Vojenské spravodajstvo“.“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Vojenské spravodajstvo je v zmysle § 32 ods. 1 písm. b) zákona č. 500/2022 Z. z. o Vojenskom spravodajstve (ďalej len „zákon o VS“) oprávnené žiadať sprístupnenie osobných údajov z informačných systémov a evidencií orgánov verejnej moci alebo iných prevádzkovateľov, a tým že Vojenské spravodajstvo podľa § 3 písm. a) zákona o VS vykonáva spravodajskú činnosť spravidla utajeným spôsobom, je oprávnené rovnako ako aj Slovenská informačná služba požadovať výnimku z uvádzania účelu na aký žiada osobné údaje poskytnúť alebo sprístupniť.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LX  - Zákon č. 328/2002 Z. z. o sociálnom zabezpečení policajtov a vojakov a o zmene a doplnení niektorých zákonov</w:t>
              <w:br/>
            </w:r>
            <w:r>
              <w:rPr>
                <w:b w:val="off"/>
                <w:color w:val="000000"/>
                <w:rFonts w:ascii="Times New Roman" w:hAnsi="Times New Roman" w:cs="Times New Roman" w:eastAsia="Times New Roman"/>
                <w:sz w:val="24"/>
              </w:rPr>
              <w:t>Znenie bodu 5 žiadame nahradiť týmto znením:</w:t>
              <w:br/>
            </w:r>
            <w:r>
              <w:rPr>
                <w:b w:val="off"/>
                <w:color w:val="000000"/>
                <w:rFonts w:ascii="Times New Roman" w:hAnsi="Times New Roman" w:cs="Times New Roman" w:eastAsia="Times New Roman"/>
                <w:sz w:val="24"/>
              </w:rPr>
              <w:t xml:space="preserve">„5. V § 110 ods. 2 písmeno b) znie:  </w:t>
              <w:br/>
            </w:r>
            <w:r>
              <w:rPr>
                <w:b w:val="off"/>
                <w:color w:val="000000"/>
                <w:rFonts w:ascii="Times New Roman" w:hAnsi="Times New Roman" w:cs="Times New Roman" w:eastAsia="Times New Roman"/>
                <w:sz w:val="24"/>
              </w:rPr>
              <w:t>„b) fyzická osoba, ktorej sa vyplácal sirotský výsluhový dôchodok alebo sirotský dôchodok do dňa nadobudnutia plnej spôsobilosti nezaopatreného dieťaťa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osobitnej časti dôvodovej správy k predmetnému ustanoveniu predkladateľ uvádza, že predmetom navrhovanej zmeny je terminologické zjednotenie pojmov používaných v zákone č. 328/2002 Z. z., najmä vo vzťahu k pojmom „dieťa“ a „maloletý“. Z dôvodovej správy zároveň nevyplýva zámer meniť vecný obsah ustanovenia ani okruh osôb považovaných za osobitného príjemcu dávky sociálneho zabezpečenia.</w:t>
              <w:br/>
            </w:r>
            <w:r>
              <w:rPr>
                <w:b w:val="off"/>
                <w:color w:val="000000"/>
                <w:rFonts w:ascii="Times New Roman" w:hAnsi="Times New Roman" w:cs="Times New Roman" w:eastAsia="Times New Roman"/>
                <w:sz w:val="24"/>
              </w:rPr>
              <w:t>Navrhované nové znenie § 110 ods. 2 písm. b) zákona č. 328/2002 Z. z. však nepredstavuje výlučne terminologickú úpravu. Kým podľa platného znenia sa toto ustanovenie vzťahuje na fyzickú osobu, ktorej sa vyplácal sirotský výsluhový dôchodok alebo sirotský dôchodok do dňa nadobudnutia spôsobilosti dieťaťa na právne úkony, podľa navrhovaného znenia sa má vzťahovať priamo na konkrétne nezaopatrené dieťa, ktorému sa sirotský výsluhový dôchodok alebo sirotský dôchodok vypláca odo dňa nadobudnutia spôsobilosti na právne úkony.</w:t>
              <w:br/>
            </w:r>
            <w:r>
              <w:rPr>
                <w:b w:val="off"/>
                <w:color w:val="000000"/>
                <w:rFonts w:ascii="Times New Roman" w:hAnsi="Times New Roman" w:cs="Times New Roman" w:eastAsia="Times New Roman"/>
                <w:sz w:val="24"/>
              </w:rPr>
              <w:t>Takto formulovaná zmena nepredstavuje výlučne terminologické spresnenie, ale mení samotný subjekt, ktorý je v ustanovení označený ako osobitný príjemca. Navrhované znenie sa preto odchyľuje od doterajšej koncepcie § 110 ods. 2 písm. b) zákona č. 328/2002 Z. z., ktoré už neoznačuje za osobitného príjemcu plnoletú osobu, zákonného zástupcu dieťaťa, ktorej bola dávka vyplácaná za dieťa, ale samotné nezaopatrené dieťa, a to po nadobudnutí plnej spôsobilosti na právne úkony, čím dochádza k zmene doterajšej koncepcie tohto ustanovenia, hoci dôvodová správa deklaruje výlučne terminologickú úpravu bez vecného dopadu. Žiadame preto úpravu navrhovaného znenia tak, aby bola aj naďalej za osobitného príjemcu považovaná plnoletá osoba, ktorá je zákonným zástupcom nezaopatreného dieťaťa, a to až do nadobudnutia plnej spôsobilosti dieťaťa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 – nový čl. CLXXI</w:t>
              <w:br/>
            </w:r>
            <w:r>
              <w:rPr>
                <w:b w:val="off"/>
                <w:color w:val="000000"/>
                <w:rFonts w:ascii="Times New Roman" w:hAnsi="Times New Roman" w:cs="Times New Roman" w:eastAsia="Times New Roman"/>
                <w:sz w:val="24"/>
              </w:rPr>
              <w:t xml:space="preserve">Za čl. CLXX žiadame vložiť nový novelizačný článok CLXXI,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CLXXI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281/2015 Z. z. o štátnej službe profesionálnych vojakov a o zmene a doplnení niektorých zákonov v znení zákona č. 378/2015 Z. z., zákona č. 125/2016 Z. z., zákona č. 69/2018 Z. z., zákona č. 107/2018 Z. z., zákona č. 177/2018 Z. z., zákona č. 347/2018 Z. z., zákona č. 35/2019 Z. z., zákona č. 319/2019 Z. z., zákona č. 377/2019 Z. z., zákona č. 477/2019 Z. z., zákona č. 126/2020 Z. z., zákona č. 309/2020 Z. z., zákona č. 76/2021 Z. z., zákona č. 310/2021 Z. z., zákona č. 412/2021 Z. z., zákona č. 92/2022 Z. z., zákona č. 125/2022 Z. z., zákona č. 350/2022 Z. z., zákona č. 420/2022 Z. z., nálezu Ústavného súdu Slovenskej republiky č. 130/2024 Z. z., zákona č. 375/2024 Z. z., zákona č. 150/2025 Z. z., zákona č. 176/2025 Z. z. a zákona č. 123/2026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 písm. c) sa slová „byť spôsobilá na právne úkony v plnom rozsahu,3)“ nahrádzajú slovami „mať plnú spôsobilosť na právne úkony,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2 a 3 znejú:</w:t>
              <w:br/>
            </w:r>
            <w:r>
              <w:rPr>
                <w:b w:val="off"/>
                <w:color w:val="000000"/>
                <w:rFonts w:ascii="Times New Roman" w:hAnsi="Times New Roman" w:cs="Times New Roman" w:eastAsia="Times New Roman"/>
                <w:sz w:val="24"/>
              </w:rPr>
              <w:t>„2) § 4 Občianskeho zákonníka.</w:t>
              <w:br/>
            </w:r>
            <w:r>
              <w:rPr>
                <w:b w:val="off"/>
                <w:color w:val="000000"/>
                <w:rFonts w:ascii="Times New Roman" w:hAnsi="Times New Roman" w:cs="Times New Roman" w:eastAsia="Times New Roman"/>
                <w:sz w:val="24"/>
              </w:rPr>
              <w:t>3) § 170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Poznámka pod čiarou k odkazu 80 znie</w:t>
              <w:br/>
            </w:r>
            <w:r>
              <w:rPr>
                <w:b w:val="off"/>
                <w:color w:val="000000"/>
                <w:rFonts w:ascii="Times New Roman" w:hAnsi="Times New Roman" w:cs="Times New Roman" w:eastAsia="Times New Roman"/>
                <w:sz w:val="24"/>
              </w:rPr>
              <w:t>„§ 80)176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135 od. 5 sa slová „v bezpodielovom spoluvlastníctve manželov“ nahrádzajú slovami „v spoločnom imaní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95 znie:</w:t>
              <w:br/>
            </w:r>
            <w:r>
              <w:rPr>
                <w:b w:val="off"/>
                <w:color w:val="000000"/>
                <w:rFonts w:ascii="Times New Roman" w:hAnsi="Times New Roman" w:cs="Times New Roman" w:eastAsia="Times New Roman"/>
                <w:sz w:val="24"/>
              </w:rPr>
              <w:t>§ 326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217 ods. 1 sa za slovo „16“ vkladajú slová „až § 16b, § 16c ods. 1“, slová ,,§ 19 ods. 1“  sa nahrádzajú slovami ,,§ 19“, vypúšťajú sa slová ,,§ 37,“ a slová ,,§ 181 ods. 1 a 2“ sa nahrádzajú slovami ,,§ 181, § 181b a § 181c“.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Doterajšie články CLXXI až CCXXXII sa označia ako články CLXXII až CCXXXIII.“.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úpravu nového Občianskeho zákonníka a s tým súvisiace navrhované zmeny Zákonníka práce je potrebné zohľadniť tieto legislatívne zmeny aj v § 217 zákona č. 281/2015 Z. z., ktorý upravuje subsidiárne použitie Zákonníka práce na právne vzťahy profesionálnych vojakov. V nadväznosti na uvedené žiadame doplniť nový novelizačný článok, ktorý upraví  § 217 ods. 1 zákona č. 281/2015 Z. z.  v súlade s predmetnými úpravami Zákonníka práce. Uvedenú zmenu je potrebné prijať súčasne s novelou Zákonníka práce, aby bola zachovaná právna istota služobných pomerov profesionálnych vojakov.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CXV - Zákon č. 245/2008 Z. z. o výchove a vzdelávaní (školský zákon) a o zmene a doplnení niektorých zákonov</w:t>
              <w:br/>
            </w:r>
            <w:r>
              <w:rPr>
                <w:b w:val="off"/>
                <w:color w:val="000000"/>
                <w:rFonts w:ascii="Times New Roman" w:hAnsi="Times New Roman" w:cs="Times New Roman" w:eastAsia="Times New Roman"/>
                <w:sz w:val="24"/>
              </w:rPr>
              <w:t>Navrhujeme doplniť novelizačný bod 7, ktorý znie:</w:t>
              <w:br/>
            </w:r>
            <w:r>
              <w:rPr>
                <w:b w:val="off"/>
                <w:color w:val="000000"/>
                <w:rFonts w:ascii="Times New Roman" w:hAnsi="Times New Roman" w:cs="Times New Roman" w:eastAsia="Times New Roman"/>
                <w:sz w:val="24"/>
              </w:rPr>
              <w:t>„7. V § 149b odsek 1 znie:</w:t>
              <w:br/>
            </w:r>
            <w:r>
              <w:rPr>
                <w:b w:val="off"/>
                <w:color w:val="000000"/>
                <w:rFonts w:ascii="Times New Roman" w:hAnsi="Times New Roman" w:cs="Times New Roman" w:eastAsia="Times New Roman"/>
                <w:sz w:val="24"/>
              </w:rPr>
              <w:t>„ (1) Ministerstvo obrany Slovenskej republiky (ďalej len „ministerstvo obrany“) môže žiakovi strednej školy poskytovať štipendium, ak sa zákonný zástupca maloletého žiaka alebo žiak s plnou spôsobilosťou na právne úkony v zmluve o poskytovaní štipendia uzavretej medzi ministerstvom obrany a zákonným zástupcom maloletého žiaka alebo žiakom s plnou spôsobilosťou na právne úkony zaviaže, že</w:t>
              <w:br/>
            </w:r>
            <w:r>
              <w:rPr>
                <w:b w:val="off"/>
                <w:color w:val="000000"/>
                <w:rFonts w:ascii="Times New Roman" w:hAnsi="Times New Roman" w:cs="Times New Roman" w:eastAsia="Times New Roman"/>
                <w:sz w:val="24"/>
              </w:rPr>
              <w:t>a) najneskôr do 15 dní od ukončenia vzdelávania v strednej škole požiada o prijatie do štátnej služby profesionálneho vojaka a</w:t>
              <w:br/>
            </w:r>
            <w:r>
              <w:rPr>
                <w:b w:val="off"/>
                <w:color w:val="000000"/>
                <w:rFonts w:ascii="Times New Roman" w:hAnsi="Times New Roman" w:cs="Times New Roman" w:eastAsia="Times New Roman"/>
                <w:sz w:val="24"/>
              </w:rPr>
              <w:t>b) zotrvá v služobnom pomere po dohodnutú 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predmetného ustanovenia žiadame doplniť v súvislosti so zmenou koncepcie pojmov „plnoletosť“ a  „plná spôsobilosť na právne úkony“ po prijatí nového Občianskeho zákonníka a v nadväznosti na predkladanú zmenu pojmu „maloletý“ v  zákone č. 36/2005 Z. z. o rodine a o zmene a doplnení niektorých zákonov v znení neskorších predpisov. Máme zato, že ak osoba získa plnú spôsobilosť na právne úkony skôr na iné účely, táto skutočnosť by mala byť zohľadnená vo vzťahu ku všetkým právnym aktom a teda aj pri uzatváraní Zmluvy o poskytovaní štipendia Ministerstva obrany Slovenskej republiky podľa § 149b uvedeného zákona. Z tohto dôvodu považujeme túto pripomienku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  - Zákon č. 328/2002 Z. z. o sociálnom zabezpečení policajtov a vojakov a o zmene a doplnení niektorých zákonov</w:t>
              <w:br/>
            </w:r>
            <w:r>
              <w:rPr>
                <w:b w:val="off"/>
                <w:color w:val="000000"/>
                <w:rFonts w:ascii="Times New Roman" w:hAnsi="Times New Roman" w:cs="Times New Roman" w:eastAsia="Times New Roman"/>
                <w:sz w:val="24"/>
              </w:rPr>
              <w:t xml:space="preserve">V bode 1 odporúčame slová „ktorým bol pozbavený spôsobilosti na právne úkony alebo ktorým“ nahradiť slovami „bol pozbavený spôsobilosti na právne úkony alebo ktorým“.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 Vypustením obidvoch slov „ktorým“ by došlo k narušeniu gramatickej väzby v texte ustanovenia a text by sa stal nezrozumiteľným.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 - Zákon č. 328/2002 Z. z. o sociálnom zabezpečení policajtov a vojakov a o zmene a doplnení niektorých zákonov</w:t>
              <w:br/>
            </w:r>
            <w:r>
              <w:rPr>
                <w:b w:val="off"/>
                <w:color w:val="000000"/>
                <w:rFonts w:ascii="Times New Roman" w:hAnsi="Times New Roman" w:cs="Times New Roman" w:eastAsia="Times New Roman"/>
                <w:sz w:val="24"/>
              </w:rPr>
              <w:t>Do čl. LX navrhujeme primerane doplniť nové novelizačné body 2,6 a 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50 ods. 4 sa slová „do dovŕšenia jeho plnoletosti“  nahrádzajú slovami „do nadobudnutia plnej spôsobilosti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110 ods. 3 sa slová „po nadobudnutí spôsobilosti na právne úkony“ nahrádzajú slovami „po nadobudnutí plnej spôsobilosti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V § 120 ods. 3 sa slová  „dovŕšením 18. roku veku.“ nahrádzajú slovami  „nadobudnutím plnej spôsobilosti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Novelizačné body 2 až 9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predmetných ustanovení navrhujeme doplniť v súvislosti s novým Občianskym zákonníkom, ktorým sa mení koncepcia pojmov „plnoletosť“ a „plná spôsobilosť na právne úkony a v nadväznosti na predkladanú novelizáciu zákona č. 36/2005 Z. z. o rodine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  - nad rámec predloženého návrhu zákona</w:t>
              <w:br/>
            </w:r>
            <w:r>
              <w:rPr>
                <w:b w:val="off"/>
                <w:color w:val="000000"/>
                <w:rFonts w:ascii="Times New Roman" w:hAnsi="Times New Roman" w:cs="Times New Roman" w:eastAsia="Times New Roman"/>
                <w:sz w:val="24"/>
              </w:rPr>
              <w:t>Do čl. LX navrhujeme primerane doplniť nový novelizačný bod X , ktorý znie:</w:t>
              <w:br/>
            </w:r>
            <w:r>
              <w:rPr>
                <w:b w:val="off"/>
                <w:color w:val="000000"/>
                <w:rFonts w:ascii="Times New Roman" w:hAnsi="Times New Roman" w:cs="Times New Roman" w:eastAsia="Times New Roman"/>
                <w:sz w:val="24"/>
              </w:rPr>
              <w:t xml:space="preserve">„X. V § 84 ods. 3 navrhujeme za slová „ods. 1“ vložiť slová „a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zabezpečí, aby sa osobitná právna úprava prerušenia konania podľa zákona č. 328/2002 Z. z. vzťahovala na všetky dávky a služby sociálneho zabezpečenia upravené týmto zákonom, vrátane dávok nemocenského a úrazového zabezpečenia. Súčasné znenie tohto ustanovenia vyvoláva aplikačné pochybnosti o rozsahu jeho pôsobnosti a môže viesť k rozdielnemu postupu orgánov sociálneho zabezpečenia pri prerušovaní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  - nad rámec predloženého návrhu zákona</w:t>
              <w:br/>
            </w:r>
            <w:r>
              <w:rPr>
                <w:b w:val="off"/>
                <w:color w:val="000000"/>
                <w:rFonts w:ascii="Times New Roman" w:hAnsi="Times New Roman" w:cs="Times New Roman" w:eastAsia="Times New Roman"/>
                <w:sz w:val="24"/>
              </w:rPr>
              <w:t>Do čl. LX navrhujeme primerane doplniť ďalší novelizačný bod Y, ktorý znie:</w:t>
              <w:br/>
            </w:r>
            <w:r>
              <w:rPr>
                <w:b w:val="off"/>
                <w:color w:val="000000"/>
                <w:rFonts w:ascii="Times New Roman" w:hAnsi="Times New Roman" w:cs="Times New Roman" w:eastAsia="Times New Roman"/>
                <w:sz w:val="24"/>
              </w:rPr>
              <w:t>„Y. § 52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52 sa stalo nadbytočným v dôsledku predchádzajúcej novelizácie zákona č. 328/2002 Z. z., ktorou bolo upravené znenie § 51 tak, že na vdovecký výsluhový dôchodok sa primerane vzťahujú ustanovenia § 46 a § 48 až 50 tohto zákona. Keďže § 50 komplexne upravuje podmienky trvania nároku na vdovský výsluhový dôchodok, a tieto ustanovenia sa prostredníctvom § 51 vzťahujú aj na vdovecký výsluhový dôchodok, obsah § 52 je duplicitný a nemá samostatný normatívny význam. Vypustením § 52 dôjde k odstráneniu nadbytočnosti v právnej úprave, k zvýšeniu jej prehľadnosti a systematickosti.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k bodu 95</w:t>
              <w:br/>
            </w:r>
            <w:r>
              <w:rPr>
                <w:b w:val="off"/>
                <w:color w:val="000000"/>
                <w:rFonts w:ascii="Times New Roman" w:hAnsi="Times New Roman" w:cs="Times New Roman" w:eastAsia="Times New Roman"/>
                <w:sz w:val="24"/>
              </w:rPr>
              <w:t>Upozorňujeme, že v bode 95 dôvodovej správy, ako aj v samotnom návrhu zákona (v navrhovanom § 178b Zákonníka práce), sa uvádza odkaz na § 670 ods. 2 nového Občianskeho zákonníka (upravujúci zodpovednosť za škodu spôsobenú stavbou), ale predmetné navrhované ustanovenie obsahovo rieši problematiku § 671 ods. 2 nového Občianskeho zákonníka (zodpovednosť za škodu spôsobenú pomocníkom). Vzhľadom na to, že sprístupnené znenie nového Občianskeho zákonníka nie je súladné s uvedeným odkazom, nie je možné ani spoľahlivo vyhodnotiť, či je v predmetnom prípade opodstatnené subsidiárne použitie navrhovaného ustanovenia § 178b Zákonníka práce. Zároveň upozorňujeme, že dôvodová správa uvádza, že dochádza k presunu obsahu § 20 (zabezpečenie práv a povinností z pracovnoprávnych vzťahov) do § 34 – ale v znení návrhu zákona § 20 Zákonníka práce zostáva obsah nedotknutý, preto nie je možné uvedený presun obsahu vyhodnotiť vo vzťahu k subsidiárneho použitiu uvedených navrhovaných ustanovení. Uvedené platí aj vo vzťahu k bodu 70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CXXVI</w:t>
              <w:br/>
            </w:r>
            <w:r>
              <w:rPr>
                <w:b w:val="off"/>
                <w:color w:val="000000"/>
                <w:rFonts w:ascii="Times New Roman" w:hAnsi="Times New Roman" w:cs="Times New Roman" w:eastAsia="Times New Roman"/>
                <w:sz w:val="24"/>
              </w:rPr>
              <w:t>Znenie čl. CXXVI (novelizačný článok týkajúci sa zákona č. 274/2009 Z. z. o poľovníctve a o zmene a doplnení niektorých zákonov v znení  neskorších predpisov) žiadame v celom rozsahu nahradiť týmto znením:</w:t>
              <w:br/>
            </w:r>
            <w:r>
              <w:rPr>
                <w:b w:val="off"/>
                <w:color w:val="000000"/>
                <w:rFonts w:ascii="Times New Roman" w:hAnsi="Times New Roman" w:cs="Times New Roman" w:eastAsia="Times New Roman"/>
                <w:sz w:val="24"/>
              </w:rPr>
              <w:t>"1. V § 13a sa slová „obchodnej verejnej súťaže“ nahrádzajú slovami „verejnej súťaže o najvhodnejší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9a znie:</w:t>
              <w:br/>
            </w:r>
            <w:r>
              <w:rPr>
                <w:b w:val="off"/>
                <w:color w:val="000000"/>
                <w:rFonts w:ascii="Times New Roman" w:hAnsi="Times New Roman" w:cs="Times New Roman" w:eastAsia="Times New Roman"/>
                <w:sz w:val="24"/>
              </w:rPr>
              <w:t>„9a) § 594 až 601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33 ods. 1 sa na konci pripája táto veta: „Na poľovnícke organizácie sa nevzťahuje § 218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33 ods. 2 písm. a) sa na konci pripája čiarka a tieto slová: „ktorý musí obsahovať označenie „poľovnícka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34 ods. 1 písm. f) štvrtom bode a písm. g) sa za slovo „vzniku“ vkladajú slová „a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Nadpis nad § 38 znie: „Zrušenie a zánik poľovníckej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38 ods. 1 sa slovo „zaniká“ nahrádza slovami „sa zrušuje“.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38 ods. 2 sa slovo „zánik“ nahrádza slovom „zrušenie“.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 38 sa dopĺňa odsekom 5, ktorý znie:</w:t>
              <w:br/>
            </w:r>
            <w:r>
              <w:rPr>
                <w:b w:val="off"/>
                <w:color w:val="000000"/>
                <w:rFonts w:ascii="Times New Roman" w:hAnsi="Times New Roman" w:cs="Times New Roman" w:eastAsia="Times New Roman"/>
                <w:sz w:val="24"/>
              </w:rPr>
              <w:t>„(5) Likvidátorom poľovníckej organizácie je jej štatutárny orgán; ak štatutárny orgán nie je obsadený, okresný úrad navrhne súdu určenie likvidátora.“.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 39 a 40 znejú:</w:t>
              <w:br/>
            </w:r>
            <w:r>
              <w:rPr>
                <w:b w:val="off"/>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Poľovnícka organizácia zaniká ku dňu jej výmazu z centrálneho registra, ktorý vykonáva okresný úrad príslušný podľa sídla zrušenej poľovníckej organizácie bezodkladne po tom, ako sa dozvie o zrušení poľovníckej organizácie, ak sa poľovnícka organizácia zrušuje bez likvidácie, alebo po skončení likvidácie na základe návrhu likvidátora. Zánik poľovníckej organizácie oznámi okresný úrad ministerstvu a Ministerstvu vnútra Slovenskej republiky do siedmich dní odo dňa zániku poľovníckej organizácie.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tento zákon neustanovuje inak, na zrušenie a zánik poľovníckej organizácie s likvidáciou alebo bez likvidácie sa primerane použijú ustanovenia Občianskeho zákonníka okrem § 255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26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79 ods. 2 sa za písmeno e) vkladá nové písmeno f), ktoré znie:</w:t>
              <w:br/>
            </w:r>
            <w:r>
              <w:rPr>
                <w:b w:val="off"/>
                <w:color w:val="000000"/>
                <w:rFonts w:ascii="Times New Roman" w:hAnsi="Times New Roman" w:cs="Times New Roman" w:eastAsia="Times New Roman"/>
                <w:sz w:val="24"/>
              </w:rPr>
              <w:t>„f) výmaz poľovníckej organizácie podľa §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f) až i) sa označujú ako písmená g) až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na nahradenie pôvodne navrhnutej úpravy poľovníckych organizácií vzhľadom na právnu úpravu právnických osôb podľa nového Občianskeho zákonníka vychádza okrem iného z čl. IX, ktorým sa novej právnej úprave právnických osôb obsiahnutej v novom Občianskom zákonníku prispôsobuje právna úprava občianskych združení podľa zákona č. 83/1990 Zb. o združovaní občanov v znení neskorších predpisov. Po oboznámení sa s obsahom čl. IX, ktorý zachováva výraznú kontinuitu doterajšej právnej úpravy občianskych združení pri jej súčasnom prispôsobení novému Občianskemu zákonníku, považujeme za vhodnejšie, ak na tento spôsob prispôsobenia právnej úpravy novému Občianskemu zákonníku nadviaže aj právna úprava poľovníckych organizácií. Aj napriek skutočnosti, že podľa § 1 ods. 3 písm. d) zákona č. 83/1990 Zb. o združovaní občanov v znení neskorších predpisov sa tento zákon nevzťahuje na združovanie občanov na výkon práva poľovníctva, má doterajšia právna úprava poľovníckych organizácií viaceré výrazné podobnosti s právnou úpravou občianskych združení podľa zákona č. 83/1990 Zb. o združovaní občanov v znení neskorších predpisov. Pre potreby aplikačnej praxe bude oveľa vhodnejšie zachovať čo možno najširšiu prípustnú kontinuitu aj v právnej úprave poľovníckych organizácií. Vzhľadom na vyššie uvedené žiadame o nahradenie pôvodného návrhu novely zákona č. 274/2009 Z. z. o poľovníctve a o zmene a doplnení niektorých zákonov v znení neskorších predpisov znením v uvedeným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 návrhu zákona navrhujeme vložiť nový čl. CXXVII s týmto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313/2009 Z. z. o vinohradníctve a vinárstve v znení zákona č. 198/2010 Z. z., zákona č. 353/2012 Z. z., zákona č. 34/2014 Z. z., zákona č. 349/2015 Z. z., zákona č. 177/2018 Z. z. a zákona č. 198/2020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6 písm. c) sa slová „pozemku podľa § 123 Občianskeho zákonníka alebo spoluvlastníkov pozemku podľa § 139 Občianskeho zákonníka“ nahrádzajú slovami „alebo správcu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úprava ustanovenia s odkazmi, ktoré sú vzhľadom na nový Občiansky zákonník nesprávne.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(novela zákona č. 513/1991 Zb. Obchodný zákonník v znení neskorších predpisov)</w:t>
              <w:br/>
            </w:r>
            <w:r>
              <w:rPr>
                <w:b w:val="off"/>
                <w:color w:val="000000"/>
                <w:rFonts w:ascii="Times New Roman" w:hAnsi="Times New Roman" w:cs="Times New Roman" w:eastAsia="Times New Roman"/>
                <w:sz w:val="24"/>
              </w:rPr>
              <w:t>Odporúčame v Čl. II za novelizačný bod 1 vložiť nový novelizačný bod 2 v tomto znení:</w:t>
              <w:br/>
            </w:r>
            <w:r>
              <w:rPr>
                <w:b w:val="off"/>
                <w:color w:val="000000"/>
                <w:rFonts w:ascii="Times New Roman" w:hAnsi="Times New Roman" w:cs="Times New Roman" w:eastAsia="Times New Roman"/>
                <w:sz w:val="24"/>
              </w:rPr>
              <w:t>„2. V § 1 ods. 2 sa slovo „občianskeho“ nahrádza slovom „súkromného“.“.</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V prípade akceptovania pripomienky je potrebné primerane upraviť osobitnú časť dôvodovej správy k Čl. II.</w:t>
              <w:br/>
            </w:r>
            <w:r>
              <w:rPr>
                <w:b w:val="off"/>
                <w:color w:val="000000"/>
                <w:rFonts w:ascii="Times New Roman" w:hAnsi="Times New Roman" w:cs="Times New Roman" w:eastAsia="Times New Roman"/>
                <w:sz w:val="24"/>
              </w:rPr>
              <w:t>Odôvodnenie: Uvedené sa navrhuje v súlade s návrhom predkladateľa napríklad v Čl. VI (novela zákona č. 161/2015 Z. z. Civilný mimosporový poriadok v znení neskorších predpisov), kde v novelizačnom bode 45 navrhovanom znení § 304 písm. i) a § 309p ods. 1 používa slová „podľa predpisov súkromného práva“. Obdobná právna úprava je tiež v Čl. LVIII (novela zákona č. 244/2002 Z. z. o rozhodcovskom konaní v znení neskorších predpisov)  v novelizačnom bode 8 navrhovanom znení § 31 ods. 1 prvej vete a novelizačnom bode 9 navrhovanom znení § 31 ods. 1 tretej vete.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(novela zákona č. 311/2001 Z. z. Zákonník práce v znení neskorších predpisov)</w:t>
              <w:br/>
            </w:r>
            <w:r>
              <w:rPr>
                <w:b w:val="off"/>
                <w:color w:val="000000"/>
                <w:rFonts w:ascii="Times New Roman" w:hAnsi="Times New Roman" w:cs="Times New Roman" w:eastAsia="Times New Roman"/>
                <w:sz w:val="24"/>
              </w:rPr>
              <w:t xml:space="preserve">Odporúčame v Čl. III navrhovanú novelu zákona č. 311/2001 Z. z. Zákonník práce v znení neskorších predpisov legislatívno-technicky upraviť s cieľom zosúladenia znenia zákona </w:t>
              <w:br/>
            </w:r>
            <w:r>
              <w:rPr>
                <w:b w:val="off"/>
                <w:color w:val="000000"/>
                <w:rFonts w:ascii="Times New Roman" w:hAnsi="Times New Roman" w:cs="Times New Roman" w:eastAsia="Times New Roman"/>
                <w:sz w:val="24"/>
              </w:rPr>
              <w:t>č. 311/2001 Z. z. Zákonník práce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(novela zákona č. 161/2015 Z. z. Civilný mimosporový poriadok v znení neskorších predpisov)</w:t>
              <w:br/>
            </w:r>
            <w:r>
              <w:rPr>
                <w:b w:val="off"/>
                <w:color w:val="000000"/>
                <w:rFonts w:ascii="Times New Roman" w:hAnsi="Times New Roman" w:cs="Times New Roman" w:eastAsia="Times New Roman"/>
                <w:sz w:val="24"/>
              </w:rPr>
              <w:t>Odporúčame v Čl. VI bode 45 navrhovanom znení § 309q ods. 1 a 2 slová „všeobecného predpisu súkromného práva“ nahradiť slovami „Občianskeho zákonníka“.</w:t>
              <w:br/>
            </w:r>
            <w:r>
              <w:rPr>
                <w:b w:val="off"/>
                <w:color w:val="000000"/>
                <w:rFonts w:ascii="Times New Roman" w:hAnsi="Times New Roman" w:cs="Times New Roman" w:eastAsia="Times New Roman"/>
                <w:sz w:val="24"/>
              </w:rPr>
              <w:t xml:space="preserve">Odôvodnenie: Odporúča sa, aby tak ako v prípade iných právnych predpisov, ktoré odkazujú </w:t>
              <w:br/>
            </w:r>
            <w:r>
              <w:rPr>
                <w:b w:val="off"/>
                <w:color w:val="000000"/>
                <w:rFonts w:ascii="Times New Roman" w:hAnsi="Times New Roman" w:cs="Times New Roman" w:eastAsia="Times New Roman"/>
                <w:sz w:val="24"/>
              </w:rPr>
              <w:t>na Občiansky zákonník, bol použitý v súlade s bodom 48. prílohy č. 1 k Legislatívnym pravidlám vlády Slovenskej republiky pojem „Občiansky zákonník“ v príslušnom gramatickom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XIII (novela zákona č. 2/1991 Zb. o kolektívnom vyjednávaní v znení neskorších predpisov)</w:t>
              <w:br/>
            </w:r>
            <w:r>
              <w:rPr>
                <w:b w:val="off"/>
                <w:color w:val="000000"/>
                <w:rFonts w:ascii="Times New Roman" w:hAnsi="Times New Roman" w:cs="Times New Roman" w:eastAsia="Times New Roman"/>
                <w:sz w:val="24"/>
              </w:rPr>
              <w:t xml:space="preserve">Odporúčame v Čl. XIII navrhovanú novelu zákona č. 2/1991 Zb. o kolektívnom vyjednávaní </w:t>
              <w:br/>
            </w:r>
            <w:r>
              <w:rPr>
                <w:b w:val="off"/>
                <w:color w:val="000000"/>
                <w:rFonts w:ascii="Times New Roman" w:hAnsi="Times New Roman" w:cs="Times New Roman" w:eastAsia="Times New Roman"/>
                <w:sz w:val="24"/>
              </w:rPr>
              <w:t>v znení neskorších predpisov legislatívno-technicky upraviť s cieľom zosúladenia znenia zákona č. 2/1991 Zb. o kolektívnom vyjednávaní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XXVII</w:t>
              <w:br/>
            </w:r>
            <w:r>
              <w:rPr>
                <w:b w:val="off"/>
                <w:color w:val="000000"/>
                <w:rFonts w:ascii="Times New Roman" w:hAnsi="Times New Roman" w:cs="Times New Roman" w:eastAsia="Times New Roman"/>
                <w:sz w:val="24"/>
              </w:rPr>
              <w:t xml:space="preserve">K Čl. XXVII (novela zákona Národnej rady Slovenskej republiky č. 152/1994 Z. z. </w:t>
              <w:br/>
            </w:r>
            <w:r>
              <w:rPr>
                <w:b w:val="off"/>
                <w:color w:val="000000"/>
                <w:rFonts w:ascii="Times New Roman" w:hAnsi="Times New Roman" w:cs="Times New Roman" w:eastAsia="Times New Roman"/>
                <w:sz w:val="24"/>
              </w:rPr>
              <w:t xml:space="preserve">o sociálnom fonde a o zmene a doplnení zákona č. 286/1992 Zb. o daniach z príjmov </w:t>
              <w:br/>
            </w:r>
            <w:r>
              <w:rPr>
                <w:b w:val="off"/>
                <w:color w:val="000000"/>
                <w:rFonts w:ascii="Times New Roman" w:hAnsi="Times New Roman" w:cs="Times New Roman" w:eastAsia="Times New Roman"/>
                <w:sz w:val="24"/>
              </w:rPr>
              <w:t>v znení neskorších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v Čl. XXVII navrhovanú novelu zákona Národnej rady Slovenskej republiky </w:t>
              <w:br/>
            </w:r>
            <w:r>
              <w:rPr>
                <w:b w:val="off"/>
                <w:color w:val="000000"/>
                <w:rFonts w:ascii="Times New Roman" w:hAnsi="Times New Roman" w:cs="Times New Roman" w:eastAsia="Times New Roman"/>
                <w:sz w:val="24"/>
              </w:rPr>
              <w:t xml:space="preserve">č. 152/1994 Z. z. o sociálnom fonde a o zmene a doplnení zákona č. 286/1992 Zb. o daniach </w:t>
              <w:br/>
            </w:r>
            <w:r>
              <w:rPr>
                <w:b w:val="off"/>
                <w:color w:val="000000"/>
                <w:rFonts w:ascii="Times New Roman" w:hAnsi="Times New Roman" w:cs="Times New Roman" w:eastAsia="Times New Roman"/>
                <w:sz w:val="24"/>
              </w:rPr>
              <w:t xml:space="preserve">z príjmov v znení neskorších predpisov v znení neskorších predpisov legislatívno-technicky upraviť s cieľom zosúladenia znenia zákona Národnej rady Slovenskej republiky </w:t>
              <w:br/>
            </w:r>
            <w:r>
              <w:rPr>
                <w:b w:val="off"/>
                <w:color w:val="000000"/>
                <w:rFonts w:ascii="Times New Roman" w:hAnsi="Times New Roman" w:cs="Times New Roman" w:eastAsia="Times New Roman"/>
                <w:sz w:val="24"/>
              </w:rPr>
              <w:t xml:space="preserve">č. 152/1994 Z. z. o sociálnom fonde a o zmene a doplnení zákona č. 286/1992 Zb. o daniach </w:t>
              <w:br/>
            </w:r>
            <w:r>
              <w:rPr>
                <w:b w:val="off"/>
                <w:color w:val="000000"/>
                <w:rFonts w:ascii="Times New Roman" w:hAnsi="Times New Roman" w:cs="Times New Roman" w:eastAsia="Times New Roman"/>
                <w:sz w:val="24"/>
              </w:rPr>
              <w:t>z príjmov v znení neskorších predpisov v znení neskorších predpisov s novou terminologickou koncepciou Občianskeho zákonníka.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LIX (novela zákona č. 283/2002 Z. z. o cestovných náhradách v znení neskorších predpisov)</w:t>
              <w:br/>
            </w:r>
            <w:r>
              <w:rPr>
                <w:b w:val="off"/>
                <w:color w:val="000000"/>
                <w:rFonts w:ascii="Times New Roman" w:hAnsi="Times New Roman" w:cs="Times New Roman" w:eastAsia="Times New Roman"/>
                <w:sz w:val="24"/>
              </w:rPr>
              <w:t xml:space="preserve">Odporúčame v Čl. LIX navrhovanú novelu zákona č. 283/2002 Z. z. o cestovných náhradách </w:t>
              <w:br/>
            </w:r>
            <w:r>
              <w:rPr>
                <w:b w:val="off"/>
                <w:color w:val="000000"/>
                <w:rFonts w:ascii="Times New Roman" w:hAnsi="Times New Roman" w:cs="Times New Roman" w:eastAsia="Times New Roman"/>
                <w:sz w:val="24"/>
              </w:rPr>
              <w:t>v znení neskorších predpisov legislatívno-technicky upraviť s cieľom zosúladenia znenia zákona č. 283/2002 Z. z. o cestovných náhradách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LXVII (novela zákona č. 461/2003 Z. z. o sociálnom poistení v znení neskorších predpisov)</w:t>
              <w:br/>
            </w:r>
            <w:r>
              <w:rPr>
                <w:b w:val="off"/>
                <w:color w:val="000000"/>
                <w:rFonts w:ascii="Times New Roman" w:hAnsi="Times New Roman" w:cs="Times New Roman" w:eastAsia="Times New Roman"/>
                <w:sz w:val="24"/>
              </w:rPr>
              <w:t xml:space="preserve">Odporúčame v Čl. LXVII navrhovanú novelu zákona č. 461/2003 Z. z. o sociálnom poistení </w:t>
              <w:br/>
            </w:r>
            <w:r>
              <w:rPr>
                <w:b w:val="off"/>
                <w:color w:val="000000"/>
                <w:rFonts w:ascii="Times New Roman" w:hAnsi="Times New Roman" w:cs="Times New Roman" w:eastAsia="Times New Roman"/>
                <w:sz w:val="24"/>
              </w:rPr>
              <w:t>v znení neskorších predpisov v nevyhnutnom rozsahu legislatívno-technicky upraviť s cieľom zosúladenia  znenia zákona č. 461/2003 Z. z. o sociálnom poistení v znení neskorších predpisov s novou terminologickou koncepciou Občianskeho zákonníka.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w:t>
              <w:br/>
            </w:r>
            <w:r>
              <w:rPr>
                <w:b w:val="off"/>
                <w:color w:val="000000"/>
                <w:rFonts w:ascii="Times New Roman" w:hAnsi="Times New Roman" w:cs="Times New Roman" w:eastAsia="Times New Roman"/>
                <w:sz w:val="24"/>
              </w:rPr>
              <w:t xml:space="preserve">K Čl. LXXV (novela zákona č. 586/2003 Z. z. o advokácii a o zmene a doplnení zákona </w:t>
              <w:br/>
            </w:r>
            <w:r>
              <w:rPr>
                <w:b w:val="off"/>
                <w:color w:val="000000"/>
                <w:rFonts w:ascii="Times New Roman" w:hAnsi="Times New Roman" w:cs="Times New Roman" w:eastAsia="Times New Roman"/>
                <w:sz w:val="24"/>
              </w:rPr>
              <w:t>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Odporúčame v Čl. LXXV bode 13 navrhovanom § 26 vypustiť odsek 2.</w:t>
              <w:br/>
            </w:r>
            <w:r>
              <w:rPr>
                <w:b w:val="off"/>
                <w:color w:val="000000"/>
                <w:rFonts w:ascii="Times New Roman" w:hAnsi="Times New Roman" w:cs="Times New Roman" w:eastAsia="Times New Roman"/>
                <w:sz w:val="24"/>
              </w:rPr>
              <w:t>Nasledujúce odseky je potrebné primerane preznačiť.</w:t>
              <w:br/>
            </w:r>
            <w:r>
              <w:rPr>
                <w:b w:val="off"/>
                <w:color w:val="000000"/>
                <w:rFonts w:ascii="Times New Roman" w:hAnsi="Times New Roman" w:cs="Times New Roman" w:eastAsia="Times New Roman"/>
                <w:sz w:val="24"/>
              </w:rPr>
              <w:t>V prípade akceptovania pripomienky je potrebné primerane upraviť osobitnú časť dôvodovej správy k Čl. LXXV bodu 13.</w:t>
              <w:br/>
            </w:r>
            <w:r>
              <w:rPr>
                <w:b w:val="off"/>
                <w:color w:val="000000"/>
                <w:rFonts w:ascii="Times New Roman" w:hAnsi="Times New Roman" w:cs="Times New Roman" w:eastAsia="Times New Roman"/>
                <w:sz w:val="24"/>
              </w:rPr>
              <w:t xml:space="preserve">Odôvodnenie: Poistenie zodpovednosti advokáta je v Slovenskej republike povinné zákonné poistenie, ktoré musí mať každý advokát uzatvorené počas celej doby výkonu svojej praxe. Slúži na krytie škôd (najmä čistých finančných škôd), ktoré môže spôsobiť klientovi </w:t>
              <w:br/>
            </w:r>
            <w:r>
              <w:rPr>
                <w:b w:val="off"/>
                <w:color w:val="000000"/>
                <w:rFonts w:ascii="Times New Roman" w:hAnsi="Times New Roman" w:cs="Times New Roman" w:eastAsia="Times New Roman"/>
                <w:sz w:val="24"/>
              </w:rPr>
              <w:t xml:space="preserve">alebo tretím osobám v dôsledku chybnej právnej rady, opomenutia, zmeškania lehôt </w:t>
              <w:br/>
            </w:r>
            <w:r>
              <w:rPr>
                <w:b w:val="off"/>
                <w:color w:val="000000"/>
                <w:rFonts w:ascii="Times New Roman" w:hAnsi="Times New Roman" w:cs="Times New Roman" w:eastAsia="Times New Roman"/>
                <w:sz w:val="24"/>
              </w:rPr>
              <w:t>alebo iného pochybenia pri výkone advokácie. Advokátsky koncipient a iný zamestnanec advokáta nie sú takto osobitne povinne zákonne poistení na tieto účely. Navrhovaná právna úprava sa v takomto prípade javí ako diskriminačná.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LXXVII</w:t>
              <w:br/>
            </w:r>
            <w:r>
              <w:rPr>
                <w:b w:val="off"/>
                <w:color w:val="000000"/>
                <w:rFonts w:ascii="Times New Roman" w:hAnsi="Times New Roman" w:cs="Times New Roman" w:eastAsia="Times New Roman"/>
                <w:sz w:val="24"/>
              </w:rPr>
              <w:t xml:space="preserve">K Čl. LXXVII (novela zákona č. 600/2003 Z. z. o prídavku na dieťa a o zmene </w:t>
              <w:br/>
            </w:r>
            <w:r>
              <w:rPr>
                <w:b w:val="off"/>
                <w:color w:val="000000"/>
                <w:rFonts w:ascii="Times New Roman" w:hAnsi="Times New Roman" w:cs="Times New Roman" w:eastAsia="Times New Roman"/>
                <w:sz w:val="24"/>
              </w:rPr>
              <w:t xml:space="preserve">a doplnení zákona č. 461/2003 Z. z. o sociálnom poistení v znení neskorších predpisov) </w:t>
              <w:br/>
            </w:r>
            <w:r>
              <w:rPr>
                <w:b w:val="off"/>
                <w:color w:val="000000"/>
                <w:rFonts w:ascii="Times New Roman" w:hAnsi="Times New Roman" w:cs="Times New Roman" w:eastAsia="Times New Roman"/>
                <w:sz w:val="24"/>
              </w:rPr>
              <w:t xml:space="preserve">Odporúčame v Čl. LXXVII navrhovanú novelu zákona č. 600/2003 Z. z. o prídavku na dieťa </w:t>
              <w:br/>
            </w:r>
            <w:r>
              <w:rPr>
                <w:b w:val="off"/>
                <w:color w:val="000000"/>
                <w:rFonts w:ascii="Times New Roman" w:hAnsi="Times New Roman" w:cs="Times New Roman" w:eastAsia="Times New Roman"/>
                <w:sz w:val="24"/>
              </w:rPr>
              <w:t>a o zmene a doplnení zákona č. 461/2003 Z. z. o sociálnom poistení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LXXIX</w:t>
              <w:br/>
            </w:r>
            <w:r>
              <w:rPr>
                <w:b w:val="off"/>
                <w:color w:val="000000"/>
                <w:rFonts w:ascii="Times New Roman" w:hAnsi="Times New Roman" w:cs="Times New Roman" w:eastAsia="Times New Roman"/>
                <w:sz w:val="24"/>
              </w:rPr>
              <w:t xml:space="preserve">K Čl. LXXIX (novela zákona č. 5/2004 Z. z. o službách zamestnanosti a o zmene </w:t>
              <w:br/>
            </w:r>
            <w:r>
              <w:rPr>
                <w:b w:val="off"/>
                <w:color w:val="000000"/>
                <w:rFonts w:ascii="Times New Roman" w:hAnsi="Times New Roman" w:cs="Times New Roman" w:eastAsia="Times New Roman"/>
                <w:sz w:val="24"/>
              </w:rPr>
              <w:t>a doplnení niektorých zákonov v znení neskorších predpisov)</w:t>
              <w:br/>
            </w:r>
            <w:r>
              <w:rPr>
                <w:b w:val="off"/>
                <w:color w:val="000000"/>
                <w:rFonts w:ascii="Times New Roman" w:hAnsi="Times New Roman" w:cs="Times New Roman" w:eastAsia="Times New Roman"/>
                <w:sz w:val="24"/>
              </w:rPr>
              <w:t>Odporúčame v Čl. LXXIX navrhovanú novelu zákona č. 5/2004 Z. z. o službách zamestnanosti a o zmene a doplnení niektorých zákonov v znení neskorších predpisov legislatívno-technicky upraviť s cieľom zosúladenia znenia zákona č. 5/2004 Z. z. o službách zamestnanosti a o zmene a doplnení niektorých zákonov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XCIX</w:t>
              <w:br/>
            </w:r>
            <w:r>
              <w:rPr>
                <w:b w:val="off"/>
                <w:color w:val="000000"/>
                <w:rFonts w:ascii="Times New Roman" w:hAnsi="Times New Roman" w:cs="Times New Roman" w:eastAsia="Times New Roman"/>
                <w:sz w:val="24"/>
              </w:rPr>
              <w:t>K Čl. XCIX (novela zákona č. 82/2005 Z. z. o nelegálnej práci a nelegálnom zamestnávaní a o zmene a doplnení niektorých zákonov v znení neskorších predpisov)</w:t>
              <w:br/>
            </w:r>
            <w:r>
              <w:rPr>
                <w:b w:val="off"/>
                <w:color w:val="000000"/>
                <w:rFonts w:ascii="Times New Roman" w:hAnsi="Times New Roman" w:cs="Times New Roman" w:eastAsia="Times New Roman"/>
                <w:sz w:val="24"/>
              </w:rPr>
              <w:t xml:space="preserve">Odporúčame v Čl. XCIX navrhovanú novelu zákona č. 82/2005 Z. z. o nelegálnej práci </w:t>
              <w:br/>
            </w:r>
            <w:r>
              <w:rPr>
                <w:b w:val="off"/>
                <w:color w:val="000000"/>
                <w:rFonts w:ascii="Times New Roman" w:hAnsi="Times New Roman" w:cs="Times New Roman" w:eastAsia="Times New Roman"/>
                <w:sz w:val="24"/>
              </w:rPr>
              <w:t xml:space="preserve">a nelegálnom zamestnávaní a o zmene a doplnení niektorých zákonov v znení neskorších predpisov legislatívno-technicky upraviť s cieľom zosúladenia znenia zákona č. 82/2005 Z. z. o nelegálnej práci a nelegálnom zamestnávaní a o zmene a doplnení niektorých zákonov </w:t>
              <w:br/>
            </w:r>
            <w:r>
              <w:rPr>
                <w:b w:val="off"/>
                <w:color w:val="000000"/>
                <w:rFonts w:ascii="Times New Roman" w:hAnsi="Times New Roman" w:cs="Times New Roman" w:eastAsia="Times New Roman"/>
                <w:sz w:val="24"/>
              </w:rPr>
              <w:t>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CII</w:t>
              <w:br/>
            </w:r>
            <w:r>
              <w:rPr>
                <w:b w:val="off"/>
                <w:color w:val="000000"/>
                <w:rFonts w:ascii="Times New Roman" w:hAnsi="Times New Roman" w:cs="Times New Roman" w:eastAsia="Times New Roman"/>
                <w:sz w:val="24"/>
              </w:rPr>
              <w:t>K Čl. CII (novela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Odporúčame v Čl. CII navrhovanú novelu zákona č. 305/2005 Z. z. </w:t>
              <w:br/>
            </w:r>
            <w:r>
              <w:rPr>
                <w:b w:val="off"/>
                <w:color w:val="000000"/>
                <w:rFonts w:ascii="Times New Roman" w:hAnsi="Times New Roman" w:cs="Times New Roman" w:eastAsia="Times New Roman"/>
                <w:sz w:val="24"/>
              </w:rPr>
              <w:t xml:space="preserve">o sociálnoprávnej ochrane detí a o sociálnej kuratele a o zmene a doplnení niektorých zákonov v znení neskorších predpisov legislatívno-technicky upraviť s cieľom zosúladenia znenia zákona č. 305/2005 Z. z. o sociálnoprávnej ochrane detí a o sociálnej kuratele a o zmene </w:t>
              <w:br/>
            </w:r>
            <w:r>
              <w:rPr>
                <w:b w:val="off"/>
                <w:color w:val="000000"/>
                <w:rFonts w:ascii="Times New Roman" w:hAnsi="Times New Roman" w:cs="Times New Roman" w:eastAsia="Times New Roman"/>
                <w:sz w:val="24"/>
              </w:rPr>
              <w:t>a doplnení niektorých zákonov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CVI</w:t>
              <w:br/>
            </w:r>
            <w:r>
              <w:rPr>
                <w:b w:val="off"/>
                <w:color w:val="000000"/>
                <w:rFonts w:ascii="Times New Roman" w:hAnsi="Times New Roman" w:cs="Times New Roman" w:eastAsia="Times New Roman"/>
                <w:sz w:val="24"/>
              </w:rPr>
              <w:t xml:space="preserve">K Čl. CVI (novela zákona č. 627/2005 Z. z. o príspevkoch na podporu náhradnej starostlivosti o dieťa v znení neskorších predpisov) </w:t>
              <w:br/>
            </w:r>
            <w:r>
              <w:rPr>
                <w:b w:val="off"/>
                <w:color w:val="000000"/>
                <w:rFonts w:ascii="Times New Roman" w:hAnsi="Times New Roman" w:cs="Times New Roman" w:eastAsia="Times New Roman"/>
                <w:sz w:val="24"/>
              </w:rPr>
              <w:t>Odporúčame v Čl. CVI navrhovanú novelu zákona č. 627/2005 Z. z. o príspevkoch na podporu náhradnej starostlivosti o dieťa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CVII</w:t>
              <w:br/>
            </w:r>
            <w:r>
              <w:rPr>
                <w:b w:val="off"/>
                <w:color w:val="000000"/>
                <w:rFonts w:ascii="Times New Roman" w:hAnsi="Times New Roman" w:cs="Times New Roman" w:eastAsia="Times New Roman"/>
                <w:sz w:val="24"/>
              </w:rPr>
              <w:t xml:space="preserve">K Čl. CVII (novela zákona č. 124/2006 Z. z. o bezpečnosti a ochrane zdravia pri práci </w:t>
              <w:br/>
            </w:r>
            <w:r>
              <w:rPr>
                <w:b w:val="off"/>
                <w:color w:val="000000"/>
                <w:rFonts w:ascii="Times New Roman" w:hAnsi="Times New Roman" w:cs="Times New Roman" w:eastAsia="Times New Roman"/>
                <w:sz w:val="24"/>
              </w:rPr>
              <w:t>a o zmene a doplnení niektorých zákonov v znení neskorších predpisov)</w:t>
              <w:br/>
            </w:r>
            <w:r>
              <w:rPr>
                <w:b w:val="off"/>
                <w:color w:val="000000"/>
                <w:rFonts w:ascii="Times New Roman" w:hAnsi="Times New Roman" w:cs="Times New Roman" w:eastAsia="Times New Roman"/>
                <w:sz w:val="24"/>
              </w:rPr>
              <w:t xml:space="preserve">Odporúčame v Čl. CVII navrhovanú novelu zákona č. 124/2006 Z. z. o bezpečnosti a ochrane zdravia pri práci a o zmene a doplnení niektorých zákonov v znení neskorších predpisov legislatívno-technicky upraviť s cieľom zosúladenia znenia zákona č. 124/2006 Z. z. </w:t>
              <w:br/>
            </w:r>
            <w:r>
              <w:rPr>
                <w:b w:val="off"/>
                <w:color w:val="000000"/>
                <w:rFonts w:ascii="Times New Roman" w:hAnsi="Times New Roman" w:cs="Times New Roman" w:eastAsia="Times New Roman"/>
                <w:sz w:val="24"/>
              </w:rPr>
              <w:t>o bezpečnosti a ochrane zdravia pri práci a o zmene a doplnení niektorých zákonov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CVIII</w:t>
              <w:br/>
            </w:r>
            <w:r>
              <w:rPr>
                <w:b w:val="off"/>
                <w:color w:val="000000"/>
                <w:rFonts w:ascii="Times New Roman" w:hAnsi="Times New Roman" w:cs="Times New Roman" w:eastAsia="Times New Roman"/>
                <w:sz w:val="24"/>
              </w:rPr>
              <w:t xml:space="preserve">K Čl. CVIII (novela zákona č. 125/2006 Z. z. o inšpekcii práce a o zmene a doplnení zákona č. 82/2005 Z. z. o nelegálnej práci a nelegálnom zamestnávaní a o zmene </w:t>
              <w:br/>
            </w:r>
            <w:r>
              <w:rPr>
                <w:b w:val="off"/>
                <w:color w:val="000000"/>
                <w:rFonts w:ascii="Times New Roman" w:hAnsi="Times New Roman" w:cs="Times New Roman" w:eastAsia="Times New Roman"/>
                <w:sz w:val="24"/>
              </w:rPr>
              <w:t>a doplnení niektorých zákonov v znení neskorších predpisov)</w:t>
              <w:br/>
            </w:r>
            <w:r>
              <w:rPr>
                <w:b w:val="off"/>
                <w:color w:val="000000"/>
                <w:rFonts w:ascii="Times New Roman" w:hAnsi="Times New Roman" w:cs="Times New Roman" w:eastAsia="Times New Roman"/>
                <w:sz w:val="24"/>
              </w:rPr>
              <w:t xml:space="preserve">Odporúčame v Čl. CVIII navrhovanú novelu zákona č. 125/2006 Z. z. o inšpekcii práce </w:t>
              <w:br/>
            </w:r>
            <w:r>
              <w:rPr>
                <w:b w:val="off"/>
                <w:color w:val="000000"/>
                <w:rFonts w:ascii="Times New Roman" w:hAnsi="Times New Roman" w:cs="Times New Roman" w:eastAsia="Times New Roman"/>
                <w:sz w:val="24"/>
              </w:rPr>
              <w:t xml:space="preserve">a o zmene a doplnení zákona č. 82/2005 Z. z. o nelegálnej práci a nelegálnom zamestnávaní </w:t>
              <w:br/>
            </w:r>
            <w:r>
              <w:rPr>
                <w:b w:val="off"/>
                <w:color w:val="000000"/>
                <w:rFonts w:ascii="Times New Roman" w:hAnsi="Times New Roman" w:cs="Times New Roman" w:eastAsia="Times New Roman"/>
                <w:sz w:val="24"/>
              </w:rPr>
              <w:t xml:space="preserve">a o zmene a doplnení niektorých zákonov v znení neskorších predpisov legislatívno-technicky upraviť s cieľom zosúladenia znenia zákona č. 125/2006 Z. z. o inšpekcii práce </w:t>
              <w:br/>
            </w:r>
            <w:r>
              <w:rPr>
                <w:b w:val="off"/>
                <w:color w:val="000000"/>
                <w:rFonts w:ascii="Times New Roman" w:hAnsi="Times New Roman" w:cs="Times New Roman" w:eastAsia="Times New Roman"/>
                <w:sz w:val="24"/>
              </w:rPr>
              <w:t xml:space="preserve">a o zmene a doplnení zákona č. 82/2005 Z. z. o nelegálnej práci a nelegálnom zamestnávaní </w:t>
              <w:br/>
            </w:r>
            <w:r>
              <w:rPr>
                <w:b w:val="off"/>
                <w:color w:val="000000"/>
                <w:rFonts w:ascii="Times New Roman" w:hAnsi="Times New Roman" w:cs="Times New Roman" w:eastAsia="Times New Roman"/>
                <w:sz w:val="24"/>
              </w:rPr>
              <w:t>a o zmene a doplnení niektorých zákonov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CXVIII</w:t>
              <w:br/>
            </w:r>
            <w:r>
              <w:rPr>
                <w:b w:val="off"/>
                <w:color w:val="000000"/>
                <w:rFonts w:ascii="Times New Roman" w:hAnsi="Times New Roman" w:cs="Times New Roman" w:eastAsia="Times New Roman"/>
                <w:sz w:val="24"/>
              </w:rPr>
              <w:t xml:space="preserve">K Čl. CXVIII (novela zákona č. 447/2008 Z. z. o peňažných príspevkoch na kompenzáciu ťažkého zdravotného postihnutia a o zmene a doplnení niektorých zákonov v znení neskorších predpisov) </w:t>
              <w:br/>
            </w:r>
            <w:r>
              <w:rPr>
                <w:b w:val="off"/>
                <w:color w:val="000000"/>
                <w:rFonts w:ascii="Times New Roman" w:hAnsi="Times New Roman" w:cs="Times New Roman" w:eastAsia="Times New Roman"/>
                <w:sz w:val="24"/>
              </w:rPr>
              <w:t>Odporúčame v Čl. CXVIII navrhovanú novelu zákona č. 447/2008 Z. z. o peňažných príspevkoch na kompenzáciu ťažkého zdravotného postihnutia a o zmene a doplnení niektorých zákonov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CXIX</w:t>
              <w:br/>
            </w:r>
            <w:r>
              <w:rPr>
                <w:b w:val="off"/>
                <w:color w:val="000000"/>
                <w:rFonts w:ascii="Times New Roman" w:hAnsi="Times New Roman" w:cs="Times New Roman" w:eastAsia="Times New Roman"/>
                <w:sz w:val="24"/>
              </w:rPr>
              <w:t xml:space="preserve">K Čl. CXIX (novela zákona č. 448/2008 Z. z. o sociálnych službách a o zmene a doplnení zákona č. 455/1991 Zb. o živnostenskom podnikaní (živnostenský zákon) v znení neskorších predpisov v znení neskorších predpisov) </w:t>
              <w:br/>
            </w:r>
            <w:r>
              <w:rPr>
                <w:b w:val="off"/>
                <w:color w:val="000000"/>
                <w:rFonts w:ascii="Times New Roman" w:hAnsi="Times New Roman" w:cs="Times New Roman" w:eastAsia="Times New Roman"/>
                <w:sz w:val="24"/>
              </w:rPr>
              <w:t xml:space="preserve">Odporúčame v Čl. CXIX navrhovanú novelu zákona č. 448/2008 Z. z. o sociálnych službách </w:t>
              <w:br/>
            </w:r>
            <w:r>
              <w:rPr>
                <w:b w:val="off"/>
                <w:color w:val="000000"/>
                <w:rFonts w:ascii="Times New Roman" w:hAnsi="Times New Roman" w:cs="Times New Roman" w:eastAsia="Times New Roman"/>
                <w:sz w:val="24"/>
              </w:rPr>
              <w:t>a o zmene a doplnení zákona č. 455/1991 Zb. o živnostenskom podnikaní (živnostenský zákon) v znení neskorších predpisov v znení neskorších predpisov legislatívno-technicky upraviť.</w:t>
              <w:br/>
            </w:r>
            <w:r>
              <w:rPr>
                <w:b w:val="off"/>
                <w:color w:val="000000"/>
                <w:rFonts w:ascii="Times New Roman" w:hAnsi="Times New Roman" w:cs="Times New Roman" w:eastAsia="Times New Roman"/>
                <w:sz w:val="24"/>
              </w:rPr>
              <w:t xml:space="preserve"> 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CXXIII</w:t>
              <w:br/>
            </w:r>
            <w:r>
              <w:rPr>
                <w:b w:val="off"/>
                <w:color w:val="000000"/>
                <w:rFonts w:ascii="Times New Roman" w:hAnsi="Times New Roman" w:cs="Times New Roman" w:eastAsia="Times New Roman"/>
                <w:sz w:val="24"/>
              </w:rPr>
              <w:t xml:space="preserve">K Čl. CXXIII (novela zákona č. 561/2008 Z. z. o príspevku na starostlivosť o dieťa </w:t>
              <w:br/>
            </w:r>
            <w:r>
              <w:rPr>
                <w:b w:val="off"/>
                <w:color w:val="000000"/>
                <w:rFonts w:ascii="Times New Roman" w:hAnsi="Times New Roman" w:cs="Times New Roman" w:eastAsia="Times New Roman"/>
                <w:sz w:val="24"/>
              </w:rPr>
              <w:t xml:space="preserve">a o zmene a doplnení niektorých zákonov v znení neskorších predpisov) </w:t>
              <w:br/>
            </w:r>
            <w:r>
              <w:rPr>
                <w:b w:val="off"/>
                <w:color w:val="000000"/>
                <w:rFonts w:ascii="Times New Roman" w:hAnsi="Times New Roman" w:cs="Times New Roman" w:eastAsia="Times New Roman"/>
                <w:sz w:val="24"/>
              </w:rPr>
              <w:t xml:space="preserve">Odporúčame v Čl. CXXIII navrhovanú novelu zákona č. 561/2008 Z. z. o príspevku </w:t>
              <w:br/>
            </w:r>
            <w:r>
              <w:rPr>
                <w:b w:val="off"/>
                <w:color w:val="000000"/>
                <w:rFonts w:ascii="Times New Roman" w:hAnsi="Times New Roman" w:cs="Times New Roman" w:eastAsia="Times New Roman"/>
                <w:sz w:val="24"/>
              </w:rPr>
              <w:t>na starostlivosť o dieťa a o zmene a doplnení niektorých zákonov v znení neskorších predpisov legislatívno-technicky upraviť. 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CXXXII</w:t>
              <w:br/>
            </w:r>
            <w:r>
              <w:rPr>
                <w:b w:val="off"/>
                <w:color w:val="000000"/>
                <w:rFonts w:ascii="Times New Roman" w:hAnsi="Times New Roman" w:cs="Times New Roman" w:eastAsia="Times New Roman"/>
                <w:sz w:val="24"/>
              </w:rPr>
              <w:t xml:space="preserve">K Čl. CXXXII (novela zákona č. 544/2010 Z. z. o dotáciách v pôsobnosti Ministerstva práce, sociálnych vecí a rodiny Slovenskej republiky v znení neskorších predpisov) </w:t>
              <w:br/>
            </w:r>
            <w:r>
              <w:rPr>
                <w:b w:val="off"/>
                <w:color w:val="000000"/>
                <w:rFonts w:ascii="Times New Roman" w:hAnsi="Times New Roman" w:cs="Times New Roman" w:eastAsia="Times New Roman"/>
                <w:sz w:val="24"/>
              </w:rPr>
              <w:t xml:space="preserve">Odporúčame v Čl. CXXXII navrhovanú novelu zákona č. 544/2010 Z. z. o dotáciách </w:t>
              <w:br/>
            </w:r>
            <w:r>
              <w:rPr>
                <w:b w:val="off"/>
                <w:color w:val="000000"/>
                <w:rFonts w:ascii="Times New Roman" w:hAnsi="Times New Roman" w:cs="Times New Roman" w:eastAsia="Times New Roman"/>
                <w:sz w:val="24"/>
              </w:rPr>
              <w:t xml:space="preserve">v pôsobnosti Ministerstva práce, sociálnych vecí a rodiny Slovenskej republiky v znení neskorších predpisov legislatívno-technicky upraviť s cieľom zosúladenia znenia zákona </w:t>
              <w:br/>
            </w:r>
            <w:r>
              <w:rPr>
                <w:b w:val="off"/>
                <w:color w:val="000000"/>
                <w:rFonts w:ascii="Times New Roman" w:hAnsi="Times New Roman" w:cs="Times New Roman" w:eastAsia="Times New Roman"/>
                <w:sz w:val="24"/>
              </w:rPr>
              <w:t>č. 544/2010 Z. z. o dotáciách v pôsobnosti Ministerstva práce, sociálnych vecí a rodiny Slovenskej republiky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CLXXXV</w:t>
              <w:br/>
            </w:r>
            <w:r>
              <w:rPr>
                <w:b w:val="off"/>
                <w:color w:val="000000"/>
                <w:rFonts w:ascii="Times New Roman" w:hAnsi="Times New Roman" w:cs="Times New Roman" w:eastAsia="Times New Roman"/>
                <w:sz w:val="24"/>
              </w:rPr>
              <w:t>K Čl. CLXXXV (novela zákona č. 112/2018 Z. z. o sociálnej ekonomike a sociálnych podnikoch a o zmene a doplnení niektorých zákonov v znení neskorších predpisov)</w:t>
              <w:br/>
            </w:r>
            <w:r>
              <w:rPr>
                <w:b w:val="off"/>
                <w:color w:val="000000"/>
                <w:rFonts w:ascii="Times New Roman" w:hAnsi="Times New Roman" w:cs="Times New Roman" w:eastAsia="Times New Roman"/>
                <w:sz w:val="24"/>
              </w:rPr>
              <w:t xml:space="preserve">Odporúčame v Čl. CLXXXV navrhovanú novelu zákona č. 112/2018 Z. z. o sociálnej ekonomike a sociálnych podnikoch a o zmene a doplnení niektorých zákonov v znení neskorších predpisov legislatívno-technicky upraviť s cieľom zosúladenia znenia zákona </w:t>
              <w:br/>
            </w:r>
            <w:r>
              <w:rPr>
                <w:b w:val="off"/>
                <w:color w:val="000000"/>
                <w:rFonts w:ascii="Times New Roman" w:hAnsi="Times New Roman" w:cs="Times New Roman" w:eastAsia="Times New Roman"/>
                <w:sz w:val="24"/>
              </w:rPr>
              <w:t>č. 112/2018 Z. z. o sociálnej ekonomike a sociálnych podnikoch a o zmene a doplnení niektorých zákonov v znení neskorších predpisov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CCXVIII</w:t>
              <w:br/>
            </w:r>
            <w:r>
              <w:rPr>
                <w:b w:val="off"/>
                <w:color w:val="000000"/>
                <w:rFonts w:ascii="Times New Roman" w:hAnsi="Times New Roman" w:cs="Times New Roman" w:eastAsia="Times New Roman"/>
                <w:sz w:val="24"/>
              </w:rPr>
              <w:t xml:space="preserve">K Čl. CCXVIII (novela zákona č. 376/2024 Z. z. o integrovanej posudkovej činnosti </w:t>
              <w:br/>
            </w:r>
            <w:r>
              <w:rPr>
                <w:b w:val="off"/>
                <w:color w:val="000000"/>
                <w:rFonts w:ascii="Times New Roman" w:hAnsi="Times New Roman" w:cs="Times New Roman" w:eastAsia="Times New Roman"/>
                <w:sz w:val="24"/>
              </w:rPr>
              <w:t>a o zmene a doplnení niektorých zákonov v znení zákona č. 406/2025 Z. z.)</w:t>
              <w:br/>
            </w:r>
            <w:r>
              <w:rPr>
                <w:b w:val="off"/>
                <w:color w:val="000000"/>
                <w:rFonts w:ascii="Times New Roman" w:hAnsi="Times New Roman" w:cs="Times New Roman" w:eastAsia="Times New Roman"/>
                <w:sz w:val="24"/>
              </w:rPr>
              <w:t xml:space="preserve">Odporúčame v Čl. CCXVIII navrhovanú novelu zákona č. 376/2024 Z. z. o integrovanej posudkovej činnosti a o zmene a doplnení niektorých zákonov v znení zákona </w:t>
              <w:br/>
            </w:r>
            <w:r>
              <w:rPr>
                <w:b w:val="off"/>
                <w:color w:val="000000"/>
                <w:rFonts w:ascii="Times New Roman" w:hAnsi="Times New Roman" w:cs="Times New Roman" w:eastAsia="Times New Roman"/>
                <w:sz w:val="24"/>
              </w:rPr>
              <w:t xml:space="preserve">č. 406/2025 Z. z. legislatívno-technicky upraviť s cieľom zosúladenia znenia zákona </w:t>
              <w:br/>
            </w:r>
            <w:r>
              <w:rPr>
                <w:b w:val="off"/>
                <w:color w:val="000000"/>
                <w:rFonts w:ascii="Times New Roman" w:hAnsi="Times New Roman" w:cs="Times New Roman" w:eastAsia="Times New Roman"/>
                <w:sz w:val="24"/>
              </w:rPr>
              <w:t>č. 376/2024 Z. z. o integrovanej posudkovej činnosti a o zmene a doplnení niektorých zákonov v znení zákona č. 406/2025 Z. z. s novou terminologickou koncepciou Občianskeho zákonníka.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CCXXVIII</w:t>
              <w:br/>
            </w:r>
            <w:r>
              <w:rPr>
                <w:b w:val="off"/>
                <w:color w:val="000000"/>
                <w:rFonts w:ascii="Times New Roman" w:hAnsi="Times New Roman" w:cs="Times New Roman" w:eastAsia="Times New Roman"/>
                <w:sz w:val="24"/>
              </w:rPr>
              <w:t>K Čl. CCXXVIII (novela zákona č. 406/2025 Z. z. o príspevku na pomoc pri odkázanosti na pomoc inej fyzickej osoby a o zmene a doplnení niektorých zákonov)</w:t>
              <w:br/>
            </w:r>
            <w:r>
              <w:rPr>
                <w:b w:val="off"/>
                <w:color w:val="000000"/>
                <w:rFonts w:ascii="Times New Roman" w:hAnsi="Times New Roman" w:cs="Times New Roman" w:eastAsia="Times New Roman"/>
                <w:sz w:val="24"/>
              </w:rPr>
              <w:t xml:space="preserve">Odporúčame v Čl. CCXXVIII navrhovanú novelu zákona č. 406/2025 Z. z. o príspevku </w:t>
              <w:br/>
            </w:r>
            <w:r>
              <w:rPr>
                <w:b w:val="off"/>
                <w:color w:val="000000"/>
                <w:rFonts w:ascii="Times New Roman" w:hAnsi="Times New Roman" w:cs="Times New Roman" w:eastAsia="Times New Roman"/>
                <w:sz w:val="24"/>
              </w:rPr>
              <w:t xml:space="preserve">na pomoc pri odkázanosti na pomoc inej fyzickej osoby a o zmene a doplnení niektorých zákonov legislatívno-technicky upraviť s cieľom zosúladenia znenia zákona č. 406/2025 Z. z. o príspevku na pomoc pri odkázanosti na pomoc inej fyzickej osoby a o zmene a doplnení niektorých zákonov s novou terminologickou koncepciou Občianskeho zákonníka. </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CCXXXI</w:t>
              <w:br/>
            </w:r>
            <w:r>
              <w:rPr>
                <w:b w:val="off"/>
                <w:color w:val="000000"/>
                <w:rFonts w:ascii="Times New Roman" w:hAnsi="Times New Roman" w:cs="Times New Roman" w:eastAsia="Times New Roman"/>
                <w:sz w:val="24"/>
              </w:rPr>
              <w:t xml:space="preserve">K Čl. CCXXXI (novela zákona č. 76/2026 Z. z. o rovnakom odmeňovaní mužov a žien </w:t>
              <w:br/>
            </w:r>
            <w:r>
              <w:rPr>
                <w:b w:val="off"/>
                <w:color w:val="000000"/>
                <w:rFonts w:ascii="Times New Roman" w:hAnsi="Times New Roman" w:cs="Times New Roman" w:eastAsia="Times New Roman"/>
                <w:sz w:val="24"/>
              </w:rPr>
              <w:t>za rovnakú prácu alebo za prácu rovnakej hodnoty a o zmene a doplnení niektorých zákonov)</w:t>
              <w:br/>
            </w:r>
            <w:r>
              <w:rPr>
                <w:b w:val="off"/>
                <w:color w:val="000000"/>
                <w:rFonts w:ascii="Times New Roman" w:hAnsi="Times New Roman" w:cs="Times New Roman" w:eastAsia="Times New Roman"/>
                <w:sz w:val="24"/>
              </w:rPr>
              <w:t xml:space="preserve">Odporúčame v Čl. CCXXXI navrhovanú novelu zákona č. 76/2026 Z. z. o rovnakom odmeňovaní mužov a žien za rovnakú prácu alebo za prácu rovnakej hodnoty a o zmene </w:t>
              <w:br/>
            </w:r>
            <w:r>
              <w:rPr>
                <w:b w:val="off"/>
                <w:color w:val="000000"/>
                <w:rFonts w:ascii="Times New Roman" w:hAnsi="Times New Roman" w:cs="Times New Roman" w:eastAsia="Times New Roman"/>
                <w:sz w:val="24"/>
              </w:rPr>
              <w:t xml:space="preserve">a doplnení niektorých zákonov legislatívno-technicky upraviť s cieľom zosúladenia znenia zákona č. 76/2026 Z. z. o rovnakom odmeňovaní mužov a žien za rovnakú prácu </w:t>
              <w:br/>
            </w:r>
            <w:r>
              <w:rPr>
                <w:b w:val="off"/>
                <w:color w:val="000000"/>
                <w:rFonts w:ascii="Times New Roman" w:hAnsi="Times New Roman" w:cs="Times New Roman" w:eastAsia="Times New Roman"/>
                <w:sz w:val="24"/>
              </w:rPr>
              <w:t>alebo za prácu rovnakej hodnoty a o zmene a doplnení niektorých zákonov s novou terminologickou koncepciou Občianskeho zákonníka.</w:t>
              <w:br/>
            </w:r>
            <w:r>
              <w:rPr>
                <w:b w:val="off"/>
                <w:color w:val="000000"/>
                <w:rFonts w:ascii="Times New Roman" w:hAnsi="Times New Roman" w:cs="Times New Roman" w:eastAsia="Times New Roman"/>
                <w:sz w:val="24"/>
              </w:rPr>
              <w:t>Zároveň je potrebné primerane upraviť osobitnú časť dôvodovej správy.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CCXXXII</w:t>
              <w:br/>
            </w:r>
            <w:r>
              <w:rPr>
                <w:b w:val="off"/>
                <w:color w:val="000000"/>
                <w:rFonts w:ascii="Times New Roman" w:hAnsi="Times New Roman" w:cs="Times New Roman" w:eastAsia="Times New Roman"/>
                <w:sz w:val="24"/>
              </w:rPr>
              <w:t xml:space="preserve">Odporúčame v Čl. CCXXXII  upraviť účinnosť z dôvodu doplnenia novelizačných bodov </w:t>
              <w:br/>
            </w:r>
            <w:r>
              <w:rPr>
                <w:b w:val="off"/>
                <w:color w:val="000000"/>
                <w:rFonts w:ascii="Times New Roman" w:hAnsi="Times New Roman" w:cs="Times New Roman" w:eastAsia="Times New Roman"/>
                <w:sz w:val="24"/>
              </w:rPr>
              <w:t>v Čl. LXVII (novela zákona č. 461/2003 Z. z. o sociálnom poistení v znení neskorších predpisov).</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LXVI</w:t>
              <w:br/>
            </w:r>
            <w:r>
              <w:rPr>
                <w:b w:val="off"/>
                <w:color w:val="000000"/>
                <w:rFonts w:ascii="Times New Roman" w:hAnsi="Times New Roman" w:cs="Times New Roman" w:eastAsia="Times New Roman"/>
                <w:sz w:val="24"/>
              </w:rPr>
              <w:t xml:space="preserve">K osobitnej časti dôvodovej správy k Čl. LXVI (novela zákona č. 453/2003 Z. z. o orgánoch štátnej správy v oblasti sociálnych vecí, rodiny a služieb zamestnanosti a o zmene a doplnení niektorých zákonov v znení neskorších predpisov) </w:t>
              <w:br/>
            </w:r>
            <w:r>
              <w:rPr>
                <w:b w:val="off"/>
                <w:color w:val="000000"/>
                <w:rFonts w:ascii="Times New Roman" w:hAnsi="Times New Roman" w:cs="Times New Roman" w:eastAsia="Times New Roman"/>
                <w:sz w:val="24"/>
              </w:rPr>
              <w:t>Odporúčame osobitnú časť dôvodovej správy k Čl. LXVI k novele zákona č. 453/2003 Z. z. o orgánoch štátnej správy v oblasti sociálnych vecí, rodiny a služieb zamestnanosti a o zmene a doplnení niektorých zákonov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LXXX</w:t>
              <w:br/>
            </w:r>
            <w:r>
              <w:rPr>
                <w:b w:val="off"/>
                <w:color w:val="000000"/>
                <w:rFonts w:ascii="Times New Roman" w:hAnsi="Times New Roman" w:cs="Times New Roman" w:eastAsia="Times New Roman"/>
                <w:sz w:val="24"/>
              </w:rPr>
              <w:t xml:space="preserve">K osobitnej časti dôvodovej správy k Čl. LXXX (novela zákona č. 43/2004 Z. z. </w:t>
              <w:br/>
            </w:r>
            <w:r>
              <w:rPr>
                <w:b w:val="off"/>
                <w:color w:val="000000"/>
                <w:rFonts w:ascii="Times New Roman" w:hAnsi="Times New Roman" w:cs="Times New Roman" w:eastAsia="Times New Roman"/>
                <w:sz w:val="24"/>
              </w:rPr>
              <w:t xml:space="preserve">o starobnom dôchodkovom sporení a o zmene a doplnení niektorých zákonov v znení neskorších predpisov) </w:t>
              <w:br/>
            </w:r>
            <w:r>
              <w:rPr>
                <w:b w:val="off"/>
                <w:color w:val="000000"/>
                <w:rFonts w:ascii="Times New Roman" w:hAnsi="Times New Roman" w:cs="Times New Roman" w:eastAsia="Times New Roman"/>
                <w:sz w:val="24"/>
              </w:rPr>
              <w:t xml:space="preserve">Odporúčame osobitnú časť dôvodovej správy k Čl. LXXX k novele zákona č. 43/2004 Z. z. </w:t>
              <w:br/>
            </w:r>
            <w:r>
              <w:rPr>
                <w:b w:val="off"/>
                <w:color w:val="000000"/>
                <w:rFonts w:ascii="Times New Roman" w:hAnsi="Times New Roman" w:cs="Times New Roman" w:eastAsia="Times New Roman"/>
                <w:sz w:val="24"/>
              </w:rPr>
              <w:t>o starobnom dôchodkovom sporení a o zmene a doplnení niektorých zákonov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XCIV</w:t>
              <w:br/>
            </w:r>
            <w:r>
              <w:rPr>
                <w:b w:val="off"/>
                <w:color w:val="000000"/>
                <w:rFonts w:ascii="Times New Roman" w:hAnsi="Times New Roman" w:cs="Times New Roman" w:eastAsia="Times New Roman"/>
                <w:sz w:val="24"/>
              </w:rPr>
              <w:t xml:space="preserve">K osobitnej časti dôvodovej správy k Čl. XCIV (novela zákona č. 650/2004 Z. z. </w:t>
              <w:br/>
            </w:r>
            <w:r>
              <w:rPr>
                <w:b w:val="off"/>
                <w:color w:val="000000"/>
                <w:rFonts w:ascii="Times New Roman" w:hAnsi="Times New Roman" w:cs="Times New Roman" w:eastAsia="Times New Roman"/>
                <w:sz w:val="24"/>
              </w:rPr>
              <w:t xml:space="preserve">o doplnkovom dôchodkovom sporení a o zmene a doplnení niektorých zákonov v znení neskorších predpisov) </w:t>
              <w:br/>
            </w:r>
            <w:r>
              <w:rPr>
                <w:b w:val="off"/>
                <w:color w:val="000000"/>
                <w:rFonts w:ascii="Times New Roman" w:hAnsi="Times New Roman" w:cs="Times New Roman" w:eastAsia="Times New Roman"/>
                <w:sz w:val="24"/>
              </w:rPr>
              <w:t xml:space="preserve">Odporúčame osobitnú časť dôvodovej správy k Čl. XCIV k novele zákona č. 650/2004 Z. z. </w:t>
              <w:br/>
            </w:r>
            <w:r>
              <w:rPr>
                <w:b w:val="off"/>
                <w:color w:val="000000"/>
                <w:rFonts w:ascii="Times New Roman" w:hAnsi="Times New Roman" w:cs="Times New Roman" w:eastAsia="Times New Roman"/>
                <w:sz w:val="24"/>
              </w:rPr>
              <w:t>o doplnkovom dôchodkovom sporení a o zmene a doplnení niektorých zákonov v znení neskorších predpisov legislatívno-technicky upraviť.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 zákona</w:t>
              <w:br/>
            </w:r>
            <w:r>
              <w:rPr>
                <w:b w:val="off"/>
                <w:color w:val="000000"/>
                <w:rFonts w:ascii="Times New Roman" w:hAnsi="Times New Roman" w:cs="Times New Roman" w:eastAsia="Times New Roman"/>
                <w:sz w:val="24"/>
              </w:rPr>
              <w:t xml:space="preserve">Pripomienka nad rámec predkladaného návrhu zákona (novela zákona č. 238/1998 Z. z. o príspevku na pohreb v znení neskorších predpisov) </w:t>
              <w:br/>
            </w:r>
            <w:r>
              <w:rPr>
                <w:b w:val="off"/>
                <w:color w:val="000000"/>
                <w:rFonts w:ascii="Times New Roman" w:hAnsi="Times New Roman" w:cs="Times New Roman" w:eastAsia="Times New Roman"/>
                <w:sz w:val="24"/>
              </w:rPr>
              <w:t xml:space="preserve">Odporúčame nad rámec predkladaného návrhu zákona doplniť predkladaný návrh zákona </w:t>
              <w:br/>
            </w:r>
            <w:r>
              <w:rPr>
                <w:b w:val="off"/>
                <w:color w:val="000000"/>
                <w:rFonts w:ascii="Times New Roman" w:hAnsi="Times New Roman" w:cs="Times New Roman" w:eastAsia="Times New Roman"/>
                <w:sz w:val="24"/>
              </w:rPr>
              <w:t xml:space="preserve">o  nový novelizačný článok, ktorým sa mení zákon č. 238/1998 Z. z. o príspevku na pohreb </w:t>
              <w:br/>
            </w:r>
            <w:r>
              <w:rPr>
                <w:b w:val="off"/>
                <w:color w:val="000000"/>
                <w:rFonts w:ascii="Times New Roman" w:hAnsi="Times New Roman" w:cs="Times New Roman" w:eastAsia="Times New Roman"/>
                <w:sz w:val="24"/>
              </w:rPr>
              <w:t>v znení neskorších predpisov.</w:t>
              <w:br/>
            </w:r>
            <w:r>
              <w:rPr>
                <w:b w:val="off"/>
                <w:color w:val="000000"/>
                <w:rFonts w:ascii="Times New Roman" w:hAnsi="Times New Roman" w:cs="Times New Roman" w:eastAsia="Times New Roman"/>
                <w:sz w:val="24"/>
              </w:rPr>
              <w:t>Odôvodnenie:  Legislatívno-technická úprava zákona č. 238/1998 Z. z. o príspevku na pohreb v znení neskorších predpisov s cieľom zosúladenia s novou terminologickou koncepciou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 zákona</w:t>
              <w:br/>
            </w:r>
            <w:r>
              <w:rPr>
                <w:b w:val="off"/>
                <w:color w:val="000000"/>
                <w:rFonts w:ascii="Times New Roman" w:hAnsi="Times New Roman" w:cs="Times New Roman" w:eastAsia="Times New Roman"/>
                <w:sz w:val="24"/>
              </w:rPr>
              <w:t xml:space="preserve">Pripomienka nad rámec predkladaného návrhu zákona (novela zákona č. 462/2003 Z. z. o náhrade príjmu pri dočasnej pracovnej neschopnosti zamestnanca a o zmene </w:t>
              <w:br/>
            </w:r>
            <w:r>
              <w:rPr>
                <w:b w:val="off"/>
                <w:color w:val="000000"/>
                <w:rFonts w:ascii="Times New Roman" w:hAnsi="Times New Roman" w:cs="Times New Roman" w:eastAsia="Times New Roman"/>
                <w:sz w:val="24"/>
              </w:rPr>
              <w:t xml:space="preserve">a doplnení niektorých zákonov v znení neskorších predpisov) </w:t>
              <w:br/>
            </w:r>
            <w:r>
              <w:rPr>
                <w:b w:val="off"/>
                <w:color w:val="000000"/>
                <w:rFonts w:ascii="Times New Roman" w:hAnsi="Times New Roman" w:cs="Times New Roman" w:eastAsia="Times New Roman"/>
                <w:sz w:val="24"/>
              </w:rPr>
              <w:t xml:space="preserve">Odporúčame nad rámec predkladaného návrhu zákona doplniť predkladaný návrh zákona </w:t>
              <w:br/>
            </w:r>
            <w:r>
              <w:rPr>
                <w:b w:val="off"/>
                <w:color w:val="000000"/>
                <w:rFonts w:ascii="Times New Roman" w:hAnsi="Times New Roman" w:cs="Times New Roman" w:eastAsia="Times New Roman"/>
                <w:sz w:val="24"/>
              </w:rPr>
              <w:t xml:space="preserve">o  nový novelizačný článok, ktorým sa mení zákon č. 462/2003 Z. z. o náhrade príjmu </w:t>
              <w:br/>
            </w:r>
            <w:r>
              <w:rPr>
                <w:b w:val="off"/>
                <w:color w:val="000000"/>
                <w:rFonts w:ascii="Times New Roman" w:hAnsi="Times New Roman" w:cs="Times New Roman" w:eastAsia="Times New Roman"/>
                <w:sz w:val="24"/>
              </w:rPr>
              <w:t>pri dočasnej pracovnej neschopnosti zamestnanca a o zmene a doplnení niektorých zákonov v znení neskorších predpisov.</w:t>
              <w:br/>
            </w:r>
            <w:r>
              <w:rPr>
                <w:b w:val="off"/>
                <w:color w:val="000000"/>
                <w:rFonts w:ascii="Times New Roman" w:hAnsi="Times New Roman" w:cs="Times New Roman" w:eastAsia="Times New Roman"/>
                <w:sz w:val="24"/>
              </w:rPr>
              <w:t xml:space="preserve">Odôvodnenie:  Legislatívno-technická úprava v nevyhnutnom rozsahu zákona </w:t>
              <w:br/>
            </w:r>
            <w:r>
              <w:rPr>
                <w:b w:val="off"/>
                <w:color w:val="000000"/>
                <w:rFonts w:ascii="Times New Roman" w:hAnsi="Times New Roman" w:cs="Times New Roman" w:eastAsia="Times New Roman"/>
                <w:sz w:val="24"/>
              </w:rPr>
              <w:t>č. 462/2003 Z. z. o náhrade príjmu pri dočasnej pracovnej neschopnosti zamestnanca a o zmene a doplnení niektorých zákonov v znení neskorších predpisov s cieľom zosúladenia s novou terminologickou koncepciou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 zákona</w:t>
              <w:br/>
            </w:r>
            <w:r>
              <w:rPr>
                <w:b w:val="off"/>
                <w:color w:val="000000"/>
                <w:rFonts w:ascii="Times New Roman" w:hAnsi="Times New Roman" w:cs="Times New Roman" w:eastAsia="Times New Roman"/>
                <w:sz w:val="24"/>
              </w:rPr>
              <w:t xml:space="preserve">Pripomienka nad rámec predkladaného návrhu zákona (novela zákona č. 201/2008 Z. z. o náhradnom výživnom a o zmene a doplnení zákona č. 36/2005 Z. z. o rodine a o zmene a doplnení niektorých zákonov v znení nálezu Ústavného súdu Slovenskej republiky </w:t>
              <w:br/>
            </w:r>
            <w:r>
              <w:rPr>
                <w:b w:val="off"/>
                <w:color w:val="000000"/>
                <w:rFonts w:ascii="Times New Roman" w:hAnsi="Times New Roman" w:cs="Times New Roman" w:eastAsia="Times New Roman"/>
                <w:sz w:val="24"/>
              </w:rPr>
              <w:t xml:space="preserve">č. 615/2006 Z. z. v znení neskorších predpisov) </w:t>
              <w:br/>
            </w:r>
            <w:r>
              <w:rPr>
                <w:b w:val="off"/>
                <w:color w:val="000000"/>
                <w:rFonts w:ascii="Times New Roman" w:hAnsi="Times New Roman" w:cs="Times New Roman" w:eastAsia="Times New Roman"/>
                <w:sz w:val="24"/>
              </w:rPr>
              <w:t xml:space="preserve">Odporúčame nad rámec predkladaného návrhu zákona doplniť predkladaný návrh zákona </w:t>
              <w:br/>
            </w:r>
            <w:r>
              <w:rPr>
                <w:b w:val="off"/>
                <w:color w:val="000000"/>
                <w:rFonts w:ascii="Times New Roman" w:hAnsi="Times New Roman" w:cs="Times New Roman" w:eastAsia="Times New Roman"/>
                <w:sz w:val="24"/>
              </w:rPr>
              <w:t xml:space="preserve">o  nový novelizačný článok, ktorým sa mení zákon č. 201/2008 Z. z. o náhradnom výživnom </w:t>
              <w:br/>
            </w:r>
            <w:r>
              <w:rPr>
                <w:b w:val="off"/>
                <w:color w:val="000000"/>
                <w:rFonts w:ascii="Times New Roman" w:hAnsi="Times New Roman" w:cs="Times New Roman" w:eastAsia="Times New Roman"/>
                <w:sz w:val="24"/>
              </w:rPr>
              <w:t>a o zmene a doplnení zákona č. 36/2005 Z. z. o rodine a o zmene a doplnení niektorých zákonov v znení nálezu Ústavného súdu Slovenskej republiky č. 615/2006 Z. z. v znení neskorších predpisov.</w:t>
              <w:br/>
            </w:r>
            <w:r>
              <w:rPr>
                <w:b w:val="off"/>
                <w:color w:val="000000"/>
                <w:rFonts w:ascii="Times New Roman" w:hAnsi="Times New Roman" w:cs="Times New Roman" w:eastAsia="Times New Roman"/>
                <w:sz w:val="24"/>
              </w:rPr>
              <w:t>Odôvodnenie:  Legislatívno-technická úprava zákona č. 201/2008 Z. z. o náhradnom výživnom a o zmene a doplnení zákona č. 36/2005 Z. z. o rodine a o zmene a doplnení niektorých zákonov v znení nálezu Ústavného súdu Slovenskej republiky č. 615/2006 Z. z. v znení neskorších predpisov s cieľom zosúladenia s novou terminologickou koncepciou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 zákona</w:t>
              <w:br/>
            </w:r>
            <w:r>
              <w:rPr>
                <w:b w:val="off"/>
                <w:color w:val="000000"/>
                <w:rFonts w:ascii="Times New Roman" w:hAnsi="Times New Roman" w:cs="Times New Roman" w:eastAsia="Times New Roman"/>
                <w:sz w:val="24"/>
              </w:rPr>
              <w:t xml:space="preserve">Pripomienka nad rámec predkladaného návrhu zákona (novela zákona č. 176/2015 Z. z. o komisárovi pre deti a komisárovi pre osoby so zdravotným postihnutím a o zmene </w:t>
              <w:br/>
            </w:r>
            <w:r>
              <w:rPr>
                <w:b w:val="off"/>
                <w:color w:val="000000"/>
                <w:rFonts w:ascii="Times New Roman" w:hAnsi="Times New Roman" w:cs="Times New Roman" w:eastAsia="Times New Roman"/>
                <w:sz w:val="24"/>
              </w:rPr>
              <w:t xml:space="preserve">a doplnení niektorých zákonov v znení neskorších predpisov) </w:t>
              <w:br/>
            </w:r>
            <w:r>
              <w:rPr>
                <w:b w:val="off"/>
                <w:color w:val="000000"/>
                <w:rFonts w:ascii="Times New Roman" w:hAnsi="Times New Roman" w:cs="Times New Roman" w:eastAsia="Times New Roman"/>
                <w:sz w:val="24"/>
              </w:rPr>
              <w:t xml:space="preserve">Odporúčame nad rámec predkladaného návrhu zákona doplniť predkladaný návrh zákona </w:t>
              <w:br/>
            </w:r>
            <w:r>
              <w:rPr>
                <w:b w:val="off"/>
                <w:color w:val="000000"/>
                <w:rFonts w:ascii="Times New Roman" w:hAnsi="Times New Roman" w:cs="Times New Roman" w:eastAsia="Times New Roman"/>
                <w:sz w:val="24"/>
              </w:rPr>
              <w:t xml:space="preserve">o  nový novelizačný článok, ktorým sa mení zákon č. 176/2015 Z. z. o komisárovi pre deti </w:t>
              <w:br/>
            </w:r>
            <w:r>
              <w:rPr>
                <w:b w:val="off"/>
                <w:color w:val="000000"/>
                <w:rFonts w:ascii="Times New Roman" w:hAnsi="Times New Roman" w:cs="Times New Roman" w:eastAsia="Times New Roman"/>
                <w:sz w:val="24"/>
              </w:rPr>
              <w:t>a komisárovi pre osoby so zdravotným postihnutím a o zmene a doplnení niektorých zákonov v znení neskorších predpisov.</w:t>
              <w:br/>
            </w:r>
            <w:r>
              <w:rPr>
                <w:b w:val="off"/>
                <w:color w:val="000000"/>
                <w:rFonts w:ascii="Times New Roman" w:hAnsi="Times New Roman" w:cs="Times New Roman" w:eastAsia="Times New Roman"/>
                <w:sz w:val="24"/>
              </w:rPr>
              <w:t>Odôvodnenie:  Legislatívno-technická úprava zákona č. 176/2015 Z. z. o komisárovi pre deti a komisárovi pre osoby so zdravotným postihnutím a o zmene a doplnení niektorých zákonov v znení neskorších predpisov s cieľom zosúladenia s novou terminologickou koncepciou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 zákona</w:t>
              <w:br/>
            </w:r>
            <w:r>
              <w:rPr>
                <w:b w:val="off"/>
                <w:color w:val="000000"/>
                <w:rFonts w:ascii="Times New Roman" w:hAnsi="Times New Roman" w:cs="Times New Roman" w:eastAsia="Times New Roman"/>
                <w:sz w:val="24"/>
              </w:rPr>
              <w:t xml:space="preserve">Pripomienka nad rámec predkladaného návrhu zákona (novela zákona č. 129/2022 Z. z. o celoeurópskom osobnom dôchodkovom produkte a o zmene a doplnení niektorých zákonov) </w:t>
              <w:br/>
            </w:r>
            <w:r>
              <w:rPr>
                <w:b w:val="off"/>
                <w:color w:val="000000"/>
                <w:rFonts w:ascii="Times New Roman" w:hAnsi="Times New Roman" w:cs="Times New Roman" w:eastAsia="Times New Roman"/>
                <w:sz w:val="24"/>
              </w:rPr>
              <w:t xml:space="preserve">Odporúčame nad rámec predkladaného návrhu zákona doplniť predkladaný návrh zákona </w:t>
              <w:br/>
            </w:r>
            <w:r>
              <w:rPr>
                <w:b w:val="off"/>
                <w:color w:val="000000"/>
                <w:rFonts w:ascii="Times New Roman" w:hAnsi="Times New Roman" w:cs="Times New Roman" w:eastAsia="Times New Roman"/>
                <w:sz w:val="24"/>
              </w:rPr>
              <w:t xml:space="preserve">o  nový novelizačný článok, ktorým sa mení a dopĺňa zákon č. 129/2022 Z. z. </w:t>
              <w:br/>
            </w:r>
            <w:r>
              <w:rPr>
                <w:b w:val="off"/>
                <w:color w:val="000000"/>
                <w:rFonts w:ascii="Times New Roman" w:hAnsi="Times New Roman" w:cs="Times New Roman" w:eastAsia="Times New Roman"/>
                <w:sz w:val="24"/>
              </w:rPr>
              <w:t>o celoeurópskom osobnom dôchodkovom produkte a o zmene a doplnení niektorých zákonov.</w:t>
              <w:br/>
            </w:r>
            <w:r>
              <w:rPr>
                <w:b w:val="off"/>
                <w:color w:val="000000"/>
                <w:rFonts w:ascii="Times New Roman" w:hAnsi="Times New Roman" w:cs="Times New Roman" w:eastAsia="Times New Roman"/>
                <w:sz w:val="24"/>
              </w:rPr>
              <w:t>Odôvodnenie:  Legislatívno-technická úprava v nevyhnutnom rozsahu zákona č. 129/2022 Z. z. o celoeurópskom osobnom dôchodkovom produkte a o zmene a doplnení niektorých zákonov s cieľom zosúladenia s novou terminologickou koncepciou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w:t>
              <w:br/>
            </w:r>
            <w:r>
              <w:rPr>
                <w:b w:val="off"/>
                <w:color w:val="000000"/>
                <w:rFonts w:ascii="Times New Roman" w:hAnsi="Times New Roman" w:cs="Times New Roman" w:eastAsia="Times New Roman"/>
                <w:sz w:val="24"/>
              </w:rPr>
              <w:t>K doložke vybraných vplyvov, k analýze sociálnych vplyvov – všeobecná pripomienka</w:t>
              <w:br/>
            </w:r>
            <w:r>
              <w:rPr>
                <w:b w:val="off"/>
                <w:color w:val="000000"/>
                <w:rFonts w:ascii="Times New Roman" w:hAnsi="Times New Roman" w:cs="Times New Roman" w:eastAsia="Times New Roman"/>
                <w:sz w:val="24"/>
              </w:rPr>
              <w:t xml:space="preserve">Považujeme za potrebné dopracovať analýzu sociálnych vplyvov tak, aby boli jednotlivé posudzované opatrenia dostatočne konkrétne a zrozumiteľne opísané a bolo jednoznačné, </w:t>
              <w:br/>
            </w:r>
            <w:r>
              <w:rPr>
                <w:b w:val="off"/>
                <w:color w:val="000000"/>
                <w:rFonts w:ascii="Times New Roman" w:hAnsi="Times New Roman" w:cs="Times New Roman" w:eastAsia="Times New Roman"/>
                <w:sz w:val="24"/>
              </w:rPr>
              <w:t>aké opatrenia, v akých právnych predpisoch a aké ich sociálne vplyvy sa hodnotia.</w:t>
              <w:br/>
            </w:r>
            <w:r>
              <w:rPr>
                <w:b w:val="off"/>
                <w:color w:val="000000"/>
                <w:rFonts w:ascii="Times New Roman" w:hAnsi="Times New Roman" w:cs="Times New Roman" w:eastAsia="Times New Roman"/>
                <w:sz w:val="24"/>
              </w:rPr>
              <w:t xml:space="preserve">Zároveň odporúčame zabezpečiť jednoznačnosť a vzájomnú nadväznosť informácií </w:t>
              <w:br/>
            </w:r>
            <w:r>
              <w:rPr>
                <w:b w:val="off"/>
                <w:color w:val="000000"/>
                <w:rFonts w:ascii="Times New Roman" w:hAnsi="Times New Roman" w:cs="Times New Roman" w:eastAsia="Times New Roman"/>
                <w:sz w:val="24"/>
              </w:rPr>
              <w:t xml:space="preserve">v jednotlivých častiach analýzy. Napríklad v bode 4.1.2 sú dotknuté skupiny označené </w:t>
              <w:br/>
            </w:r>
            <w:r>
              <w:rPr>
                <w:b w:val="off"/>
                <w:color w:val="000000"/>
                <w:rFonts w:ascii="Times New Roman" w:hAnsi="Times New Roman" w:cs="Times New Roman" w:eastAsia="Times New Roman"/>
                <w:sz w:val="24"/>
              </w:rPr>
              <w:t xml:space="preserve">iba všeobecne ako osoby zúčastnené v dotknutých konaniach bez bližšieho rozlíšenia </w:t>
              <w:br/>
            </w:r>
            <w:r>
              <w:rPr>
                <w:b w:val="off"/>
                <w:color w:val="000000"/>
                <w:rFonts w:ascii="Times New Roman" w:hAnsi="Times New Roman" w:cs="Times New Roman" w:eastAsia="Times New Roman"/>
                <w:sz w:val="24"/>
              </w:rPr>
              <w:t>podľa jednotlivých opatrení a v bode 4.1.2.1 sa používajú všeobecné odkazy na predchádzajúce časti analýzy bez samostatného vysvetlenia prípadných vplyvov na skupiny v riziku chudoby alebo sociálneho vylúčenia.</w:t>
              <w:br/>
            </w:r>
            <w:r>
              <w:rPr>
                <w:b w:val="off"/>
                <w:color w:val="000000"/>
                <w:rFonts w:ascii="Times New Roman" w:hAnsi="Times New Roman" w:cs="Times New Roman" w:eastAsia="Times New Roman"/>
                <w:sz w:val="24"/>
              </w:rPr>
              <w:t xml:space="preserve">Považujeme za potrebné, aby analýza poskytovala prehľadné, konkrétne a vzájomne konzistentné informácie o hodnotených opatreniach, dotknutých skupinách obyvateľstva </w:t>
              <w:br/>
            </w:r>
            <w:r>
              <w:rPr>
                <w:b w:val="off"/>
                <w:color w:val="000000"/>
                <w:rFonts w:ascii="Times New Roman" w:hAnsi="Times New Roman" w:cs="Times New Roman" w:eastAsia="Times New Roman"/>
                <w:sz w:val="24"/>
              </w:rPr>
              <w:t>a predpokladaných sociálnych vplyvoch a umožňovala tak ich jednoznačné overenie vo vzťahu k predkladanému návrhu zákona.</w:t>
              <w:br/>
            </w:r>
            <w:r>
              <w:rPr>
                <w:b w:val="off"/>
                <w:color w:val="000000"/>
                <w:rFonts w:ascii="Times New Roman" w:hAnsi="Times New Roman" w:cs="Times New Roman" w:eastAsia="Times New Roman"/>
                <w:sz w:val="24"/>
              </w:rPr>
              <w:t xml:space="preserve">Odôvodnenie: V analýze sociálnych vplyvov sa pri hodnotení viacerých opatrení uvádza </w:t>
              <w:br/>
            </w:r>
            <w:r>
              <w:rPr>
                <w:b w:val="off"/>
                <w:color w:val="000000"/>
                <w:rFonts w:ascii="Times New Roman" w:hAnsi="Times New Roman" w:cs="Times New Roman" w:eastAsia="Times New Roman"/>
                <w:sz w:val="24"/>
              </w:rPr>
              <w:t xml:space="preserve">iba číslo novelizačného článku, pričom z ich opisu nie je vždy dostatočne zrejmé, aká konkrétna zmena sa posudzuje a akého právneho predpisu, a to pri porovnaní so súčasným stavom, </w:t>
              <w:br/>
            </w:r>
            <w:r>
              <w:rPr>
                <w:b w:val="off"/>
                <w:color w:val="000000"/>
                <w:rFonts w:ascii="Times New Roman" w:hAnsi="Times New Roman" w:cs="Times New Roman" w:eastAsia="Times New Roman"/>
                <w:sz w:val="24"/>
              </w:rPr>
              <w:t xml:space="preserve">sa týka. Vzhľadom na rozsah návrhu zákona a množstvo novelizačných bodov považujeme </w:t>
              <w:br/>
            </w:r>
            <w:r>
              <w:rPr>
                <w:b w:val="off"/>
                <w:color w:val="000000"/>
                <w:rFonts w:ascii="Times New Roman" w:hAnsi="Times New Roman" w:cs="Times New Roman" w:eastAsia="Times New Roman"/>
                <w:sz w:val="24"/>
              </w:rPr>
              <w:t>za potrebné stručne a zrozumiteľne opísať podstatu jednotlivých hodnotených opatrení oproti súčasnému právnemu stavu, identifikovať dotknuté skupiny a vysvetliť ich predpokladané sociálne vplyvy. Čísla príslušných novelizačných článkov odporúčame uvádzať iba v zátvorke, resp. uvádzať iba označenia právnych predpisov, ktoré sa navrhujú novelizovať, a to pri opise jednotlivých hodnotených opatrení a zosúladiť ich označenie s vlastným materiálom.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4.2</w:t>
              <w:br/>
            </w:r>
            <w:r>
              <w:rPr>
                <w:b w:val="off"/>
                <w:color w:val="000000"/>
                <w:rFonts w:ascii="Times New Roman" w:hAnsi="Times New Roman" w:cs="Times New Roman" w:eastAsia="Times New Roman"/>
                <w:sz w:val="24"/>
              </w:rPr>
              <w:t>Považujeme za potrebné doplniť do bodu 4.2 analýzy sociálnych vplyvov zhodnotenie negatívnych sociálnych vplyvov vyplývajúcich zo zrušenia povinného prevodu družstevných bytov, garáží a ateliérov podľa zákona č. 182/1993 Z. z. o vlastníctve bytov a nebytových priestorov v znení neskorších predpisov (Čl. XXIV, body 66 a 70).</w:t>
              <w:br/>
            </w:r>
            <w:r>
              <w:rPr>
                <w:b w:val="off"/>
                <w:color w:val="000000"/>
                <w:rFonts w:ascii="Times New Roman" w:hAnsi="Times New Roman" w:cs="Times New Roman" w:eastAsia="Times New Roman"/>
                <w:sz w:val="24"/>
              </w:rPr>
              <w:t xml:space="preserve">Odôvodnenie: Navrhovanou úpravou sa od 1. júla 2027 ruší zákonná povinnosť bytových družstiev previesť družstevný byt, garáž alebo ateliér do vlastníctva oprávneného nájomcu </w:t>
              <w:br/>
            </w:r>
            <w:r>
              <w:rPr>
                <w:b w:val="off"/>
                <w:color w:val="000000"/>
                <w:rFonts w:ascii="Times New Roman" w:hAnsi="Times New Roman" w:cs="Times New Roman" w:eastAsia="Times New Roman"/>
                <w:sz w:val="24"/>
              </w:rPr>
              <w:t xml:space="preserve">za zákonom ustanovených podmienok, pričom prevod bude naďalej možný na základe dohody. Podľa navrhovaného § 32k ods. 3 sa doterajšie podmienky zachovávajú len pri žiadostiach podaných do 30. júna 2027. Uvedená zmena môže negatívne ovplyvniť najmä prístup dotknutých domácností k vlastníckemu bývaniu, keďže strácajú zákonný nárok na prevod družstevného bytu. Považujeme preto za potrebné zhodnotiť tento vplyv vrátane identifikácie </w:t>
              <w:br/>
            </w:r>
            <w:r>
              <w:rPr>
                <w:b w:val="off"/>
                <w:color w:val="000000"/>
                <w:rFonts w:ascii="Times New Roman" w:hAnsi="Times New Roman" w:cs="Times New Roman" w:eastAsia="Times New Roman"/>
                <w:sz w:val="24"/>
              </w:rPr>
              <w:t>a rozsahu dotknutej skupiny nájomcov.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4.2</w:t>
              <w:br/>
            </w:r>
            <w:r>
              <w:rPr>
                <w:b w:val="off"/>
                <w:color w:val="000000"/>
                <w:rFonts w:ascii="Times New Roman" w:hAnsi="Times New Roman" w:cs="Times New Roman" w:eastAsia="Times New Roman"/>
                <w:sz w:val="24"/>
              </w:rPr>
              <w:t xml:space="preserve">Odporúčame doplniť do bodu 4.2 analýzy sociálnych vplyvov zhodnotenie pozitívnych </w:t>
              <w:br/>
            </w:r>
            <w:r>
              <w:rPr>
                <w:b w:val="off"/>
                <w:color w:val="000000"/>
                <w:rFonts w:ascii="Times New Roman" w:hAnsi="Times New Roman" w:cs="Times New Roman" w:eastAsia="Times New Roman"/>
                <w:sz w:val="24"/>
              </w:rPr>
              <w:t>a možných negatívnych sociálnych vplyvov vyplývajúcich zo zníženia hlasovacieho kvóra vlastníkov bytov a nebytových priestorov podľa zákona č. 182/1993 Z. z. o vlastníctve bytov a nebytových priestorov v znení neskorších predpisov (Čl. XXIV, bod 63).</w:t>
              <w:br/>
            </w:r>
            <w:r>
              <w:rPr>
                <w:b w:val="off"/>
                <w:color w:val="000000"/>
                <w:rFonts w:ascii="Times New Roman" w:hAnsi="Times New Roman" w:cs="Times New Roman" w:eastAsia="Times New Roman"/>
                <w:sz w:val="24"/>
              </w:rPr>
              <w:t>Odôvodnenie: Navrhovanou úpravou sa pri rozhodovaní o prístavbe výlučne novej spoločnej časti alebo príslušenstva domu, ktorou sa budova pôdorysne rozšíri, znižuje požadovaný súhlas všetkých vlastníkov na dvojtretinovú väčšinu hlasov. Zmena môže pozitívne ovplyvniť možnosti realizácie predmetných stavebných úprav a zlepšenia podmienok bývania. Zároveň však oslabuje postavenie prehlasovaných vlastníkov, ktorí už nebudú môcť samostatne zabrániť schváleniu prístavby, čo môže negatívne ovplyvniť podmienky ich bývania a užívania spoločných priestorov. Považujeme preto za potrebné zhodnotiť oba tieto vplyvy v analýze sociálnych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4.2</w:t>
              <w:br/>
            </w:r>
            <w:r>
              <w:rPr>
                <w:b w:val="off"/>
                <w:color w:val="000000"/>
                <w:rFonts w:ascii="Times New Roman" w:hAnsi="Times New Roman" w:cs="Times New Roman" w:eastAsia="Times New Roman"/>
                <w:sz w:val="24"/>
              </w:rPr>
              <w:t>Odporúčame doplniť do bodu 4.2 analýzy sociálnych vplyvov zhodnotenie pozitívnych sociálnych vplyvov vyplývajúcich z navrhovaných zmien právnej úpravy katastra nehnuteľností (Čl. XXXI - novela zákona Národnej rady Slovenskej republiky č. 162/1995 Z. z. o katastri nehnuteľností a o  zápise vlastníckych a iných práv k nehnuteľnostiam (katastrálny zákon) v znení neskorších predpisov).</w:t>
              <w:br/>
            </w:r>
            <w:r>
              <w:rPr>
                <w:b w:val="off"/>
                <w:color w:val="000000"/>
                <w:rFonts w:ascii="Times New Roman" w:hAnsi="Times New Roman" w:cs="Times New Roman" w:eastAsia="Times New Roman"/>
                <w:sz w:val="24"/>
              </w:rPr>
              <w:t>Odôvodnenie: Navrhované zmeny katastrálneho zákona môžu pozitívne ovplyvniť prístup občanov k právam a právnej ochrane, najmä posilnením právnej istoty pri nadobúdaní nehnuteľností a ochrany vlastníckych práv. Ide napríklad o úpravu vzniku právnych účinkov vkladu, doručovanie oznámenia o vzniku právnych účinkov vkladu aj priamo účastníkovi konania zastúpenému splnomocnencom či zavedenie postupu pri spornom odstúpení od zmluvy alebo zrušení darovania.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4.1</w:t>
              <w:br/>
            </w:r>
            <w:r>
              <w:rPr>
                <w:b w:val="off"/>
                <w:color w:val="000000"/>
                <w:rFonts w:ascii="Times New Roman" w:hAnsi="Times New Roman" w:cs="Times New Roman" w:eastAsia="Times New Roman"/>
                <w:sz w:val="24"/>
              </w:rPr>
              <w:t xml:space="preserve">Považujeme za potrebné doplniť do bodu 4.1.2 (negatívne vplyvy na hospodárenie domácností) analýzy sociálnych vplyvov hodnotenie negatívnych sociálnych vplyvov vyplývajúcich </w:t>
              <w:br/>
            </w:r>
            <w:r>
              <w:rPr>
                <w:b w:val="off"/>
                <w:color w:val="000000"/>
                <w:rFonts w:ascii="Times New Roman" w:hAnsi="Times New Roman" w:cs="Times New Roman" w:eastAsia="Times New Roman"/>
                <w:sz w:val="24"/>
              </w:rPr>
              <w:t>z navrhovanej úpravy zdaňovania príjmov fyzických osôb z predaja živých zvierat podľa zákona č. 595/2003 Z. z. o dani z príjmov v znení neskorších predpisov (Čl. LXXVI, bod 9).</w:t>
              <w:br/>
            </w:r>
            <w:r>
              <w:rPr>
                <w:b w:val="off"/>
                <w:color w:val="000000"/>
                <w:rFonts w:ascii="Times New Roman" w:hAnsi="Times New Roman" w:cs="Times New Roman" w:eastAsia="Times New Roman"/>
                <w:sz w:val="24"/>
              </w:rPr>
              <w:t xml:space="preserve">Odôvodnenie: Navrhovanou úpravou sa príjmy fyzických osôb z predaja živých zvierat, ktoré nie sú príjmami z podnikania alebo inej samostatnej zárobkovej činnosti, zaraďujú </w:t>
              <w:br/>
            </w:r>
            <w:r>
              <w:rPr>
                <w:b w:val="off"/>
                <w:color w:val="000000"/>
                <w:rFonts w:ascii="Times New Roman" w:hAnsi="Times New Roman" w:cs="Times New Roman" w:eastAsia="Times New Roman"/>
                <w:sz w:val="24"/>
              </w:rPr>
              <w:t xml:space="preserve">do samostatnej kategórie ostatných príjmov podľa § 8 ods. 1 písm. u) zákona o dani z príjmov. Podľa súčasnej právnej úpravy môžu byť tieto príjmy v závislosti od charakteru činnosti posudzované aj ako príjmy z príležitostných činností podľa § 8 ods. 1 písm. a), </w:t>
              <w:br/>
            </w:r>
            <w:r>
              <w:rPr>
                <w:b w:val="off"/>
                <w:color w:val="000000"/>
                <w:rFonts w:ascii="Times New Roman" w:hAnsi="Times New Roman" w:cs="Times New Roman" w:eastAsia="Times New Roman"/>
                <w:sz w:val="24"/>
              </w:rPr>
              <w:t xml:space="preserve">na ktoré sa vzťahuje oslobodenie od dane podľa § 9 ods. 1 písm. g) do úhrnnej sumy 500 eur </w:t>
              <w:br/>
            </w:r>
            <w:r>
              <w:rPr>
                <w:b w:val="off"/>
                <w:color w:val="000000"/>
                <w:rFonts w:ascii="Times New Roman" w:hAnsi="Times New Roman" w:cs="Times New Roman" w:eastAsia="Times New Roman"/>
                <w:sz w:val="24"/>
              </w:rPr>
              <w:t>za zdaňovacie obdobie.</w:t>
              <w:br/>
            </w:r>
            <w:r>
              <w:rPr>
                <w:b w:val="off"/>
                <w:color w:val="000000"/>
                <w:rFonts w:ascii="Times New Roman" w:hAnsi="Times New Roman" w:cs="Times New Roman" w:eastAsia="Times New Roman"/>
                <w:sz w:val="24"/>
              </w:rPr>
              <w:t xml:space="preserve">Navrhovaná úprava môže viesť k strate možnosti uplatnenia uvedeného oslobodenia </w:t>
              <w:br/>
            </w:r>
            <w:r>
              <w:rPr>
                <w:b w:val="off"/>
                <w:color w:val="000000"/>
                <w:rFonts w:ascii="Times New Roman" w:hAnsi="Times New Roman" w:cs="Times New Roman" w:eastAsia="Times New Roman"/>
                <w:sz w:val="24"/>
              </w:rPr>
              <w:t>pri niektorých príjmoch z príležitostného predaja živých zvierat, a tým k zvýšeniu daňového zaťaženia dotknutých fyzických osôb nepodnikateľov.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4.1</w:t>
              <w:br/>
            </w:r>
            <w:r>
              <w:rPr>
                <w:b w:val="off"/>
                <w:color w:val="000000"/>
                <w:rFonts w:ascii="Times New Roman" w:hAnsi="Times New Roman" w:cs="Times New Roman" w:eastAsia="Times New Roman"/>
                <w:sz w:val="24"/>
              </w:rPr>
              <w:t>Považujeme za potrebné prehodnotiť a v prípade identifikácie negatívnych sociálnych vplyvov doplniť bod 4.1.2 (negatívne vplyvy na hospodárenie domácností) analýzy sociálnych vplyvov v súvislosti s navrhovanou zmenou § 17 ods. 21 zákona č. 595/2003 Z. z. o dani z príjmov v znení neskorších predpisov (Čl. LXXVI, bod 23).</w:t>
              <w:br/>
            </w:r>
            <w:r>
              <w:rPr>
                <w:b w:val="off"/>
                <w:color w:val="000000"/>
                <w:rFonts w:ascii="Times New Roman" w:hAnsi="Times New Roman" w:cs="Times New Roman" w:eastAsia="Times New Roman"/>
                <w:sz w:val="24"/>
              </w:rPr>
              <w:t>Odôvodnenie: Podľa súčasnej právnej úpravy sa za nepeňažný príjem prenajímateľa považujú výdavky na opravy prenajatého majetku vynaložené nájomcom nad rámec jeho povinností dohodnutých v nájomnej zmluve, ktoré zahrnul do svojich daňových výdavkov.</w:t>
              <w:br/>
            </w:r>
            <w:r>
              <w:rPr>
                <w:b w:val="off"/>
                <w:color w:val="000000"/>
                <w:rFonts w:ascii="Times New Roman" w:hAnsi="Times New Roman" w:cs="Times New Roman" w:eastAsia="Times New Roman"/>
                <w:sz w:val="24"/>
              </w:rPr>
              <w:t xml:space="preserve">Navrhovaná úprava viaže vznik nepeňažného príjmu na výdavky nad rámec bežných opráv </w:t>
              <w:br/>
            </w:r>
            <w:r>
              <w:rPr>
                <w:b w:val="off"/>
                <w:color w:val="000000"/>
                <w:rFonts w:ascii="Times New Roman" w:hAnsi="Times New Roman" w:cs="Times New Roman" w:eastAsia="Times New Roman"/>
                <w:sz w:val="24"/>
              </w:rPr>
              <w:t xml:space="preserve">a údržby podľa Občianskeho zákonníka bez ohľadu na obsah nájomnej zmluvy a zároveň </w:t>
              <w:br/>
            </w:r>
            <w:r>
              <w:rPr>
                <w:b w:val="off"/>
                <w:color w:val="000000"/>
                <w:rFonts w:ascii="Times New Roman" w:hAnsi="Times New Roman" w:cs="Times New Roman" w:eastAsia="Times New Roman"/>
                <w:sz w:val="24"/>
              </w:rPr>
              <w:t>už nevyžaduje ich zahrnutie do daňových výdavkov nájomcu. V dôsledku toho môže v niektorých prípadoch vzniknúť prenajímateľovi zdaniteľný príjem aj z výdavkov, ktoré sa podľa súčasnej právnej úpravy nezdaňujú.</w:t>
              <w:br/>
            </w:r>
            <w:r>
              <w:rPr>
                <w:b w:val="off"/>
                <w:color w:val="000000"/>
                <w:rFonts w:ascii="Times New Roman" w:hAnsi="Times New Roman" w:cs="Times New Roman" w:eastAsia="Times New Roman"/>
                <w:sz w:val="24"/>
              </w:rPr>
              <w:t>Odporúčame preto posúdiť, či uvedená zmena môže zvýšiť daňové zaťaženie fyzických osôb prenajímajúcich majetok mimo podnikateľskej činnosti, a v prípade identifikácie negatívneho vplyvu na hospodárenie ich domácností ho zhodnotiť v analýze sociálnych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4.2</w:t>
              <w:br/>
            </w:r>
            <w:r>
              <w:rPr>
                <w:b w:val="off"/>
                <w:color w:val="000000"/>
                <w:rFonts w:ascii="Times New Roman" w:hAnsi="Times New Roman" w:cs="Times New Roman" w:eastAsia="Times New Roman"/>
                <w:sz w:val="24"/>
              </w:rPr>
              <w:t>Považujeme za potrebné doplniť do analýzy sociálnych vplyvov nasledujúce zhodnotenie pozitívnych sociálnych vplyvov:</w:t>
              <w:br/>
            </w:r>
            <w:r>
              <w:rPr>
                <w:b w:val="off"/>
                <w:color w:val="000000"/>
                <w:rFonts w:ascii="Times New Roman" w:hAnsi="Times New Roman" w:cs="Times New Roman" w:eastAsia="Times New Roman"/>
                <w:sz w:val="24"/>
              </w:rPr>
              <w:t xml:space="preserve">Navrhovanými zmenami a doplnením zákona č. 448/2008 Z. z. o sociálnych službách a o zmene a doplnení zákona č. 455/1991 Zb. o živnostenskom podnikaní (živnostenský zákon) v znení neskorších predpisov (Čl. CXIX návrhu zákona, najmä body 9, 11, 12, 35, 36 a 39) sa posilňuje ochrana práv prijímateľov celoročných pobytových sociálnych služieb v zariadeniach sociálnych služieb, ktorí sú maloletí alebo majú obmedzenú spôsobilosť na právne úkony </w:t>
              <w:br/>
            </w:r>
            <w:r>
              <w:rPr>
                <w:b w:val="off"/>
                <w:color w:val="000000"/>
                <w:rFonts w:ascii="Times New Roman" w:hAnsi="Times New Roman" w:cs="Times New Roman" w:eastAsia="Times New Roman"/>
                <w:sz w:val="24"/>
              </w:rPr>
              <w:t>v rozsahu, ktorý im neumožňuje samostatne rozhodovať o zmene bydliska alebo uzavrieť zmluvu o poskytovaní sociálnej služby.</w:t>
              <w:br/>
            </w:r>
            <w:r>
              <w:rPr>
                <w:b w:val="off"/>
                <w:color w:val="000000"/>
                <w:rFonts w:ascii="Times New Roman" w:hAnsi="Times New Roman" w:cs="Times New Roman" w:eastAsia="Times New Roman"/>
                <w:sz w:val="24"/>
              </w:rPr>
              <w:t>Podľa súčasnej právnej úpravy majú prijímatelia sociálnych služieb právo na výber sociálnej služby, jej formy a poskytovateľa a na rešpektovanie základných ľudských práv a slobôd. Zákon však osobitne neupravuje postup pri prejavení vážne mieneného nesúhlasu s poskytovaním celoročnej pobytovej sociálnej služby v zariadení sociálnych služieb  uvedenými skupinami prijímateľov.</w:t>
              <w:br/>
            </w:r>
            <w:r>
              <w:rPr>
                <w:b w:val="off"/>
                <w:color w:val="000000"/>
                <w:rFonts w:ascii="Times New Roman" w:hAnsi="Times New Roman" w:cs="Times New Roman" w:eastAsia="Times New Roman"/>
                <w:sz w:val="24"/>
              </w:rPr>
              <w:t xml:space="preserve">Navrhovanou úpravou sa výslovne ustanovuje ich právo prejaviť vážne mienený nesúhlas </w:t>
              <w:br/>
            </w:r>
            <w:r>
              <w:rPr>
                <w:b w:val="off"/>
                <w:color w:val="000000"/>
                <w:rFonts w:ascii="Times New Roman" w:hAnsi="Times New Roman" w:cs="Times New Roman" w:eastAsia="Times New Roman"/>
                <w:sz w:val="24"/>
              </w:rPr>
              <w:t xml:space="preserve">s poskytovaním celoročnej pobytovej sociálnej služby a povinnosť poskytovateľa oznámiť tento nesúhlas bez zbytočného odkladu opatrovníkovi a príslušnému súdu alebo zákonnému zástupcovi. Zároveň sa pri poskytovaní pobytovej sociálnej služby osobe s obmedzenou spôsobilosťou na právne úkony v zákonom vymedzenom rozsahu vyžaduje súhlas súdu, </w:t>
              <w:br/>
            </w:r>
            <w:r>
              <w:rPr>
                <w:b w:val="off"/>
                <w:color w:val="000000"/>
                <w:rFonts w:ascii="Times New Roman" w:hAnsi="Times New Roman" w:cs="Times New Roman" w:eastAsia="Times New Roman"/>
                <w:sz w:val="24"/>
              </w:rPr>
              <w:t xml:space="preserve">čím sa posilňuje súdna ochrana dotknutých osôb pri rozhodovaní o ich pobyte v zariadení. Tým sa posilňuje ochrana pred rozhodovaním o umiestnení opatrovanca do zariadenia sociálnych služieb celoročnou pobytovou formou výlučne na základe vôle opatrovníka bez súdneho posúdenia. Uzavretie zmluvy o poskytovaní sociálnej služby v zariadení sociálnych služieb </w:t>
              <w:br/>
            </w:r>
            <w:r>
              <w:rPr>
                <w:b w:val="off"/>
                <w:color w:val="000000"/>
                <w:rFonts w:ascii="Times New Roman" w:hAnsi="Times New Roman" w:cs="Times New Roman" w:eastAsia="Times New Roman"/>
                <w:sz w:val="24"/>
              </w:rPr>
              <w:t xml:space="preserve">s celoročnou pobytovou formou za fyzickú osobu, ktorá je odkázaná na túto sociálnu službu, </w:t>
              <w:br/>
            </w:r>
            <w:r>
              <w:rPr>
                <w:b w:val="off"/>
                <w:color w:val="000000"/>
                <w:rFonts w:ascii="Times New Roman" w:hAnsi="Times New Roman" w:cs="Times New Roman" w:eastAsia="Times New Roman"/>
                <w:sz w:val="24"/>
              </w:rPr>
              <w:t xml:space="preserve">jej opatrovníkom je tak závažný zásah do základných práv a slobôd a integrity tejto fyzickej osoby a jej autonómneho spôsobu života a možným obmedzením jej osobnej slobody, </w:t>
              <w:br/>
            </w:r>
            <w:r>
              <w:rPr>
                <w:b w:val="off"/>
                <w:color w:val="000000"/>
                <w:rFonts w:ascii="Times New Roman" w:hAnsi="Times New Roman" w:cs="Times New Roman" w:eastAsia="Times New Roman"/>
                <w:sz w:val="24"/>
              </w:rPr>
              <w:t xml:space="preserve">že tento právny úkon môže byť opatrovníkom realizovaný v súlade s novým Občianskym zákonníkom novo len s udelením súhlasu súdu tak, aby bolo nesporným, že ide o právny úkon výlučne v najlepšom záujme tejto fyzickej osoby a rešpektuje aj prejav jeho vôle (pri splnení podmienky nevyhnutnosti a primeranosti takéhoto obmedzenia osobnej slobody na základe </w:t>
              <w:br/>
            </w:r>
            <w:r>
              <w:rPr>
                <w:b w:val="off"/>
                <w:color w:val="000000"/>
                <w:rFonts w:ascii="Times New Roman" w:hAnsi="Times New Roman" w:cs="Times New Roman" w:eastAsia="Times New Roman"/>
                <w:sz w:val="24"/>
              </w:rPr>
              <w:t xml:space="preserve">zo strany súdu  náležitého posúdenia skutkového stavu a vykonaného dokazovania). Navrhovanou právnou úpravou sa  prostredníctvom ustanovenej oznamovacej povinnosti  zabezpečuje mechanizmus ochrany opatrovanca - prijímateľa sociálnej služby v zariadení s celoročnou pobytovou formou, aj počas poskytovania tejto sociálnej služby </w:t>
              <w:br/>
            </w:r>
            <w:r>
              <w:rPr>
                <w:b w:val="off"/>
                <w:color w:val="000000"/>
                <w:rFonts w:ascii="Times New Roman" w:hAnsi="Times New Roman" w:cs="Times New Roman" w:eastAsia="Times New Roman"/>
                <w:sz w:val="24"/>
              </w:rPr>
              <w:t xml:space="preserve">pri posudzovaní nevyhnutnosti  jeho zotrvávania v konkrétnom zariadení sociálnych služieb </w:t>
              <w:br/>
            </w:r>
            <w:r>
              <w:rPr>
                <w:b w:val="off"/>
                <w:color w:val="000000"/>
                <w:rFonts w:ascii="Times New Roman" w:hAnsi="Times New Roman" w:cs="Times New Roman" w:eastAsia="Times New Roman"/>
                <w:sz w:val="24"/>
              </w:rPr>
              <w:t xml:space="preserve">u konkrétneho poskytovateľa tejto pobytovej sociálnej služby, a to  napriek jeho vážne prejavovaného nesúhlasu s týmto zotrvávaním.  </w:t>
              <w:br/>
            </w:r>
            <w:r>
              <w:rPr>
                <w:b w:val="off"/>
                <w:color w:val="000000"/>
                <w:rFonts w:ascii="Times New Roman" w:hAnsi="Times New Roman" w:cs="Times New Roman" w:eastAsia="Times New Roman"/>
                <w:sz w:val="24"/>
              </w:rPr>
              <w:t xml:space="preserve">Súčasne sa dopĺňajú štandardy kvality poskytovania sociálnych služieb o povinnosť poskytovateľa vypracovať osobitný postup pre záujemcov o celoročnú pobytovú sociálnu službu, ktorí majú obmedzenú spôsobilosť na právne úkony v zákonom vymedzenom rozsahu, vrátane zaznamenávania ich očakávaní a želaní. Poskytovateľ bude povinný priebežne zaznamenávať do individuálneho plánu prijímateľa prejavy jeho vôle, ktoré môžu byť významné pri posudzovaní nesúhlasu s pobytom, ako aj aktívne zisťovať, sledovať a vyhodnocovať </w:t>
              <w:br/>
            </w:r>
            <w:r>
              <w:rPr>
                <w:b w:val="off"/>
                <w:color w:val="000000"/>
                <w:rFonts w:ascii="Times New Roman" w:hAnsi="Times New Roman" w:cs="Times New Roman" w:eastAsia="Times New Roman"/>
                <w:sz w:val="24"/>
              </w:rPr>
              <w:t>tieto prejavy s prihliadnutím na ich obsah, opakovanosť a okolnosti. Uvedený postup umožňuje zohľadňovať aj prejavy vôle prijímateľov, ktorí nedokážu svoj nesúhlas jednoznačne slovne vyjadriť, a vytvára podklad na jeho individuálne posúdenie. Ak vyhodnotenie nasvedčuje vážne mienenému nesúhlasu, poskytovateľ bude povinný postupovať podľa ustanoveného ochranného mechanizmu.</w:t>
              <w:br/>
            </w:r>
            <w:r>
              <w:rPr>
                <w:b w:val="off"/>
                <w:color w:val="000000"/>
                <w:rFonts w:ascii="Times New Roman" w:hAnsi="Times New Roman" w:cs="Times New Roman" w:eastAsia="Times New Roman"/>
                <w:sz w:val="24"/>
              </w:rPr>
              <w:t xml:space="preserve">Uvedené opatrenia majú pozitívne sociálne vplyvy na prístup dotknutých osôb k právam </w:t>
              <w:br/>
            </w:r>
            <w:r>
              <w:rPr>
                <w:b w:val="off"/>
                <w:color w:val="000000"/>
                <w:rFonts w:ascii="Times New Roman" w:hAnsi="Times New Roman" w:cs="Times New Roman" w:eastAsia="Times New Roman"/>
                <w:sz w:val="24"/>
              </w:rPr>
              <w:t xml:space="preserve">a právnej ochrane a na kvalitu poskytovaných sociálnych služieb. Posilňujú rešpektovanie slobodného prejavu  vôle prijímateľov sociálnych služieb, ich možnosť ovplyvňovať rozhodovanie o mieste a spôsobe svojho života a ochranu pred poskytovaním celoročnej pobytovej sociálnej služby v konkrétnom  zariadení sociálnych služieb na konkrétnom mieste </w:t>
              <w:br/>
            </w:r>
            <w:r>
              <w:rPr>
                <w:b w:val="off"/>
                <w:color w:val="000000"/>
                <w:rFonts w:ascii="Times New Roman" w:hAnsi="Times New Roman" w:cs="Times New Roman" w:eastAsia="Times New Roman"/>
                <w:sz w:val="24"/>
              </w:rPr>
              <w:t>a u konkrétneho poskytovateľa sociálnej služby a zotrvávaním v tomto zariadení sociálnych služieb bez náležitého zohľadnenia prejavov ich nesúhlasu. Prispievajú tým k ochrane osobnej autonómie a dôstojnosti prijímateľov sociálnych služieb a k účinnejšiemu uplatňovaniu ich práv a najlepšieho záujmu  aj v prípadoch, keď nemôžu samostatne právne rozhodovať o svojom pobyte v zariadení (začatí poskytovania i pretrvávaní poskytovania tejto celoročnej pobytovej sociálnej služby v konkrétnom zariadení sociálnych služieb na konkrétnom mieste poskytovania  tejto sociálnej služby konkrétnym poskytovateľom tejto sociálnej služby) .</w:t>
              <w:br/>
            </w:r>
            <w:r>
              <w:rPr>
                <w:b w:val="off"/>
                <w:color w:val="000000"/>
                <w:rFonts w:ascii="Times New Roman" w:hAnsi="Times New Roman" w:cs="Times New Roman" w:eastAsia="Times New Roman"/>
                <w:sz w:val="24"/>
              </w:rPr>
              <w:t>Pozitívne sociálne vplyvy sa týkajú najmä maloletých prijímateľov celoročných pobytových sociálnych služieb a prijímateľov s obmedzenou spôsobilosťou na právne úkony v uvedenom rozsahu.</w:t>
              <w:br/>
            </w:r>
            <w:r>
              <w:rPr>
                <w:b w:val="off"/>
                <w:color w:val="000000"/>
                <w:rFonts w:ascii="Times New Roman" w:hAnsi="Times New Roman" w:cs="Times New Roman" w:eastAsia="Times New Roman"/>
                <w:sz w:val="24"/>
              </w:rPr>
              <w:t>Vzhľadom na charakter navrhovaných opatrení a individuálne okolnosti ich uplatňovania nie je možné jednoznačne kvantifikovať počet prijímateľov, u ktorých dôjde k využitiu navrhovaných ochranných mechanizmov.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analýze sociálnych vplyvov – bod 4.2</w:t>
              <w:br/>
            </w:r>
            <w:r>
              <w:rPr>
                <w:b w:val="off"/>
                <w:color w:val="000000"/>
                <w:rFonts w:ascii="Times New Roman" w:hAnsi="Times New Roman" w:cs="Times New Roman" w:eastAsia="Times New Roman"/>
                <w:sz w:val="24"/>
              </w:rPr>
              <w:t>Považujeme za potrebné doplniť do analýzy sociálnych vplyvov zhodnotenie negatívnych sociálnych vplyvov vyplývajúcich z navrhovaných zmien zákona č. 443/2010 Z. z. o dotáciách na rozvoj bývania a o sociálnom bývaní v znení neskorších predpisov (Čl. CXXXI, bod 14), ktoré sa týkajú podmienok skončenia nájmu sociálnych nájomných bytov a právnej ochrany nájomcov.</w:t>
              <w:br/>
            </w:r>
            <w:r>
              <w:rPr>
                <w:b w:val="off"/>
                <w:color w:val="000000"/>
                <w:rFonts w:ascii="Times New Roman" w:hAnsi="Times New Roman" w:cs="Times New Roman" w:eastAsia="Times New Roman"/>
                <w:sz w:val="24"/>
              </w:rPr>
              <w:t xml:space="preserve">Navrhovanou úpravou sa do § 12 zákona č. 443/2010 Z. z. o dotáciách na rozvoj bývania </w:t>
              <w:br/>
            </w:r>
            <w:r>
              <w:rPr>
                <w:b w:val="off"/>
                <w:color w:val="000000"/>
                <w:rFonts w:ascii="Times New Roman" w:hAnsi="Times New Roman" w:cs="Times New Roman" w:eastAsia="Times New Roman"/>
                <w:sz w:val="24"/>
              </w:rPr>
              <w:t>a o sociálnom bývaní v znení neskorších predpisov dopĺňajú osobitné výpovedné dôvody, ustanovuje sa trojmesačná výpovedná lehota a výslovne sa vylučuje použitie § 935 a 936 nového Občianskeho zákonníka. Súčasne sa zavádzajú osobitné pravidlá doručovania písomností vyplývajúcich z nájomného vzťahu.</w:t>
              <w:br/>
            </w:r>
            <w:r>
              <w:rPr>
                <w:b w:val="off"/>
                <w:color w:val="000000"/>
                <w:rFonts w:ascii="Times New Roman" w:hAnsi="Times New Roman" w:cs="Times New Roman" w:eastAsia="Times New Roman"/>
                <w:sz w:val="24"/>
              </w:rPr>
              <w:t xml:space="preserve">Podľa § 935 ods. 3 nového Občianskeho zákonníka je prenajímateľ pri dôvodnej obave, </w:t>
              <w:br/>
            </w:r>
            <w:r>
              <w:rPr>
                <w:b w:val="off"/>
                <w:color w:val="000000"/>
                <w:rFonts w:ascii="Times New Roman" w:hAnsi="Times New Roman" w:cs="Times New Roman" w:eastAsia="Times New Roman"/>
                <w:sz w:val="24"/>
              </w:rPr>
              <w:t xml:space="preserve">že v dôsledku výpovede dôjde k trvalej strate bývania nájomcu patriaceho do skupiny osôb podľa § 935 ods. 2 nového Občianskeho zákonníka, povinný informovať o výpovedi orgán obce, </w:t>
              <w:br/>
            </w:r>
            <w:r>
              <w:rPr>
                <w:b w:val="off"/>
                <w:color w:val="000000"/>
                <w:rFonts w:ascii="Times New Roman" w:hAnsi="Times New Roman" w:cs="Times New Roman" w:eastAsia="Times New Roman"/>
                <w:sz w:val="24"/>
              </w:rPr>
              <w:t xml:space="preserve">ak s tým nájomca výslovne nesúhlas neprejavil. Výpovedná doba sa pritom neskončí skôr, </w:t>
              <w:br/>
            </w:r>
            <w:r>
              <w:rPr>
                <w:b w:val="off"/>
                <w:color w:val="000000"/>
                <w:rFonts w:ascii="Times New Roman" w:hAnsi="Times New Roman" w:cs="Times New Roman" w:eastAsia="Times New Roman"/>
                <w:sz w:val="24"/>
              </w:rPr>
              <w:t>ako prenajímateľ splní túto informačnú povinnosť. Uvedená ochrana sa vzťahuje na nájomcov, ktorí dovŕšili aspoň 70 rokov, nájomcov s ťažkým zdravotným postihnutím a nájomcov starajúcich sa o maloletú alebo bezvládnu osobu, ktorá je členom ich domácnosti.</w:t>
              <w:br/>
            </w:r>
            <w:r>
              <w:rPr>
                <w:b w:val="off"/>
                <w:color w:val="000000"/>
                <w:rFonts w:ascii="Times New Roman" w:hAnsi="Times New Roman" w:cs="Times New Roman" w:eastAsia="Times New Roman"/>
                <w:sz w:val="24"/>
              </w:rPr>
              <w:t xml:space="preserve">Navrhovaný § 12 ods. 13 zákona č. 443/2010 Z. z. o dotáciách na rozvoj bývania a o sociálnom bývaní v znení neskorších predpisov použitie § 935 nového Občianskeho zákonníka výslovne vylučuje bez toho, aby osobitná právna úprava ustanovovala porovnateľný ochranný mechanizmus. Hoci navrhovaná trojmesačná výpovedná lehota zachováva dĺžku výpovednej doby ustanovenú v § 935 ods. 2 nového Občianskeho zákonníka pre uvedené skupiny nájomcov, nezabezpečuje ochranu podľa § 935 ods. 3 nového Občianskeho zákonníka spočívajúcu </w:t>
              <w:br/>
            </w:r>
            <w:r>
              <w:rPr>
                <w:b w:val="off"/>
                <w:color w:val="000000"/>
                <w:rFonts w:ascii="Times New Roman" w:hAnsi="Times New Roman" w:cs="Times New Roman" w:eastAsia="Times New Roman"/>
                <w:sz w:val="24"/>
              </w:rPr>
              <w:t xml:space="preserve">v informovaní orgánu obce pri hrozbe trvalej straty bývania. Vylúčenie tohto mechanizmu preto môže negatívne ovplyvniť právnu ochranu dotknutých nájomcov v porovnaní so všeobecnou úpravou nového Občianskeho zákonníka a zvýšiť riziko straty bývania bez včasného zapojenia príslušného orgánu obce. </w:t>
              <w:br/>
            </w:r>
            <w:r>
              <w:rPr>
                <w:b w:val="off"/>
                <w:color w:val="000000"/>
                <w:rFonts w:ascii="Times New Roman" w:hAnsi="Times New Roman" w:cs="Times New Roman" w:eastAsia="Times New Roman"/>
                <w:sz w:val="24"/>
              </w:rPr>
              <w:t>Ďalší negatívny sociálny vplyv vyplýva z navrhovaného § 12 ods. 12 zákona č. 443/2010 Z. z.</w:t>
              <w:br/>
            </w:r>
            <w:r>
              <w:rPr>
                <w:b w:val="off"/>
                <w:color w:val="000000"/>
                <w:rFonts w:ascii="Times New Roman" w:hAnsi="Times New Roman" w:cs="Times New Roman" w:eastAsia="Times New Roman"/>
                <w:sz w:val="24"/>
              </w:rPr>
              <w:t xml:space="preserve">o dotáciách na rozvoj bývania a o sociálnom bývaní v znení neskorších predpisov, ktorý upravuje dôvody výpovede nájomnej zmluvy zo strany prenajímateľa. Osobitne upozorňujeme </w:t>
              <w:br/>
            </w:r>
            <w:r>
              <w:rPr>
                <w:b w:val="off"/>
                <w:color w:val="000000"/>
                <w:rFonts w:ascii="Times New Roman" w:hAnsi="Times New Roman" w:cs="Times New Roman" w:eastAsia="Times New Roman"/>
                <w:sz w:val="24"/>
              </w:rPr>
              <w:t xml:space="preserve">na písmeno e), podľa ktorého bude možné vypovedať nájomnú zmluvu aj z iného dôvodu dohodnutého v nájomnej zmluve. Podľa súčasnej právnej úpravy možno nájom bytu vypovedať len z dôvodov ustanovených zákonom (§ 685 ods. 1 a § 711 Občianskeho zákonníka). Rovnako § 936 ods. 2 nového Občianskeho zákonníka ustanovuje, že na iné než zákonom ustanovené dôvody výpovede sa neprihliada. Navrhovaná osobitná úprava však umožňuje rozšíriť výpovedné dôvody zmluvným dojednaním. Tým sa oslabuje zákonná ochrana stability nájomného vzťahu a zvyšuje riziko skončenia nájmu aj z dôvodov, ktoré nie sú priamo vymedzené zákonom. Tento vplyv je významný vzhľadom na účel sociálneho bývania </w:t>
              <w:br/>
            </w:r>
            <w:r>
              <w:rPr>
                <w:b w:val="off"/>
                <w:color w:val="000000"/>
                <w:rFonts w:ascii="Times New Roman" w:hAnsi="Times New Roman" w:cs="Times New Roman" w:eastAsia="Times New Roman"/>
                <w:sz w:val="24"/>
              </w:rPr>
              <w:t>podľa § 21 zákona č. 443/2010 Z. z. o dotáciách na rozvoj bývania a o sociálnom bývaní v znení neskorších predpisov, ktorým je zabezpečenie primeraného a ľudsky dôstojného bývania osobám, ktoré si nemôžu obstarať bývanie vlastným pričinením.</w:t>
              <w:br/>
            </w:r>
            <w:r>
              <w:rPr>
                <w:b w:val="off"/>
                <w:color w:val="000000"/>
                <w:rFonts w:ascii="Times New Roman" w:hAnsi="Times New Roman" w:cs="Times New Roman" w:eastAsia="Times New Roman"/>
                <w:sz w:val="24"/>
              </w:rPr>
              <w:t xml:space="preserve">Negatívne sociálne vplyvy môžu vyplývať aj z navrhovaného § 12 ods. 14 zákona </w:t>
              <w:br/>
            </w:r>
            <w:r>
              <w:rPr>
                <w:b w:val="off"/>
                <w:color w:val="000000"/>
                <w:rFonts w:ascii="Times New Roman" w:hAnsi="Times New Roman" w:cs="Times New Roman" w:eastAsia="Times New Roman"/>
                <w:sz w:val="24"/>
              </w:rPr>
              <w:t xml:space="preserve">č. 443/2010 Z. z. o dotáciách na rozvoj bývania a o sociálnom bývaní v znení neskorších predpisov, ktorým sa zavádzajú osobitné pravidlá doručovania písomností týkajúcich </w:t>
              <w:br/>
            </w:r>
            <w:r>
              <w:rPr>
                <w:b w:val="off"/>
                <w:color w:val="000000"/>
                <w:rFonts w:ascii="Times New Roman" w:hAnsi="Times New Roman" w:cs="Times New Roman" w:eastAsia="Times New Roman"/>
                <w:sz w:val="24"/>
              </w:rPr>
              <w:t xml:space="preserve">sa záväzkov z nájomných zmlúv. Nový Občiansky zákonník v § 52 zachováva princíp dôjdenia prejavu vôle do dosahu adresáta, pričom výslovne ustanovuje, že prejav vôle nepôsobí, </w:t>
              <w:br/>
            </w:r>
            <w:r>
              <w:rPr>
                <w:b w:val="off"/>
                <w:color w:val="000000"/>
                <w:rFonts w:ascii="Times New Roman" w:hAnsi="Times New Roman" w:cs="Times New Roman" w:eastAsia="Times New Roman"/>
                <w:sz w:val="24"/>
              </w:rPr>
              <w:t xml:space="preserve">ak sa s ním adresát neoboznámil a ani sa nemohol za bežných okolností oboznámiť. V § 53 nový Občiansky zákonník ustanovuje vyvrátiteľné domnienky času dôjdenia pri poštovom </w:t>
              <w:br/>
            </w:r>
            <w:r>
              <w:rPr>
                <w:b w:val="off"/>
                <w:color w:val="000000"/>
                <w:rFonts w:ascii="Times New Roman" w:hAnsi="Times New Roman" w:cs="Times New Roman" w:eastAsia="Times New Roman"/>
                <w:sz w:val="24"/>
              </w:rPr>
              <w:t xml:space="preserve">a elektronickom doručovaní a v § 55 upravuje osobitné podmienky dôjdenia prejavu vôle </w:t>
              <w:br/>
            </w:r>
            <w:r>
              <w:rPr>
                <w:b w:val="off"/>
                <w:color w:val="000000"/>
                <w:rFonts w:ascii="Times New Roman" w:hAnsi="Times New Roman" w:cs="Times New Roman" w:eastAsia="Times New Roman"/>
                <w:sz w:val="24"/>
              </w:rPr>
              <w:t xml:space="preserve">pri neznámej adrese. Navrhovanou osobitnou úpravou sa však ustanovuje, že doporučená zásielka sa považuje za doručenú už dňom jej uloženia na pošte, aj keď sa adresát o jej uložení nedozvedel, pri elektronickej komunikácii sa za deň doručenia považuje nasledujúci pracovný deň a doručenie jednej osobe na strane nájomcu má účinky voči všetkým osobám na strane nájomcu. Na rozdiel od všeobecnej úpravy nového Občianskeho zákonníka tak navrhované pravidlá neustanovujú vyvrátiteľnú domnienku dôjdenia, ale priamo určujú okamih doručenia bez zohľadnenia podmienok ustanovených v § 52 a 55 nového Občianskeho zákonníka, </w:t>
              <w:br/>
            </w:r>
            <w:r>
              <w:rPr>
                <w:b w:val="off"/>
                <w:color w:val="000000"/>
                <w:rFonts w:ascii="Times New Roman" w:hAnsi="Times New Roman" w:cs="Times New Roman" w:eastAsia="Times New Roman"/>
                <w:sz w:val="24"/>
              </w:rPr>
              <w:t xml:space="preserve">a to aj v prípadoch, keď dotknutý nájomca nemal objektívnu možnosť oboznámiť sa s obsahom písomnosti. Osobitný význam to má pri doručovaní výpovede z nájmu, keďže od doručenia </w:t>
              <w:br/>
            </w:r>
            <w:r>
              <w:rPr>
                <w:b w:val="off"/>
                <w:color w:val="000000"/>
                <w:rFonts w:ascii="Times New Roman" w:hAnsi="Times New Roman" w:cs="Times New Roman" w:eastAsia="Times New Roman"/>
                <w:sz w:val="24"/>
              </w:rPr>
              <w:t xml:space="preserve">sa odvíjajú právne následky týkajúce sa skončenia nájomného vzťahu a plynutia lehôt </w:t>
              <w:br/>
            </w:r>
            <w:r>
              <w:rPr>
                <w:b w:val="off"/>
                <w:color w:val="000000"/>
                <w:rFonts w:ascii="Times New Roman" w:hAnsi="Times New Roman" w:cs="Times New Roman" w:eastAsia="Times New Roman"/>
                <w:sz w:val="24"/>
              </w:rPr>
              <w:t>na uplatnenie právnej ochrany. Navrhovaná úprava preto môže zhoršiť právne postavenie nájomcov sociálnych nájomných bytov, oslabiť ich možnosť včas reagovať na právne úkony prenajímateľa a negatívne ovplyvniť prístup k právnej ochrane a stabilitu ich bývania.</w:t>
              <w:br/>
            </w:r>
            <w:r>
              <w:rPr>
                <w:b w:val="off"/>
                <w:color w:val="000000"/>
                <w:rFonts w:ascii="Times New Roman" w:hAnsi="Times New Roman" w:cs="Times New Roman" w:eastAsia="Times New Roman"/>
                <w:sz w:val="24"/>
              </w:rPr>
              <w:t xml:space="preserve">Uvedené zmeny je potrebné posudzovať aj v kontexte doterajšej právnej úpravy, </w:t>
              <w:br/>
            </w:r>
            <w:r>
              <w:rPr>
                <w:b w:val="off"/>
                <w:color w:val="000000"/>
                <w:rFonts w:ascii="Times New Roman" w:hAnsi="Times New Roman" w:cs="Times New Roman" w:eastAsia="Times New Roman"/>
                <w:sz w:val="24"/>
              </w:rPr>
              <w:t xml:space="preserve">podľa ktorej sa pri výpovedi z nájmu bytu pre hrubé porušenie povinností nájomcu podľa § 711 ods. 1 písm. d) Občianskeho zákonníka, ak dôvodom výpovede bolo nezaplatenie nájomného alebo úhrad za plnenia poskytované s užívaním bytu, predlžuje výpovedná lehota o šesťmesačnú ochrannú lehotu, ak nájomca preukáže, že ku dňu doručenia výpovede bol v hmotnej núdzi </w:t>
              <w:br/>
            </w:r>
            <w:r>
              <w:rPr>
                <w:b w:val="off"/>
                <w:color w:val="000000"/>
                <w:rFonts w:ascii="Times New Roman" w:hAnsi="Times New Roman" w:cs="Times New Roman" w:eastAsia="Times New Roman"/>
                <w:sz w:val="24"/>
              </w:rPr>
              <w:t xml:space="preserve">z objektívnych dôvodov (§ 710 ods. 4 Občianskeho zákonníka). Nový Občiansky zákonník </w:t>
              <w:br/>
            </w:r>
            <w:r>
              <w:rPr>
                <w:b w:val="off"/>
                <w:color w:val="000000"/>
                <w:rFonts w:ascii="Times New Roman" w:hAnsi="Times New Roman" w:cs="Times New Roman" w:eastAsia="Times New Roman"/>
                <w:sz w:val="24"/>
              </w:rPr>
              <w:t xml:space="preserve">tento ochranný mechanizmus nepreberá, ale v § 935 ods. 3 ustanovuje osobitnú ochranu vybraných skupín nájomcov pri hrozbe trvalej straty bývania. Hoci zánik doterajšej šesťmesačnej ochrannej lehoty vyplýva zo všeobecnej rekodifikácie občianskeho práva </w:t>
              <w:br/>
            </w:r>
            <w:r>
              <w:rPr>
                <w:b w:val="off"/>
                <w:color w:val="000000"/>
                <w:rFonts w:ascii="Times New Roman" w:hAnsi="Times New Roman" w:cs="Times New Roman" w:eastAsia="Times New Roman"/>
                <w:sz w:val="24"/>
              </w:rPr>
              <w:t xml:space="preserve">a nemožno ho pripísať samotnému Čl. CXXXI (návrh novely zákona č. 443/2010 Z. z. </w:t>
              <w:br/>
            </w:r>
            <w:r>
              <w:rPr>
                <w:b w:val="off"/>
                <w:color w:val="000000"/>
                <w:rFonts w:ascii="Times New Roman" w:hAnsi="Times New Roman" w:cs="Times New Roman" w:eastAsia="Times New Roman"/>
                <w:sz w:val="24"/>
              </w:rPr>
              <w:t>o dotáciách na rozvoj bývania a o sociálnom bývaní v znení neskorších predpisov), navrhovaná osobitná úprava sociálneho bývania zároveň výslovne vylučuje uplatnenie ochranného mechanizmu podľa § 935 nového Občianskeho zákonníka bez ustanovenia porovnateľnej ochrany.</w:t>
              <w:br/>
            </w:r>
            <w:r>
              <w:rPr>
                <w:b w:val="off"/>
                <w:color w:val="000000"/>
                <w:rFonts w:ascii="Times New Roman" w:hAnsi="Times New Roman" w:cs="Times New Roman" w:eastAsia="Times New Roman"/>
                <w:sz w:val="24"/>
              </w:rPr>
              <w:t xml:space="preserve">Osobitná časť dôvodovej správy k Čl. CXXXI (návrh novely zákona č. 443/2010 Z. z. </w:t>
              <w:br/>
            </w:r>
            <w:r>
              <w:rPr>
                <w:b w:val="off"/>
                <w:color w:val="000000"/>
                <w:rFonts w:ascii="Times New Roman" w:hAnsi="Times New Roman" w:cs="Times New Roman" w:eastAsia="Times New Roman"/>
                <w:sz w:val="24"/>
              </w:rPr>
              <w:t xml:space="preserve">o dotáciách na rozvoj bývania a o sociálnom bývaní v znení neskorších predpisov) odôvodňuje navrhované zmeny potrebou odchýliť sa od všeobecnej právnej úpravy nájomného vzťahu </w:t>
              <w:br/>
            </w:r>
            <w:r>
              <w:rPr>
                <w:b w:val="off"/>
                <w:color w:val="000000"/>
                <w:rFonts w:ascii="Times New Roman" w:hAnsi="Times New Roman" w:cs="Times New Roman" w:eastAsia="Times New Roman"/>
                <w:sz w:val="24"/>
              </w:rPr>
              <w:t xml:space="preserve">a zabezpečiť súlad zákona č. 443/2010 Z. z. o dotáciách na rozvoj bývania a o sociálnom bývaní v znení neskorších predpisov s novým Občianskym zákonníkom. Neobsahuje však konkrétne vysvetlenie dôvodov vylúčenia uvedených ochranných ustanovení, rozšírenia výpovedných dôvodov ani zavedenia osobitných pravidiel doručovania, ani zhodnotenie dôsledkov </w:t>
              <w:br/>
            </w:r>
            <w:r>
              <w:rPr>
                <w:b w:val="off"/>
                <w:color w:val="000000"/>
                <w:rFonts w:ascii="Times New Roman" w:hAnsi="Times New Roman" w:cs="Times New Roman" w:eastAsia="Times New Roman"/>
                <w:sz w:val="24"/>
              </w:rPr>
              <w:t>týchto zmien na právne postavenie nájomcov sociálnych nájomných bytov.</w:t>
              <w:br/>
            </w:r>
            <w:r>
              <w:rPr>
                <w:b w:val="off"/>
                <w:color w:val="000000"/>
                <w:rFonts w:ascii="Times New Roman" w:hAnsi="Times New Roman" w:cs="Times New Roman" w:eastAsia="Times New Roman"/>
                <w:sz w:val="24"/>
              </w:rPr>
              <w:t xml:space="preserve">Navrhované opatrenia majú negatívne sociálne vplyvy najmä na prístup dotknutých osôb </w:t>
              <w:br/>
            </w:r>
            <w:r>
              <w:rPr>
                <w:b w:val="off"/>
                <w:color w:val="000000"/>
                <w:rFonts w:ascii="Times New Roman" w:hAnsi="Times New Roman" w:cs="Times New Roman" w:eastAsia="Times New Roman"/>
                <w:sz w:val="24"/>
              </w:rPr>
              <w:t xml:space="preserve">k právnej ochrane a na stabilitu ich bývania. Môžu oslabiť ochranu pred stratou bývania a zvýšiť riziko sociálneho vylúčenia osôb a domácností, ktoré sú vzhľadom na svoje sociálne </w:t>
              <w:br/>
            </w:r>
            <w:r>
              <w:rPr>
                <w:b w:val="off"/>
                <w:color w:val="000000"/>
                <w:rFonts w:ascii="Times New Roman" w:hAnsi="Times New Roman" w:cs="Times New Roman" w:eastAsia="Times New Roman"/>
                <w:sz w:val="24"/>
              </w:rPr>
              <w:t>a ekonomické pomery odkázané na sociálne bývanie. Osobitne sa môžu dotknúť nájomcov patriacich do skupín uvedených v § 935 ods. 2 nového Občianskeho zákonníka, ako aj ďalších nájomcov sociálnych nájomných bytov, na ktorých sa budú vzťahovať rozšírené výpovedné dôvody a osobitné pravidlá doručovania.</w:t>
              <w:br/>
            </w:r>
            <w:r>
              <w:rPr>
                <w:b w:val="off"/>
                <w:color w:val="000000"/>
                <w:rFonts w:ascii="Times New Roman" w:hAnsi="Times New Roman" w:cs="Times New Roman" w:eastAsia="Times New Roman"/>
                <w:sz w:val="24"/>
              </w:rPr>
              <w:t>Požadujeme preto doplniť analýzu sociálnych vplyvov v bode 4.2 o uvedené negatívne sociálne vplyvy na prístup k bývaniu a právnej ochrane, vrátane identifikácie dotknutých skupín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22 Zásadná PRIPOMIENKA</w:t>
              <w:br/>
            </w:r>
            <w:r>
              <w:rPr>
                <w:b w:val="off"/>
                <w:color w:val="000000"/>
                <w:rFonts w:ascii="Times New Roman" w:hAnsi="Times New Roman" w:cs="Times New Roman" w:eastAsia="Times New Roman"/>
                <w:sz w:val="24"/>
              </w:rPr>
              <w:t>Zásadná PRIPOMIENKA – CSP – k §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doplniť právnu úpravu kauzálnej príslušnosti súdov tak, aby sa v nadväznosti na prijatie nového Občianskeho zákonníka zachovala a legislatívne zabezpečila špecializácia súdov na prejednávanie a rozhodovanie typovo vymedzených obchodnoprávnych sporov, a to bez ohľadu na skutočnosť, či hmotnoprávna úprava dotknutého záväzkového vzťahu bude obsiahnutá v Občianskom zákonníku alebo v osobitnom právnom predpise. </w:t>
              <w:br/>
            </w:r>
            <w:r>
              <w:rPr>
                <w:b w:val="off"/>
                <w:color w:val="000000"/>
                <w:rFonts w:ascii="Times New Roman" w:hAnsi="Times New Roman" w:cs="Times New Roman" w:eastAsia="Times New Roman"/>
                <w:sz w:val="24"/>
              </w:rPr>
              <w:t>Navrhujem posúdiť rozšírenie kauzálnej príslušnosti obchodných súdov na spory vznikajúce zo záväzkových vzťahov medzi podnikateľmi pri výkone ich podnikateľskej činnosti, v zákonom výslovne vymedzených kategóriách obchodných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rekodifikácie súkromného práva je odstránenie dualizmu občianskeho a obchodného záväzkového práva a vytvorenie jednotnej právnej úpravy záväzkových vzťahov. Tento cieľ z hľadiska systematiky súkromného práva považujem za legitímny. Zjednotenie hmotnoprávnej úpravy však samo osebe neodôvodňuje zmenu kritérií súdnej špecializácie ani oslabenie osobitného postavenia obchodného súdnictva.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Rozhodujúcim kritériom súdnej špecializácie by preto nemalo byť výlučne zaradenie aplikovanej právnej normy do konkrétneho kódexu, ale predovšetkým povaha právneho vzťahu, z ktorého spor vznikol, jeho súvislosť s podnikateľskou činnosťou a osobitné odborné požiadavky na jeho prejednanie a rozhodnutie.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obchodné záväzkové právo začlení do jednotného Občianskeho zákonníka, obchodnoprávny charakter sporu tým automaticky nezaniká. Mení sa systematické umiestnenie právnej normy, nie nevyhnutne hospodárska a právna povaha vzťahu, ktorý táto norma upravuje. </w:t>
              <w:br/>
            </w:r>
            <w:r>
              <w:rPr>
                <w:b w:val="off"/>
                <w:color w:val="000000"/>
                <w:rFonts w:ascii="Times New Roman" w:hAnsi="Times New Roman" w:cs="Times New Roman" w:eastAsia="Times New Roman"/>
                <w:sz w:val="24"/>
              </w:rPr>
              <w:t xml:space="preserve">Spory vznikajúce v rámci podnikateľskej činnosti sa v mnohých prípadoch vyznačujú osobitnou skutkovou, právnou a ekonomickou komplexnosťou. Ich rozhodovanie vyžaduje dôkladnú orientáciu v zmluvných dokumentáciách, nadväzujúcich zmluvných vzťahoch, obchodných podmienkach, mechanizmoch financovania a zabezpečenia pohľadávok, účtovných podkladoch, hospodárskych súvislostiach plnenia a obchodných zvyklostiach. </w:t>
              <w:br/>
            </w:r>
            <w:r>
              <w:rPr>
                <w:b w:val="off"/>
                <w:color w:val="000000"/>
                <w:rFonts w:ascii="Times New Roman" w:hAnsi="Times New Roman" w:cs="Times New Roman" w:eastAsia="Times New Roman"/>
                <w:sz w:val="24"/>
              </w:rPr>
              <w:t xml:space="preserve">Dlhodobé rozhodovanie obdobných vecí umožňuje sudcovi nadobúdať a prehlbovať osobitné odborné znalosti, identifikovať opakujúce sa právne problémy a rozvíjať konzistentnú rozhodovaciu prax. Takáto špecializácia prispieva k predvídateľnosti súdnych rozhodnutí, efektívnejšiemu vedeniu konania a k právnej istote účastníkov obchodných vzťahov. </w:t>
              <w:br/>
            </w:r>
            <w:r>
              <w:rPr>
                <w:b w:val="off"/>
                <w:color w:val="000000"/>
                <w:rFonts w:ascii="Times New Roman" w:hAnsi="Times New Roman" w:cs="Times New Roman" w:eastAsia="Times New Roman"/>
                <w:sz w:val="24"/>
              </w:rPr>
              <w:t xml:space="preserve">Ak by sa v dôsledku rekodifikácie súkromného práva všetky spory zo záväzkových vzťahov presunuli do všeobecne vymedzenej civilnej agendy bez zohľadnenia ich obchodnoprávnej povahy, vzniklo by riziko neprimeraného rozšírenia vecného záberu sudcov na úkor ich odbornej špecializácie. </w:t>
              <w:br/>
            </w:r>
            <w:r>
              <w:rPr>
                <w:b w:val="off"/>
                <w:color w:val="000000"/>
                <w:rFonts w:ascii="Times New Roman" w:hAnsi="Times New Roman" w:cs="Times New Roman" w:eastAsia="Times New Roman"/>
                <w:sz w:val="24"/>
              </w:rPr>
              <w:t xml:space="preserve">Civilná agenda zahŕňa široké spektrum právnych vzťahov s odlišným skutkovým základom a odbornými požiadavkami. Spory z občianskych vzťahov, ochrany osobnostných práv, vlastníckych vzťahov alebo spotrebiteľských záväzkov sa v mnohých ohľadoch líšia od sporov vznikajúcich pri odbornom výkone podnikateľskej činnosti. </w:t>
              <w:br/>
            </w:r>
            <w:r>
              <w:rPr>
                <w:b w:val="off"/>
                <w:color w:val="000000"/>
                <w:rFonts w:ascii="Times New Roman" w:hAnsi="Times New Roman" w:cs="Times New Roman" w:eastAsia="Times New Roman"/>
                <w:sz w:val="24"/>
              </w:rPr>
              <w:t xml:space="preserve">Príliš široký vecný záber sudcu, ktorý má súčasne rozhodovať veľké množstvo typovo odlišných právnych vecí, môže objektívne obmedzovať priestor na prehlbovanie špecializovaných znalostí, systematické sledovanie relevantnej judikatúry a zjednocovanie rozhodovacej praxe. Takýto dôsledok by bol v rozpore s deklarovanou požiadavkou na odborné, kvalitné a efektívne súdnictvo. Špecializácia by nemala zostať iba organizačným alebo personálnym označením súdnej agendy. Musí sa reálne prejaviť v pravidlách prideľovania vecí a v takom vymedzení kauzálnej príslušnosti, ktoré umožní sústrediť typovo príbuzné spory u sudcov s príslušným odborným zameraním. </w:t>
              <w:br/>
            </w:r>
            <w:r>
              <w:rPr>
                <w:b w:val="off"/>
                <w:color w:val="000000"/>
                <w:rFonts w:ascii="Times New Roman" w:hAnsi="Times New Roman" w:cs="Times New Roman" w:eastAsia="Times New Roman"/>
                <w:sz w:val="24"/>
              </w:rPr>
              <w:t xml:space="preserve">Aktuálna zmena systematiky súkromného práva nemôže viesť k nežiadúcemu presunu vecí medzi súdnymi agendami, nakoľko povaha sporov a odborné nároky na ich rozhodovanie zostávajú zachované. Navrhovaná procesná úprava nie je koncipovaná funkčne. Ak má rekodifikácia viesť k zjednodušeniu a sprehľadneniu súkromnoprávnej úpravy, potom aj jej procesné dôsledky by mali sledovať rovnaký cieľ. Nie je žiadúce, aby sa zjednotenie hmotnoprávnej úpravy dosiahlo za cenu oslabenia špecializácie pri rozhodovaní sporov, ktoré si aj naďalej vyžadujú osobitné odborné znalosti (rovnako ako spory občianskoprávne). </w:t>
              <w:br/>
            </w:r>
            <w:r>
              <w:rPr>
                <w:b w:val="off"/>
                <w:color w:val="000000"/>
                <w:rFonts w:ascii="Times New Roman" w:hAnsi="Times New Roman" w:cs="Times New Roman" w:eastAsia="Times New Roman"/>
                <w:sz w:val="24"/>
              </w:rPr>
              <w:t>Samotné zachovanie súdnych registrov C a Cb nemožno považovať za dostatočnú záruku zachovania odbornej špecializácie sudcov na rozhodovanie obchodnoprávnych sporov. Evidenčné a organizačné rozlišovanie súdnych agend totiž nie je totožné s legislatívne garantovanou kauzálnou príslušnosťou súdu ani so stabilným vymedzením vecného zamerania sudcu.</w:t>
              <w:br/>
            </w:r>
            <w:r>
              <w:rPr>
                <w:b w:val="off"/>
                <w:color w:val="000000"/>
                <w:rFonts w:ascii="Times New Roman" w:hAnsi="Times New Roman" w:cs="Times New Roman" w:eastAsia="Times New Roman"/>
                <w:sz w:val="24"/>
              </w:rPr>
              <w:t>Zaradenie sudcu do príslušnej súdnej agendy a rozsah vecí, ktoré bude rozhodovať, závisia od pravidiel organizácie práce súdu, rozvrhu práce a rozhodnutí predsedu súdu. Ak právna úprava výslovne nezachová špecializovanú príslušnosť na rozhodovanie typovo vymedzených obchodnoprávnych sporov, samotná existencia registrov C a Cb nezaručuje, že sudca zaradený do obchodnej agendy bude dlhodobo rozhodovať práve tento druh sporov.</w:t>
              <w:br/>
            </w:r>
            <w:r>
              <w:rPr>
                <w:b w:val="off"/>
                <w:color w:val="000000"/>
                <w:rFonts w:ascii="Times New Roman" w:hAnsi="Times New Roman" w:cs="Times New Roman" w:eastAsia="Times New Roman"/>
                <w:sz w:val="24"/>
              </w:rPr>
              <w:t>Nie je vylúčené, že sudcovi budú v rámci organizácie práce súdu prideľované veci z oboch registrov, prípadne že dôjde k zmene jeho agendového zaradenia v závislosti od aktuálnych organizačných potrieb súdu. Takýto postup môže byť z hľadiska krátkodobého zabezpečenia chodu súdu praktický, avšak z hľadiska dlhodobého budovania a udržiavania odbornej špecializácie predstavuje riziko. Ak má byť zachovanie obchodnej špecializácie závislé výlučne od aktuálneho personálneho a organizačného nastavenia konkrétneho súdu, nejde o dostatočne stabilnú systémovú záruku.</w:t>
              <w:br/>
            </w:r>
            <w:r>
              <w:rPr>
                <w:b w:val="off"/>
                <w:color w:val="000000"/>
                <w:rFonts w:ascii="Times New Roman" w:hAnsi="Times New Roman" w:cs="Times New Roman" w:eastAsia="Times New Roman"/>
                <w:sz w:val="24"/>
              </w:rPr>
              <w:t>Osobitne treba poukázať na to, že pravidlá vedenia súdnych registrov a organizácie práce súdu, upravené v predpisoch o správe a organizácii súdnictva, nemôžu plnohodnotne nahradiť zákonnú úpravu kauzálnej príslušnosti. Kým kauzálna príslušnosť určuje, ktorý súd je oprávnený a povinný rozhodovať určitý zákonom vymedzený okruh sporov, interné organizačné pravidlá upravujú spôsob zabezpečenia výkonu súdnictva na konkrétnom súde. Ide preto o dve odlišné úrovne právnej úpravy s odlišnou mierou stability a predvídateľnosti.</w:t>
              <w:br/>
            </w:r>
            <w:r>
              <w:rPr>
                <w:b w:val="off"/>
                <w:color w:val="000000"/>
                <w:rFonts w:ascii="Times New Roman" w:hAnsi="Times New Roman" w:cs="Times New Roman" w:eastAsia="Times New Roman"/>
                <w:sz w:val="24"/>
              </w:rPr>
              <w:t>Ak zákonodarca považuje odbornú špecializáciu sudcov za významný predpoklad kvality a efektívnosti rozhodovania, jej zachovanie by nemalo byť ponechané iba na organizačné rozhodnutia predsedu súdu ani na aktuálne personálne potreby konkrétneho pracoviska. Špecializácia má byť podporená takou zákonnou úpravou, ktorá vytvorí predpoklady na stabilné sústredenie typovo príbuzných sporov a umožní sudcom dlhodobo rozvíjať odborné znalosti v príslušnej oblasti práva.</w:t>
              <w:br/>
            </w:r>
            <w:r>
              <w:rPr>
                <w:b w:val="off"/>
                <w:color w:val="000000"/>
                <w:rFonts w:ascii="Times New Roman" w:hAnsi="Times New Roman" w:cs="Times New Roman" w:eastAsia="Times New Roman"/>
                <w:sz w:val="24"/>
              </w:rPr>
              <w:t>Z uvedených dôvodov nemožno prípadnú argumentáciu založenú na zachovaní registrov C a Cb považovať za dostatočnú odpoveď na otázku, akým spôsobom bude po zrušení kauzálnej príslušnosti obchodných súdov zabezpečená reálna a dlhodobo udržateľná špecializácia sudcov na rozhodovanie obchodnoprávnych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Organizácia obchodného súdnictva v Bratislave</w:t>
              <w:br/>
            </w:r>
            <w:r>
              <w:rPr>
                <w:b w:val="off"/>
                <w:color w:val="000000"/>
                <w:rFonts w:ascii="Times New Roman" w:hAnsi="Times New Roman" w:cs="Times New Roman" w:eastAsia="Times New Roman"/>
                <w:sz w:val="24"/>
              </w:rPr>
              <w:t>Navrhovaná zmena vyvoláva  otázky týkajúce sa organizácie obchodného súdnictva v Bratislave a rozdelenia súdneho nápadu medzi Mestský súd Bratislava III a Mestský súd Bratislava IV. Ak má byť kauzálna príslušnosť Mestského súdu Bratislava III zachovaná len pre osobitne vymedzené kategórie sporov, napríklad vo veciach hospodárskej súťaže a zmenkových sporov a pod. - zatiaľ čo ostatné spory, ktoré v súčasnosti patria do obchodnej agendy, budú prejednávané Mestským súdom Bratislava IV, možno dôvodne predpokladať významný presun časti súdneho nápadu na Mestský súd Bratislava IV.</w:t>
              <w:br/>
            </w:r>
            <w:r>
              <w:rPr>
                <w:b w:val="off"/>
                <w:color w:val="000000"/>
                <w:rFonts w:ascii="Times New Roman" w:hAnsi="Times New Roman" w:cs="Times New Roman" w:eastAsia="Times New Roman"/>
                <w:sz w:val="24"/>
              </w:rPr>
              <w:t>Takýto presun nemožno posudzovať izolovane od celkového objemu a štruktúry agendy, ktorú bude príslušný súd po nadobudnutí účinnosti novej právnej úpravy vybavovať. Zásadnou otázkou je, či bol pred prijatím navrhovanej zmeny vyhodnotený očakávaný nárast nápadu, jeho predpokladaná štruktúra, personálne zabezpečenie súdu a dôsledky na dĺžku konaní a zaťaženosť jednotlivých sudcov.</w:t>
              <w:br/>
            </w:r>
            <w:r>
              <w:rPr>
                <w:b w:val="off"/>
                <w:color w:val="000000"/>
                <w:rFonts w:ascii="Times New Roman" w:hAnsi="Times New Roman" w:cs="Times New Roman" w:eastAsia="Times New Roman"/>
                <w:sz w:val="24"/>
              </w:rPr>
              <w:t>Pokiaľ by sa uvedený presun uskutočnil bez zodpovedajúceho personálneho a organizačného zabezpečenia, mohol by viesť k neprimeranému zvýšeniu zaťaženia sudcov Mestského súdu Bratislava IV, k predĺženiu konaní a k oslabeniu podmienok na kvalitné a efektívne rozhodovanie. Zároveň by sa mohlo oslabiť práve to, čo má súdna špecializácia zabezpečovať, teda sústredenie typovo príbuzných vecí u sudcov s príslušným odborným zameraním a vytváranie stabilnej rozhodovacej praxe.</w:t>
              <w:br/>
            </w:r>
            <w:r>
              <w:rPr>
                <w:b w:val="off"/>
                <w:color w:val="000000"/>
                <w:rFonts w:ascii="Times New Roman" w:hAnsi="Times New Roman" w:cs="Times New Roman" w:eastAsia="Times New Roman"/>
                <w:sz w:val="24"/>
              </w:rPr>
              <w:t>Uvedené riziká nadobúdajú osobitný význam v prípade, ak by sa zmena kauzálnej príslušnosti realizovala bez súčasného spojenia dotknutých súdov, prípadne bez iného systémového riešenia, ktoré by umožnilo vyvážené rozdelenie súdneho nápadu a personálnych kapacít. Predkladateľ by preto mal ešte pred prijatím navrhovanej úpravy transparentne vyhodnotiť jej organizačné, personálne a kapacitné dôsledky a vysvetliť, akým spôsobom bude zabezpečené, aby presun agendy neviedol k neprimeranej koncentrácii nápadu na jednom súde na úkor efektívnosti a kvality 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Konkrétny legislatívny návrh</w:t>
              <w:br/>
            </w:r>
            <w:r>
              <w:rPr>
                <w:b w:val="off"/>
                <w:color w:val="000000"/>
                <w:rFonts w:ascii="Times New Roman" w:hAnsi="Times New Roman" w:cs="Times New Roman" w:eastAsia="Times New Roman"/>
                <w:sz w:val="24"/>
              </w:rPr>
              <w:t>N a v r h u j e m, aby predkladateľ v rámci súvisiacej legislatívy doplnil/upravil ustanovenia CSP upravujúce kauzálnu príslušnosť súdov tak, aby výslovne zahŕňali zákonom určené kategórie sporov vznikajúcich zo záväzkových vzťahov medzi podnikateľmi pri výkone ich podnikateľskej činnosti.</w:t>
              <w:br/>
            </w:r>
            <w:r>
              <w:rPr>
                <w:b w:val="off"/>
                <w:color w:val="000000"/>
                <w:rFonts w:ascii="Times New Roman" w:hAnsi="Times New Roman" w:cs="Times New Roman" w:eastAsia="Times New Roman"/>
                <w:sz w:val="24"/>
              </w:rPr>
              <w:t xml:space="preserve">N a v r h u j e m, aby sa pri príprave súvisiacej legislatívy posúdili aj dôsledky navrhovanej úpravy na organizáciu obchodnej agendy, rozdelenie súdneho nápadu a zachovanie reálnej odbornej špecializácie sudcov. </w:t>
              <w:br/>
            </w:r>
            <w:r>
              <w:rPr>
                <w:b w:val="off"/>
                <w:color w:val="000000"/>
                <w:rFonts w:ascii="Times New Roman" w:hAnsi="Times New Roman" w:cs="Times New Roman" w:eastAsia="Times New Roman"/>
                <w:sz w:val="24"/>
              </w:rPr>
              <w:t>Súčasne n a v r h u j e m, aby predkladateľ vyhodnotil predpokladané dôsledky zmeny kauzálnej príslušnosti na rozdelenie súdneho nápadu, personálne zabezpečenie a zaťaženosť Mestského súdu Bratislava III a Mestského súdu Bratislava IV, a to aj vo vzťahu k prípadnému spojeniu týchto súdov. Prípadný presun významnej časti obchodnej agendy na Mestský súd Bratislava IV by mal byť podložený konkrétnou analýzou nápadu a kapacít, aby sa predišlo neprimeranému zaťaženiu sudcov, predlžovaniu konaní a oslabeniu odbornej špecializácie.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 § 15 ods. 1 Zásadná PRIPOMIENKA – k časti návrhu, ktorou sa mení zákon č. 757/2004 Z. z., k § 15 ods. 1 a § 17 ods. 1 a k nadväzujúc</w:t>
              <w:br/>
            </w:r>
            <w:r>
              <w:rPr>
                <w:b w:val="off"/>
                <w:color w:val="000000"/>
                <w:rFonts w:ascii="Times New Roman" w:hAnsi="Times New Roman" w:cs="Times New Roman" w:eastAsia="Times New Roman"/>
                <w:sz w:val="24"/>
              </w:rPr>
              <w:t>Navrhujeme vypustiť navrhované zmeny § 15 ods. 1 a § 17 ods. 1 zákona č. 757/2004 Z. z., ktorými sa navrhuje zrušenie obchodnoprávneho grémia a obchodnoprávneho kolégia.</w:t>
              <w:br/>
            </w:r>
            <w:r>
              <w:rPr>
                <w:b w:val="off"/>
                <w:color w:val="000000"/>
                <w:rFonts w:ascii="Times New Roman" w:hAnsi="Times New Roman" w:cs="Times New Roman" w:eastAsia="Times New Roman"/>
                <w:sz w:val="24"/>
              </w:rPr>
              <w:t>Zároveň navrhujeme zachovať súvisiacu právnu úpravu v rozsahu potrebnom na zabezpečenie odbornej špecializácie sudcov a efektívneho výkonu obchodnoprávnej agendy, a to tak na súde prvej inštancie, ako aj na odvolacom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Mestský súd Bratislava III zostáva zachovaný ako súd s osobitne vymedzenou kauzálnou príslušnosťou na prejednávanie a rozhodovanie zákonom určených kategórií obchodnoprávnych vecí. Táto špecializácia sa týka okrem iného napr. zmenkových sporov, incidenčných sporov, sporov z oblasti hospodárskej súťaže, sporov súvisiacich s burzovými obchodmi, konkurznej agendy a agendy obchodného registra.</w:t>
              <w:br/>
            </w:r>
            <w:r>
              <w:rPr>
                <w:b w:val="off"/>
                <w:color w:val="000000"/>
                <w:rFonts w:ascii="Times New Roman" w:hAnsi="Times New Roman" w:cs="Times New Roman" w:eastAsia="Times New Roman"/>
                <w:sz w:val="24"/>
              </w:rPr>
              <w:t>Za tejto situácie nie sú zrejmé vecné dôvody na zrušenie obchodnoprávneho grémia, ktoré predstavuje priestor na odbornú diskusiu, zjednocovanie právnych názorov a výmenu poznatkov a skúseností pri rozhodovaní v špecializovanej obchodnoprávnej agende. Zachovanie odborných grémií a kolégií vytvára predpoklady na posilňovanie kvality a predvídateľnosti súdneho rozhodovania, ako aj na priebežné zvyšovanie odbornej úrovne sudcov.</w:t>
              <w:br/>
            </w:r>
            <w:r>
              <w:rPr>
                <w:b w:val="off"/>
                <w:color w:val="000000"/>
                <w:rFonts w:ascii="Times New Roman" w:hAnsi="Times New Roman" w:cs="Times New Roman" w:eastAsia="Times New Roman"/>
                <w:sz w:val="24"/>
              </w:rPr>
              <w:t>Rovnako je potrebné zabezpečiť kontinuitu odbornej špecializácie aj na úrovni odvolacieho súdu. Rozhodovanie o obchodnoprávnych veciach si vyžaduje zodpovedajúcu mieru špecializácie nielen na súde prvej inštancie, ale aj pri preskúmavaní rozhodnutí v odvolacom konaní. Právna úprava a nadväzujúce pravidlá rozvrhu práce by preto mali umožňovať také organizačné usporiadanie, ktoré zabezpečí prideľovanie obchodnoprávnych vecí špecializovaným senátom odvolacieho súdu.</w:t>
              <w:br/>
            </w:r>
            <w:r>
              <w:rPr>
                <w:b w:val="off"/>
                <w:color w:val="000000"/>
                <w:rFonts w:ascii="Times New Roman" w:hAnsi="Times New Roman" w:cs="Times New Roman" w:eastAsia="Times New Roman"/>
                <w:sz w:val="24"/>
              </w:rPr>
              <w:t>Zrušenie obchodnoprávneho grémia a obchodnoprávneho kolégia bez súčasného vytvorenia funkčného mechanizmu na zachovanie a rozvoj odbornej špecializácie by mohlo oslabiť predpoklady na jednotné, odborne konzistentné a predvídateľné rozhodovanie v obchodnoprávnej agende.</w:t>
              <w:br/>
            </w:r>
            <w:r>
              <w:rPr>
                <w:b w:val="off"/>
                <w:color w:val="000000"/>
                <w:rFonts w:ascii="Times New Roman" w:hAnsi="Times New Roman" w:cs="Times New Roman" w:eastAsia="Times New Roman"/>
                <w:sz w:val="24"/>
              </w:rPr>
              <w:t>Z uvedených dôvodov považujeme za potrebné navrhované zmeny § 15 ods. 1 a § 17 ods. 1 zákona č. 757/2004 Z. z. vypustiť a zachovať právnu úpravu umožňujúcu fungovanie obchodnoprávneho grémia a obchodnoprávneho kolégia, ako aj nadväzujúce organizačné mechanizmy podporujúce špecializáciu sudcov a senátov na oboch stupňoch súdneho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309h ods. 5 Zásadná pripomienka</w:t>
              <w:br/>
            </w:r>
            <w:r>
              <w:rPr>
                <w:b w:val="off"/>
                <w:color w:val="000000"/>
                <w:rFonts w:ascii="Times New Roman" w:hAnsi="Times New Roman" w:cs="Times New Roman" w:eastAsia="Times New Roman"/>
                <w:sz w:val="24"/>
              </w:rPr>
              <w:t>Zásadná pripomienka – k § 309h ods. 5 CMP (výmaz obchodnej spoločnosti z úradnej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doplniť právnu úpravu doručovania rozhodnutia o výmaze obchodnej spoločnosti tak, aby bol jednoznačne určený okamih jeho účinkov vo vzťahu k výmazu spoločnosti z obchodného registra a aby bola zabezpečená informovanosť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podľa ktorej sa rozhodnutie doručuje iba uložením v spise a nie je proti nemu prípustné odvolanie, nerieši dostatočne informovanie veriteľov, spoločníkov a ďalších dotknutých osôb o výmaze spoločnosti. Zároveň je potrebné jednoznačne upraviť nadväznosť rozhodnutia súdu na technické vykonanie výmazu v obchodnom registri a určiť okamih, ku ktorému nastávajú účinky zániku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povinnosť zverejniť oznámenie o právoplatnosti rozhodnutia v Obchodnom vestníku alebo jednoznačne naviazať účinky zániku spoločnosti na vykonanie výmazu z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305 ods. 1 Zásadná pripomienka</w:t>
              <w:br/>
            </w:r>
            <w:r>
              <w:rPr>
                <w:b w:val="off"/>
                <w:color w:val="000000"/>
                <w:rFonts w:ascii="Times New Roman" w:hAnsi="Times New Roman" w:cs="Times New Roman" w:eastAsia="Times New Roman"/>
                <w:sz w:val="24"/>
              </w:rPr>
              <w:t>. Zásadná pripomienka – k § 305 CMP (kauzálna príslušnosť v konaniach vo veciach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zosúladiť ustanovenie § 305 ods. 1 CMP s právnou úpravou kauzálnej príslušnosti a terminológiou zákona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pojmu „okresný súd v sídle krajského súdu“ v § 305 ods. 1 CMP môže vyvolávať interpretačné nejasnosti v kontexte aktuálnej organizácie súdnictva a osobitného rozdelenia registrovej agendy. Súčasné používanie pojmov „okresný súd v sídle krajského súdu“ a „registrový súd“ v súvisiacich ustanoveniach môže viesť k pochybnostiam o určení príslušného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Terminologicky a vecne zosúladiť § 305 ods. 1 CMP s právnou úpravou obchodného registra tak, aby bola príslušnosť súdu jednoznačná a nevznikali pochybnosti o rozdelení kompetencií.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309f Zásadná pripomienka – k § 309f CMP (automatizované začatie konania o zrušení obchodnej spoločnosti)</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doplniť právnu úpravu automatizovaného začatia konania o zrušení obchodnej spoločnosti o mechanizmus nápravy nesprávneho zápisu poznámky do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Automatizované spracúvanie údajov z obchodného registra a ďalších referenčných registrov môže viesť k nesprávnemu vyhodnoteniu zákonných dôvodov na začatie konania, najmä v dôsledku neaktuálnych, neúplných alebo chybných údajov. Navrhovaná úprava by preto mala výslovne upraviť postup pri zistení, že poznámka o začatí konania bola zapísaná v dôsledku technickej alebo dátovej chyby.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oprávnenie registrového súdu bezodkladne z úradnej moci odstrániť nesprávne zapísanú poznámku a upraviť procesný postup pri náprave takéhoto pochybenia.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304 ods. písm. g) Zásadná pripomienka – k § 304 písm. g) CMP (poverenie na zvolanie valného zhromaždenia)</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rozšíriť § 304 písm. g) CMP tak, aby zahŕňal aj konania týkajúce sa poverenia na zvolanie valného zhromaždenia spoločnosti s ručením obmedzeným.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Obchodný zákonník priznáva za zákonom ustanovených podmienok spoločníkom spoločnosti s ručením obmedzeným právo domáhať sa poverenia na zvolanie valného zhromaždenia. Ak § 304 písm. g) CMP výslovne upravuje iba poverenie na zvolanie mimoriadneho valného zhromaždenia akciovej spoločnosti, vzniká pochybnosť o procesnom režime uplatnenia uvedeného práva spoločníkov spoločnosti s ručením obmedzeným.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Upraviť § 304 písm. g) CMP tak, aby sa vzťahoval aj na spoločnosti s ručením obmedzeným a zabezpečoval jednoznačný procesný rámec na uplatnenie práv ich spoločníkov.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309s Zásadná pripomienka – k § 309s CMP (dodatočná likvidácia a preddavok na likvidáciu)</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prehodnotiť právnu úpravu následkov nezloženia preddavku na dodatočnú likvidáciu a doplniť riešenie situácií, v ktorých po zastavení konania zostane majetok evidovaný na zaniknutú obchodnú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môže dôjsť k zisteniu majetku obchodnej spoločnosti až po jej výmaze z obchodného registra, pričom hodnota dodatočne zisteného majetku nemusí dosahovať výšku požadovaného preddavku na dodatočnú likvidáciu. Zastavenie konania z dôvodu nezloženia preddavku však samo osebe nerieši právny osud takéhoto majetku, napríklad nehnuteľností naďalej evidovaných v katastri nehnuteľností na zaniknutú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právnu úpravu o jednoznačný postup pri nakladaní s dodatočne zisteným majetkom v prípadoch, keď sa dodatočná likvidácia nevykoná, a zosúladiť ju s právnou úpravou prechodu majetku na štát, ak sú na takýto prechod splnené zákonné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309m Zásadná pripomienka – k § 309m CMP (rozhodnutie o neplatnosti obchodnej spoločnosti)</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zosúladiť § 309m CMP s právnou úpravou obchodného registra, pokiaľ ide o zápis rozhodnutia o neplatnosti obchodnej spoločnosti a jeho právne dôsledky.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w:t>
              <w:br/>
            </w:r>
            <w:r>
              <w:rPr>
                <w:b w:val="off"/>
                <w:color w:val="000000"/>
                <w:rFonts w:ascii="Times New Roman" w:hAnsi="Times New Roman" w:cs="Times New Roman" w:eastAsia="Times New Roman"/>
                <w:sz w:val="24"/>
              </w:rPr>
              <w:t>V § 2 ods. 1 v navrhovanom znení vypadla predložka „v“ v slovnom spojení: „zapísaná v živnostenskom registri...“. Ide o gramatickú chybu.</w:t>
              <w:br/>
            </w:r>
            <w:r>
              <w:rPr>
                <w:b w:val="off"/>
                <w:color w:val="000000"/>
                <w:rFonts w:ascii="Times New Roman" w:hAnsi="Times New Roman" w:cs="Times New Roman" w:eastAsia="Times New Roman"/>
                <w:sz w:val="24"/>
              </w:rPr>
              <w:t>Zároveň je potrebné posúdiť systematiku: pokiaľ sa v bode 3 vypúšťajú § 3 až § 4 (definícia podnikateľa a hospodárskej činnosti) s odôvodnením, že definícia podnikateľa a sídla právnickej osoby prechádza do nového Občianskeho zákonníka, je nesystémové ponechávať osobitnú definíciu „bydliska fyzickej osoby“ a „adresy“ (§ 2 ods. 2 a 3) v Obchodnom zákonníku. Tento inštitút by mal byť jednotne upravený vo všeobecnej časti Občianskeho zákonníka, aby sa predišlo duplicite alebo odchýlkam pri výklade pojmov adresa a bydlisko.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14 -20, 22-23</w:t>
              <w:br/>
            </w:r>
            <w:r>
              <w:rPr>
                <w:b w:val="off"/>
                <w:color w:val="000000"/>
                <w:rFonts w:ascii="Times New Roman" w:hAnsi="Times New Roman" w:cs="Times New Roman" w:eastAsia="Times New Roman"/>
                <w:sz w:val="24"/>
              </w:rPr>
              <w:t>V bode 8 sa navrhuje úplné vypustenie § 14 až § 20 (prokúra, konanie podnikateľa) a v bode 10 vypustenie § 22 a § 23 (konanie pri predaji podniku, zodpovednosť).</w:t>
              <w:br/>
            </w:r>
            <w:r>
              <w:rPr>
                <w:b w:val="off"/>
                <w:color w:val="000000"/>
                <w:rFonts w:ascii="Times New Roman" w:hAnsi="Times New Roman" w:cs="Times New Roman" w:eastAsia="Times New Roman"/>
                <w:sz w:val="24"/>
              </w:rPr>
              <w:t>Upozorňujeme na rozpor s novelizačným bodom 36: V bode 36 sa v § 139 ods. 2 navrhuje doplniť: „ani prokurista“. Ak sa inštitút prokúry z Obchodného zákonníka kompletne vypúšťa a presúva do Občianskeho zákonníka, je nevyhnutné zabezpečiť terminologickú a vecnú prepojenosť tak, aby bolo zrejmé, či pojem „prokurista“ v § 139 ods. 2 odkazuje na príslušné ustanovenie Občianskeho zákonníka, alebo či má byť celá úprava obmedzení členov dozornej rady a prokuristov zosúladená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66, 74, 135a, 194,.. Zásadná pripomienka k bodu 17 a súvisiacim bodom (§ 66 ods. 7, § 74, § 135a, § 194, § 243a – Zmena „odbornej“ starostliv</w:t>
              <w:br/>
            </w:r>
            <w:r>
              <w:rPr>
                <w:b w:val="off"/>
                <w:color w:val="000000"/>
                <w:rFonts w:ascii="Times New Roman" w:hAnsi="Times New Roman" w:cs="Times New Roman" w:eastAsia="Times New Roman"/>
                <w:sz w:val="24"/>
              </w:rPr>
              <w:t>Návrh plošne nahrádza pojem „odborná starostlivosť“ pojmom „náležitá starostlivosť“ (pri konateľoch, likvidátoroch, členoch predstavenstva a predstavenstve družstva).</w:t>
              <w:br/>
            </w:r>
            <w:r>
              <w:rPr>
                <w:b w:val="off"/>
                <w:color w:val="000000"/>
                <w:rFonts w:ascii="Times New Roman" w:hAnsi="Times New Roman" w:cs="Times New Roman" w:eastAsia="Times New Roman"/>
                <w:sz w:val="24"/>
              </w:rPr>
              <w:t>V bode 43 sa pritom v § 194 ods. 5 pri akciovej spoločnosti vypúšťa text: „ktorá zahŕňa povinnosť vykonávať ju s odbornou starostlivosťou“.</w:t>
              <w:br/>
            </w:r>
            <w:r>
              <w:rPr>
                <w:b w:val="off"/>
                <w:color w:val="000000"/>
                <w:rFonts w:ascii="Times New Roman" w:hAnsi="Times New Roman" w:cs="Times New Roman" w:eastAsia="Times New Roman"/>
                <w:sz w:val="24"/>
              </w:rPr>
              <w:t>Odôvodnenie pripomienky: Slovenská judikatúra a právna prax majú desaťročia ustálený štandard tzv. starostlivosti riadneho hospodára / odbornej starostlivosti (analógia business judgment rule). V dôvodovej správe musí byť jednoznačne vyložené, či nahradenie pojmu „náležitá starostlivosť“ znamená zníženie, sprísnenie alebo len terminologické zosúladenie s novým Občianskym zákonníkom, aby zmena terminológie nevyvolala vlnu aplikačných sporov o rozsahu zodpovednosti členov štatutárnych orgánov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66, 70</w:t>
              <w:br/>
            </w:r>
            <w:r>
              <w:rPr>
                <w:b w:val="off"/>
                <w:color w:val="000000"/>
                <w:rFonts w:ascii="Times New Roman" w:hAnsi="Times New Roman" w:cs="Times New Roman" w:eastAsia="Times New Roman"/>
                <w:sz w:val="24"/>
              </w:rPr>
              <w:t>§ 66 ods. 9: „Ustanovenia Občianskeho zákonníka o nedostatkoch rozhodnutí orgánov právnickej osoby sa nepoužijú na obchodné spoločnosti a družstvo.“</w:t>
              <w:br/>
            </w:r>
            <w:r>
              <w:rPr>
                <w:b w:val="off"/>
                <w:color w:val="000000"/>
                <w:rFonts w:ascii="Times New Roman" w:hAnsi="Times New Roman" w:cs="Times New Roman" w:eastAsia="Times New Roman"/>
                <w:sz w:val="24"/>
              </w:rPr>
              <w:t>§ 70 ods. 5: „Ustanovenia Občianskeho zákonníka o likvidácii právnickej osoby sa nepoužijú na obchodné spoločnosti a družstvo.“</w:t>
              <w:br/>
            </w:r>
            <w:r>
              <w:rPr>
                <w:b w:val="off"/>
                <w:color w:val="000000"/>
                <w:rFonts w:ascii="Times New Roman" w:hAnsi="Times New Roman" w:cs="Times New Roman" w:eastAsia="Times New Roman"/>
                <w:sz w:val="24"/>
              </w:rPr>
              <w:t>Odôvodnenie pripomienky: Z hľadiska legislatívnej techniky je takéto negatívne vymedzenie správne, pretože Obchodný zákonník má pre neplatnosť rozhodnutí orgánov (napr. § 131 pri s.r.o., § 183 pri a.s.) a likvidáciu (§ 70 až § 75l) vlastnú komplexnú úpravu.</w:t>
              <w:br/>
            </w:r>
            <w:r>
              <w:rPr>
                <w:b w:val="off"/>
                <w:color w:val="000000"/>
                <w:rFonts w:ascii="Times New Roman" w:hAnsi="Times New Roman" w:cs="Times New Roman" w:eastAsia="Times New Roman"/>
                <w:sz w:val="24"/>
              </w:rPr>
              <w:t>Je však nevyhnutné precizovať, či sa vylúčenie týka aj všeobecných procesných následkov neplatnosti (napr. absolútna vs. relatívna neplatnosť, zdanlivé právne úkony / ničotnosť – non-negotium), ktoré osobitná úprava Obchodného zákonníka výslovne nerieši a doteraz sa subsidiárne odvodzovali z občianskoprávneho základu.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67c ods. 2 písm.b) Pripomienka k bodom 20 a 24 (§ 67c ods. 2 písm. b) a § 67j ods. 4 písm. a) – Spoločnosť v kríze)</w:t>
              <w:br/>
            </w:r>
            <w:r>
              <w:rPr>
                <w:b w:val="off"/>
                <w:color w:val="000000"/>
                <w:rFonts w:ascii="Times New Roman" w:hAnsi="Times New Roman" w:cs="Times New Roman" w:eastAsia="Times New Roman"/>
                <w:sz w:val="24"/>
              </w:rPr>
              <w:t>V inštitúte spoločnosti v kríze sa pomer vlastného imania a záväzkov (krytie) mení zo „stotožnenia s pomerom 5“ (resp. 8) na „10“ (bod 20 a bod 24). Rovnako v bode 50 pri jednoduchej spoločnosti na akcie (§ 220ga ods. 4).</w:t>
              <w:br/>
            </w:r>
            <w:r>
              <w:rPr>
                <w:b w:val="off"/>
                <w:color w:val="000000"/>
                <w:rFonts w:ascii="Times New Roman" w:hAnsi="Times New Roman" w:cs="Times New Roman" w:eastAsia="Times New Roman"/>
                <w:sz w:val="24"/>
              </w:rPr>
              <w:t>Ide o výrazné sprísnenie/zmenu kritérií pre posudzovanie, kedy sa obchodná spoločnosť nachádza v kríze. K tejto zmene absentuje hlbšia ekonomická analýza dopadov na podnikateľské prostredie, preto žiadame v osobitnej časti dôvodovej správy detailne zdôvodniť zmenu tohto finančného ukazovateľa.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Pripomienka k bodom 31, 32, 39 a 52 (Vypustenie zrušenia spoločnosti súdom „a nariadiť jej likvidáciu“)</w:t>
              <w:br/>
            </w:r>
            <w:r>
              <w:rPr>
                <w:b w:val="off"/>
                <w:color w:val="000000"/>
                <w:rFonts w:ascii="Times New Roman" w:hAnsi="Times New Roman" w:cs="Times New Roman" w:eastAsia="Times New Roman"/>
                <w:sz w:val="24"/>
              </w:rPr>
              <w:t>Návrh v ustanoveniach § 113 ods. 6, § 119, § 120 ods. 4, § 161b ods. 2, § 161c ods. 2 a § 220i ods. 6 vypúšťa slová: „a nariadiť jej likvidáciu“.</w:t>
              <w:br/>
            </w:r>
            <w:r>
              <w:rPr>
                <w:b w:val="off"/>
                <w:color w:val="000000"/>
                <w:rFonts w:ascii="Times New Roman" w:hAnsi="Times New Roman" w:cs="Times New Roman" w:eastAsia="Times New Roman"/>
                <w:sz w:val="24"/>
              </w:rPr>
              <w:t>Odôvodnenie pripomienky: Táto zmena bezprostredne súvisí s procesmi na registrovom súde. Pokiaľ súd zrušuje spoločnosť rozhodnutím, musí byť z procesného hľadiska (v nadväznosti na zákon o obchodnom registri č. 29/2026 Z. z. a ZKR) jednoznačne určené, či zrušenie bez nariadenia likvidácie automaticky zakladá postup preverovania majetku súdom (dodatočná likvidácia / osvedčenie o neexistencii majetku), alebo či spoločnosť vstupuje do likvidácie priamo zo zákona dňom právoplatnosti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153 ods. 1 Pripomienka k bodu 37 (§ 153 ods. 1 – Vypustenie podielu na zisku pri s.r.o.)</w:t>
              <w:br/>
            </w:r>
            <w:r>
              <w:rPr>
                <w:b w:val="off"/>
                <w:color w:val="000000"/>
                <w:rFonts w:ascii="Times New Roman" w:hAnsi="Times New Roman" w:cs="Times New Roman" w:eastAsia="Times New Roman"/>
                <w:sz w:val="24"/>
              </w:rPr>
              <w:t>V bode 37 sa navrhuje: „V § 153 sa vypúšťa odsek 1. Súčasne sa zrušuje označenie odseku 2.“</w:t>
              <w:br/>
            </w:r>
            <w:r>
              <w:rPr>
                <w:b w:val="off"/>
                <w:color w:val="000000"/>
                <w:rFonts w:ascii="Times New Roman" w:hAnsi="Times New Roman" w:cs="Times New Roman" w:eastAsia="Times New Roman"/>
                <w:sz w:val="24"/>
              </w:rPr>
              <w:t>Upozornenie: Ustanovenie § 153 ods. 1 Obchodného zákonníka upravuje základné majetkové právo spoločníka na podiel zo zisku (dividendu):</w:t>
              <w:br/>
            </w:r>
            <w:r>
              <w:rPr>
                <w:b w:val="off"/>
                <w:color w:val="000000"/>
                <w:rFonts w:ascii="Times New Roman" w:hAnsi="Times New Roman" w:cs="Times New Roman" w:eastAsia="Times New Roman"/>
                <w:sz w:val="24"/>
              </w:rPr>
              <w:t>(„Spoločníci majú nárok na podiel zo zisku v pomere zodpovedajúcom ich splateným vkladom...“).</w:t>
              <w:br/>
            </w:r>
            <w:r>
              <w:rPr>
                <w:b w:val="off"/>
                <w:color w:val="000000"/>
                <w:rFonts w:ascii="Times New Roman" w:hAnsi="Times New Roman" w:cs="Times New Roman" w:eastAsia="Times New Roman"/>
                <w:sz w:val="24"/>
              </w:rPr>
              <w:t>Odsek 2 pritom upravuje nárok na likvidačný zostatok.</w:t>
              <w:br/>
            </w:r>
            <w:r>
              <w:rPr>
                <w:b w:val="off"/>
                <w:color w:val="000000"/>
                <w:rFonts w:ascii="Times New Roman" w:hAnsi="Times New Roman" w:cs="Times New Roman" w:eastAsia="Times New Roman"/>
                <w:sz w:val="24"/>
              </w:rPr>
              <w:t>Vypustenie odseku 1 by znamenalo, že Obchodný zákonník by pri spoločnosti s ručením obmedzeným úplne stratil výslovné zákonné pravidlo o práve na podiel na zisku a spôsobe jeho určenia. Ak táto úprava nemá prejsť do iného ustanovenia (§ 123 ObZ), ide o závažnú koncepčnú chybu, ktorá by v praxi spôsobila právny chaos pri rozdeľovaní zisku v s.r.o. Ponechať § 153 ods. 1 v platnom znení, resp.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Pripomienka k bodu 57 (Vypustenie celej Tretej časti ObZ – Obchodné záväzkové vzťahy)</w:t>
              <w:br/>
            </w:r>
            <w:r>
              <w:rPr>
                <w:b w:val="off"/>
                <w:color w:val="000000"/>
                <w:rFonts w:ascii="Times New Roman" w:hAnsi="Times New Roman" w:cs="Times New Roman" w:eastAsia="Times New Roman"/>
                <w:sz w:val="24"/>
              </w:rPr>
              <w:t>Bod 57 znie: „Tretia časť sa vypúšťa.“ (Ide o § 261 až § 755 ObZ, t. j. celú zmluvnú a záväzkovú časť Obchodného zákonníka).</w:t>
              <w:br/>
            </w:r>
            <w:r>
              <w:rPr>
                <w:b w:val="off"/>
                <w:color w:val="000000"/>
                <w:rFonts w:ascii="Times New Roman" w:hAnsi="Times New Roman" w:cs="Times New Roman" w:eastAsia="Times New Roman"/>
                <w:sz w:val="24"/>
              </w:rPr>
              <w:t>K tomuto bodu je nutné uplatniť zásadnú pripomienku k prechodným ustanoveniam (intertemporalite):</w:t>
              <w:br/>
            </w:r>
            <w:r>
              <w:rPr>
                <w:b w:val="off"/>
                <w:color w:val="000000"/>
                <w:rFonts w:ascii="Times New Roman" w:hAnsi="Times New Roman" w:cs="Times New Roman" w:eastAsia="Times New Roman"/>
                <w:sz w:val="24"/>
              </w:rPr>
              <w:t xml:space="preserve">V návrhu úplne chýbajú prechodné ustanovenia k zrušeniu tretej časti. Podľa akého predpisu sa budú spravovať:  </w:t>
              <w:br/>
            </w:r>
            <w:r>
              <w:rPr>
                <w:b w:val="off"/>
                <w:color w:val="000000"/>
                <w:rFonts w:ascii="Times New Roman" w:hAnsi="Times New Roman" w:cs="Times New Roman" w:eastAsia="Times New Roman"/>
                <w:sz w:val="24"/>
              </w:rPr>
              <w:t>obchodné zmluvy uzavreté pred dňom účinnosti tohto zákona (napr. zmluvy o dielo, kúpne zmluvy, bankové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plynutie premlčacích lehôt podľa doterajšieho § 397 (4-ročná premlčacia doba v obchodných vzťahoch)?</w:t>
              <w:br/>
            </w:r>
            <w:r>
              <w:rPr>
                <w:b w:val="off"/>
                <w:color w:val="000000"/>
                <w:rFonts w:ascii="Times New Roman" w:hAnsi="Times New Roman" w:cs="Times New Roman" w:eastAsia="Times New Roman"/>
                <w:sz w:val="24"/>
              </w:rPr>
              <w:t>zodpovednosť za škodu a úroky z omeškania dohodnuté podľa doterajšej úpravy?</w:t>
              <w:br/>
            </w:r>
            <w:r>
              <w:rPr>
                <w:b w:val="off"/>
                <w:color w:val="000000"/>
                <w:rFonts w:ascii="Times New Roman" w:hAnsi="Times New Roman" w:cs="Times New Roman" w:eastAsia="Times New Roman"/>
                <w:sz w:val="24"/>
              </w:rPr>
              <w:t>Bez podrobných prechodných ustanovení (ktoré potvrdia zachovanie doterajšieho režimu pre existujúce záväzky) by takáto derogácia spôsobila masívnu protiústavnosť z dôvodu porušenia právnej istoty a zákazu pravej retroaktivity.</w:t>
              <w:br/>
            </w:r>
            <w:r>
              <w:rPr>
                <w:b w:val="off"/>
                <w:color w:val="000000"/>
                <w:rFonts w:ascii="Times New Roman" w:hAnsi="Times New Roman" w:cs="Times New Roman" w:eastAsia="Times New Roman"/>
                <w:sz w:val="24"/>
              </w:rPr>
              <w:t>Taktiež zákonodarca podobnú záležitosť v Obchodnom zákonníku už spôsobil v súvislosti s novým z. č. 29/2026 z. z. o Obchodnom registri, kedy sám pri zmene formy právnych úkonov v Obchodnom zákonníku neuviedol prechodné ustanovenia pre nové formy listín, ktoré obsahujú formu notárskej zápisnice alebo autorizácie advokátom.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Bod 1 navrhujeme zmeniť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 6 sa za odsek 1 vkladá nový odsek 2, ktorý znie:</w:t>
              <w:br/>
            </w:r>
            <w:r>
              <w:rPr>
                <w:b w:val="off"/>
                <w:color w:val="000000"/>
                <w:rFonts w:ascii="Times New Roman" w:hAnsi="Times New Roman" w:cs="Times New Roman" w:eastAsia="Times New Roman"/>
                <w:sz w:val="24"/>
              </w:rPr>
              <w:t>„(2) Maloletý preukazuje splnenie všeobecnej podmienky prevádzkovania živnosti podľa odseku 1 písm. b) právoplatným rozhodnutím súdu, ktorým bol schválený súhlas jeho zákonného zástupcu na podnikanie podľa § 171 ods. 4 Občianskeho zákonníka; všeobecná podmienka prevádzkovania živnosti podľa odseku 1 písm. a) sa na neho nevzťahuje. “.</w:t>
              <w:br/>
            </w:r>
            <w:r>
              <w:rPr>
                <w:b w:val="off"/>
                <w:color w:val="000000"/>
                <w:rFonts w:ascii="Times New Roman" w:hAnsi="Times New Roman" w:cs="Times New Roman" w:eastAsia="Times New Roman"/>
                <w:sz w:val="24"/>
              </w:rPr>
              <w:t>Doterajšie odseky 2 až 5 sa označujú ako odseky 3 až 6.“</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spresniť navrhované znenie § 6 ods. 2 živnostenského zákona tak, aby osobitne upravovalo postavenie maloletého so súhlasom zákonného zástupcu na podnikanie schváleným súdom podľa § 171 ods. 4 Občianskeho zákonníka, vrátane výnimky z vekovej podmienky pre maloletého. Zároveň sa zavedením pojmu „maloletý“ zjednotí používaná terminológia s Občianskym zákonníkom a implementačným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2. navrhujeme vložiť nový bod 3, ktorý znie:</w:t>
              <w:br/>
            </w:r>
            <w:r>
              <w:rPr>
                <w:b w:val="off"/>
                <w:color w:val="000000"/>
                <w:rFonts w:ascii="Times New Roman" w:hAnsi="Times New Roman" w:cs="Times New Roman" w:eastAsia="Times New Roman"/>
                <w:sz w:val="24"/>
              </w:rPr>
              <w:t>„ 3. V § 11 ods. 2 sa na konci pripája veta, ktorá znie:</w:t>
              <w:br/>
            </w:r>
            <w:r>
              <w:rPr>
                <w:b w:val="off"/>
                <w:color w:val="000000"/>
                <w:rFonts w:ascii="Times New Roman" w:hAnsi="Times New Roman" w:cs="Times New Roman" w:eastAsia="Times New Roman"/>
                <w:sz w:val="24"/>
              </w:rPr>
              <w:t>„Na posudzovanie splnenia všeobecných podmienok prevádzkovania živnosti zodpovedným zástupcom sa § 6 ods. 2 nevzťahuje.“.</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novelizačný bod 1 sa navrhovaným bodom 3 vymedzí uplatnenie osobitného režimu pri zodpovednom zástupcovi.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3 navrhujeme vložiť nový bod 4, ktorý znie:</w:t>
              <w:br/>
            </w:r>
            <w:r>
              <w:rPr>
                <w:b w:val="off"/>
                <w:color w:val="000000"/>
                <w:rFonts w:ascii="Times New Roman" w:hAnsi="Times New Roman" w:cs="Times New Roman" w:eastAsia="Times New Roman"/>
                <w:sz w:val="24"/>
              </w:rPr>
              <w:t>„4. § 12  sa dopĺňa odsekom 3, ktorý znie:</w:t>
              <w:br/>
            </w:r>
            <w:r>
              <w:rPr>
                <w:b w:val="off"/>
                <w:color w:val="000000"/>
                <w:rFonts w:ascii="Times New Roman" w:hAnsi="Times New Roman" w:cs="Times New Roman" w:eastAsia="Times New Roman"/>
                <w:sz w:val="24"/>
              </w:rPr>
              <w:t>(3) Na maloletého, ktorému zákonný zástupca so schválením súdu udelil súhlas na podnikanie podľa § 171 ods. 4 Občianskeho zákonníka, sa odseky 1 a 2 nevzťahujú.“.</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doplnenie právnej úpravy, ktoré odlíši samostatné podnikanie maloletého na základe súhlasu zákonného zástupcu schváleného súdom od zastúpeného prevádzkovania živnosti podľa § 12 živnostenského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 xml:space="preserve">Za bod 4 navrhujeme vložiť nové body 5 a 6, ktoré znejú: </w:t>
              <w:br/>
            </w:r>
            <w:r>
              <w:rPr>
                <w:b w:val="off"/>
                <w:color w:val="000000"/>
                <w:rFonts w:ascii="Times New Roman" w:hAnsi="Times New Roman" w:cs="Times New Roman" w:eastAsia="Times New Roman"/>
                <w:sz w:val="24"/>
              </w:rPr>
              <w:t>„5.  § 13 odsek 1 znie:</w:t>
              <w:br/>
            </w:r>
            <w:r>
              <w:rPr>
                <w:b w:val="off"/>
                <w:color w:val="000000"/>
                <w:rFonts w:ascii="Times New Roman" w:hAnsi="Times New Roman" w:cs="Times New Roman" w:eastAsia="Times New Roman"/>
                <w:sz w:val="24"/>
              </w:rPr>
              <w:t>„(1) Ak fyzická osoba (živnostník) zomrie, môžu v živnosti pokračovať až do skončenia konania o dedičstve</w:t>
              <w:br/>
            </w:r>
            <w:r>
              <w:rPr>
                <w:b w:val="off"/>
                <w:color w:val="000000"/>
                <w:rFonts w:ascii="Times New Roman" w:hAnsi="Times New Roman" w:cs="Times New Roman" w:eastAsia="Times New Roman"/>
                <w:sz w:val="24"/>
              </w:rPr>
              <w:t>a) dedičia zo zákona, ak niet dedičov z dedičskej zmluvy alebo dedičov zo závetu,</w:t>
              <w:br/>
            </w:r>
            <w:r>
              <w:rPr>
                <w:b w:val="off"/>
                <w:color w:val="000000"/>
                <w:rFonts w:ascii="Times New Roman" w:hAnsi="Times New Roman" w:cs="Times New Roman" w:eastAsia="Times New Roman"/>
                <w:sz w:val="24"/>
              </w:rPr>
              <w:t>b) dedičia z dedičskej zmluvy alebo dedičia zo závetu a pozostalý manžel, aj keď nie je dedičom, ak je spoluvlastníkom majetku používaného na prevádzkovanie živnosti ,</w:t>
              <w:br/>
            </w:r>
            <w:r>
              <w:rPr>
                <w:b w:val="off"/>
                <w:color w:val="000000"/>
                <w:rFonts w:ascii="Times New Roman" w:hAnsi="Times New Roman" w:cs="Times New Roman" w:eastAsia="Times New Roman"/>
                <w:sz w:val="24"/>
              </w:rPr>
              <w:t>c) pozostalý manžel, ktorý spĺňa podmienku podľa písmena b), ak dedičia v živnosti nepokračujú,</w:t>
              <w:br/>
            </w:r>
            <w:r>
              <w:rPr>
                <w:b w:val="off"/>
                <w:color w:val="000000"/>
                <w:rFonts w:ascii="Times New Roman" w:hAnsi="Times New Roman" w:cs="Times New Roman" w:eastAsia="Times New Roman"/>
                <w:sz w:val="24"/>
              </w:rPr>
              <w:t>d) správca dedičstva ustanovený poručiteľom alebo súdom.“.“</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čl. XVIII o novelizačné body, ktorými sa pri zachovaní doterajšej koncepcie § 13 živnostenského zákona rozšíri okruh osôb oprávnených pokračovať v živnosti o dedičov z dedičskej zmluvy a správcu dedičstva ustanoveného poručiteľom. Doplnenie nadväzuje na zavedenie dedičskej zmluvy a úpravu správy dedičstva v Občianskom zákonníku. Jeho účelom je zabezpečiť pokračovanie v živnosti aj prostredníctvom nových kategórií oprávnených osôb a upraviť súvisiace povinnosti voči živnostenskému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13 odsek 2 znie:</w:t>
              <w:br/>
            </w:r>
            <w:r>
              <w:rPr>
                <w:b w:val="off"/>
                <w:color w:val="000000"/>
                <w:rFonts w:ascii="Times New Roman" w:hAnsi="Times New Roman" w:cs="Times New Roman" w:eastAsia="Times New Roman"/>
                <w:sz w:val="24"/>
              </w:rPr>
              <w:t>„(2) Pokračovanie v živnosti sú osoby uvedené v odseku 1 písm. a) až c) povinné oznámiť živnostenskému úradu v lehote jedného mesiaca od úmrtia podnikateľa. Ak v živnosti pokračuje viac osôb podľa odseku 1 písm. a) alebo písm. b), oznámenie podľa prvej vety podávajú spoločne. Správca dedičstva podľa odseku 1 písm. d) je povinný oznámiť živnostenskému úradu pokračovanie v živnosti do jedného mesiaca odo dňa vzniku jeho funkcie.“.“</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nadväzuje na zavedenie dedičskej zmluvy a úpravu správy dedičstva Občianskom zákonníku Jeho účelom je zabezpečiť pokračovanie v živnosti aj prostredníctvom nových kategórií oprávnených osôb a upraviť súvisiace povinnosti voči živnostenskému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6 navrhujeme vložiť nový bod 7,  ktorý znie:</w:t>
              <w:br/>
            </w:r>
            <w:r>
              <w:rPr>
                <w:b w:val="off"/>
                <w:color w:val="000000"/>
                <w:rFonts w:ascii="Times New Roman" w:hAnsi="Times New Roman" w:cs="Times New Roman" w:eastAsia="Times New Roman"/>
                <w:sz w:val="24"/>
              </w:rPr>
              <w:t>„7.  § 46 odsek 1 písm. b) znie:</w:t>
              <w:br/>
            </w:r>
            <w:r>
              <w:rPr>
                <w:b w:val="off"/>
                <w:color w:val="000000"/>
                <w:rFonts w:ascii="Times New Roman" w:hAnsi="Times New Roman" w:cs="Times New Roman" w:eastAsia="Times New Roman"/>
                <w:sz w:val="24"/>
              </w:rPr>
              <w:t>„b) preukáže, že má k nehnuteľnosti alebo jej časti, ktorej adresu uviedla ako miesto podnikania, vlastnícke právo alebo užívacie právo, ktoré užívanie nehnuteľnosti alebo jej časti ako miesta podnikania nevylučuje, alebo predloží písomný súhlas vlastníka nehnuteľnosti alebo jej časti s úradne osvedčeným podpisom alebo písomný súhlas väčšiny podielových spoluvlastníkov nehnuteľnosti alebo jej časti, ak ide o podielové spoluvlastníctvo, počítanej podľa veľkosti ich podielov s úradne osvedčenými podpismi so zápisom adresy nehnuteľnosti alebo jej časti ako miesta podnikania do živnostenského registra, ak je adresa miesta podnikania odlišná od miesta jej bydliska a právo na užívanie nehnuteľnosti alebo jej časti ako miesta podnikania nevyplýva z katastra nehnuteľností; zahraničná osoba preukáže oprávnenie užívať nehnuteľnosť, ktorej adresu uviedla ako miesto činnosti podniku zahraničnej osoby alebo miesto činnosti organizačnej zložky podniku zahraničnej osoby rovnakým spôsobom,“.“</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vypustenie § 2 ods. 3 druhej vety Obchodného zákonníka navrhujeme doplniť § 46 ods. 1 písm. b) živnostenského zákona o právne tituly a spôsob preukazovania oprávnenia užívať nehnuteľnosť ako miesto podnikania v rozsahu doterajšej úpravy podľa § 2 ods. 3 druhej vety Obchodného zákonníka. Zachovať sa majú výnimky pri totožnosti miesta podnikania s bydliskom a pri práve vyplývajúcom z katastra nehnuteľností, ako aj zodpovedajúca úprava pre zahraničné fyzické osoby. </w:t>
              <w:br/>
            </w:r>
            <w:r>
              <w:rPr>
                <w:b w:val="off"/>
                <w:color w:val="000000"/>
                <w:rFonts w:ascii="Times New Roman" w:hAnsi="Times New Roman" w:cs="Times New Roman" w:eastAsia="Times New Roman"/>
                <w:sz w:val="24"/>
              </w:rPr>
              <w:t>Doplnením sa zabezpečí kontinuita preukazovania oprávnenia užívať nehnuteľnosť po avizovanom vypustení príslušnej úpravy z Obchodného zákonníka a jednotný postup živnostenských úradov.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6 navrhujeme vložiť nový bod 7,  ktorý znie:</w:t>
              <w:br/>
            </w:r>
            <w:r>
              <w:rPr>
                <w:b w:val="off"/>
                <w:color w:val="000000"/>
                <w:rFonts w:ascii="Times New Roman" w:hAnsi="Times New Roman" w:cs="Times New Roman" w:eastAsia="Times New Roman"/>
                <w:sz w:val="24"/>
              </w:rPr>
              <w:t>„7.  § 46 odsek 1 písm. b) znie:</w:t>
              <w:br/>
            </w:r>
            <w:r>
              <w:rPr>
                <w:b w:val="off"/>
                <w:color w:val="000000"/>
                <w:rFonts w:ascii="Times New Roman" w:hAnsi="Times New Roman" w:cs="Times New Roman" w:eastAsia="Times New Roman"/>
                <w:sz w:val="24"/>
              </w:rPr>
              <w:t>„b) preukáže, že má k nehnuteľnosti alebo jej časti, ktorej adresu uviedla ako miesto podnikania, vlastnícke právo alebo užívacie právo, ktoré užívanie nehnuteľnosti alebo jej časti ako miesta podnikania nevylučuje, alebo predloží písomný súhlas vlastníka nehnuteľnosti alebo jej časti s úradne osvedčeným podpisom alebo písomný súhlas väčšiny podielových spoluvlastníkov nehnuteľnosti alebo jej časti, ak ide o podielové spoluvlastníctvo, počítanej podľa veľkosti ich podielov s úradne osvedčenými podpismi so zápisom adresy nehnuteľnosti alebo jej časti ako miesta podnikania do živnostenského registra, ak je adresa miesta podnikania odlišná od miesta jej bydliska a právo na užívanie nehnuteľnosti alebo jej časti ako miesta podnikania nevyplýva z katastra nehnuteľností; zahraničná osoba preukáže oprávnenie užívať nehnuteľnosť, ktorej adresu uviedla ako miesto činnosti podniku zahraničnej osoby alebo miesto činnosti organizačnej zložky podniku zahraničnej osoby rovnakým spôsobom,“.“</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vypustenie § 2 ods. 3 druhej vety Obchodného zákonníka navrhujeme doplniť § 46 ods. 1 písm. b) živnostenského zákona o právne tituly a spôsob preukazovania oprávnenia užívať nehnuteľnosť ako miesto podnikania v rozsahu doterajšej úpravy podľa § 2 ods. 3 druhej vety Obchodného zákonníka. Zachovať sa majú výnimky pri totožnosti miesta podnikania s bydliskom a pri práve vyplývajúcom z katastra nehnuteľností, ako aj zodpovedajúca úprava pre zahraničné fyzické osoby. </w:t>
              <w:br/>
            </w:r>
            <w:r>
              <w:rPr>
                <w:b w:val="off"/>
                <w:color w:val="000000"/>
                <w:rFonts w:ascii="Times New Roman" w:hAnsi="Times New Roman" w:cs="Times New Roman" w:eastAsia="Times New Roman"/>
                <w:sz w:val="24"/>
              </w:rPr>
              <w:t>Doplnením sa zabezpečí kontinuita preukazovania oprávnenia užívať nehnuteľnosť po avizovanom vypustení príslušnej úpravy z Obchodného zákonníka a jednotný postup živnostenských úradov.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7 navrhujeme vložiť nový bod 8, ktorý znie:</w:t>
              <w:br/>
            </w:r>
            <w:r>
              <w:rPr>
                <w:b w:val="off"/>
                <w:color w:val="000000"/>
                <w:rFonts w:ascii="Times New Roman" w:hAnsi="Times New Roman" w:cs="Times New Roman" w:eastAsia="Times New Roman"/>
                <w:sz w:val="24"/>
              </w:rPr>
              <w:t>„8.  V § 46 sa odsek 1 dopĺňa písmenom g), ktoré znie:</w:t>
              <w:br/>
            </w:r>
            <w:r>
              <w:rPr>
                <w:b w:val="off"/>
                <w:color w:val="000000"/>
                <w:rFonts w:ascii="Times New Roman" w:hAnsi="Times New Roman" w:cs="Times New Roman" w:eastAsia="Times New Roman"/>
                <w:sz w:val="24"/>
              </w:rPr>
              <w:t>„g) pripojí právoplatné rozhodnutie súdu, ktorým bol schválený súhlas jej zákonného zástupcu na podnikanie podľa § 171 ods. 4 Občianskeho zákonníka, ak ide o maloletého.“.</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novelizačný bod 1, ktorým sa umožňuje podnikať maloletým, sa na účely preukázania splnenia zákonných podmienok upravujú doklady predkladané pri ohlásení živnosti.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Za bod 8 navrhujeme vložiť nový bod 9,  ktorý znie:</w:t>
              <w:br/>
            </w:r>
            <w:r>
              <w:rPr>
                <w:b w:val="off"/>
                <w:color w:val="000000"/>
                <w:rFonts w:ascii="Times New Roman" w:hAnsi="Times New Roman" w:cs="Times New Roman" w:eastAsia="Times New Roman"/>
                <w:sz w:val="24"/>
              </w:rPr>
              <w:t>„9. V § 46 ods. 2 písm. b) znie:</w:t>
              <w:br/>
            </w:r>
            <w:r>
              <w:rPr>
                <w:b w:val="off"/>
                <w:color w:val="000000"/>
                <w:rFonts w:ascii="Times New Roman" w:hAnsi="Times New Roman" w:cs="Times New Roman" w:eastAsia="Times New Roman"/>
                <w:sz w:val="24"/>
              </w:rPr>
              <w:t>„b) preukáže, že má k nehnuteľnosti alebo jej časti, ktorej adresu uviedla ako sídlo, vlastnícke právo alebo užívacie právo, ktoré užívanie nehnuteľnosti alebo jej časti ako sídla nevylučuje alebo predloží písomný súhlas vlastníka nehnuteľnosti alebo jej časti s úradne osvedčeným podpisom alebo písomný súhlas väčšiny podielových spoluvlastníkov nehnuteľnosti alebo jej časti, ak ide o podielové spoluvlastníctvo k nehnuteľnosti alebo jej časti počítanej podľa veľkosti ich podielov s úradne osvedčenými podpismi so zápisom adresy nehnuteľnosti alebo jej časti ako sídla, okrem právnickej osoby, ktorá sa zapisuje do obchodného registra, to neplatí, ak právo na užívanie nehnuteľnosti alebo jej časti ako sídla vyplýva z katastra nehnuteľností; u zahraničnej osoby oprávnenie užívať nehnuteľnosť, ktorú uviedla ako miesto činnosti podniku zahraničnej osoby alebo miesto činnosti organizačnej zložky podniku zahraničnej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uplatňujeme ako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vypustenie § 2 ods. 3 druhej vety Obchodného zákonníka obdobne navrhujeme doplniť aj § 46 ods. 2 písm. b) živnostenského zákona o právne tituly a spôsob preukazovania oprávnenia užívať nehnuteľnosť aj pri právnických osobách, ktoré sa nezapisujú do obchodného registra. Doplnením sa zabezpečí kontinuita preukazovania oprávnenia užívať nehnuteľnosť po avizovanom vypustení príslušnej úpravy z Obchodného zákonníka a jednotný postup živnostenských úradov.</w:t>
              <w:br/>
            </w:r>
            <w:r>
              <w:rPr>
                <w:b w:val="off"/>
                <w:color w:val="000000"/>
                <w:rFonts w:ascii="Times New Roman" w:hAnsi="Times New Roman" w:cs="Times New Roman" w:eastAsia="Times New Roman"/>
                <w:sz w:val="24"/>
              </w:rPr>
              <w:t>Doterajšie novelizačné body 3 a 4 sa označujú ako body 10 a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XCVIII</w:t>
              <w:br/>
            </w:r>
            <w:r>
              <w:rPr>
                <w:b w:val="off"/>
                <w:color w:val="000000"/>
                <w:rFonts w:ascii="Times New Roman" w:hAnsi="Times New Roman" w:cs="Times New Roman" w:eastAsia="Times New Roman"/>
                <w:sz w:val="24"/>
              </w:rPr>
              <w:t>Navrhujeme v bode 28 na konci navrhovaného znenia § 110b doplniť túto vetu: „Maloletým dieťaťom sa na účely tohto zákona rozumie aj fyzická osoba mladšia ako 18 rokov podľa osobitného predpisu.17ba)“.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17ba znie:</w:t>
              <w:br/>
            </w:r>
            <w:r>
              <w:rPr>
                <w:b w:val="off"/>
                <w:color w:val="000000"/>
                <w:rFonts w:ascii="Times New Roman" w:hAnsi="Times New Roman" w:cs="Times New Roman" w:eastAsia="Times New Roman"/>
                <w:sz w:val="24"/>
              </w:rPr>
              <w:t>„17ba) Čl. 3 bod 6 nariadenia Európskeho parlamentu a Rady (EÚ) 2024/1348 zo 14. mája 2024, ktorým sa stanovuje spoločné konanie o medzinárodnej ochrane v Únii a zrušuje smernica 2013/32/EÚ.“.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novelizačnému bodu 28 navrhujeme úpravu definície maloletého dieťaťa. Uvedené súvisí s  pripomienkou k čl. CII (Zákon č. 305/2005 Z. z.), nakoľko podľa navrhovaného znenia by sa osobám mladším ako 18 rokov, ktoré nadobudli plnú spôsobilosť na právne úkony, už nemohol ustanoviť opatrovník/poručník podľa § 56 a § 60 tohto zákona v kontexte konania o udelenie medzinárodnej ochrany a ďalších konaní podľa zákona o medzinárodnej ochrane.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CII</w:t>
              <w:br/>
            </w:r>
            <w:r>
              <w:rPr>
                <w:b w:val="off"/>
                <w:color w:val="000000"/>
                <w:rFonts w:ascii="Times New Roman" w:hAnsi="Times New Roman" w:cs="Times New Roman" w:eastAsia="Times New Roman"/>
                <w:sz w:val="24"/>
              </w:rPr>
              <w:t>V bode 4, na konci navrhovaného znenia § 2 ods. 2 doplniť túto vetu: „Dieťa na účely tohto zákona je aj fyzická osoba mladšia ako 18 rokov podľa osobitného predpisu.3aaa)“.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3aaa znie:</w:t>
              <w:br/>
            </w:r>
            <w:r>
              <w:rPr>
                <w:b w:val="off"/>
                <w:color w:val="000000"/>
                <w:rFonts w:ascii="Times New Roman" w:hAnsi="Times New Roman" w:cs="Times New Roman" w:eastAsia="Times New Roman"/>
                <w:sz w:val="24"/>
              </w:rPr>
              <w:t>„3aaa) Čl. 3 bod 6 nariadenia Európskeho parlamentu a Rady (EÚ) 2024/1348 zo 14. mája 2024, ktorým sa stanovuje spoločné konanie o medzinárodnej ochrane v Únii a zrušuje smernica 2013/32/EÚ.“.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novelizačnému bodu 4 uvádzame, že zásadne nesúhlasíme s navrhovanou definíciou „dieťaťa“, z dôvodu, že táto definícia limituje tiež definíciu „maloletého bez sprievodu“ podľa § 2 tohto zákona, v zmysle ktorého opatrenia sociálnoprávnej ochrany detí a sociálnej kurately sa vykonávajú pre dieťa, ktoré nie je občanom Slovenskej republiky a nachádza sa na území Slovenskej republiky bez sprievodu rodiča alebo inej plnoletej fyzickej osoby. </w:t>
              <w:br/>
            </w:r>
            <w:r>
              <w:rPr>
                <w:b w:val="off"/>
                <w:color w:val="000000"/>
                <w:rFonts w:ascii="Times New Roman" w:hAnsi="Times New Roman" w:cs="Times New Roman" w:eastAsia="Times New Roman"/>
                <w:sz w:val="24"/>
              </w:rPr>
              <w:t xml:space="preserve">Na základe novo navrhovanej definície by sa za maloletého bez sprievodu nepovažoval cudzinec mladší ako 18 rokov, ktorý by (napríklad) uzavretím sobáša mimo územia Slovenskej republiky bol považovaný za osobu, ktorá nadobudla plnú spôsobilosť na právne úkony. Takáto úprava však nie je v súlade s čl. 3 bod 6 nariadenia Európskeho parlamentu a Rady (EÚ) 2024/1348 zo 14. mája 2024, ktorým sa stanovuje spoločné konanie o medzinárodnej ochrane v Únii a zrušuje smernica 2013/32/EÚ, v zmysle ktorého je „maloletá osoba“ je osoba mladšia ako 18 rokov, ktorý je štátnym príslušníkom tretej krajiny alebo osobou bez štátnej príslušnosti a v súlade s čl. 3 bod 7 tohto nariadenia a „maloletá osoba bez sprievodu“ je maloletá osoba, ktorá prichádza na územie členských štátov bez sprievodu dospelej osoby, ktorá je za ňu zodpovedná či už podľa práva alebo praxe dotknutého členského štátu, pokým nie je uvedená maloletá osoba skutočne prevzatá do starostlivosti takejto dospelej osoby, vrátane maloletej osoby, ktorá je ponechaná bez sprievodu po tom, ako vstúpila na územie členských štátov. Rovnaké definície sú upravené aj v smernici Európskeho parlamentu a Rady (EÚ) 2024/1346 zo 14. mája 2024, ktorou sa stanovujú normy pre príjem žiadateľov o medzinárodnú ochranu (prepracované znenie), ktoré upravujú prijímacie podmienky žiadateľov o udelenie medzinárodnej ochrany.    </w:t>
              <w:br/>
            </w:r>
            <w:r>
              <w:rPr>
                <w:b w:val="off"/>
                <w:color w:val="000000"/>
                <w:rFonts w:ascii="Times New Roman" w:hAnsi="Times New Roman" w:cs="Times New Roman" w:eastAsia="Times New Roman"/>
                <w:sz w:val="24"/>
              </w:rPr>
              <w:t>Aj takíto maloletí bez sprievodu by mali byť oprávnení na vykonávanie opatrení sociálnoprávnej ochrany detí a sociálnej kurately – v kontexte konania o udelenie medzinárodnej ochrany by išlo napríklad o podanie žiadosti o udelenie medzinárodnej ochrany prostredníctvom súdom ustanoveného opatrovníka/poručníka, účasť opatrovníka/poručníka na osobnom pohovore, poskytnutie materiálnych prijímacích podmienok pre maloletých bez sprievodu v zariadeniach sociálnoprávnej ochrany detí a sociálnej kurately a iné.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informatizáciu spoločnosti</w:t>
              <w:br/>
            </w:r>
            <w:r>
              <w:rPr>
                <w:b w:val="off"/>
                <w:color w:val="000000"/>
                <w:rFonts w:ascii="Times New Roman" w:hAnsi="Times New Roman" w:cs="Times New Roman" w:eastAsia="Times New Roman"/>
                <w:sz w:val="24"/>
              </w:rPr>
              <w:t>K analýze vplyvov na informatizáciu spoločnosti bod 6.3, analýze vplyvov na rozpočet verejnej správy, na zamestnanosť vo verejnej správe a financovanie návrhu a doložke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jednoznačne určiť, ktorá rozpočtová kapitola zabezpečí a uhradí mandátne certifikáty pre katastrálne odbory okresných úradov a ďalšie náklady spojené s novou rolou zapisovateľa. Navrhujeme uviesť, či a v akom rozsahu sú náklady Ministerstva vnútra Slovenskej republiky zahrnuté v sume 30 000 eur uvedenej v rozpočtovej analýze pri ÚGKK SR, a zosúladiť s tým príslušné tabuľky a texty analýz.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sú uvedené náklady zahrnuté v rámci rozpočtovej analýzy ÚGKK SR, navrhujeme v časti 6.3. analýzy vplyvov na informatizáciu spoločnosti text odkazujúci na Ministerstvo vnútra Slovenskej republiky „; mandátne certifikáty pre katastrálne odbory aj kapitola MV SR“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 6.3. analýzy vplyvov na informatizáciu spoločnosti výslovne uvádza pri mandátnych certifikátoch aj rozpočtovú kapitolu Ministerstva vnútra Slovenskej republiky. Rozpočtová analýza uvádza sumu 30 000 eur na hardvér a ročný poplatok za mandátne certifikáty v rámci opisu výdavkov ÚGKK SR.</w:t>
              <w:br/>
            </w:r>
            <w:r>
              <w:rPr>
                <w:b w:val="off"/>
                <w:color w:val="000000"/>
                <w:rFonts w:ascii="Times New Roman" w:hAnsi="Times New Roman" w:cs="Times New Roman" w:eastAsia="Times New Roman"/>
                <w:sz w:val="24"/>
              </w:rPr>
              <w:t xml:space="preserve">Podľa analýzy vplyvov na rozpočet verejnej správy, na zamestnanosť vo verejnej správe a financovanie návrhu je v časti 2.2.4. pre ÚGKK SR k výdavkom zo štátneho rozpočtu zahrnutého v kapitole ÚGKK SR uvedené, že je potrebná úprava na zabezpečenie novej roly zapisovateľa, kde sa predpokladajú bežné výdavky vo výške 30 000 eur v rámci podpoložky 630, ktoré zahŕňajú výdavky na potrebný hardvér a ročný poplatok za mandátne certifikáty.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zato, že v zmysle uvedeného je v časti 6.3. analýzy vplyvov na informatizáciu spoločnosti Ministerstvo vnútra Slovenskej republiky uvedené chybne.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bode 2 navrhujeme v § 2 ods. 1 za slovo „zapísaná“ vložiť slovo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bode 28 odporúčame slovo „likvidácií“ nahradiť slovom „likvidácii“.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bode 20 slovo „znenú“ na konci riadku nahradiť slovom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bode 28 v § 32 ods. 1 slová „len tak to ustanovuje tento zákon“ nahradiť slovami: „len ak to ustanovuje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bode 95 znenie § 178b slová na konci odseku „a iné relevantných skutočnostiach“ nahradiť slovami „a iné relevantné skutočnosti.“.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bode 97 navrhujeme ustanovenie § 179a „Náhoda“ vypustiť alebo nahradiť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„Zamestnanec zodpovedá za škodu spôsobenú náhodou, len ak dal k náhode svojím konaním podnet, najmä tým, že porušil právny predpis alebo úmyselne  chcel poškodil zariadenie, ktoré má náhodným škodám zabrániť.“.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 179a považujeme za vágne, vnášajúce do právneho systému aplikačnú neistotu ako u zamestnanca tak u zamestnávateľa. Aj pri  navrhovanom znení § 179a a ostatných paragrafov Zákonníka práce naďalej pritom dôkazné bremeno v tejto oblasti aplikácie práva ostáva na zamestnávateľovi. Pričom stále platí, že bez porušenia právnej povinnosti a bez zavinenia samotnej škody nevzniká právna zodpovednosť zamestnanca. </w:t>
              <w:br/>
            </w:r>
            <w:r>
              <w:rPr>
                <w:b w:val="off"/>
                <w:color w:val="000000"/>
                <w:rFonts w:ascii="Times New Roman" w:hAnsi="Times New Roman" w:cs="Times New Roman" w:eastAsia="Times New Roman"/>
                <w:sz w:val="24"/>
              </w:rPr>
              <w:t xml:space="preserve">Uvedené ustanovenie bolo zavedené do Zákonníka práce len z dôvodu rozšírenia zodpovednosti v Občianskom zákonníku (§ 643 ods. 1 a 2). Avšak úprava Občianskeho zákonníka je komplexnejšia, lebo pozostáva z dvoch ustanovení, pričom do Zákonníka práce bol prenesený len odsek 1. A práve dotknutý odsek 2 neprenesený do Zákonníka práce upravuje tú časť škody spôsobenej náhodou, ktorú nie je možné zamestnancovi pripísať, lebo sa na spôsobení škody podieľa aj náhoda, za ktorú podľa § 643 ods. 1 Občianskeho Zákonníka nikto nezodpovedá. </w:t>
              <w:br/>
            </w:r>
            <w:r>
              <w:rPr>
                <w:b w:val="off"/>
                <w:color w:val="000000"/>
                <w:rFonts w:ascii="Times New Roman" w:hAnsi="Times New Roman" w:cs="Times New Roman" w:eastAsia="Times New Roman"/>
                <w:sz w:val="24"/>
              </w:rPr>
              <w:t>Podľa § 177 ods. 1 Zákonníka práce zamestnávateľ je povinný svojim zamestnancom zabezpečovať také pracovné podmienky, aby mohli riadne plniť svoje pracovné úlohy bez ohrozenia života, zdravia a majetku. Ak zistí nedostatky, je povinný urobiť opatrenia na ich odstránenie.</w:t>
              <w:br/>
            </w:r>
            <w:r>
              <w:rPr>
                <w:b w:val="off"/>
                <w:color w:val="000000"/>
                <w:rFonts w:ascii="Times New Roman" w:hAnsi="Times New Roman" w:cs="Times New Roman" w:eastAsia="Times New Roman"/>
                <w:sz w:val="24"/>
              </w:rPr>
              <w:t>Podľa § 187 ods. 1 Zákonníka práce, ak škodu spôsobil porušením povinností aj zamestnávateľ, zamestnanec uhradí pomernú časť škody podľa miery svojho zavinenia.</w:t>
              <w:br/>
            </w:r>
            <w:r>
              <w:rPr>
                <w:b w:val="off"/>
                <w:color w:val="000000"/>
                <w:rFonts w:ascii="Times New Roman" w:hAnsi="Times New Roman" w:cs="Times New Roman" w:eastAsia="Times New Roman"/>
                <w:sz w:val="24"/>
              </w:rPr>
              <w:t xml:space="preserve">Navrhované ustanovenie § 179a predpokladá spôsobenie škody len v súčinnosti zamestnanca a náhody, nie zamestnávateľa. </w:t>
              <w:br/>
            </w:r>
            <w:r>
              <w:rPr>
                <w:b w:val="off"/>
                <w:color w:val="000000"/>
                <w:rFonts w:ascii="Times New Roman" w:hAnsi="Times New Roman" w:cs="Times New Roman" w:eastAsia="Times New Roman"/>
                <w:sz w:val="24"/>
              </w:rPr>
              <w:t xml:space="preserve">Domnievame sa, že navrhovaná úprava je nejednoznačná a bude spôsobovať aplikačné problémy, a to i vzhľadom na použité pojmy (zavinenie a zariadenie, ktoré má náhodným škodám zabrániť) a predstavuje nebezpečenstvo prenosu zodpovednosti za škodu na stranu zamestnanca, ktorý je slabšia strana pracovnoprávnych a obdobných pracovných vzťahoch.  Podľa zákona č. 55/2017 Z. z. o štátnej službe a o zmene a doplnení niektorých zákonov v znení neskorších predpisov a zákona č. 552/2003 Z. z. o výkone verejnej moci v znení neskorších predpisov sú služobné úrady a zamestnávatelia povinné požadovať od štátneho zamestnanca/zamestnanca náhradu škody. </w:t>
              <w:br/>
            </w:r>
            <w:r>
              <w:rPr>
                <w:b w:val="off"/>
                <w:color w:val="000000"/>
                <w:rFonts w:ascii="Times New Roman" w:hAnsi="Times New Roman" w:cs="Times New Roman" w:eastAsia="Times New Roman"/>
                <w:sz w:val="24"/>
              </w:rPr>
              <w:t>Príklad: Pod zavinením sa rozumie úmysel i nedbanlivosť. Zariadením, ktoré má náhodným škodám zabrániť môže byť aj kľučka, ktorou sa zatvára okno. Tá chráni pred škodou spôsobenou náhodou, napr. búrkou. V prípade že nie je kľučka funkčná, môže</w:t>
              <w:br/>
            </w:r>
            <w:r>
              <w:rPr>
                <w:b w:val="off"/>
                <w:color w:val="000000"/>
                <w:rFonts w:ascii="Times New Roman" w:hAnsi="Times New Roman" w:cs="Times New Roman" w:eastAsia="Times New Roman"/>
                <w:sz w:val="24"/>
              </w:rPr>
              <w:t xml:space="preserve">sa okno otvoriť a dážď následne poškodiť služobný notebook ležiaci na pracovnom stole pod oknom. Budovy mnohých služobných úradov (štátne a verejné budovy) majú osadené okná na konci ich životnosti. V takom prípade hrozí preklopenie zodpovednosti </w:t>
              <w:br/>
            </w:r>
            <w:r>
              <w:rPr>
                <w:b w:val="off"/>
                <w:color w:val="000000"/>
                <w:rFonts w:ascii="Times New Roman" w:hAnsi="Times New Roman" w:cs="Times New Roman" w:eastAsia="Times New Roman"/>
                <w:sz w:val="24"/>
              </w:rPr>
              <w:t xml:space="preserve">na samotného zamestnanca, ktorý okno privrie, lebo kľučka z dôvodu veku prestane fungovať, poškodenie nie je komu daný deň oznámiť, lebo je posledný na pracovisku </w:t>
              <w:br/>
            </w:r>
            <w:r>
              <w:rPr>
                <w:b w:val="off"/>
                <w:color w:val="000000"/>
                <w:rFonts w:ascii="Times New Roman" w:hAnsi="Times New Roman" w:cs="Times New Roman" w:eastAsia="Times New Roman"/>
                <w:sz w:val="24"/>
              </w:rPr>
              <w:t>a je mu možné škodu pripísať, lebo „dal k náhode svojím zavineným konaním podnet“.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bode 119. v treťom riadku slovo „vyplývajúce“ nahradiť slovom „vyplývajúcimi“.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XIX</w:t>
              <w:br/>
            </w:r>
            <w:r>
              <w:rPr>
                <w:b w:val="off"/>
                <w:color w:val="000000"/>
                <w:rFonts w:ascii="Times New Roman" w:hAnsi="Times New Roman" w:cs="Times New Roman" w:eastAsia="Times New Roman"/>
                <w:sz w:val="24"/>
              </w:rPr>
              <w:t>Navrhujeme vypustiť body 3 a 5.</w:t>
              <w:br/>
            </w:r>
            <w:r>
              <w:rPr>
                <w:b w:val="off"/>
                <w:color w:val="000000"/>
                <w:rFonts w:ascii="Times New Roman" w:hAnsi="Times New Roman" w:cs="Times New Roman" w:eastAsia="Times New Roman"/>
                <w:sz w:val="24"/>
              </w:rPr>
              <w:t>Zostávajúce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 prehodnotení navrhujeme ponechať znenie ustanovení bez zmeny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XXIII</w:t>
              <w:br/>
            </w:r>
            <w:r>
              <w:rPr>
                <w:b w:val="off"/>
                <w:color w:val="000000"/>
                <w:rFonts w:ascii="Times New Roman" w:hAnsi="Times New Roman" w:cs="Times New Roman" w:eastAsia="Times New Roman"/>
                <w:sz w:val="24"/>
              </w:rPr>
              <w:t xml:space="preserve">Navrhujeme znenie bodu 4 nahradiť týmto znením: </w:t>
              <w:br/>
            </w:r>
            <w:r>
              <w:rPr>
                <w:b w:val="off"/>
                <w:color w:val="000000"/>
                <w:rFonts w:ascii="Times New Roman" w:hAnsi="Times New Roman" w:cs="Times New Roman" w:eastAsia="Times New Roman"/>
                <w:sz w:val="24"/>
              </w:rPr>
              <w:t xml:space="preserve">„4. V § 18 ods. 6 sa slová „nie je plnoletá“ nahrádzajú slovami „nemá plnú spôsobilosť na právne úkony“ a slová „pozbavenú spôsobilosti na právne úkony, odovzdá túto osobu jej zákonnému zástupcovi“ sa nahrádzajú slovami „s obmedzenou spôsobilosťou na právne úkony, odovzdá túto osobu jej opatrovníkovi“.“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18 ods. 6 bolo potrebné upraviť v súlade so znením § 170 ods. 2 nového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nového Občianskeho zákonníka viaže na dosiahnutie 18 roku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XXIII</w:t>
              <w:br/>
            </w:r>
            <w:r>
              <w:rPr>
                <w:b w:val="off"/>
                <w:color w:val="000000"/>
                <w:rFonts w:ascii="Times New Roman" w:hAnsi="Times New Roman" w:cs="Times New Roman" w:eastAsia="Times New Roman"/>
                <w:sz w:val="24"/>
              </w:rPr>
              <w:t xml:space="preserve">Za bod 4 navrhujeme vložiť nový bod 5, ktorý znie: </w:t>
              <w:br/>
            </w:r>
            <w:r>
              <w:rPr>
                <w:b w:val="off"/>
                <w:color w:val="000000"/>
                <w:rFonts w:ascii="Times New Roman" w:hAnsi="Times New Roman" w:cs="Times New Roman" w:eastAsia="Times New Roman"/>
                <w:sz w:val="24"/>
              </w:rPr>
              <w:t xml:space="preserve">„5. V § 19 ods. 5 sa slová „osobu, ktorá nie je plnoletá“ nahrádzajú slovami „maloletého, ktorý nemá plnú spôsobilosť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19 ods. 5 bolo potrebné upraviť v súlade so znením § 170 ods. 2 nového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nového Občianskeho zákonníka viaže na dosiahnutie 18 roku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5 až 7 sa budú označovať ako body 6 až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je potrebné reflektovať na zmenu číslovania bodov novely a body 5 až 7 označovať ako body 6 až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w:t>
              <w:br/>
            </w:r>
            <w:r>
              <w:rPr>
                <w:b w:val="off"/>
                <w:color w:val="000000"/>
                <w:rFonts w:ascii="Times New Roman" w:hAnsi="Times New Roman" w:cs="Times New Roman" w:eastAsia="Times New Roman"/>
                <w:sz w:val="24"/>
              </w:rPr>
              <w:t>V § 2a, § 2b, § 2c a § 7 ods. 2 písm. b) sa slovo „plnoletosti“ nahrádza slovami „plnej spôsobilosti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 § 4 ods. 4</w:t>
              <w:br/>
            </w:r>
            <w:r>
              <w:rPr>
                <w:b w:val="off"/>
                <w:color w:val="000000"/>
                <w:rFonts w:ascii="Times New Roman" w:hAnsi="Times New Roman" w:cs="Times New Roman" w:eastAsia="Times New Roman"/>
                <w:sz w:val="24"/>
              </w:rPr>
              <w:t>V § 4 ods. 4 sa slová „Maloleté dieťa“ nahrádzajú slovom „Maloletý“.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 § 6 ods. 3 písm. a), h) a i)</w:t>
              <w:br/>
            </w:r>
            <w:r>
              <w:rPr>
                <w:b w:val="off"/>
                <w:color w:val="000000"/>
                <w:rFonts w:ascii="Times New Roman" w:hAnsi="Times New Roman" w:cs="Times New Roman" w:eastAsia="Times New Roman"/>
                <w:sz w:val="24"/>
              </w:rPr>
              <w:t>V § 6 ods. 3 písm. a), h) a i) sa slová „maloletých detí, aj keď neboli zahrnuté“ nahrádzajú slovami „maloletých, aj keď neboli zahrnutí“.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 § 6 ods. 5</w:t>
              <w:br/>
            </w:r>
            <w:r>
              <w:rPr>
                <w:b w:val="off"/>
                <w:color w:val="000000"/>
                <w:rFonts w:ascii="Times New Roman" w:hAnsi="Times New Roman" w:cs="Times New Roman" w:eastAsia="Times New Roman"/>
                <w:sz w:val="24"/>
              </w:rPr>
              <w:t>V § 6 ods. 5 sa slová „maloletého dieťaťa, ktoré“ nahrádzajú slovami „maloletého, ktorý“ a vypúšťa slovo „dieťaťu“.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w:t>
              <w:br/>
            </w:r>
            <w:r>
              <w:rPr>
                <w:b w:val="off"/>
                <w:color w:val="000000"/>
                <w:rFonts w:ascii="Times New Roman" w:hAnsi="Times New Roman" w:cs="Times New Roman" w:eastAsia="Times New Roman"/>
                <w:sz w:val="24"/>
              </w:rPr>
              <w:t>V § 7 ods. 2 písm. g) a h) a v § 11 ods. 2 písm. d) sa vypúšťa slovo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 § 11 ods. 5</w:t>
              <w:br/>
            </w:r>
            <w:r>
              <w:rPr>
                <w:b w:val="off"/>
                <w:color w:val="000000"/>
                <w:rFonts w:ascii="Times New Roman" w:hAnsi="Times New Roman" w:cs="Times New Roman" w:eastAsia="Times New Roman"/>
                <w:sz w:val="24"/>
              </w:rPr>
              <w:t>V § 11 ods. 5 sa za slovom „známi“ vypúšťa čiarka a slová „boli pozbavení spôsobilosti na právne úkony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w:t>
              <w:br/>
            </w:r>
            <w:r>
              <w:rPr>
                <w:b w:val="off"/>
                <w:color w:val="000000"/>
                <w:rFonts w:ascii="Times New Roman" w:hAnsi="Times New Roman" w:cs="Times New Roman" w:eastAsia="Times New Roman"/>
                <w:sz w:val="24"/>
              </w:rPr>
              <w:t>Za § 14 sa vkladá § 14a, ktorý znie:</w:t>
              <w:br/>
            </w:r>
            <w:r>
              <w:rPr>
                <w:b w:val="off"/>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Maloletým sa na účely tohto zákona rozumie maloleté dieťa, ktoré nemá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 bodu 1: Podľa súčasného Občianskeho zákonníka sa plná spôsobilosť na právne úkony nadobúda plnoletosťou,  pričom plnoletosť sa nadobúda dovŕšením 18. roku veku a pred dosiahnutím tohto veku sa plnoletosť nadobúda len uzavretím manželstva. </w:t>
              <w:br/>
            </w:r>
            <w:r>
              <w:rPr>
                <w:b w:val="off"/>
                <w:color w:val="000000"/>
                <w:rFonts w:ascii="Times New Roman" w:hAnsi="Times New Roman" w:cs="Times New Roman" w:eastAsia="Times New Roman"/>
                <w:sz w:val="24"/>
              </w:rPr>
              <w:t xml:space="preserve">Nový Občiansky zákonník túto koncepciu mení. Plnoletosť sa bude viazať výlučne na dovŕšenie 18. roku veku. Plnú spôsobilosť na právne úkony však bude možné nadobudnúť aj pred dosiahnutím plnoletosti, a to uzavretím manželstva alebo rozhodnutím súdu pri osobe staršej ako 16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bodom 2 až 5: Ustanovenia reagujú na novú terminológiu Občianskeho zákonníka. Občiansky zákonník nepoužíva spojenia typu „maloleté dieťa“, ale len pojem „maloletý“.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6: Občiansky  zákonník upúšťa pri úprave spôsobilosti fyzických osôb na právne úkony od „pozbavenia spôsobilosti na právne úkony“. V zásade už nebude možné zbaviť fyzickú osobu spôsobilosti na právne úkony v plnom rozsahu, ale ju „len“  v spôsobilosti na právne úkony obmedziť.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 Obdobne ako v novele zákona o rodine sa zavádza na účely zákona definícia maloletého.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w:t>
              <w:br/>
            </w:r>
            <w:r>
              <w:rPr>
                <w:b w:val="off"/>
                <w:color w:val="000000"/>
                <w:rFonts w:ascii="Times New Roman" w:hAnsi="Times New Roman" w:cs="Times New Roman" w:eastAsia="Times New Roman"/>
                <w:sz w:val="24"/>
              </w:rPr>
              <w:t>V poznámke pod čiarou k odkazu 10e sa slová „§ 27 ods. 2“ nahrádzajú slovami „§ 178“.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w:t>
              <w:br/>
            </w:r>
            <w:r>
              <w:rPr>
                <w:b w:val="off"/>
                <w:color w:val="000000"/>
                <w:rFonts w:ascii="Times New Roman" w:hAnsi="Times New Roman" w:cs="Times New Roman" w:eastAsia="Times New Roman"/>
                <w:sz w:val="24"/>
              </w:rPr>
              <w:t>V poznámke pod čiarou k odkazu 12 sa slová „§ 116“ nahrádzajú slovami „§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 § 18 ods. 4</w:t>
              <w:br/>
            </w:r>
            <w:r>
              <w:rPr>
                <w:b w:val="off"/>
                <w:color w:val="000000"/>
                <w:rFonts w:ascii="Times New Roman" w:hAnsi="Times New Roman" w:cs="Times New Roman" w:eastAsia="Times New Roman"/>
                <w:sz w:val="24"/>
              </w:rPr>
              <w:t>V § 18 ods. 4 sa slová „dovŕšení plnoletosti“ nahrádzajú slovami „nadobudnutí spôsobilosti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 § 19 ods. 7</w:t>
              <w:br/>
            </w:r>
            <w:r>
              <w:rPr>
                <w:b w:val="off"/>
                <w:color w:val="000000"/>
                <w:rFonts w:ascii="Times New Roman" w:hAnsi="Times New Roman" w:cs="Times New Roman" w:eastAsia="Times New Roman"/>
                <w:sz w:val="24"/>
              </w:rPr>
              <w:t>V § 19 ods. 7 sa slová „neplnoletú osobu, jej“ nahrádzajú slovami „maloletého, ktorý nemá plnú spôsobilosť na právne úkony, jeho“.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 § 21 ods. 3</w:t>
              <w:br/>
            </w:r>
            <w:r>
              <w:rPr>
                <w:b w:val="off"/>
                <w:color w:val="000000"/>
                <w:rFonts w:ascii="Times New Roman" w:hAnsi="Times New Roman" w:cs="Times New Roman" w:eastAsia="Times New Roman"/>
                <w:sz w:val="24"/>
              </w:rPr>
              <w:t>V § 21 ods. 3 sa vypúšťa slovo „neplnoletého“ a za slovo „cudzinca“ sa vkladajú slová „mladšieho ako 18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 § 23 ods. 4</w:t>
              <w:br/>
            </w:r>
            <w:r>
              <w:rPr>
                <w:b w:val="off"/>
                <w:color w:val="000000"/>
                <w:rFonts w:ascii="Times New Roman" w:hAnsi="Times New Roman" w:cs="Times New Roman" w:eastAsia="Times New Roman"/>
                <w:sz w:val="24"/>
              </w:rPr>
              <w:t>V § 23 ods. 4 druhej vete sa slová „neplnoletej osoby“ nahrádzajú slovom „dieťaťa“ a slovo „ktorej“ sa nahrádza slovom „ktorého“.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XXVIII § 27 ods. 4</w:t>
              <w:br/>
            </w:r>
            <w:r>
              <w:rPr>
                <w:b w:val="off"/>
                <w:color w:val="000000"/>
                <w:rFonts w:ascii="Times New Roman" w:hAnsi="Times New Roman" w:cs="Times New Roman" w:eastAsia="Times New Roman"/>
                <w:sz w:val="24"/>
              </w:rPr>
              <w:t>V § 27 ods. 4 sa slová „neplnoletá osoba staršia “ nahrádzajú slovami „maloletý starší“.“.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Ustanovenia reagujú na novú terminológiu Občianskeho zákonníka. Občiansky zákonník  nepoužíva spojenia typu „maloleté dieťa“, ale len pojem „maloletý“.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 XXXI</w:t>
              <w:br/>
            </w:r>
            <w:r>
              <w:rPr>
                <w:b w:val="off"/>
                <w:color w:val="000000"/>
                <w:rFonts w:ascii="Times New Roman" w:hAnsi="Times New Roman" w:cs="Times New Roman" w:eastAsia="Times New Roman"/>
                <w:sz w:val="24"/>
              </w:rPr>
              <w:t>K Čl. XXX návrhu zákona, ktorým sa novelizuje zákon Národnej rady Slovenskej republiky č. 145/1995 Z. z. o správnych poplatkoch v znení neskorších predpisov a čl. XXXI návrhu zákona, ktorým sa novelizuje zákon Národnej rady Slovenskej republiky č. 162/1995 Z. z. o katastri nehnuteľností a o  zápise vlastníckych a iných práv k nehnuteľnostiam (katastrálny zákon) v znení neskorších predpisov bodom 15 a 17 uplatňujeme nasledovnú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zosúladiť položku 11 sadzobníka správnych poplatkov, časť Splnomocnenie bod 3, s navrhovaným vypustením oznámenia podľa § 30 ods. 3 katastrálneho zákona. Ak sa zachová navrhované zrušenie oznámenia a zámer zrušiť súvisiacu zľavu, navrhujeme doplniť vypustenie uvedeného bodu sadzobníka. Zároveň navrhujeme upraviť prechodný poplatkový režim pri oznámeniach podaných pred nadobudnutím účinnosti zákona, na ktoré nadväzuje návrh na vklad podaný po nadobudnutí jeho účinnosti, a zosúladiť s prijatým riešením príslušné analýzy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 XXXI ruší oznámenie a mení číslovanie ustanovení § 30 katastrálneho zákona, avšak čl. XXX nemení ustanovenie sadzobníka správnych poplatkov, ktoré na predmetné oznámenie odkazuje. Zľava vo výške 15 eur je naďalej uvedená v časovej verzii zákona Národnej rady Slovenskej republiky č. 145/1995 Z. z. o správnych poplatkoch v účinnej od 1. septembra 2026. Rozpočtová analýza pritom už predpokladá zvýšenie príjmov v dôsledku zániku možnosti jej uplatnenia. Navrhované zosúladenie odstráni nesúlad medzi právnou úpravou a deklarovaným poplatkovým dôsledkom a zabezpečí právnu istotu pri podaniach uskutočnených na prelome účinnosti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 xml:space="preserve">V bode 34 navrhujeme v § 42 ods. 3 písm. r) nahradiť slová „v písmenách a) až l)“ slovami „v písmenách a) až q)“, aby sa povinnosť osvedčenia podpisu na plnomocenstve vzťahovala na všetky dotknuté osoby, ktorých podpisy podliehajú osvedčeniu podľa predchádzajúcich písmen uvedeného ustanovenia. Výnimky podľa navrhovaného § 42 ods. 4 zostávajú zachované.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Výpočet podpisov podliehajúcich osvedčeniu siaha po písm. q), avšak výslovné pravidlo pre podpis na plnomocenstve zahŕňa iba osoby podľa písm. a) až l). Nezahŕňa tak okrem iného manželov pri vysporiadaní spoločného imania podľa písm. n) ani záložcu podľa písm. o). Rozšírenie odkazu odstráni rozdiel v osobitnej katastrálnej úprave pri priamom konaní a konaní prostredníctvom zástupcu a predíde výkladovým pochybnostiam.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XXXIX</w:t>
              <w:br/>
            </w:r>
            <w:r>
              <w:rPr>
                <w:b w:val="off"/>
                <w:color w:val="000000"/>
                <w:rFonts w:ascii="Times New Roman" w:hAnsi="Times New Roman" w:cs="Times New Roman" w:eastAsia="Times New Roman"/>
                <w:sz w:val="24"/>
              </w:rPr>
              <w:t>Za úvodnú vetu žiadame vložiť nové body 1 a 2, ktoré znejú:</w:t>
              <w:br/>
            </w:r>
            <w:r>
              <w:rPr>
                <w:b w:val="off"/>
                <w:color w:val="000000"/>
                <w:rFonts w:ascii="Times New Roman" w:hAnsi="Times New Roman" w:cs="Times New Roman" w:eastAsia="Times New Roman"/>
                <w:sz w:val="24"/>
              </w:rPr>
              <w:t xml:space="preserve"> „1. Poznámka pod čiarou k odkazu 9 znie: </w:t>
              <w:br/>
            </w:r>
            <w:r>
              <w:rPr>
                <w:b w:val="off"/>
                <w:color w:val="000000"/>
                <w:rFonts w:ascii="Times New Roman" w:hAnsi="Times New Roman" w:cs="Times New Roman" w:eastAsia="Times New Roman"/>
                <w:sz w:val="24"/>
              </w:rPr>
              <w:t xml:space="preserve"> „9) § 4 Občianskeho zákonníka.“.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V § 48 ods. 7 sa slovo „maloletých“ vypúšťa a za slovo „detí“ sa vkladá čiarka a slová „ktoré nemajú plnú spôsobilosť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 až 44 sa navrhujeme označiť ako body 3 až 46.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dôvodovú správu o odôvodnenia k týmto zmenám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(Poznámka pod čiarou k odkazu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novú úpravu Občianskeho zákonníka bolo potrebné upraviť aj znenie poznámky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 48 ods. 7)</w:t>
              <w:br/>
            </w:r>
            <w:r>
              <w:rPr>
                <w:b w:val="off"/>
                <w:color w:val="000000"/>
                <w:rFonts w:ascii="Times New Roman" w:hAnsi="Times New Roman" w:cs="Times New Roman" w:eastAsia="Times New Roman"/>
                <w:sz w:val="24"/>
              </w:rPr>
              <w:t>Ustanovenie § 48 ods. 7 bolo potrebné zosúladiť so znením § 170 ods. 2 nového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nového Občianskeho zákonníka viaže na dosiahnutie 18 roku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vložením odôvodnení do dôvodovej správy žiadame prečíslovať jednotlivé body v znení odôvodnení.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bode 1 navrhujeme aktualizáciu odkazu na definíciu blízkej osoby podľa novej úpravy Občianskeho zákonníka. </w:t>
              <w:br/>
            </w:r>
            <w:r>
              <w:rPr>
                <w:b w:val="off"/>
                <w:color w:val="000000"/>
                <w:rFonts w:ascii="Times New Roman" w:hAnsi="Times New Roman" w:cs="Times New Roman" w:eastAsia="Times New Roman"/>
                <w:sz w:val="24"/>
              </w:rPr>
              <w:t>V bode 2 navrhujeme zmenu ustanovenia § 48 ods. 7 v súlade so znením § 170 ods. 2 nového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nového Občianskeho zákonníka viaže na dosiahnutie 18 roku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w:t>
              <w:br/>
            </w:r>
            <w:r>
              <w:rPr>
                <w:b w:val="off"/>
                <w:color w:val="000000"/>
                <w:rFonts w:ascii="Times New Roman" w:hAnsi="Times New Roman" w:cs="Times New Roman" w:eastAsia="Times New Roman"/>
                <w:sz w:val="24"/>
              </w:rPr>
              <w:t xml:space="preserve">Navrhujeme vypustiť bod 1. </w:t>
              <w:br/>
            </w:r>
            <w:r>
              <w:rPr>
                <w:b w:val="off"/>
                <w:color w:val="000000"/>
                <w:rFonts w:ascii="Times New Roman" w:hAnsi="Times New Roman" w:cs="Times New Roman" w:eastAsia="Times New Roman"/>
                <w:sz w:val="24"/>
              </w:rPr>
              <w:t>Zostávajúce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 prehodnotení navrhujeme ponechať znenie zákona č. 315/2001 Z. z.  bez zmeny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w:t>
              <w:br/>
            </w:r>
            <w:r>
              <w:rPr>
                <w:b w:val="off"/>
                <w:color w:val="000000"/>
                <w:rFonts w:ascii="Times New Roman" w:hAnsi="Times New Roman" w:cs="Times New Roman" w:eastAsia="Times New Roman"/>
                <w:sz w:val="24"/>
              </w:rPr>
              <w:t xml:space="preserve">Do návrhu zákona žiadame vložiť bod 7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 § 69 ods. 6 prvej vete sa slovo „maloletých“ vypúšťa a na konci sa pripája čiarka a tieto slová: „ktoré nemajú plnú spôsobilosť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Žiadame doplniť dôvodovú správu o odôvodnenia k tejto zmene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 (§ 69 ods. 6)</w:t>
              <w:br/>
            </w:r>
            <w:r>
              <w:rPr>
                <w:b w:val="off"/>
                <w:color w:val="000000"/>
                <w:rFonts w:ascii="Times New Roman" w:hAnsi="Times New Roman" w:cs="Times New Roman" w:eastAsia="Times New Roman"/>
                <w:sz w:val="24"/>
              </w:rPr>
              <w:t>Ustanovenie § 69 ods. 6 bolo potrebné zosúladiť so znením § 170 ods. 2 nového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nového Občianskeho zákonníka viaže na dosiahnutie 18 roku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vložením odôvodnenia do dôvodovej správy žiadame prečíslovať jednotlivé body v znení odôvodnení.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w:t>
              <w:br/>
            </w:r>
            <w:r>
              <w:rPr>
                <w:b w:val="off"/>
                <w:color w:val="000000"/>
                <w:rFonts w:ascii="Times New Roman" w:hAnsi="Times New Roman" w:cs="Times New Roman" w:eastAsia="Times New Roman"/>
                <w:sz w:val="24"/>
              </w:rPr>
              <w:t>Návrh zákona žiadame za bod 47 vložiť nový bod 48, ktorý znie:</w:t>
              <w:br/>
            </w:r>
            <w:r>
              <w:rPr>
                <w:b w:val="off"/>
                <w:color w:val="000000"/>
                <w:rFonts w:ascii="Times New Roman" w:hAnsi="Times New Roman" w:cs="Times New Roman" w:eastAsia="Times New Roman"/>
                <w:sz w:val="24"/>
              </w:rPr>
              <w:t xml:space="preserve">„48. V nadpise § 190 sa slovo „uzatváraní“ nahrádza slovom „uzavieraní“.“.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48 a 49 sa primerane prečíslujú na body 49 a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k bodom 11, 47 až 51 (predtým 10, 46 až 49) žiadame znenie „K bodom 10, 46 až 49“ (uvádzame pôvodné znenie) nahradiť znením „K bodom 11, 47 až 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terminológiou navrhovanou v texte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w:t>
              <w:br/>
            </w:r>
            <w:r>
              <w:rPr>
                <w:b w:val="off"/>
                <w:color w:val="000000"/>
                <w:rFonts w:ascii="Times New Roman" w:hAnsi="Times New Roman" w:cs="Times New Roman" w:eastAsia="Times New Roman"/>
                <w:sz w:val="24"/>
              </w:rPr>
              <w:t>V bode 49 (predtým 48) navrhujeme slová „§ 191 ods. 1 a 2“ nahradiť slovami „§ 191 ods. 1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Upravovaný pojem sa v § 191   nachádza v odsekoch 1, 3 a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w:t>
              <w:br/>
            </w:r>
            <w:r>
              <w:rPr>
                <w:b w:val="off"/>
                <w:color w:val="000000"/>
                <w:rFonts w:ascii="Times New Roman" w:hAnsi="Times New Roman" w:cs="Times New Roman" w:eastAsia="Times New Roman"/>
                <w:sz w:val="24"/>
              </w:rPr>
              <w:t>V bode 50 (predtým 49) navrhujeme slová „§ 191 ods. 3“ nahradiť slovami „§ 191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Upravovaný pojem sa v § 191 nachádza v odsekoch 1, 3 a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w:t>
              <w:br/>
            </w:r>
            <w:r>
              <w:rPr>
                <w:b w:val="off"/>
                <w:color w:val="000000"/>
                <w:rFonts w:ascii="Times New Roman" w:hAnsi="Times New Roman" w:cs="Times New Roman" w:eastAsia="Times New Roman"/>
                <w:sz w:val="24"/>
              </w:rPr>
              <w:t>V bode 1 žiadame navrhovaný text nahradiť znením:</w:t>
              <w:br/>
            </w:r>
            <w:r>
              <w:rPr>
                <w:b w:val="off"/>
                <w:color w:val="000000"/>
                <w:rFonts w:ascii="Times New Roman" w:hAnsi="Times New Roman" w:cs="Times New Roman" w:eastAsia="Times New Roman"/>
                <w:sz w:val="24"/>
              </w:rPr>
              <w:t xml:space="preserve">„V § 31 ods. 1 písm. b) desiatom bode a § 33 ods. 1 písm. b) siedmom bode sa vypúšťajú slová „bol pozbavený spôsobilosti na právne úkony alebo ktorým“.“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 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w:t>
              <w:br/>
            </w:r>
            <w:r>
              <w:rPr>
                <w:b w:val="off"/>
                <w:color w:val="000000"/>
                <w:rFonts w:ascii="Times New Roman" w:hAnsi="Times New Roman" w:cs="Times New Roman" w:eastAsia="Times New Roman"/>
                <w:sz w:val="24"/>
              </w:rPr>
              <w:t>Znenie bodu 5 žiadame nahradiť novým znením:</w:t>
              <w:br/>
            </w:r>
            <w:r>
              <w:rPr>
                <w:b w:val="off"/>
                <w:color w:val="000000"/>
                <w:rFonts w:ascii="Times New Roman" w:hAnsi="Times New Roman" w:cs="Times New Roman" w:eastAsia="Times New Roman"/>
                <w:sz w:val="24"/>
              </w:rPr>
              <w:t>„5. V § 110 ods. 2 písm. b) sa slová „spôsobilosti dieťaťa“ nahrádzajú slovami „plnej spôsobilosti maloletého“.“.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w:t>
              <w:br/>
            </w:r>
            <w:r>
              <w:rPr>
                <w:b w:val="off"/>
                <w:color w:val="000000"/>
                <w:rFonts w:ascii="Times New Roman" w:hAnsi="Times New Roman" w:cs="Times New Roman" w:eastAsia="Times New Roman"/>
                <w:sz w:val="24"/>
              </w:rPr>
              <w:t>Návrh zákona je potrebné doplniť o nový bod 6, ktorý znie:</w:t>
              <w:br/>
            </w:r>
            <w:r>
              <w:rPr>
                <w:b w:val="off"/>
                <w:color w:val="000000"/>
                <w:rFonts w:ascii="Times New Roman" w:hAnsi="Times New Roman" w:cs="Times New Roman" w:eastAsia="Times New Roman"/>
                <w:sz w:val="24"/>
              </w:rPr>
              <w:t xml:space="preserve">„6. V § 110 ods. 3 sa za slovo „nadobudnutí“ vkladá slovo „plnej“ a za slovo „spôsobilosti“ sa vkladá slovo „maloletého“.“.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6 až 9 je potrebné označiť ako body 7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v dôvodovej správe odôvodnenie k bodu 9 (pôvodné odôvodnenie k bodu 8) presunúť za odôvodnenie k bodu 5, pretože toto odôvodnenie navrhujeme použiť aj k bodu 6. Znenie „K bodu 8 (§ 120 ods. 4)“ (uvádzame pôvodné číslovanie) navrhujeme nahradiť znením „K bodom 6 a 9 (§ 110 ods. 3 a § 120 ods. 4)“ a priamo v texte odôvodnenia slová „Ustanovenie § 120 ods. 4“ navrhujeme nahradiť slovom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predloženom znení návrhu zákona dochádza aj k vecnej zmene zákonného ustanovenia, preto je potrebné ponechať pôvodné znenie a len terminologicky zjednotiť pojmy v záujme nepoužívania pojmu „dieťa“ reflektujúc na pojem „maloletý“ a nepoužívania pojmu  „spôsobilosť“ reflektujúc na pojem „plná spôsobilosť“.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w:t>
              <w:br/>
            </w:r>
            <w:r>
              <w:rPr>
                <w:b w:val="off"/>
                <w:color w:val="000000"/>
                <w:rFonts w:ascii="Times New Roman" w:hAnsi="Times New Roman" w:cs="Times New Roman" w:eastAsia="Times New Roman"/>
                <w:sz w:val="24"/>
              </w:rPr>
              <w:t xml:space="preserve">V bode 10 (doterajší bod 9) § 120 odsek 5 je potrebné slová „účastníkov služieb sociálneho zabezpečenia“ nahradiť slovami „žiadateľov o služby sociálneho zabezpečenia“.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so zákonným pojmoslovím.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w:t>
              <w:br/>
            </w:r>
            <w:r>
              <w:rPr>
                <w:b w:val="off"/>
                <w:color w:val="000000"/>
                <w:rFonts w:ascii="Times New Roman" w:hAnsi="Times New Roman" w:cs="Times New Roman" w:eastAsia="Times New Roman"/>
                <w:sz w:val="24"/>
              </w:rPr>
              <w:t>Za bod 6 navrhujeme vložiť nový bod 7, ktorý znie:</w:t>
              <w:br/>
            </w:r>
            <w:r>
              <w:rPr>
                <w:b w:val="off"/>
                <w:color w:val="000000"/>
                <w:rFonts w:ascii="Times New Roman" w:hAnsi="Times New Roman" w:cs="Times New Roman" w:eastAsia="Times New Roman"/>
                <w:sz w:val="24"/>
              </w:rPr>
              <w:t>„7. V § 16 ods. 2 písm. o) bode 2 a § 31 ods. 1 písm. c) bode 9 sa slovo „lehôt“ nahrádza slovom „dôb“.“.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lehoty a doby je potrebné rozlišovať podľa kritérií vyplývajúcich zo zákonných definícií „lehoty“ a „doby“ v rámci prvej časti Občianskeho zákonníka, bolo potrebné nahradiť pojem „lehôt uloženia“ pojmom „dôb uloženia“, nakoľko lepšie zodpovedá významu, ktorú pri dobe stanovuje Občiansky zákonník.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CXXXVII</w:t>
              <w:br/>
            </w:r>
            <w:r>
              <w:rPr>
                <w:b w:val="off"/>
                <w:color w:val="000000"/>
                <w:rFonts w:ascii="Times New Roman" w:hAnsi="Times New Roman" w:cs="Times New Roman" w:eastAsia="Times New Roman"/>
                <w:sz w:val="24"/>
              </w:rPr>
              <w:t>V Čl. CXXXVII návrhu zákona, ktorým sa novelizuje zákon č. 404/2011 Z. z. o pobyte cudzincov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bod 1 vložiť nové body 2 a 3 v znení:</w:t>
              <w:br/>
            </w:r>
            <w:r>
              <w:rPr>
                <w:b w:val="off"/>
                <w:color w:val="000000"/>
                <w:rFonts w:ascii="Times New Roman" w:hAnsi="Times New Roman" w:cs="Times New Roman" w:eastAsia="Times New Roman"/>
                <w:sz w:val="24"/>
              </w:rPr>
              <w:t xml:space="preserve">„2. V § 31 ods. 8 sa slová „dosiahol plnoletosť“ nahrádzajú slovami „nadobudol plnú spôsobilosť na právne úkony“ a slová „dosiahnutia plnoletosti“ nahrádzajú slovami „nadobudnutia plnej spôsobilosti na právne úkony“. </w:t>
              <w:br/>
            </w:r>
            <w:r>
              <w:rPr>
                <w:b w:val="off"/>
                <w:color w:val="000000"/>
                <w:rFonts w:ascii="Times New Roman" w:hAnsi="Times New Roman" w:cs="Times New Roman" w:eastAsia="Times New Roman"/>
                <w:sz w:val="24"/>
              </w:rPr>
              <w:t>3. V § 36 ods. 3 písm. f) sa slovo „plnoletosť“ nahrádza slovami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novom Občianskom zákonníku sa bude plnoletosť viazať výlučne na dovŕšenie 18. roku veku. Plnú spôsobilosť na právne úkony však bude možné nadobudnúť </w:t>
              <w:br/>
            </w:r>
            <w:r>
              <w:rPr>
                <w:b w:val="off"/>
                <w:color w:val="000000"/>
                <w:rFonts w:ascii="Times New Roman" w:hAnsi="Times New Roman" w:cs="Times New Roman" w:eastAsia="Times New Roman"/>
                <w:sz w:val="24"/>
              </w:rPr>
              <w:t>aj pred dosiahnutím plnoletosti, a to uzavretím manželstva alebo rozhodnutím súdu pri osobe staršej ako 16 rokov. V zákone č. 404/2011 Z. z. o pobyte cudzincov a o zmene a doplnení niektorých zákonov v znení neskorších predpisov bolo identifikovaných niekoľko ustanovení, kde zákon používa pojem plnoletá osoba. Vo vyššie uvedených prípadoch navrhujeme zohľadniť uplatnenie predmetných ustanovení aj dosiahnutím plnej spôsobilosti za právne úkony (sobáš osoby mladšej ako 18 rokov). V ostatných ustanoveniach navrhujeme ponechať pôvodné znenie, keďže pojem plnoletá osoba je v nich buď priamo alebo poukazom viazaná na pojem maloletý.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V bode 5 navrhujeme do § 32 ods. 9 doplniť výslovné právo štátneho zamestnanca písomne odvolať súhlas s elektronickým doručovaním a jednoznačne upraviť účinky takéhoto odvolania. Navrhujeme ustanoviť, aby odvolanie súhlasu nadobudlo účinnosť jeho doručením služobnému úradu a aby sa následné doručovanie uskutočňovalo podľa ostatných ustanovení príslušného paragrafu. Odvolanie súhlasu navrhujeme neviazať výlučne na použitie kvalifikovaného elektronického podpisu. Zároveň navrhujeme výslovne upraviť možnosť použitia ostatných zákonných spôsobov doručovania v prípade neúspešného elektronického doručenia a v dôvodovej správe objasniť právne účinky odvolania súhlasu vo vzťahu k už odoslaným písomnostiam.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ustanovuje spôsob uzavretia dohody o elektronickom doručovaní a požiadavku na elektronickú adresu mimo dispozície zamestnávateľa, avšak osobitne neupravuje právo zamestnanca odvolať udelený súhlas ani následný postup pri zmene spôsobu doručovania. Zamestnanec pritom môže stratiť prístup k určenej elektronickej adrese alebo k prostriedku na vytvorenie kvalifikovaného elektronického podpisu. Navrhované doplnenie má posilniť právnu istotu a ochranu zamestnanca pri dohodnutom elektronickom doručovaní, vrátane doručovania písomností týkajúcich sa skončenia pracovného alebo štátnozamestnaneckého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 xml:space="preserve">V bode 36. navrhujeme vypustiť z navrhovaného § 171 zákona o štátnej službe odkaz na § 186 ods. 5 Zákonníka práce, resp. inú vhodnú úpravu, ktorá jednoznačne vyjadrí, či služobný úrad/zamestnávateľ v prípade uvedenom v § 186 ods. 5 Zákonníka práce musí, alebo nemusí, od štátneho zamestnanca/zamestnanca vo verejnom záujme požadovať náhradu škody.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zákona č. 55/2017 Z. z. o štátnej službe a o zmene a doplnení niektorých zákonov v znení neskorších predpisov a zákona č. 552/2003 Z. z. o výkone verejnej moci v znení neskorších predpisov sú služobné úrady a zamestnávatelia povinní požadovať od štátneho zamestnanca/zamestnanca náhradu škody. </w:t>
              <w:br/>
            </w:r>
            <w:r>
              <w:rPr>
                <w:b w:val="off"/>
                <w:color w:val="000000"/>
                <w:rFonts w:ascii="Times New Roman" w:hAnsi="Times New Roman" w:cs="Times New Roman" w:eastAsia="Times New Roman"/>
                <w:sz w:val="24"/>
              </w:rPr>
              <w:t>Podľa navrhovaného znenia § 186 ods. 5 Zákonníka práce: „Od zamestnanca, ktorý vedome neupozornil vedúceho zamestnanca na hroziacu škodu alebo nezakročil proti hroziacej škode, hoci by sa tým zabránilo bezprostrednému vzniku škody, môže zamestnávateľ požadovať, aby prispel na úhradu majetkovej škody v rozsahu primeranom okolnostiam prípadu, ak ju nemožno uhradiť inak. Pritom sa prihliadne najmä na to, čo bránilo zamestnancovi splneniu povinnosti. Náhrada škody nesmie presiahnuť sumu rovnajúcu sa štvornásobku priemerného mesačného zárobku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w:t>
              <w:br/>
            </w:r>
            <w:r>
              <w:rPr>
                <w:b w:val="off"/>
                <w:color w:val="000000"/>
                <w:rFonts w:ascii="Times New Roman" w:hAnsi="Times New Roman" w:cs="Times New Roman" w:eastAsia="Times New Roman"/>
                <w:sz w:val="24"/>
              </w:rPr>
              <w:t xml:space="preserve">Navrhujeme, aby bod 2 znel: </w:t>
              <w:br/>
            </w:r>
            <w:r>
              <w:rPr>
                <w:b w:val="off"/>
                <w:color w:val="000000"/>
                <w:rFonts w:ascii="Times New Roman" w:hAnsi="Times New Roman" w:cs="Times New Roman" w:eastAsia="Times New Roman"/>
                <w:sz w:val="24"/>
              </w:rPr>
              <w:t xml:space="preserve">„2. V § 17 ods. 1 sa slová „maloletá osoba“ nahrádzajú slovom „maloletý, ktorý nemá plnú spôsobilosť na právne úkony (ďalej len „maloletý“)“ a slová „maloletej osoby“ sa nahrádzajú slovom „maloletého“.“.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bodu 2 bolo potrebné upraviť v súlade so znením § 170 ods. 2 Občianskeho zákonníka, ktorý ustanovuje, že plnú spôsobilosť na právne úkony môže nadobudnúť aj maloletý a to právoplatným rozhodnutím súdu o priznaní plnej spôsobilosti na právne úkony alebo uzavretím manželstva, a to ešte pred nadobudnutím plnoletosti, ktoré § 170 ods. 2 Občianskeho zákonníka viaže na dosiahnutie 18 roku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CCXXX</w:t>
              <w:br/>
            </w:r>
            <w:r>
              <w:rPr>
                <w:b w:val="off"/>
                <w:color w:val="000000"/>
                <w:rFonts w:ascii="Times New Roman" w:hAnsi="Times New Roman" w:cs="Times New Roman" w:eastAsia="Times New Roman"/>
                <w:sz w:val="24"/>
              </w:rPr>
              <w:t>Navrhujeme vložiť nové body 1, 2 a 3, ktoré znejú:</w:t>
              <w:br/>
            </w:r>
            <w:r>
              <w:rPr>
                <w:b w:val="off"/>
                <w:color w:val="000000"/>
                <w:rFonts w:ascii="Times New Roman" w:hAnsi="Times New Roman" w:cs="Times New Roman" w:eastAsia="Times New Roman"/>
                <w:sz w:val="24"/>
              </w:rPr>
              <w:t xml:space="preserve">„1. V § 2 písm. f) a písm. g) sa slová „maloletou osobou“ nahrádzajú slovom „maloletým“.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5 ods. 2 sa slová „maloletú osobu“ nahrádzajú slovom „maloletého“, slová „maloletej osoby“ sa nahrádzajú slovom „maloletého“, slová „maloletá osoba“ sa nahrádza slovom „maloletý“, slovo „porozumela“ sa nahrádza slovom „porozumel“ a za slovom „maloletým“ sa vypúšťa slovo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6 ods. 2 sa slová „maloletú osobu“ nahrádza slovom „maloletého“.“</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Občiansky zákonník nepoužíva spojenia typu „maloletá osoba“ ale len pojem „maloletý“. Uvedené ustanovenia bolo preto potrebné terminologicky zjednotiť s Občianskym zákonníkom.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CCXXX</w:t>
              <w:br/>
            </w:r>
            <w:r>
              <w:rPr>
                <w:b w:val="off"/>
                <w:color w:val="000000"/>
                <w:rFonts w:ascii="Times New Roman" w:hAnsi="Times New Roman" w:cs="Times New Roman" w:eastAsia="Times New Roman"/>
                <w:sz w:val="24"/>
              </w:rPr>
              <w:t xml:space="preserve">V bode 4 navrhujeme pre nadbytočnosť vypustiť slová „v ktorom 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w:t>
              <w:br/>
            </w:r>
            <w:r>
              <w:rPr>
                <w:b w:val="off"/>
                <w:color w:val="000000"/>
                <w:rFonts w:ascii="Times New Roman" w:hAnsi="Times New Roman" w:cs="Times New Roman" w:eastAsia="Times New Roman"/>
                <w:sz w:val="24"/>
              </w:rPr>
              <w:t xml:space="preserve">Navrhujeme doplniť do vlastného materiálu nový článok  „XY“, ktorým sa má zabezpečiť nadväznosť právnej úpravy na nový Občiansky zákonník. Navrhujeme vložiť nový článok za príslušný článok návrhu zákona, pričom jeho systematické chronologické zaradenie do vlastného materiálu, ako aj s tým súvisiace prečíslovanie nasledujúcich článkov ponechávame na predkladateľa návrhu zákona. Navrhujeme doplniť nový článok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253/1998 Z. z. o hlásení pobytu občanov Slovenskej republiky a registri obyvateľov Slovenskej republiky v znení zákona č. 369/1999 Z. z., zákona č. 441/2001 Z. z., zákona č. 660/2002 Z. z., zákona č. 174/2004 Z. z., zákona č. 215/2004 Z. z., zákona č. 454/2004 Z. z., zákona č. 523/2004 Z. z., zákona č. 224/2006 Z. z., zákona č. 335/2007 Z. z., zákona č. 216/2008 Z. z., zákona č. 49/2012 Z. z., zákona č. 190/2013 Z. z., zákona č. 335/2014 Z. z., zákona č. 125/2015 Z. z., zákona č. 125/2016 Z. z., zákona č. 254/2016 Z. z., zákona č. 177/2018 Z. z., zákona č. 211/2019 Z. z., zákona č. 234/2019 Z. z., zákona č. 395/2019 Z. z., zákona č. 310/2021 Z. z., zákona č. 101/2022 Z. z., zákona č. 222/2022 Z. z., zákona č. 122/2023 Z. z., zákona č. 160/2024 Z. z., zákona č. 260/2025 Z. z., zákona č. 312/2025 Z. z., zákona č. 116/2026 a zákona č. 128/2026 Z. z. sa mení a dopĺňa takto:</w:t>
              <w:br/>
            </w:r>
            <w:r>
              <w:rPr>
                <w:b w:val="off"/>
                <w:color w:val="000000"/>
                <w:rFonts w:ascii="Times New Roman" w:hAnsi="Times New Roman" w:cs="Times New Roman" w:eastAsia="Times New Roman"/>
                <w:sz w:val="24"/>
              </w:rPr>
              <w:t>1. V § 4 ods. 1 a ods. 2 sa vypúšťajú slová „ktorý je pozbavený spôsobilosti na právne úkony alebo“.</w:t>
              <w:br/>
            </w:r>
            <w:r>
              <w:rPr>
                <w:b w:val="off"/>
                <w:color w:val="000000"/>
                <w:rFonts w:ascii="Times New Roman" w:hAnsi="Times New Roman" w:cs="Times New Roman" w:eastAsia="Times New Roman"/>
                <w:sz w:val="24"/>
              </w:rPr>
              <w:t>2. Poznámka pod čiarou k odkazu 5a znie:</w:t>
              <w:br/>
            </w:r>
            <w:r>
              <w:rPr>
                <w:b w:val="off"/>
                <w:color w:val="000000"/>
                <w:rFonts w:ascii="Times New Roman" w:hAnsi="Times New Roman" w:cs="Times New Roman" w:eastAsia="Times New Roman"/>
                <w:sz w:val="24"/>
              </w:rPr>
              <w:t>„5a) § 294 ods. 3 a § 927 ods. 1 zákona č. 260/2026 Z. z. Občiansky zákonník.“.</w:t>
              <w:br/>
            </w:r>
            <w:r>
              <w:rPr>
                <w:b w:val="off"/>
                <w:color w:val="000000"/>
                <w:rFonts w:ascii="Times New Roman" w:hAnsi="Times New Roman" w:cs="Times New Roman" w:eastAsia="Times New Roman"/>
                <w:sz w:val="24"/>
              </w:rPr>
              <w:t>3. V § 7 ods. 2 písm. b) sa slová „bezpodielového spoluvlastníctva“ nahrádzajú slovami „spoločného imania“.</w:t>
              <w:br/>
            </w:r>
            <w:r>
              <w:rPr>
                <w:b w:val="off"/>
                <w:color w:val="000000"/>
                <w:rFonts w:ascii="Times New Roman" w:hAnsi="Times New Roman" w:cs="Times New Roman" w:eastAsia="Times New Roman"/>
                <w:sz w:val="24"/>
              </w:rPr>
              <w:t>4. Poznámka pod čiarou k odkazu 9) znie:</w:t>
              <w:br/>
            </w:r>
            <w:r>
              <w:rPr>
                <w:b w:val="off"/>
                <w:color w:val="000000"/>
                <w:rFonts w:ascii="Times New Roman" w:hAnsi="Times New Roman" w:cs="Times New Roman" w:eastAsia="Times New Roman"/>
                <w:sz w:val="24"/>
              </w:rPr>
              <w:t>„9) § 957 až 961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osobitnej časti dôvodovej správy k príslušnému článku navrhujeme uviesť nasledovné:</w:t>
              <w:br/>
            </w:r>
            <w:r>
              <w:rPr>
                <w:b w:val="off"/>
                <w:color w:val="000000"/>
                <w:rFonts w:ascii="Times New Roman" w:hAnsi="Times New Roman" w:cs="Times New Roman" w:eastAsia="Times New Roman"/>
                <w:sz w:val="24"/>
              </w:rPr>
              <w:t>K bodu 1 [§ 4 ods. a ods. 2]</w:t>
              <w:br/>
            </w:r>
            <w:r>
              <w:rPr>
                <w:b w:val="off"/>
                <w:color w:val="000000"/>
                <w:rFonts w:ascii="Times New Roman" w:hAnsi="Times New Roman" w:cs="Times New Roman" w:eastAsia="Times New Roman"/>
                <w:sz w:val="24"/>
              </w:rPr>
              <w:t>Navrhovaná právna úprava zosúlaďuje znenie zákona s právnym stavom v Slovenskej republike, vzhľadom na skutočnosť, že nový Občiansky zákonník bol vyhlásený v Zbierke zákonov. Jednou zo zmien je zrušenie možnosti úplne pozbaviť človeka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a 4 [§ 7 ods. 1 písm. e), § 24 ods. 1]</w:t>
              <w:br/>
            </w:r>
            <w:r>
              <w:rPr>
                <w:b w:val="off"/>
                <w:color w:val="000000"/>
                <w:rFonts w:ascii="Times New Roman" w:hAnsi="Times New Roman" w:cs="Times New Roman" w:eastAsia="Times New Roman"/>
                <w:sz w:val="24"/>
              </w:rPr>
              <w:t>Aktualizácia poznámky pod čiarou v súvislosti s prijatím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 [§ 7 ods. 2 písm. b)]</w:t>
              <w:br/>
            </w:r>
            <w:r>
              <w:rPr>
                <w:b w:val="off"/>
                <w:color w:val="000000"/>
                <w:rFonts w:ascii="Times New Roman" w:hAnsi="Times New Roman" w:cs="Times New Roman" w:eastAsia="Times New Roman"/>
                <w:sz w:val="24"/>
              </w:rPr>
              <w:t>Navrhovaná právna úprava zosúlaďuje znenie zákona s právnym stavom v Slovenskej republike, vzhľadom na skutočnosť, že nový Občiansky zákonník bol vyhlásený v Zbierke zákonov. V tejto súvislosti bezpodielové vlastníctvo manželov nahrádza spoločné imanie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súvislosti s navrhovanou zmenou koncepcie nadobúdania plnej spôsobilosti na právne úkony podľa nového Občianskeho zákonníka odporúčame upraviť ustanovenia § 5b ods. 4 a prílohy č. 2 deviateho bodu zákona č. 153/2013 Z. z. o národnom zdravotníckom informačnom systéme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5b ods. 4 upravuje postup v prípade nesúhlasu ženy so zasielaním údajov o tehotenstve Sociálnej poisťovni a Úradu práce, sociálnych vecí a rodiny, pričom za neplnoletú osobu môže tento nesúhlas vyjadriť, prípadne odvolať, jej zákonný zástupca, opatrovník alebo iná osoba na základe rozhodnutia príslušného orgánu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prílohe č. 2 deviatom bode sa v rámci záznamu o poskytnutej ambulantnej zdravotnej starostlivosti upravuje evidovanie údajov o dátume a čase udelenia a podpísania písomného informovaného súhlasu po predchádzajúcom poučení zákonného zástupcu neplnoletej ženy žiadajúcej o umelé prerušenie tehotenstva podľa § 6b ods. 5 zákona  č. 576/2004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navrhované zmeny v koncepcii nadobúdania plnej spôsobilosti na právne úkony môže dôjsť k situácii, keď osoba, ktorá nadobudla plnú spôsobilosť na právne úkony pred dovŕšením 18. roku veku, či už príslušným rozhodnutím alebo uzavretím manželstva, bude v uvedených prípadoch naďalej potrebovať vyjadrenie súhlasu alebo nesúhlasu svojho zákonného zástupcu.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odporúčame vykonať príslušné legislatívne úpravy dotknutých ustanovení zákona č. 153/2013 Z. z. v nadväznosti na navrhovanú právnu úpravu nového Občianskeho zákonníka tak, aby bol zachovaný účel právnej úpravy vyplývajúci z aktuálne účinného znenia zákona č. 153/2013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dotknutých ustanovení zákona č. 153/2013 Z. z. s navrhovanými zmenami v koncepcii nadobúdania plnej spôsobilosti na právne úkony podľa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19 § 15 zákon č. 311/2001 Z. z.</w:t>
              <w:br/>
            </w:r>
            <w:r>
              <w:rPr>
                <w:b w:val="off"/>
                <w:color w:val="000000"/>
                <w:rFonts w:ascii="Times New Roman" w:hAnsi="Times New Roman" w:cs="Times New Roman" w:eastAsia="Times New Roman"/>
                <w:sz w:val="24"/>
              </w:rPr>
              <w:t xml:space="preserve">V čl. III bode 19 § 15 zákona č. 311/2001 Z. z. Zákonník práce odporúčame spresniť, že zákaz uskutočňovania právnych úkonov prostredníctvom automatizovaného systému nebráni používaniu personálnych, dochádzkových a plánovacích systémov, ak právny úkon schváli oprávnená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Predísť širokému výkladu, ktorý by spochybňoval elektronické schvaľovanie dovoleniek alebo iných personálnych úkonov v nemocniciach. Samotná elektronická evidencia dochádzky týmto zákazom automaticky zakázaná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33 § 38 ods. 6 zákon č. 311/2001 Z. z.</w:t>
              <w:br/>
            </w:r>
            <w:r>
              <w:rPr>
                <w:b w:val="off"/>
                <w:color w:val="000000"/>
                <w:rFonts w:ascii="Times New Roman" w:hAnsi="Times New Roman" w:cs="Times New Roman" w:eastAsia="Times New Roman"/>
                <w:sz w:val="24"/>
              </w:rPr>
              <w:t xml:space="preserve">V čl. III bode 33 § 38 ods. 6 zákona č. 311/2001 Z. z. Zákonník práce odporúčame upraviť spôsob odvolania dohody o elektronickom doručovaní, zmenu určenej adresy a postup pri preukázateľnej technickej nedoručiteľnosti.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Nemocnice potrebujú jednoznačný postup a preukázateľný okamih doručenia najmä pri písomnostiach týkajúcich sa skončenia pracovného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20 § 11 ods. 1 zákon č. 278/1993 Z. z.</w:t>
              <w:br/>
            </w:r>
            <w:r>
              <w:rPr>
                <w:b w:val="off"/>
                <w:color w:val="000000"/>
                <w:rFonts w:ascii="Times New Roman" w:hAnsi="Times New Roman" w:cs="Times New Roman" w:eastAsia="Times New Roman"/>
                <w:sz w:val="24"/>
              </w:rPr>
              <w:t xml:space="preserve">V čl. XXI bode 20 § 11 ods. 1 zákona č. 278/1993 Z. z. o správe majetku štátu odporúčame umožniť odôvodnené predĺženie lehoty na prevzatie majetku kupujúcim, pri zachovaní ochrany štátu pred nákladmi, keďže podľa navrhovanej právnej úpravy je správca povinný odstúpiť od zmluvy, ak kupujúci neprevezme majetok do desiatich dní od dohodnutého termínu.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odpredaji vyradenej zdravotníckej techniky môže byť potrebná odborná demontáž alebo osobitná preprava. Povinné odstúpenie bez možnosti zohľadniť tieto okolnosti môže byť nehospodárne.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bodu 38 § 9 ods. 3</w:t>
              <w:br/>
            </w:r>
            <w:r>
              <w:rPr>
                <w:b w:val="off"/>
                <w:color w:val="000000"/>
                <w:rFonts w:ascii="Times New Roman" w:hAnsi="Times New Roman" w:cs="Times New Roman" w:eastAsia="Times New Roman"/>
                <w:sz w:val="24"/>
              </w:rPr>
              <w:t>Odporúčame doplniť navrhované ustanovenie tak, aby jednoznačne upravovalo podmienky zverejňovania osobných údajov vlastníkov bytov a nebytových priestorov s nedoplatkami, najmä dobu zverejnenia, aktualizáciu údajov a spôsob zabezpečenia ich sprístupnenia výlučne v rozsahu nevyhnutnom na dosiahnutie sledovaného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správcovi alebo spoločenstvu zverejňovať meno, priezvisko vlastníka a sumu nedoplatku na mieste obvyklom na oznamovanie informácií v dome, ak nedoplatok dosiahne ustanovenú hranicu.</w:t>
              <w:br/>
            </w:r>
            <w:r>
              <w:rPr>
                <w:b w:val="off"/>
                <w:color w:val="000000"/>
                <w:rFonts w:ascii="Times New Roman" w:hAnsi="Times New Roman" w:cs="Times New Roman" w:eastAsia="Times New Roman"/>
                <w:sz w:val="24"/>
              </w:rPr>
              <w:t>Hoci návrh ustanovuje účel, rozsah údajov a podmienku výšky nedoplatku, výslovne nerieši dobu zverejnenia ani povinnosť bezodkladnej aktualizácie alebo odstránenia údajov po úhrade nedoplatku.</w:t>
              <w:br/>
            </w:r>
            <w:r>
              <w:rPr>
                <w:b w:val="off"/>
                <w:color w:val="000000"/>
                <w:rFonts w:ascii="Times New Roman" w:hAnsi="Times New Roman" w:cs="Times New Roman" w:eastAsia="Times New Roman"/>
                <w:sz w:val="24"/>
              </w:rPr>
              <w:t>Vzhľadom na čl. 5 ods. 1 písm. c), d), e) a f) GDPR je potrebné zabezpečiť, aby boli zverejňované údaje primerané, presné, aktuálne a uchovávané vo forme umožňujúcej identifikáciu dotknutých osôb iba počas nevyhnutnej doby.</w:t>
              <w:br/>
            </w:r>
            <w:r>
              <w:rPr>
                <w:b w:val="off"/>
                <w:color w:val="000000"/>
                <w:rFonts w:ascii="Times New Roman" w:hAnsi="Times New Roman" w:cs="Times New Roman" w:eastAsia="Times New Roman"/>
                <w:sz w:val="24"/>
              </w:rPr>
              <w:t>Odporúčame tiež posúdiť, či umiestnenie zoznamu umožňuje prístup aj osobám, ktoré nie sú vlastníkmi bytov alebo nebytových priestorov v dome, a či je takéto sprístupnenie nevyhnutné vzhľadom na deklarovaný účel ochrany majetku vlastníkov.</w:t>
              <w:br/>
            </w:r>
            <w:r>
              <w:rPr>
                <w:b w:val="off"/>
                <w:color w:val="000000"/>
                <w:rFonts w:ascii="Times New Roman" w:hAnsi="Times New Roman" w:cs="Times New Roman" w:eastAsia="Times New Roman"/>
                <w:sz w:val="24"/>
              </w:rPr>
              <w:t>Navrhované doplnenie ustanovenia:</w:t>
              <w:br/>
            </w:r>
            <w:r>
              <w:rPr>
                <w:b w:val="off"/>
                <w:color w:val="000000"/>
                <w:rFonts w:ascii="Times New Roman" w:hAnsi="Times New Roman" w:cs="Times New Roman" w:eastAsia="Times New Roman"/>
                <w:sz w:val="24"/>
              </w:rPr>
              <w:t>„Zoznam podľa tretej vety sa aktualizuje bez zbytočného odkladu po zmene rozhodujúcich skutočností. Údaje o vlastníkovi sa zo zoznamu odstránia bez zbytočného odkladu po zániku podmienok na ich zverejnenie. Správca alebo spoločenstvo zabezpečí, aby spôsob zverejnenia neumožňoval neprimerané sprístupnenie osobných údajov tretím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CLXXI a čl. CCXXIII</w:t>
              <w:br/>
            </w:r>
            <w:r>
              <w:rPr>
                <w:b w:val="off"/>
                <w:color w:val="000000"/>
                <w:rFonts w:ascii="Times New Roman" w:hAnsi="Times New Roman" w:cs="Times New Roman" w:eastAsia="Times New Roman"/>
                <w:sz w:val="24"/>
              </w:rPr>
              <w:t>Odporúčame doplniť ustanovenia o výslovnú povinnosť veriteľa zabezpečiť, aby poskytnuté kópie zmlúv a súvisiacich dokumentov neobsahovali osobné údaje, ktoré nie sú nevyhnutné na správu, uplatnenie alebo vymáhanie pohľadávky.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umožňuje sprístupnenie zmluvnej dokumentácie vrátane identifikačných údajov spotrebiteľa osobám, na ktoré prešla pohľadávka alebo jej časť.</w:t>
              <w:br/>
            </w:r>
            <w:r>
              <w:rPr>
                <w:b w:val="off"/>
                <w:color w:val="000000"/>
                <w:rFonts w:ascii="Times New Roman" w:hAnsi="Times New Roman" w:cs="Times New Roman" w:eastAsia="Times New Roman"/>
                <w:sz w:val="24"/>
              </w:rPr>
              <w:t>Samotné poskytovanie úplných kópií dokumentov však môže viesť aj k sprístupneniu osobných údajov, ktoré s uplatňovanou pohľadávkou priamo nesúvisia.</w:t>
              <w:br/>
            </w:r>
            <w:r>
              <w:rPr>
                <w:b w:val="off"/>
                <w:color w:val="000000"/>
                <w:rFonts w:ascii="Times New Roman" w:hAnsi="Times New Roman" w:cs="Times New Roman" w:eastAsia="Times New Roman"/>
                <w:sz w:val="24"/>
              </w:rPr>
              <w:t>Z dôvodu zabezpečenia súladu s čl. 5 ods. 1 písm. c) a čl. 25 GDPR odporúčame výslovne umožniť alebo uložiť anonymizáciu, resp. prekrytie nadbytočných údajov pred sprístupnením dokumentácie.</w:t>
              <w:br/>
            </w:r>
            <w:r>
              <w:rPr>
                <w:b w:val="off"/>
                <w:color w:val="000000"/>
                <w:rFonts w:ascii="Times New Roman" w:hAnsi="Times New Roman" w:cs="Times New Roman" w:eastAsia="Times New Roman"/>
                <w:sz w:val="24"/>
              </w:rPr>
              <w:t>Navrhované doplnenie:</w:t>
              <w:br/>
            </w:r>
            <w:r>
              <w:rPr>
                <w:b w:val="off"/>
                <w:color w:val="000000"/>
                <w:rFonts w:ascii="Times New Roman" w:hAnsi="Times New Roman" w:cs="Times New Roman" w:eastAsia="Times New Roman"/>
                <w:sz w:val="24"/>
              </w:rPr>
              <w:t>„Pred poskytnutím dokumentov podľa odseku 1 veriteľ zabezpečí, aby neboli sprístupnené osobné údaje, ktoré nie sú nevyhnutné na správu, uplatnenie alebo vymáhanie pohľadávky alebo práv s ňou spojených.“.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33</w:t>
              <w:br/>
            </w:r>
            <w:r>
              <w:rPr>
                <w:b w:val="off"/>
                <w:color w:val="000000"/>
                <w:rFonts w:ascii="Times New Roman" w:hAnsi="Times New Roman" w:cs="Times New Roman" w:eastAsia="Times New Roman"/>
                <w:sz w:val="24"/>
              </w:rPr>
              <w:t>Odporúčame doplniť alebo spresniť podmienky bezpečného elektronického doručovania pracovnoprávnych písomností tak, aby bola zabezpečená primeraná ochrana osobných údajov zamestnancov, najmä ich dôvernosť a integrita.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doručovanie pracovnoprávnych písomností elektronickými prostriedkami na adresu určenú zamestnancom, pričom predpokladá použitie kvalifikovaného elektronického podpisu.</w:t>
              <w:br/>
            </w:r>
            <w:r>
              <w:rPr>
                <w:b w:val="off"/>
                <w:color w:val="000000"/>
                <w:rFonts w:ascii="Times New Roman" w:hAnsi="Times New Roman" w:cs="Times New Roman" w:eastAsia="Times New Roman"/>
                <w:sz w:val="24"/>
              </w:rPr>
              <w:t>Kvalifikovaný elektronický podpis zabezpečuje najmä identifikáciu podpisujúcej osoby a integritu podpísaného dokumentu, sám osebe však nezaručuje dôvernosť jeho obsahu pri prenose.</w:t>
              <w:br/>
            </w:r>
            <w:r>
              <w:rPr>
                <w:b w:val="off"/>
                <w:color w:val="000000"/>
                <w:rFonts w:ascii="Times New Roman" w:hAnsi="Times New Roman" w:cs="Times New Roman" w:eastAsia="Times New Roman"/>
                <w:sz w:val="24"/>
              </w:rPr>
              <w:t>Pracovnoprávne písomnosti môžu obsahovať osobné údaje zamestnancov vrátane údajov týkajúcich sa zdravotného stavu, pracovných obmedzení alebo iných citlivých okolností.</w:t>
              <w:br/>
            </w:r>
            <w:r>
              <w:rPr>
                <w:b w:val="off"/>
                <w:color w:val="000000"/>
                <w:rFonts w:ascii="Times New Roman" w:hAnsi="Times New Roman" w:cs="Times New Roman" w:eastAsia="Times New Roman"/>
                <w:sz w:val="24"/>
              </w:rPr>
              <w:t>Odporúčam preto zabezpečiť, aby zvolený spôsob doručovania zodpovedal požiadavkám čl. 5 ods. 1 písm. f) a čl. 32 GDPR.</w:t>
              <w:br/>
            </w:r>
            <w:r>
              <w:rPr>
                <w:b w:val="off"/>
                <w:color w:val="000000"/>
                <w:rFonts w:ascii="Times New Roman" w:hAnsi="Times New Roman" w:cs="Times New Roman" w:eastAsia="Times New Roman"/>
                <w:sz w:val="24"/>
              </w:rPr>
              <w:t>Zároveň odporúčame zvážiť, či právna úprava dostatočne rieši situáciu, keď zamestnanec zmení určenú elektronickú adresu alebo prestane mať k nej prístup.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bodu 38 § 9 ods. 2</w:t>
              <w:br/>
            </w:r>
            <w:r>
              <w:rPr>
                <w:b w:val="off"/>
                <w:color w:val="000000"/>
                <w:rFonts w:ascii="Times New Roman" w:hAnsi="Times New Roman" w:cs="Times New Roman" w:eastAsia="Times New Roman"/>
                <w:sz w:val="24"/>
              </w:rPr>
              <w:t>Odporúčame spresniť odkaz na osobitný predpis, ktorý vymedzuje rozsah osobných údajov spracúvaných osobou zodpovednou za správu domu.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oprávňuje osobu zodpovednú za správu spracúvať osobné údaje vlastníkov a užívateľov bytov a nebytových priestorov „v rozsahu podľa osobitného predpisu“.</w:t>
              <w:br/>
            </w:r>
            <w:r>
              <w:rPr>
                <w:b w:val="off"/>
                <w:color w:val="000000"/>
                <w:rFonts w:ascii="Times New Roman" w:hAnsi="Times New Roman" w:cs="Times New Roman" w:eastAsia="Times New Roman"/>
                <w:sz w:val="24"/>
              </w:rPr>
              <w:t>Poznámka pod čiarou odkazuje na ustanovenia pripravovaného Občianskeho zákonníka a na zákon č. 18/2018 Z. z. o ochrane osobných údajov.</w:t>
              <w:br/>
            </w:r>
            <w:r>
              <w:rPr>
                <w:b w:val="off"/>
                <w:color w:val="000000"/>
                <w:rFonts w:ascii="Times New Roman" w:hAnsi="Times New Roman" w:cs="Times New Roman" w:eastAsia="Times New Roman"/>
                <w:sz w:val="24"/>
              </w:rPr>
              <w:t>Upozorňujeme, že všeobecná právna úprava ochrany osobných údajov sama osebe neurčuje konkrétny rozsah údajov, ktoré je správca oprávnený spracúvať na účely správy domu.</w:t>
              <w:br/>
            </w:r>
            <w:r>
              <w:rPr>
                <w:b w:val="off"/>
                <w:color w:val="000000"/>
                <w:rFonts w:ascii="Times New Roman" w:hAnsi="Times New Roman" w:cs="Times New Roman" w:eastAsia="Times New Roman"/>
                <w:sz w:val="24"/>
              </w:rPr>
              <w:t>Odporúčame preveriť, či odkazované ustanovenia pripravovaného Občianskeho zákonníka dostatočne určujú kategórie osobných údajov, prípadne rozsah spracúvania spresniť priamo v osobitnej právnej úprave.</w:t>
              <w:br/>
            </w:r>
            <w:r>
              <w:rPr>
                <w:b w:val="off"/>
                <w:color w:val="000000"/>
                <w:rFonts w:ascii="Times New Roman" w:hAnsi="Times New Roman" w:cs="Times New Roman" w:eastAsia="Times New Roman"/>
                <w:sz w:val="24"/>
              </w:rPr>
              <w:t>Cieľom pripomienky je zabezpečiť dostatočnú určitosť a predvídateľnosť právnej úpravy v súlade s čl. 6 ods. 3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CI bode 2 číslo "2886" nahradiť číslom "286",</w:t>
              <w:br/>
            </w:r>
            <w:r>
              <w:rPr>
                <w:b w:val="off"/>
                <w:color w:val="000000"/>
                <w:rFonts w:ascii="Times New Roman" w:hAnsi="Times New Roman" w:cs="Times New Roman" w:eastAsia="Times New Roman"/>
                <w:sz w:val="24"/>
              </w:rPr>
              <w:t>- v Čl. CCXXV bode 1 slová „475 až 479“ nahradiť slovami „476 až 480“.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Žiadame predkladateľa o predloženie materiálu na záverečné posúdenie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predložil materiál do procesu PPK a zároveň do procesu MPK bez riadneho ukončenia procesu predbežného pripomienkového konania. V zmysle bodu 8.1 Jednotnej metodiky na posudzovanie vybraných vplyvov má byť proces PPK ukončený pred predložením materiálu do medzirezortného pripomienkového konania. Žiadame preto o dodržanie stanoveného postupu a predloženie materiálu na posúdenie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XXXI, zákon č. 162/1995 Z. z., navrhovaný § 3 ods. 15</w:t>
              <w:br/>
            </w:r>
            <w:r>
              <w:rPr>
                <w:b w:val="off"/>
                <w:color w:val="000000"/>
                <w:rFonts w:ascii="Times New Roman" w:hAnsi="Times New Roman" w:cs="Times New Roman" w:eastAsia="Times New Roman"/>
                <w:sz w:val="24"/>
              </w:rPr>
              <w:t>Žiadame vymedzenie rozostavanej stavby doplniť aj pre vodné a iné inžinierske stavby, ktoré nemajú prvé nadzemné podlažie. Navrhujeme doplniť vetu:</w:t>
              <w:br/>
            </w:r>
            <w:r>
              <w:rPr>
                <w:b w:val="off"/>
                <w:color w:val="000000"/>
                <w:rFonts w:ascii="Times New Roman" w:hAnsi="Times New Roman" w:cs="Times New Roman" w:eastAsia="Times New Roman"/>
                <w:sz w:val="24"/>
              </w:rPr>
              <w:t>„Ak ide o vodnú stavbu alebo inú inžiniersku stavbu, ktorá nemá prvé nadzemné podlažie, podmienka stupňa rozostavanosti je splnená, ak je zo znaleckého posudku zrejmé jej stavebnotechnické a funkčné usporiadanie a je možné jej geometrické určenie na účely evidovania v katastri.“</w:t>
              <w:br/>
            </w:r>
            <w:r>
              <w:rPr>
                <w:b w:val="off"/>
                <w:color w:val="000000"/>
                <w:rFonts w:ascii="Times New Roman" w:hAnsi="Times New Roman" w:cs="Times New Roman" w:eastAsia="Times New Roman"/>
                <w:sz w:val="24"/>
              </w:rPr>
              <w:t>Nadväzne žiadame zosúladiť požiadavky na listiny pre zápis takýchto stavieb.</w:t>
              <w:br/>
            </w:r>
            <w:r>
              <w:rPr>
                <w:b w:val="off"/>
                <w:color w:val="000000"/>
                <w:rFonts w:ascii="Times New Roman" w:hAnsi="Times New Roman" w:cs="Times New Roman" w:eastAsia="Times New Roman"/>
                <w:sz w:val="24"/>
              </w:rPr>
              <w:t>Odôvodnenie: Navrhovaná definícia viaže potrebný stupeň rozostavanosti na usporiadanie prvého nadzemného podlažia. Takéto kritérium nemusí byť použiteľné na priehrady, hrádze, kanály či ďalšie vodohospodárske objekty bez podlaží. Navrhujeme preto osobitné, preukázateľné kritérium, nie automatický zápis každej stavby do katastra. Naďalej sa musia splniť ostatné podmienky evidovania daného druhu nehnuteľnosti. Ide o doplňujúcu pripomienku z pohľadu investičnej a majetkovej činnosti podniku.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XXXI, zákon č. 162/1995 Z. z., § 42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navrhovaný § 42 ods. 4 upraviť takto:</w:t>
              <w:br/>
            </w:r>
            <w:r>
              <w:rPr>
                <w:b w:val="off"/>
                <w:color w:val="000000"/>
                <w:rFonts w:ascii="Times New Roman" w:hAnsi="Times New Roman" w:cs="Times New Roman" w:eastAsia="Times New Roman"/>
                <w:sz w:val="24"/>
              </w:rPr>
              <w:t>„(4) Osvedčenie podpisu sa nevyžaduje, ak ide o podpis osoby, prostredníctvom ktorej koná štátny orgán, Slovenský pozemkový fond, obec, vyšší územný celok, Železnice Slovenskej republiky, Národná diaľničná spoločnosť, a. s., alebo Slovenská správa ciest. Osvedčenie podpisu sa nevyžaduje ani pri podpise osoby, prostredníctvom ktorej koná štátny podnik, ak ide o listinu týkajúcu sa majetku štátu v jeho správe. Osvedčenie podpisu sa nevyžaduje ani vtedy, ak ide o zmluvu vyhotovenú vo forme notárskej zápisnice alebo autorizovanú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Predložený návrh rozširuje okruh podpisov podliehajúcich osvedčeniu aj o podpis na vyhlásení o zriadení alebo zrušení vlastníkovej služobnosti. Zároveň priznáva výnimku vybraným štátnym infraštruktúrnym subjektom, nie však výslovne štátnym podnikom. Navrhovaná výnimka sa obmedzuje na majetok štátu v správe podniku a odstraňuje rozdielne náklady na administráciu toho istého štátneho vlastníctva. Neodstraňuje povinnosť preukázať totožnosť a oprávnenie podpisujúcej osoby ani súhlasy potrebné na nakladanie s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XXXI, zákon č. 162/1995 Z. z., k § 67 ods. 1, nová tretia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znenie novej tretej vety,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vodnú stavbu podľa osobitného predpisu,19b) ku ktorej kolaudačné rozhodnutie nadobudlo právoplatnosť, zapíše sa geometrický plán bez právneho úkonu do katastra evidenčným spôsobom na žiadosť právnickej osoby zriadenej alebo založenej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19b znie:</w:t>
              <w:br/>
            </w:r>
            <w:r>
              <w:rPr>
                <w:b w:val="off"/>
                <w:color w:val="000000"/>
                <w:rFonts w:ascii="Times New Roman" w:hAnsi="Times New Roman" w:cs="Times New Roman" w:eastAsia="Times New Roman"/>
                <w:sz w:val="24"/>
              </w:rPr>
              <w:t>19b) § 52 ods. 1 písm. a) až c) a g) zákona č. 364/2004 Z. z. o vodách a o zmene zákona Slovenskej národnej rady č. 372/1990 Zb. o priestupkoch v znení neskorších predpisov (vodný zákon)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medzirezortného pripomienkovacieho konania pod č. LP/2024/435 štátny podnik VODOHOSPODÁRSKA VÝSTAVBA, ŠTÁTNY PODNIK uplatnil prostredníctvom AZZZ SR, zásadnú pripomienku k § 67 ods. 1 poslednej vete, ktorá bola predmetom rozporového konania. V zmysle bodu 2. Zápisnice z rozporového konania k zásadným pripomienkam vzneseným k materiálu „Zákon, ktorým sa mení a dopĺňa zákon Národnej rady Slovenskej republiky č. 162/1995 Z. z. o katastri nehnuteľností a o zápise vlastníckych a iných práv k nehnuteľnostiam (katastrálny zákon) v znení neskorších predpisov a o zmene a doplnení niektorých zákonov“, ktoré uskutočnilo dňa 22.09.2025 o 10:00 hod. na Úrade geodézie, kartografie a katastra Slovenskej republiky, bola zásadná pripomienka k § 67 ods. 1 posledná veta, t. j. navrhované nové znenie poslednej vety : „Ak ide o vodné stavbyxx, ku ktorej kolaudačné rozhodnutie nadobudlo právoplatnosť, alebo o pozemnú komunikáciu, zapíše sa geometrický plán bez právneho úkonu do katastra evidenčným spôsobom na žiadosť právnickej osoby zriadenej alebo založenej štátom.“/  xx § 52 ods. 1 písm. a), b), c), f) a g) zákona č. 364/2004 Z. z. o vodách a o zmene zákona Slovenskej národnej rady č. 372/1990 Zb. o priestupkoch v znení neskorších predpisov (vodný zákon) v znení neskorších predpisov a ktorým sa menia a dopĺňajú niektoré zákony, akceptovaná a rozpor odstránený. Text návrhu zákona mal byť upravený v nadväznosti na vznesenú pripomienku. Na základe uvedeného predkladáme opätovne zásadnú pripomienku a žiadame o úpravu tak, aby o evidenčný zápis geometrického plánu mohol požiadať správca vodnej stavby založený štátom.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3, zákon č. 364/2004 Z. z., nový § 26b; zachovanie § 26a</w:t>
              <w:br/>
            </w:r>
            <w:r>
              <w:rPr>
                <w:b w:val="off"/>
                <w:color w:val="000000"/>
                <w:rFonts w:ascii="Times New Roman" w:hAnsi="Times New Roman" w:cs="Times New Roman" w:eastAsia="Times New Roman"/>
                <w:sz w:val="24"/>
              </w:rPr>
              <w:t>Žiadame zachovať doterajší § 26a o revitalizácii a bod 3 upraviť takto:</w:t>
              <w:br/>
            </w:r>
            <w:r>
              <w:rPr>
                <w:b w:val="off"/>
                <w:color w:val="000000"/>
                <w:rFonts w:ascii="Times New Roman" w:hAnsi="Times New Roman" w:cs="Times New Roman" w:eastAsia="Times New Roman"/>
                <w:sz w:val="24"/>
              </w:rPr>
              <w:t>„Za § 26a sa vkladá § 26b, ktorý vrátane nadpisu znie:</w:t>
              <w:br/>
            </w:r>
            <w:r>
              <w:rPr>
                <w:b w:val="off"/>
                <w:color w:val="000000"/>
                <w:rFonts w:ascii="Times New Roman" w:hAnsi="Times New Roman" w:cs="Times New Roman" w:eastAsia="Times New Roman"/>
                <w:sz w:val="24"/>
              </w:rPr>
              <w:t>§ 26b</w:t>
              <w:br/>
            </w:r>
            <w:r>
              <w:rPr>
                <w:b w:val="off"/>
                <w:color w:val="000000"/>
                <w:rFonts w:ascii="Times New Roman" w:hAnsi="Times New Roman" w:cs="Times New Roman" w:eastAsia="Times New Roman"/>
                <w:sz w:val="24"/>
              </w:rPr>
              <w:t>Výkon nároku zo služobnosti</w:t>
              <w:br/>
            </w:r>
            <w:r>
              <w:rPr>
                <w:b w:val="off"/>
                <w:color w:val="000000"/>
                <w:rFonts w:ascii="Times New Roman" w:hAnsi="Times New Roman" w:cs="Times New Roman" w:eastAsia="Times New Roman"/>
                <w:sz w:val="24"/>
              </w:rPr>
              <w:t>(1) Ak obsahom služobnosti je povinnosť strpieť umiestnenie vodnej stavby, jej prevádzku alebo obmedzenia v pásme ochrany vodnej stavby, za výkon nároku zo služobnosti37aad) sa považuje aj trvanie takého umiestnenia, prevádzky alebo obmedzenia v rozsahu zodpovedajúcom obsahu služobnosti, bez ohľadu na spôsob jej vzniku. Toto ustanovenie sa primerane použije na služobnosť, ktorej obsahom je povinnosť strpieť výkon oprávnení správcu vodného toku.</w:t>
              <w:br/>
            </w:r>
            <w:r>
              <w:rPr>
                <w:b w:val="off"/>
                <w:color w:val="000000"/>
                <w:rFonts w:ascii="Times New Roman" w:hAnsi="Times New Roman" w:cs="Times New Roman" w:eastAsia="Times New Roman"/>
                <w:sz w:val="24"/>
              </w:rPr>
              <w:t>(2) Odsek 1 sa použije aj na práva zodpovedajúce vecným bremenám vzniknuté pred účinnosťou tohto ustanovenia, ak ich obsah zodpovedá služobnosti podľa odseku 1. Tým sa neobnovujú premlčané nároky ani zaniknuté práva a nie sú dotknuté ustanovenia o plynutí lehôt a dôvody zániku služobnosti podľa Občianskeho zákonníka.“.</w:t>
              <w:br/>
            </w:r>
            <w:r>
              <w:rPr>
                <w:b w:val="off"/>
                <w:color w:val="000000"/>
                <w:rFonts w:ascii="Times New Roman" w:hAnsi="Times New Roman" w:cs="Times New Roman" w:eastAsia="Times New Roman"/>
                <w:sz w:val="24"/>
              </w:rPr>
              <w:t>Poznámka pod čiarou k odkazu 37aad znie: „37aad) § 154 a 157 Občianskeho zákonníka.“.</w:t>
              <w:br/>
            </w:r>
            <w:r>
              <w:rPr>
                <w:b w:val="off"/>
                <w:color w:val="000000"/>
                <w:rFonts w:ascii="Times New Roman" w:hAnsi="Times New Roman" w:cs="Times New Roman" w:eastAsia="Times New Roman"/>
                <w:sz w:val="24"/>
              </w:rPr>
              <w:t>Vypustiť vetu „Doterajší § 26a sa označuje ako § 26b.“</w:t>
              <w:br/>
            </w:r>
            <w:r>
              <w:rPr>
                <w:b w:val="off"/>
                <w:color w:val="000000"/>
                <w:rFonts w:ascii="Times New Roman" w:hAnsi="Times New Roman" w:cs="Times New Roman" w:eastAsia="Times New Roman"/>
                <w:sz w:val="24"/>
              </w:rPr>
              <w:t>Odôvodnenie: Pravidlo má chrániť skutočný výkon existujúceho práva pri trvalom strpení vodnej stavby, nielen práva založené priamo zákonom. Preto sa má rovnako vzťahovať na služobnosti vzniknuté zmluvou či rozhodnutím. Nezakladá chýbajúci právny titul k cudziemu pozemku a samotnú budúcu potrebu vstupu nepovažuje za nepretržitý výkon práva. Zachováva pravidlá o už plynúcich dobách a nevzkriesi premlčané nároky ani zaniknuté práva. Oproti pôvodnej aktualizácii sa zachováva označenie existujúceho § 26a, čím sa obmedzí riziko chybných odkazov na revitalizáciu. Odkaz na všeobecnú úpravu má pokrývať premlčanie nároku aj jeho prípadné následky pre právo. Dátum účinnosti treba zosúladiť s konečnou rekodifikačnou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4, zákon č. 364/2004 Z. z., § 43 ods. 9</w:t>
              <w:br/>
            </w:r>
            <w:r>
              <w:rPr>
                <w:b w:val="off"/>
                <w:color w:val="000000"/>
                <w:rFonts w:ascii="Times New Roman" w:hAnsi="Times New Roman" w:cs="Times New Roman" w:eastAsia="Times New Roman"/>
                <w:sz w:val="24"/>
              </w:rPr>
              <w:t>Žiadame v navrhovanom § 43 ods. 9:</w:t>
              <w:br/>
            </w:r>
            <w:r>
              <w:rPr>
                <w:b w:val="off"/>
                <w:color w:val="000000"/>
                <w:rFonts w:ascii="Times New Roman" w:hAnsi="Times New Roman" w:cs="Times New Roman" w:eastAsia="Times New Roman"/>
                <w:sz w:val="24"/>
              </w:rPr>
              <w:t>a) slová „ktorého súčasťou je priestor nad a pod jeho povrchom a rastliny na ňom rastúce podľa všeobecného predpisu upravujúceho súčasti pozemku“ nahradiť slovami „ktorého súčasti sa určujú podľa všeobecného predpisu o súčastiach pozemku“ a pripojiť odkaz na § 29 Občianskeho zákonníka;</w:t>
              <w:br/>
            </w:r>
            <w:r>
              <w:rPr>
                <w:b w:val="off"/>
                <w:color w:val="000000"/>
                <w:rFonts w:ascii="Times New Roman" w:hAnsi="Times New Roman" w:cs="Times New Roman" w:eastAsia="Times New Roman"/>
                <w:sz w:val="24"/>
              </w:rPr>
              <w:t>b) na konci pripojiť vetu: „Tým nie je dotknuté právne postavenie samostatnej stavby tvoriacej umelé koryto alebo jeho časť ani vlastnícke práva k nej.“</w:t>
              <w:br/>
            </w:r>
            <w:r>
              <w:rPr>
                <w:b w:val="off"/>
                <w:color w:val="000000"/>
                <w:rFonts w:ascii="Times New Roman" w:hAnsi="Times New Roman" w:cs="Times New Roman" w:eastAsia="Times New Roman"/>
                <w:sz w:val="24"/>
              </w:rPr>
              <w:t>Označenie poznámky pod čiarou určiť podľa úplného znenia zákona.</w:t>
              <w:br/>
            </w:r>
            <w:r>
              <w:rPr>
                <w:b w:val="off"/>
                <w:color w:val="000000"/>
                <w:rFonts w:ascii="Times New Roman" w:hAnsi="Times New Roman" w:cs="Times New Roman" w:eastAsia="Times New Roman"/>
                <w:sz w:val="24"/>
              </w:rPr>
              <w:t>Odôvodnenie: Namiesto neúplného prepisu všeobecnej úpravy sa navrhuje priamy odkaz na pravidlo o súčastiach pozemku; predíde sa tak nechcenému rozšíreniu rozsahu priestoru nad a pod povrchom. Zároveň treba oddeliť pozemok tvoriaci koryto od samostatných stavebných objektov umelého kanála, náhonu alebo privádzača. Funkčné zaradenie umelého koryta do vodného toku nemá samo osebe meniť vlastníctvo stavby. Doplnenie nepredurčuje, že každý technický prvok je samostatnou vecou; rozhoduje jeho právna povaha. Alternatívny zásah do spoločných ustanovení samotného OZ sa pri priamej úprave vodného zákona nenavrhuje.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6, zákon č. 364/2004 Z. z., § 51a ods. 1 až 3 a 8</w:t>
              <w:br/>
            </w:r>
            <w:r>
              <w:rPr>
                <w:b w:val="off"/>
                <w:color w:val="000000"/>
                <w:rFonts w:ascii="Times New Roman" w:hAnsi="Times New Roman" w:cs="Times New Roman" w:eastAsia="Times New Roman"/>
                <w:sz w:val="24"/>
              </w:rPr>
              <w:t>Žiadame úvodnú vetu § 51a ods. 1 nahradiť vetou:</w:t>
              <w:br/>
            </w:r>
            <w:r>
              <w:rPr>
                <w:b w:val="off"/>
                <w:color w:val="000000"/>
                <w:rFonts w:ascii="Times New Roman" w:hAnsi="Times New Roman" w:cs="Times New Roman" w:eastAsia="Times New Roman"/>
                <w:sz w:val="24"/>
              </w:rPr>
              <w:t>„Správca majetku štátu vrátane štátneho podniku je oprávnený v mene Slovenskej republiky zriadiť na pozemku alebo stavbe vo vlastníctve Slovenskej republiky v jeho správe vlastníkovu služobnosť v prospech iného pozemku alebo stavby, vo vlastníctve Slovenskej republiky, ak je to potrebné na zabezpečenie správy vodného toku alebo výstavby, prevádzky, údržby alebo ochrany vodnej stavby, najmä na účely“.</w:t>
              <w:br/>
            </w:r>
            <w:r>
              <w:rPr>
                <w:b w:val="off"/>
                <w:color w:val="000000"/>
                <w:rFonts w:ascii="Times New Roman" w:hAnsi="Times New Roman" w:cs="Times New Roman" w:eastAsia="Times New Roman"/>
                <w:sz w:val="24"/>
              </w:rPr>
              <w:t>V písmene a) slová „zabezpečenia prístupu a prejazdu k vodnej stavbe“ nahradiť slovami „zabezpečenia prechodu a prejazdu na účely prístupu k vodnej stavbe“.</w:t>
              <w:br/>
            </w:r>
            <w:r>
              <w:rPr>
                <w:b w:val="off"/>
                <w:color w:val="000000"/>
                <w:rFonts w:ascii="Times New Roman" w:hAnsi="Times New Roman" w:cs="Times New Roman" w:eastAsia="Times New Roman"/>
                <w:sz w:val="24"/>
              </w:rPr>
              <w:t>Písmená b) až d) ponechať. V celom § 51a jednotne umožniť zaťaženie pozemku alebo stavby.</w:t>
              <w:br/>
            </w:r>
            <w:r>
              <w:rPr>
                <w:b w:val="off"/>
                <w:color w:val="000000"/>
                <w:rFonts w:ascii="Times New Roman" w:hAnsi="Times New Roman" w:cs="Times New Roman" w:eastAsia="Times New Roman"/>
                <w:sz w:val="24"/>
              </w:rPr>
              <w:t>Odsek 3 upraviť takto:</w:t>
              <w:br/>
            </w:r>
            <w:r>
              <w:rPr>
                <w:b w:val="off"/>
                <w:color w:val="000000"/>
                <w:rFonts w:ascii="Times New Roman" w:hAnsi="Times New Roman" w:cs="Times New Roman" w:eastAsia="Times New Roman"/>
                <w:sz w:val="24"/>
              </w:rPr>
              <w:t>„(3) Ak sú zaťažený pozemok alebo stavba a pozemok alebo stavba, v prospech ktorých sa služobnosť zriaďuje, v správe toho istého správcu, podkladom zriadenia služobnosti je jeho jednostranné písomné vyhlásenie v mene Slovenskej republiky. Ak sú v správe rôznych správcov, podkladom je písomná dohoda všetkých dotknutých správcov.“</w:t>
              <w:br/>
            </w:r>
            <w:r>
              <w:rPr>
                <w:b w:val="off"/>
                <w:color w:val="000000"/>
                <w:rFonts w:ascii="Times New Roman" w:hAnsi="Times New Roman" w:cs="Times New Roman" w:eastAsia="Times New Roman"/>
                <w:sz w:val="24"/>
              </w:rPr>
              <w:t>Odôvodnenie: Cieľ aktualizácie sa zachováva, odstraňuje sa však nejednotný osobný a vecný rozsah navrhovaného § 51a. Vlastníkom oboch nehnuteľností má byť štát; správca nie je samostatným vlastníkom a nemusí byť totožný so správcom vodného toku. Oprávnenie preto musí pokrývať aj správcu zaťažovaného štátneho majetku, ktorý sám vodný tok ani vodnú stavbu nespravuje. Predmetom oprávnenia musí byť určitá panujúca nehnuteľnosť, nie vodný tok ako taký alebo ľubovoľné technické zariadenie. Pri tranzitnom vedení sa musí určiť nehnuteľnosť, ktorej vedenie slúži. Prístup môže viesť aj cez samostatnú stavbu, napríklad most. Návrh nedovoľuje jednostranne zaťažiť majetok v správe iného správcu; zachováva požiadavku dohody všetkých dotknutých správcov.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6, zákon č. 364/2004 Z. z., § 51a ods. 4 až 6 a nový ods. 9</w:t>
              <w:br/>
            </w:r>
            <w:r>
              <w:rPr>
                <w:b w:val="off"/>
                <w:color w:val="000000"/>
                <w:rFonts w:ascii="Times New Roman" w:hAnsi="Times New Roman" w:cs="Times New Roman" w:eastAsia="Times New Roman"/>
                <w:sz w:val="24"/>
              </w:rPr>
              <w:t>Žiadame v § 51a ods. 4 vyžadovať označenie Slovenskej republiky ako vlastníka oboch nehnuteľností, označenie dotknutých správcov, katastrálnu identifikáciu zaťaženej aj panujúcej nehnuteľnosti, obsah a rozsah služobnosti a geometrický plán, ak sa zaťaženie týka len časti pozemku.</w:t>
              <w:br/>
            </w:r>
            <w:r>
              <w:rPr>
                <w:b w:val="off"/>
                <w:color w:val="000000"/>
                <w:rFonts w:ascii="Times New Roman" w:hAnsi="Times New Roman" w:cs="Times New Roman" w:eastAsia="Times New Roman"/>
                <w:sz w:val="24"/>
              </w:rPr>
              <w:t>V odseku 5 slová „vzniká zápisom do katastra nehnuteľností“ nahradiť slovami „vzniká vkladom do katastra nehnuteľností“.</w:t>
              <w:br/>
            </w:r>
            <w:r>
              <w:rPr>
                <w:b w:val="off"/>
                <w:color w:val="000000"/>
                <w:rFonts w:ascii="Times New Roman" w:hAnsi="Times New Roman" w:cs="Times New Roman" w:eastAsia="Times New Roman"/>
                <w:sz w:val="24"/>
              </w:rPr>
              <w:t>Bezodplatnosť podľa odseku 6 obmedziť na usporiadanie majetku toho istého vlastníka – Slovenskej republiky.</w:t>
              <w:br/>
            </w:r>
            <w:r>
              <w:rPr>
                <w:b w:val="off"/>
                <w:color w:val="000000"/>
                <w:rFonts w:ascii="Times New Roman" w:hAnsi="Times New Roman" w:cs="Times New Roman" w:eastAsia="Times New Roman"/>
                <w:sz w:val="24"/>
              </w:rPr>
              <w:t>Doplniť odsek 9:</w:t>
              <w:br/>
            </w:r>
            <w:r>
              <w:rPr>
                <w:b w:val="off"/>
                <w:color w:val="000000"/>
                <w:rFonts w:ascii="Times New Roman" w:hAnsi="Times New Roman" w:cs="Times New Roman" w:eastAsia="Times New Roman"/>
                <w:sz w:val="24"/>
              </w:rPr>
              <w:t>„(9) Ustanovenia odsekov 1 až 8 sa primerane použijú aj pri nakladaní Slovenského pozemkového fondu s pozemkami vo vlastníctve Slovenskej republiky. Nevzťahujú sa na pozemky, pri ktorých Slovenský pozemkový fond nakladá s majetkom nezistených vlastníkov. Ustanovenia osobitných predpisov vyžadujúce súhlas s nakladaním s majetkom štátu tým nie sú dotknuté.“</w:t>
              <w:br/>
            </w:r>
            <w:r>
              <w:rPr>
                <w:b w:val="off"/>
                <w:color w:val="000000"/>
                <w:rFonts w:ascii="Times New Roman" w:hAnsi="Times New Roman" w:cs="Times New Roman" w:eastAsia="Times New Roman"/>
                <w:sz w:val="24"/>
              </w:rPr>
              <w:t>Odôvodnenie: Samotné slovo „zápis“ nevymedzuje druh katastrálneho postupu. Pri práve zakladanom písomným vyhlásením alebo dohodou správcov treba jednotne ustanoviť vklad a odlíšiť ho od deklaratórneho záznamu zákonných práv. Presná identifikácia vlastníka a správcov predíde zámenám medzi vlastníctvom štátu a správou vykonávanou podnikom. Rozšírenie na SPF má pokryť iba vlastníctvo Slovenskej republiky, nie súkromné pozemky nezistených vlastníkov. Bezodplatnosť medzi správcami sama osebe nepredstavuje oslobodenie od správneho poplatku ani nákladov geometrického plánu. Pripomienka nenahrádza požadované súhlasy zakladateľa alebo iného príslušného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6, zákon č. 364/2004 Z. z., § 51a ods. 7</w:t>
              <w:br/>
            </w:r>
            <w:r>
              <w:rPr>
                <w:b w:val="off"/>
                <w:color w:val="000000"/>
                <w:rFonts w:ascii="Times New Roman" w:hAnsi="Times New Roman" w:cs="Times New Roman" w:eastAsia="Times New Roman"/>
                <w:sz w:val="24"/>
              </w:rPr>
              <w:t>Žiadame zachovať účinky vlastníkovej služobnosti po prevode zaťaženej alebo panujúcej nehnuteľnosti a na konci odseku 7 pripojiť:</w:t>
              <w:br/>
            </w:r>
            <w:r>
              <w:rPr>
                <w:b w:val="off"/>
                <w:color w:val="000000"/>
                <w:rFonts w:ascii="Times New Roman" w:hAnsi="Times New Roman" w:cs="Times New Roman" w:eastAsia="Times New Roman"/>
                <w:sz w:val="24"/>
              </w:rPr>
              <w:t>„Samotné opätovné nadobudnutie zaťaženej nehnuteľnosti a nehnuteľnosti, v prospech ktorej bola služobnosť zriadená, do vlastníctva Slovenskej republiky nie je dôvodom zániku služobnosti zriadenej podľa odseku 1. Tým nie je dotknutá možnosť jej zrušenia právnym úkonom a výmazu z katastra ani ostatné dôvody jej zániku podľa Občianskeho zákonníka.“</w:t>
              <w:br/>
            </w:r>
            <w:r>
              <w:rPr>
                <w:b w:val="off"/>
                <w:color w:val="000000"/>
                <w:rFonts w:ascii="Times New Roman" w:hAnsi="Times New Roman" w:cs="Times New Roman" w:eastAsia="Times New Roman"/>
                <w:sz w:val="24"/>
              </w:rPr>
              <w:t>Odôvodnenie: Predložený text rieši zachovanie služobnosti po prevode na inú osobu, nie však výslovne jej režim po spätnom výkupe alebo zámene v prospech štátu. Návrh cielene chráni iba právo zriadené podľa § 51a pred zánikom založeným výlučne na zjednotení vlastníctva. Oproti absolútnej výnimke navrhnutej v podklade Pripomienky MPK sa výslovne zachováva možnosť odstrániť nepotrebné zaťaženie právnym úkonom a výmazom, ako aj ostatné dôvody zániku. Služobnosť nesmie byť nezrušiteľným zápisom bez ohľadu na funkciu infraštruktúry. Konečné znenie treba previazať s konečným všeobecným režimom zániku služobnosti pri splynutí.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predkladateľa o doplnenie a zdôvodnenie predpokladaného nulového rozpočtového vplyvu navrhovaných zmien v čl. LXXXVI na Ministerstvo životného prostredia SR a dotknuté organizácie v jeho pôsobnosti.</w:t>
              <w:br/>
            </w:r>
            <w:r>
              <w:rPr>
                <w:b w:val="off"/>
                <w:color w:val="000000"/>
                <w:rFonts w:ascii="Times New Roman" w:hAnsi="Times New Roman" w:cs="Times New Roman" w:eastAsia="Times New Roman"/>
                <w:sz w:val="24"/>
              </w:rPr>
              <w:t>Odôvodnenie: Navrhovaná právna úprava, najmä nový § 51a vodného zákona, zavádza možnosť zriaďovania vlastníkových služobností k pozemkom a stavbám vo vlastníctve štátu, s ktorou môžu byť spojené dodatočné administratívne, geodetické, právne a evidenčné náklady správcov vodných tokov a vodných stavieb. Analýza vplyvov na rozpočet verejnej správy uvádza, že tieto činnosti budú zabezpečené existujúcimi personálnymi kapacitami a v rámci bežných prevádzkových rozpočtov dotknutých subjektov, avšak bez bližšieho zdôvodnenia a vyčíslenia predpokladaného rozsahu činností a súvisiacich nákladov. Žiadame preto o doplnenie aspoň orientačného odhadu finančnej a administratívnej náročnosti navrhovaných zmien, prípadne o zdôvodnenie, na základe akých predpokladov bude možné tieto činnosti zabezpečiť bez dodatočných finančných a personálnych nárokov. Na základe úprav predkladanej novely si nemyslíme, že materiál nebude mať žiadne vplyvy na výdavky MŽP SR a na ich výkon budú stačiť súčasné personálne a administratívne kapacity ministerstva, jeho podriadených organizácií a štátnych firiem.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Za Čl. CVI sa vkladá nový Čl. CVII,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24/2006 Z. z. o posudzovaní vplyvov na životné prostredie a o zmene a doplnení niektorých zákonov v znení zákona č. 275/2007 Z. z., zákona č. 454/2007 Z. z., zákona č. 287/2009 Z. z., zákona č. 117/2010 Z. z., zákona č. 145/2010 Z. z., zákona č. 258/2011 Z. z., zákona č. 408/2011 Z. z., zákona č. 345/2012 Z. z., zákona č. 448/2012 Z. z., zákona č. 39/2013 Z. z., zákona č. 180/2013 Z. z., zákona č. 314/2014 Z. z., zákona č. 128/2015 Z. z., zákona č. 125/2016 Z. z., zákona č. 312/2016 Z. z., zákona č. 142/2017 Z. z., zákona č. 177/2018 Z. z., zákona č. 460/2019 Z. z., zákona č. 74/2020 Z. z., zákona č. 198/2020 Z. z., zákona č. 363/2021 Z. z., zákona č. 372/2021 Z. z., zákona č. 172/2022 Z. z., zákona č. 69/2023 Z. z., zákona č. 272/2023 Z. z., zákona č. 142/2024 Z. z., zákona č. 350/2024 Z. z., zákona č. 26/2025 Z. z., zákona č. 269/2025 Z. z. a zákona č. 383/2025 Z.z. sa mení a dopĺňa takto: </w:t>
              <w:br/>
            </w:r>
            <w:r>
              <w:rPr>
                <w:b w:val="off"/>
                <w:color w:val="000000"/>
                <w:rFonts w:ascii="Times New Roman" w:hAnsi="Times New Roman" w:cs="Times New Roman" w:eastAsia="Times New Roman"/>
                <w:sz w:val="24"/>
              </w:rPr>
              <w:t>1.	V poznámke pod čiarou k odkazu 25 sa citácia „§ 20f až 20j Občianskeho zákonníka.“ nahrádza citáciou „§ 286 až § 289 Občianskeho zákonníka“.</w:t>
              <w:br/>
            </w:r>
            <w:r>
              <w:rPr>
                <w:b w:val="off"/>
                <w:color w:val="000000"/>
                <w:rFonts w:ascii="Times New Roman" w:hAnsi="Times New Roman" w:cs="Times New Roman" w:eastAsia="Times New Roman"/>
                <w:sz w:val="24"/>
              </w:rPr>
              <w:t>2.	V poznámke pod čiarou k odkazu 35ag sa citácia „§ 269 ods. 2 Obchodného zákonníka.“ nahrádza citáciou „§ 602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znenia zákona č. 24/2006 Z. z. o posudzovaní vplyvov na životné prostredie a o zmene a doplnení niektorých zákonov z dôvodu legislatívnych zmien vyplývajúcich z prijatia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CXLI, zákon č. 251/2012 Z. z., nový § 11 ods. 18</w:t>
              <w:br/>
            </w:r>
            <w:r>
              <w:rPr>
                <w:b w:val="off"/>
                <w:color w:val="000000"/>
                <w:rFonts w:ascii="Times New Roman" w:hAnsi="Times New Roman" w:cs="Times New Roman" w:eastAsia="Times New Roman"/>
                <w:sz w:val="24"/>
              </w:rPr>
              <w:t>Žiadame doplniť novelizačný bod:</w:t>
              <w:br/>
            </w:r>
            <w:r>
              <w:rPr>
                <w:b w:val="off"/>
                <w:color w:val="000000"/>
                <w:rFonts w:ascii="Times New Roman" w:hAnsi="Times New Roman" w:cs="Times New Roman" w:eastAsia="Times New Roman"/>
                <w:sz w:val="24"/>
              </w:rPr>
              <w:t>„§ 11 sa dopĺňa odsekom 18, ktorý znie:</w:t>
              <w:br/>
            </w:r>
            <w:r>
              <w:rPr>
                <w:b w:val="off"/>
                <w:color w:val="000000"/>
                <w:rFonts w:ascii="Times New Roman" w:hAnsi="Times New Roman" w:cs="Times New Roman" w:eastAsia="Times New Roman"/>
                <w:sz w:val="24"/>
              </w:rPr>
              <w:t>(18) Ak obsahom práva zodpovedajúceho vecnému bremenu podľa odseku 8 alebo služobnosti zriadenej na inom právnom základe je povinnosť strpieť umiestnenie alebo prevádzku energetického zariadenia alebo obmedzenia v jeho ochrannom pásme alebo bezpečnostnom pásme, za výkon nároku zo služobnosti sa považuje aj trvanie takého umiestnenia, prevádzky alebo obmedzenia v rozsahu zodpovedajúcom obsahu služobnosti. Tým nie sú dotknuté odseky 13 až 15, nároky na náhradu ani dôvody zániku služobnosti podľa Občianskeho zákonníka. Toto ustanovenie sa použije aj na skôr vzniknuté práva s rovnakým obsahom; neobnovuje premlčané nároky ani zaniknuté práva a nemení pravidlá o plynutí už začatých lehôt a dôb.“.</w:t>
              <w:br/>
            </w:r>
            <w:r>
              <w:rPr>
                <w:b w:val="off"/>
                <w:color w:val="000000"/>
                <w:rFonts w:ascii="Times New Roman" w:hAnsi="Times New Roman" w:cs="Times New Roman" w:eastAsia="Times New Roman"/>
                <w:sz w:val="24"/>
              </w:rPr>
              <w:t>Odôvodnenie: Rovnaký princíp skutočného kontinuálneho výkonu má byť použiteľný pri vodných stavbách aj súvisiacich energetických zariadeniach. Chráni sa iba obsah existujúceho práva; nevytvára sa titul k cudziemu pozemku. Návrh nevyhlasuje každú vodnú elektráreň za zariadenie prenosovej alebo distribučnej sústavy podľa § 11 ods. 1 písm. f). Zachováva rozhodovanie o zániku oprávnení pri nevyužívanom zariadení podľa odsekov 13 až 15 aj náhrady vlastníkom. Prechodná veta zosúlaďuje návrh s pripomienkou k vodnému zákonu a bráni spätnému obnoveniu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Žiadame predkladateľa o dopracovanie bodov 2, 3 a 8 Doložky vybraných vplyvov v súlade s Jednotnou metodikou na posudzovanie vybraných vplyvov.</w:t>
              <w:br/>
            </w:r>
            <w:r>
              <w:rPr>
                <w:b w:val="off"/>
                <w:color w:val="000000"/>
                <w:rFonts w:ascii="Times New Roman" w:hAnsi="Times New Roman" w:cs="Times New Roman" w:eastAsia="Times New Roman"/>
                <w:sz w:val="24"/>
              </w:rPr>
              <w:t>Odôvodnenie: V bode 2 je problém definovaný iba všeobecnou potrebou zosúladenia právneho poriadku s novým Občianskym zákonníkom, bez identifikácie konkrétnych aplikačných problémov. V bode 3 absentuje bližšie vymedzenie očakávaného výsledného stavu. Bod 8 síce stanovuje termín preskúmania účelnosti, neuvádza však konkrétne kritériá a ukazovatele, na základe ktorých bude možné vyhodnotiť dosiahnutie stanovených cieľov. Žiadame preto o ich primerané doplnenie v súlade s Jednotnou metodikou s prihliadnutím na rozsah a charakter navrhovaných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Žiadame predkladateľa o spresnenie identifikovaných pozitívnych vplyvov na životné prostredie v analýze vplyvov na životné prostredie, najmä v súvislosti s čl. LXXXVI návrhu zákona.</w:t>
              <w:br/>
            </w:r>
            <w:r>
              <w:rPr>
                <w:b w:val="off"/>
                <w:color w:val="000000"/>
                <w:rFonts w:ascii="Times New Roman" w:hAnsi="Times New Roman" w:cs="Times New Roman" w:eastAsia="Times New Roman"/>
                <w:sz w:val="24"/>
              </w:rPr>
              <w:t>Odôvodnenie: Analýza uvádza viaceré pozitívne environmentálne vplyvy, napríklad zabezpečenie prietočnosti korýt, ochranu vodných zdrojov a predchádzanie povodňovým škodám, bez bližšieho vysvetlenia ich rozsahu a mechanizmu pôsobenia. Navrhovaná právna úprava vytvára predovšetkým právne predpoklady na výkon správy vodných tokov, pričom dosiahnutie konkrétnych environmentálnych prínosov závisí aj od následnej realizácie opatrení. Žiadame preto o rozlíšenie priamych a nepriamych vplyvov a ich primerané kvalitatívne, prípadne kvantitatívne vyhodnotenie.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XXXI, zákon č. 162/1995 Z. z., § 28 ods. 3, § 31 ods. 6 a 7, § 43 ods. 1 písm. a);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osobitnej časti dôvodovej správy výslovne odlíšiť právoplatnosť rozhodnutia o povolení vkladu, vyznačenie práva v liste vlastníctva a doručenie oznámenia o právnych účinkoch vkladu. Uviesť, že sedem pracovných dní podľa navrhovaného § 31 ods. 6 je lehota na zaslanie oznámenia a rozhodnutia, nie lehota na samotný zápis. Výslovne potvrdiť zachovanie lehoty zápisu podľa § 43 ods. 1 písm. a).</w:t>
              <w:br/>
            </w:r>
            <w:r>
              <w:rPr>
                <w:b w:val="off"/>
                <w:color w:val="000000"/>
                <w:rFonts w:ascii="Times New Roman" w:hAnsi="Times New Roman" w:cs="Times New Roman" w:eastAsia="Times New Roman"/>
                <w:sz w:val="24"/>
              </w:rPr>
              <w:t>Odôvodnenie: Navrhovaný § 28 ods. 3 viaže účinky vkladu na vyznačenie vzniku, zmeny alebo zániku práva v liste vlastníctva na základe právoplatného rozhodnutia. § 43 ods. 1 písm. a) upravuje vykonanie zápisu v deň právoplatnosti rozhodnutia, najneskôr v nasledujúci pracovný deň. Rozlíšenie je podstatné pri výkupe pozemkov, úschove kúpnej ceny, odovzdaní nehnuteľnosti a zriaďovaní služobností. Nežiada sa nová dlhšia lehota ani posun účinkov na doručenie oznámenia.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4, zákon č. 364/2004 Z. z., § 43 ods. 10</w:t>
              <w:br/>
            </w:r>
            <w:r>
              <w:rPr>
                <w:b w:val="off"/>
                <w:color w:val="000000"/>
                <w:rFonts w:ascii="Times New Roman" w:hAnsi="Times New Roman" w:cs="Times New Roman" w:eastAsia="Times New Roman"/>
                <w:sz w:val="24"/>
              </w:rPr>
              <w:t>Žiadame druhú časť navrhovaného § 43 ods. 10, za bodkočiarkou, nahradiť slovami:</w:t>
              <w:br/>
            </w:r>
            <w:r>
              <w:rPr>
                <w:b w:val="off"/>
                <w:color w:val="000000"/>
                <w:rFonts w:ascii="Times New Roman" w:hAnsi="Times New Roman" w:cs="Times New Roman" w:eastAsia="Times New Roman"/>
                <w:sz w:val="24"/>
              </w:rPr>
              <w:t>„právny režim vodného toku a riečneho materiálu upravuje tento zákon; ustanovenia osobitných predpisov tým nie sú dotknuté.“</w:t>
              <w:br/>
            </w:r>
            <w:r>
              <w:rPr>
                <w:b w:val="off"/>
                <w:color w:val="000000"/>
                <w:rFonts w:ascii="Times New Roman" w:hAnsi="Times New Roman" w:cs="Times New Roman" w:eastAsia="Times New Roman"/>
                <w:sz w:val="24"/>
              </w:rPr>
              <w:t>Zachovať navrhnuté odlíšenie vodného toku a riečneho materiálu od pozemku tvoriaceho koryto.</w:t>
              <w:br/>
            </w:r>
            <w:r>
              <w:rPr>
                <w:b w:val="off"/>
                <w:color w:val="000000"/>
                <w:rFonts w:ascii="Times New Roman" w:hAnsi="Times New Roman" w:cs="Times New Roman" w:eastAsia="Times New Roman"/>
                <w:sz w:val="24"/>
              </w:rPr>
              <w:t>Odôvodnenie: Slovné spojenie „vrátane nadobúdania a zmien ich hraníc“ neurčuje jednoznačne, čo sa má nadobúdať a koho hranice sa menia. Slovo „výlučne“ môže vyvolať neželaný dojem, že sa vylučuje pôsobnosť všetkých ostatných majetkových a verejnoprávnych predpisov. Návrh preto zachováva účel aktualizácie – oddeliť pozemok od vodného toku a riečneho materiálu – bez neurčitého rozšírenia výlučnosti vodného zákona. Doterajší § 43 ods. 2 a 7 upravuje koryto ako pozemok a riečny materiál ako súčasť vodného toku.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LXXXVI bod 5, zákon č. 364/2004 Z. z., § 48 ods. 1</w:t>
              <w:br/>
            </w:r>
            <w:r>
              <w:rPr>
                <w:b w:val="off"/>
                <w:color w:val="000000"/>
                <w:rFonts w:ascii="Times New Roman" w:hAnsi="Times New Roman" w:cs="Times New Roman" w:eastAsia="Times New Roman"/>
                <w:sz w:val="24"/>
              </w:rPr>
              <w:t>Žiadame v bode 5 vypustiť doplnenie poslednej vety § 48 ods. 1 o zriaďovaní vlastníkovej služobnosti a súvisiacu novú poznámku pod čiarou k odkazu 58c. Ponechať navrhovanú zmenu slov „všestranne zameraná starostlivosť“ na slová „všestranne zameraná náležitá starostlivosť“. Zriaďovanie vlastníkovej služobnosti upraviť výlučne v § 51a v nadväznosti na pripomienky č. 10 až 12 tohto formulára.</w:t>
              <w:br/>
            </w:r>
            <w:r>
              <w:rPr>
                <w:b w:val="off"/>
                <w:color w:val="000000"/>
                <w:rFonts w:ascii="Times New Roman" w:hAnsi="Times New Roman" w:cs="Times New Roman" w:eastAsia="Times New Roman"/>
                <w:sz w:val="24"/>
              </w:rPr>
              <w:t xml:space="preserve">Odôvodnenie: Oprávnenie zriaďovať vlastníkove služobnosti a podmienky jeho výkonu je potrebné sústrediť do § 51a. Samostatné všeobecné oprávnenie v § 48 ods. 1 môže viesť k rozdielnemu výkladu, či správca vodného toku môže jednostranne zaťažiť aj pozemok v správe iného správcu majetku štátu, hoci § 51a ods. 3 v takom prípade vyžaduje písomnú dohodu dotknutých správcov. Jednotná úprava odstráni túto výkladovú neistotu a zabezpečí dodržanie rovnakých podmienok pri zriaďovaní služobností bez obmedzenia ich účelu. </w:t>
              <w:br/>
            </w:r>
            <w:r>
              <w:rPr>
                <w:b w:val="off"/>
                <w:color w:val="000000"/>
                <w:rFonts w:ascii="Times New Roman" w:hAnsi="Times New Roman" w:cs="Times New Roman" w:eastAsia="Times New Roman"/>
                <w:sz w:val="24"/>
              </w:rPr>
              <w:t>S vypustením všeobecného oprávnenia súvisí aj vypustenie k nemu dopĺňaného odkazu a poznámky pod čiarou označenej číslom 58c. Toto označenie je už použité v § 48 ods. 7 pri odkaze na chránené územia. Odstráni sa tým kolízia dvoch odlišných odkazov; existujúci odkaz 58c a príslušná poznámka pod čiarou zostanú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CXLI, zákon č. 251/2012 Z. z., § 11 ods. 8 až 11 a 15; poznámka 26</w:t>
              <w:br/>
            </w:r>
            <w:r>
              <w:rPr>
                <w:b w:val="off"/>
                <w:color w:val="000000"/>
                <w:rFonts w:ascii="Times New Roman" w:hAnsi="Times New Roman" w:cs="Times New Roman" w:eastAsia="Times New Roman"/>
                <w:sz w:val="24"/>
              </w:rPr>
              <w:t>Žiadame v § 11 ods. 8 až 11 a 15 pri právach s obsahom povinnosti strpieť alebo zdržať sa používať jednotné označenie „služobnosť“, vrátane spojení „zákonná služobnosť“ a „práva zo služobnosti“, v príslušných gramatických tvaroch. Nadväzne zosúladiť názov práva v geometrickom pláne a pri jeho výmaze. Zachovať záznam zákonného práva, lehoty na zápis, prechod práv, náhrady, lehoty na ich uplatnenie a pravidlá zániku. Poznámku 26 naviazať na ustanovenia o služobnostiach v konečnom znení OZ.</w:t>
              <w:br/>
            </w:r>
            <w:r>
              <w:rPr>
                <w:b w:val="off"/>
                <w:color w:val="000000"/>
                <w:rFonts w:ascii="Times New Roman" w:hAnsi="Times New Roman" w:cs="Times New Roman" w:eastAsia="Times New Roman"/>
                <w:sz w:val="24"/>
              </w:rPr>
              <w:t>Odôvodnenie: Je potrebné jasne rozlíšiť povinnosti spočívajúce v strpení určitého konania alebo v zdržaní sa konania od povinností opakovane niečo vykonávať alebo poskytovať. Táto požiadavka však sama osebe neodôvodňuje odstránenie všeobecného pojmu „vecné bremeno“ z právneho poriadku, keďže sa počíta s jeho zachovaním v § 1555 Občianskeho zákonníka.</w:t>
              <w:br/>
            </w:r>
            <w:r>
              <w:rPr>
                <w:b w:val="off"/>
                <w:color w:val="000000"/>
                <w:rFonts w:ascii="Times New Roman" w:hAnsi="Times New Roman" w:cs="Times New Roman" w:eastAsia="Times New Roman"/>
                <w:sz w:val="24"/>
              </w:rPr>
              <w:t>Navrhovaná terminologická úprava má povahu obyčajnej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CXLI, zákon č. 251/2012 Z. z., § 26; dôvodová správa</w:t>
              <w:br/>
            </w:r>
            <w:r>
              <w:rPr>
                <w:b w:val="off"/>
                <w:color w:val="000000"/>
                <w:rFonts w:ascii="Times New Roman" w:hAnsi="Times New Roman" w:cs="Times New Roman" w:eastAsia="Times New Roman"/>
                <w:sz w:val="24"/>
              </w:rPr>
              <w:t>Žiadame v osobitnej časti dôvodovej správy doplniť : „Zmluvy podľa § 26 zákona o energetike sa naďalej spravujú osobitnou úpravou obsiahnutou v tomto zákone. Všeobecná úprava záväzkových vzťahov podľa nového Občianskeho zákonníka sa na ne použije v rozsahu, v akom zákon o energetike neustanovuje inak.</w:t>
              <w:br/>
            </w:r>
            <w:r>
              <w:rPr>
                <w:b w:val="off"/>
                <w:color w:val="000000"/>
                <w:rFonts w:ascii="Times New Roman" w:hAnsi="Times New Roman" w:cs="Times New Roman" w:eastAsia="Times New Roman"/>
                <w:sz w:val="24"/>
              </w:rPr>
              <w:t>Samotným prijatím nového Občianskeho zákonníka sa nemenia osobitné náležitosti zmlúv podľa § 26 zákona o energetike ani súvisiace regulačné povinnosti vrátane pravidiel zodpovednosti za odchýlku. Pri zmluvách o dodávke elektriny, o pripojení do sústavy a o prístupe do sústavy sa zachováva ich osobitný účel a obsah. Použitie všeobecnej úpravy jednotlivých zmluvných typov sa posudzuje podľa povahy príslušného zmluvného vzťahu; tieto zmluvy sa preto bez ďalšieho nepodriaďujú jednotne úprave kúpnej zmluvy.</w:t>
              <w:br/>
            </w:r>
            <w:r>
              <w:rPr>
                <w:b w:val="off"/>
                <w:color w:val="000000"/>
                <w:rFonts w:ascii="Times New Roman" w:hAnsi="Times New Roman" w:cs="Times New Roman" w:eastAsia="Times New Roman"/>
                <w:sz w:val="24"/>
              </w:rPr>
              <w:t>Pri právnom posúdení elektriny ako ovládateľnej energie sa vychádza z príslušného ustanovenia nového Občianskeho zákonníka o právnych predmetoch. Osobitná definícia elektriny sa v zákone o energetike nezavádza.</w:t>
              <w:br/>
            </w:r>
            <w:r>
              <w:rPr>
                <w:b w:val="off"/>
                <w:color w:val="000000"/>
                <w:rFonts w:ascii="Times New Roman" w:hAnsi="Times New Roman" w:cs="Times New Roman" w:eastAsia="Times New Roman"/>
                <w:sz w:val="24"/>
              </w:rPr>
              <w:t>Zmeny odkazov týkajúcich sa právnej úpravy obchodných spoločností sa posudzujú oddelene od zmien odkazov týkajúcich sa záväzkových vzťahov. Úprava týchto odkazov sama osebe nemení obsah zmluvných práv a povinností.“</w:t>
              <w:br/>
            </w:r>
            <w:r>
              <w:rPr>
                <w:b w:val="off"/>
                <w:color w:val="000000"/>
                <w:rFonts w:ascii="Times New Roman" w:hAnsi="Times New Roman" w:cs="Times New Roman" w:eastAsia="Times New Roman"/>
                <w:sz w:val="24"/>
              </w:rPr>
              <w:t>Odôvodnenie: Cieľom návrhu je jasne vysvetliť, ako sa bude všeobecná úprava záväzkových vzťahov v novom Občianskom zákonníku uplatňovať popri osobitnej zmluvnej úprave v zákone o energetike. Pri posudzovaní zmlúv o dodávke elektriny, o pripojení do sústavy a o prístupe do sústavy je potrebné zohľadniť ich rozdielny účel a obsah. Nahradenie odkazov na ich právnu úpravu jediným odkazom na kúpnu zmluvu preto vyžaduje predchádzajúce posúdenie každej zmluvy a dôsledkov navrhovanej zmeny. Dôvodová správa má odstrániť pochybnosti o zachovaní osobitných zmluvných náležitostí a súvisiacich regulačných povinností vrátane pravidiel zodpovednosti za odchýlku. Súčasne je potrebné oddeliť zmeny týkajúce sa právnej úpravy obchodných spoločností od zmien zasahujúcich do zmluvných práv a povinností účastníkov trhu. Odkaz na elektrinu ako ovládateľnú energiu má vychádzať z konečného znenia príslušného ustanovenia nového Občianskeho zákonníka. Samostatná nová definícia elektriny v zákone o energetike sa nenavrhuje, pokiaľ sa nepreukáže obsahový nesúlad, ktorý by si takúto úpravu vyžadoval.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Čl. CXCIX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novely zákona č. 121/2022 Z. z. prechodné ustanovenie k úpravám účinným od 1. júla 2027 rovnako, ako je to navrhované v novelách zákona č. 528/2008 Z. z. a zákona č. 292/2014 Z. z.. Návrh zákona v súvislosti s prijatím nového občianskeho zákonníka  zavádza prechodné ustanovenia pre staršie programové obdobia (zákony č. 528/2008 Z. z. a č. 292/2014 Z. z.). Toto prechodné ustanovenie však absentuje v návrhu novely zákona č. 121/2022 Z. z., ktorý je primárnym zákonom pre aktuálne programové obdobie 2021 –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V dôvodovej správe, čl. CXI je nesprávne uvedené číslo geologického zákona. Správne má byť 569/2007.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CCXXIII (zákon č. 312/2025 Z. z.) – nový novelizačný bod k § 25 ods. 8</w:t>
              <w:br/>
            </w:r>
            <w:r>
              <w:rPr>
                <w:b w:val="off"/>
                <w:color w:val="000000"/>
                <w:rFonts w:ascii="Times New Roman" w:hAnsi="Times New Roman" w:cs="Times New Roman" w:eastAsia="Times New Roman"/>
                <w:sz w:val="24"/>
              </w:rPr>
              <w:t>Navrhujeme vložiť nový novelizačný bod, ktorý znie:</w:t>
              <w:br/>
            </w:r>
            <w:r>
              <w:rPr>
                <w:b w:val="off"/>
                <w:color w:val="000000"/>
                <w:rFonts w:ascii="Times New Roman" w:hAnsi="Times New Roman" w:cs="Times New Roman" w:eastAsia="Times New Roman"/>
                <w:sz w:val="24"/>
              </w:rPr>
              <w:t xml:space="preserve">„X. V § 25 ods. 8 sa na konci pripája táto veta: „Veriteľ je povinný bezodkladne oznámiť Národnej banke Slovenska aj každú skutočnosť, ktorá môže mať za následok zánik povolenia podľa § 29 ods. 1 písm. a) a b), najmä začatie exekučného konania voči veriteľovi, začatie konania o zrušení veriteľa súdom alebo z úradnej moci, vstup veriteľa do likvidácie, podanie návrhu na vyhlásenie konkurzu alebo návrhu na povolenie reštrukturalizácie a vyhlásenie konkurzu alebo povolenie reštrukturalizácie.“.“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oznamovacej povinnosti je odôvodnené potrebou zabezpečiť, aby mala Národná banka Slovenska bezodkladne informácie o skutočnostiach, ktoré môžu viesť k zániku povolenia na poskytovanie spotrebiteľských úverov podľa § 29 ods. 1 písm. a) a b) zákona. Povolenie podľa týchto ustanovení zaniká dňom zrušenia veriteľa bez právneho nástupcu alebo dňom právoplatnosti rozhodnutia o vyhlásení konkurzu na majetok veriteľa. Skutočnosti, ako sú začatie exekučného konania, začatie konania o zrušení veriteľa, vstup do likvidácie alebo začatie insolvenčných konaní, môžu predstavovať okolnosti predchádzajúce vzniku týchto dôvodov zániku povolenia.</w:t>
              <w:br/>
            </w:r>
            <w:r>
              <w:rPr>
                <w:b w:val="off"/>
                <w:color w:val="000000"/>
                <w:rFonts w:ascii="Times New Roman" w:hAnsi="Times New Roman" w:cs="Times New Roman" w:eastAsia="Times New Roman"/>
                <w:sz w:val="24"/>
              </w:rPr>
              <w:t>Národná banka Slovenska však nemusí disponovať informáciami o týchto skutočnostiach bezprostredne po ich vzniku. Skúsenosti z výkonu dohľadu potvrdzujú, že okolnosti, ktoré môžu viesť k zrušeniu dohliadaného subjektu alebo k vyhláseniu konkurzu na jeho majetok, nie sú Národnej banke Slovenska vždy známe v štádiu, ktoré umožňuje ich včasné vyhodnotenie z dohľadového hľadiska. Na rozdiel od zmien, pri ktorých zákon vyžaduje predchádzajúci súhlas Národnej banky Slovenska, pri uvedených skutočnostiach neexistuje mechanizmus zabezpečujúci ich automatické a včasné oznámenie dohľadu.</w:t>
              <w:br/>
            </w:r>
            <w:r>
              <w:rPr>
                <w:b w:val="off"/>
                <w:color w:val="000000"/>
                <w:rFonts w:ascii="Times New Roman" w:hAnsi="Times New Roman" w:cs="Times New Roman" w:eastAsia="Times New Roman"/>
                <w:sz w:val="24"/>
              </w:rPr>
              <w:t>Včasná informovanosť Národnej banky Slovenska je pritom významná nielen na účely výkonu dohľadu, ale aj z pohľadu možnej súčinnosti s inými orgánmi verejnej moci. Informácie, ktorými Národná banka Slovenska disponuje v rámci výkonu dohľadu, môžu byť v konkrétnych prípadoch relevantné pre rozhodovanie súdu v konaní o zrušení právnickej osoby alebo pre postup iných príslušných orgánov. Bezodkladné oznámenie týchto skutočností preto umožní Národnej banke Slovenska včas posúdiť ich význam z dohľadového hľadiska a v rozsahu ustanovenom zákonom poskytnúť potrebnú súčinnosť príslušným orgánom.</w:t>
              <w:br/>
            </w:r>
            <w:r>
              <w:rPr>
                <w:b w:val="off"/>
                <w:color w:val="000000"/>
                <w:rFonts w:ascii="Times New Roman" w:hAnsi="Times New Roman" w:cs="Times New Roman" w:eastAsia="Times New Roman"/>
                <w:sz w:val="24"/>
              </w:rPr>
              <w:t>Včasné oznámenie zo strany veriteľa je preto nevyhnutné na to, aby Národná banka Slovenska mohla priebežne monitorovať okolnosti, ktoré môžu viesť k zániku povolenia podľa § 29 ods. 1 písm. a) a b), vyhodnocovať súvisiace riziká a včas prijať primerané dohľadové opatrenia na ochranu spotrebiteľov a zabezpečenie riadneho výkonu dohľadu. Potreba úpravy súvisí s rekodifikáciou. Občiansky zákonník nanovo upravuje aj zrušenie právnickej osoby súdom alebo orgánom verejnej moci vrátane zrušenia bez návrhu a výzvy na odstránenie dôvodu zrušenia (§ 255 ods. 2 a 3), čím sa mení priebeh konaní, ktoré vedú k zániku povolenia podľa § 29 ods.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CCXXIII (zákon č. 312/2025 Z. z.) – nový novelizačný bod k § 25 ods. 10</w:t>
              <w:br/>
            </w:r>
            <w:r>
              <w:rPr>
                <w:b w:val="off"/>
                <w:color w:val="000000"/>
                <w:rFonts w:ascii="Times New Roman" w:hAnsi="Times New Roman" w:cs="Times New Roman" w:eastAsia="Times New Roman"/>
                <w:sz w:val="24"/>
              </w:rPr>
              <w:t>Navrhujeme vložiť nový novelizačný bod, ktorý znie:</w:t>
              <w:br/>
            </w:r>
            <w:r>
              <w:rPr>
                <w:b w:val="off"/>
                <w:color w:val="000000"/>
                <w:rFonts w:ascii="Times New Roman" w:hAnsi="Times New Roman" w:cs="Times New Roman" w:eastAsia="Times New Roman"/>
                <w:sz w:val="24"/>
              </w:rPr>
              <w:t>„§ 25 sa dopĺňa odsekom 10, ktorý znie:</w:t>
              <w:br/>
            </w:r>
            <w:r>
              <w:rPr>
                <w:b w:val="off"/>
                <w:color w:val="000000"/>
                <w:rFonts w:ascii="Times New Roman" w:hAnsi="Times New Roman" w:cs="Times New Roman" w:eastAsia="Times New Roman"/>
                <w:sz w:val="24"/>
              </w:rPr>
              <w:t>„(10) Osobou, u ktorej žiadateľ musí preukázať splnenie podmienky podľa § 26 ods. 2 písm. d) a § 28 ods. 3 písm. b), nemôže byť právnická osoba; ustanovenie § 221 Občianskeho zákonníka sa nepoužije.“.“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312/2025 Z. z. o spotrebiteľských úveroch a o zmene a doplnení niektorých zákonov predstavuje vo vzťahu k Občianskemu zákonníku osobitnú právnu úpravu (lex specialis). Tento zákon pri úprave podmienok výkonu činnosti veriteľa s povolením podľa § 25 ods. 1 nepredpokladá, že funkciu člena jeho štatutárneho orgánu alebo iného riadiaceho orgánu môže vykonávať právnická osoba. Uvedené vyplýva zo zákonných požiadaviek kladených na osoby vykonávajúce tieto funkcie, najmä z požiadaviek na odbornú spôsobilosť a dôveryhodnosť, ktoré sú koncipované vo vzťahu ku konkrétnym fyzickým osobám.</w:t>
              <w:br/>
            </w:r>
            <w:r>
              <w:rPr>
                <w:b w:val="off"/>
                <w:color w:val="000000"/>
                <w:rFonts w:ascii="Times New Roman" w:hAnsi="Times New Roman" w:cs="Times New Roman" w:eastAsia="Times New Roman"/>
                <w:sz w:val="24"/>
              </w:rPr>
              <w:t>Navrhované ustanovenie § 25 ods. 10 sa preto dopĺňa s cieľom odstrániť prípadné výkladové pochybnosti a jednoznačne ustanoviť, že všeobecná úprava obsiahnutá v § 221 Občianskeho zákonníka, umožňujúca právnickej osobe byť členom orgánu inej právnickej osoby, sa na veriteľa s povolením podľa § 25 ods. 1 neuplatní.</w:t>
              <w:br/>
            </w:r>
            <w:r>
              <w:rPr>
                <w:b w:val="off"/>
                <w:color w:val="000000"/>
                <w:rFonts w:ascii="Times New Roman" w:hAnsi="Times New Roman" w:cs="Times New Roman" w:eastAsia="Times New Roman"/>
                <w:sz w:val="24"/>
              </w:rPr>
              <w:t>Navrhovaná úprava zároveň zabezpečuje zachovanie osobitného regulačného režimu u veriteľov s povolením udeleným Národnou bankou Slovenska podľa zákona o spotrebiteľských úveroch, ktorý je založený na individuálnom posudzovaní odbornej spôsobilosti, bezúhonnosti a dôveryhodnosti fyzických osôb vykonávajúcich kľúčové funkcie u týchto veriteľov. Tento koncept sa premieta aj do dohľadových a sankčných mechanizmov podľa tohto zákona, najmä do § 38 ods. 4, podľa ktorého možno pokutu uložiť priamo členovi štatutárneho orgánu veriteľa, členovi dozornej rady veriteľa a ďalším zodpovedným osobám. Uvedená právna úprava je založená na osobnej zodpovednosti konkrétnych fyzických osôb za riadenie a kontrolu veriteľa. Pripustenie výkonu funkcie člena štatutárneho orgánu alebo člena dozornej rady právnickou osobou by mohlo oslabiť efektívnosť výkonu dohľadu a vyvolať aplikačné pochybnosti pri uplatňovaní sankčných mechanizmov voči osobám, ktoré fakticky riadia činnosť veriteľa. Z tohto dôvodu je potrebné jednoznačne zachovať požiadavku, aby tieto funkcie vykonávali výlučne fyzické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CCXXIII bodu 7 (z. č. 312/2025 Z.z., § 48a ods. 1 a 5) a čl. CLXXI bodu 2 (z.č. 90/2016 Z.z., § 20a ods. 1 a 5)</w:t>
              <w:br/>
            </w:r>
            <w:r>
              <w:rPr>
                <w:b w:val="off"/>
                <w:color w:val="000000"/>
                <w:rFonts w:ascii="Times New Roman" w:hAnsi="Times New Roman" w:cs="Times New Roman" w:eastAsia="Times New Roman"/>
                <w:sz w:val="24"/>
              </w:rPr>
              <w:t>V navrhovanom ustanovení navrhujeme v ods. 1 vypustiť slová „osobu, ktorá poskytla veriteľovi zabezpečenie tejto pohľadávky alebo jej časti prostredníctvom zabezpečovacieho prevodu práva“ a vypustiť odsek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oboch bodoch sa má navrhovaná úprava uplatňovať aj pre prípady, „Ak pohľadávka zo zmluvy o spotrebiteľskom úvere alebo jej časť a práva s ňou spojené v dôsledku splnenia dlhu alebo jeho časti prešli podľa Občianskeho zákonníka120a) na ... osobu, ktorá poskytla veriteľovi zabezpečenie tejto pohľadávky alebo jej časti prostredníctvom zabezpečovacieho prevodu práva...“. Avšak takéto zabezpečenie je neplatné podľa § 631 ods. 1 Občianskeho zákonníka, a bolo neplatné už podľa § 53 ods. 7 zákona č. 40/1964 Zb. Občiansky zákonník.</w:t>
              <w:br/>
            </w:r>
            <w:r>
              <w:rPr>
                <w:b w:val="off"/>
                <w:color w:val="000000"/>
                <w:rFonts w:ascii="Times New Roman" w:hAnsi="Times New Roman" w:cs="Times New Roman" w:eastAsia="Times New Roman"/>
                <w:sz w:val="24"/>
              </w:rPr>
              <w:t>Obe ustanovenia zavádzajú zákonnú fikciu (§ 20a ods. 5 zákona č. 90/2016 Z. z., resp. § 48a ods. 5 zákona č. 312/2025 Z. z.), podľa ktorej poskytnutím informácií podľa odseku 1 príslušného ustanovenia sa považuje povinnosť veriteľa poskytnúť ručiteľovi, resp. záložcovi, „všetky informácie a doklady potrebné na uplatnenie práv, ktoré na ručiteľa prešli“ (§ 399 ods. 4 Občianskeho zákonníka) za splnenú.</w:t>
              <w:br/>
            </w:r>
            <w:r>
              <w:rPr>
                <w:b w:val="off"/>
                <w:color w:val="000000"/>
                <w:rFonts w:ascii="Times New Roman" w:hAnsi="Times New Roman" w:cs="Times New Roman" w:eastAsia="Times New Roman"/>
                <w:sz w:val="24"/>
              </w:rPr>
              <w:t>Výpočet dokumentov v odseku 1 je taxatívny, čo je v konflikte s účelovým vymedzením v § 399 ods. 4 Občianskeho zákonníka („všetky potrebné informácie“). Vzniká tu riziko, že na uplatnenie práv, ktoré prešli na ručiteľa alebo záložcu, informácie vymenované v odseku 1 nebudú postačovať. V takom prípade bude negatívne následky znášať ručiteľ alebo záložca, pretože platí zákonná fikcia, že pôvodný veriteľ si svoju povinnosť riadne splnil.</w:t>
              <w:br/>
            </w:r>
            <w:r>
              <w:rPr>
                <w:b w:val="off"/>
                <w:color w:val="000000"/>
                <w:rFonts w:ascii="Times New Roman" w:hAnsi="Times New Roman" w:cs="Times New Roman" w:eastAsia="Times New Roman"/>
                <w:sz w:val="24"/>
              </w:rPr>
              <w:t>Ďalej je potrebné pripomenúť, že aj keď sa dôvodová správa odvoláva na skutočnosť, že bankové úvery podliehajú bankovému tajomstvu, v režime oboch zákonov, teda 90/2016 Z. z. aj 312/2025 Z. z. môžu poskytnúť úvery nebankové subjekty. Tieto zákony nezavádzajú žiaden osobitný režim mlčanlivosti vo vzťahu k poskytovateľom spotrebiteľských úverov a úverov na bývanie. Pritom aj tieto nebankové subjekty môžu zabezpečovať svoje pohľadávky ručením alebo záložným právom. Pokiaľ im takáto osobitná povinnosť nebude uložená, neobstojí v ich prípade zdôvodnenie obmedzenia povinnosti veriteľa podľa § 399 ods. 4 Občianskeho zákonníka potrebou riešiť vzťah k bankovému tajomstvu.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202/1995 Z. z. Devízový zákon), § 6 ods. 4 písm. c)</w:t>
              <w:br/>
            </w:r>
            <w:r>
              <w:rPr>
                <w:b w:val="off"/>
                <w:color w:val="000000"/>
                <w:rFonts w:ascii="Times New Roman" w:hAnsi="Times New Roman" w:cs="Times New Roman" w:eastAsia="Times New Roman"/>
                <w:sz w:val="24"/>
              </w:rPr>
              <w:t>Navrhujeme vložiť nový novelizačný článok, ktorý mení zákon č. 202/1995 Z. z., ktorý znie:</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Zákon Národnej rady Slovenskej republiky č. 202/1995 Z. z. Devízový zákon a zákon, ktorým sa mení a dopĺňa zákon Slovenskej národnej rady č. 372/1990 Zb. o priestupkoch v znení neskorších predpisov v znení zákona č. 45/1998 Z. z., zákona č. 200/1998 Z. z., zákona č. 388/1999 Z. z., zákona č. 367/2000 Z. z., zákona č. 442/2000 Z. z., zákona č. 456/2002 Z. z., zákona č. 602/2003 Z. z., zákona č. 554/2004 Z. z., zákona č. 747/2004 Z. z., zákona č. 214/2006 Z. z., zákona č. 209/2007 Z. z., zákona č. 659/2007 Z. z., zákona č. 567/2008 Z. z., zákona č. 492/2009 Z. z., zákona č. 140/2014 Z. z., zákona č. 374/2014 Z. z., zákona č. 357/2015 Z. z., zákona č. 91/2016 Z. z., zákona č. 125/2016 Z. z., zákona č. 177/2018 Z. z., zákona č. 108/2024 Z. z., zákona č. 387/2024 Z. z. a zákona č. 26/2025 Z. z. sa mení takto:</w:t>
              <w:br/>
            </w:r>
            <w:r>
              <w:rPr>
                <w:b w:val="off"/>
                <w:color w:val="000000"/>
                <w:rFonts w:ascii="Times New Roman" w:hAnsi="Times New Roman" w:cs="Times New Roman" w:eastAsia="Times New Roman"/>
                <w:sz w:val="24"/>
              </w:rPr>
              <w:t>V § 6 ods. 4 písm. c) sa slová „musí byť dôveryhodnou osobou; podmienku dôveryhodnosti musí spĺňať aj konečný užívateľ výhod.14a)“ nahrádzajú slovami „musí byť dôveryhodnou osobou, pričom podmienku dôveryhodnosti musí spĺňať aj konečný užívateľ výhod;14a) osobou vykonávajúcou manažérsku funkciu nemôže byť právnická osoba okrem spoločníka verejnej obchodnej spoločnosti a komplementára komanditnej spoločnosti a ustanovenie § 221 Občianskeho zákonníka sa nepoužije.“.“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Pripomienku uplatňujeme s rovnakým odôvodnením ako obdobnú pripomienku k čl. CCXXIII, teda špecifickými požiadavkami odbornej spôsobilosti, dôveryhodnosti a zodpovednosti osôb, ktoré majú vplyv na riadenie a kontrolu devízového miesta. Tieto požiadavky sú vyžadované v súvislosti s predpokladom vôľovej autonómie posudzovanej fyzickej osoby, nie je preto možné ich vyžadovať od osoby, u ktorej sa predpokladá, že koná na základe vôle zastúpenej právnickej osoby.</w:t>
              <w:br/>
            </w:r>
            <w:r>
              <w:rPr>
                <w:b w:val="off"/>
                <w:color w:val="000000"/>
                <w:rFonts w:ascii="Times New Roman" w:hAnsi="Times New Roman" w:cs="Times New Roman" w:eastAsia="Times New Roman"/>
                <w:sz w:val="24"/>
              </w:rPr>
              <w:t>Výnimka pre spoločníka verejnej obchodnej spoločnosti a komplementára komanditnej spoločnosti zachováva stav, ktorý pripúšťa doterajší § 2 písm. n): štatutárnym orgánom týchto spoločností môže byť právnická osoba už dnes a manažérsku funkciu za ňu vykonáva fyzická osoba, ktorá je jej štatutárnym orgánom alebo jeho členom a ktorá musí spĺňať podmienku dôveryhodnosti. Cieľom pripomienky preto nie je sprísniť doterajšie podmienky, ale zabrániť tomu, aby sa prostredníctvom § 221 Občianskeho zákonníka rozšírila možnosť pôsobenia právnickej osoby v orgánoch devízového miesta.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106/2024 Z. z. o správcoch úverov a nákupcoch úverov), § 6 ods. 15</w:t>
              <w:br/>
            </w:r>
            <w:r>
              <w:rPr>
                <w:b w:val="off"/>
                <w:color w:val="000000"/>
                <w:rFonts w:ascii="Times New Roman" w:hAnsi="Times New Roman" w:cs="Times New Roman" w:eastAsia="Times New Roman"/>
                <w:sz w:val="24"/>
              </w:rPr>
              <w:t>Navrhujeme vložiť nový novelizačný článok, ktorý dopĺňa zákon č. 106/2024 Z. z., ktorý znie:</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Zákon č. 106/2024 Z. z. o správcoch úverov a nákupcoch úverov a o zmene a doplnení niektorých zákonov v znení zákona č. 387/2024 Z. z. a zákona č. 312/2025 Z. z. sa dopĺňa takto:</w:t>
              <w:br/>
            </w:r>
            <w:r>
              <w:rPr>
                <w:b w:val="off"/>
                <w:color w:val="000000"/>
                <w:rFonts w:ascii="Times New Roman" w:hAnsi="Times New Roman" w:cs="Times New Roman" w:eastAsia="Times New Roman"/>
                <w:sz w:val="24"/>
              </w:rPr>
              <w:t>1. § 6 sa dopĺňa odsekom 15, ktorý znie: „(15) Osobou, ktorá riadi správcu úverov alebo vykonáva kľúčové funkcie u správcu úverov, nemôže byť právnická osoba; ustanovenie § 221 Občianskeho zákonníka sa nepoužije.“.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Pripomienku uplatňujeme s rovnakým odôvodnením ako obdobnú pripomienku k čl. CCXXIII, teda špecifickými požiadavkami odbornej spôsobilosti, dôveryhodnosti a zodpovednosti osôb, ktoré majú vplyv na riadenie a kontrolu správcu úverov. Tieto požiadavky sú vyžadované v súvislosti s predpokladom vôľovej autonómie posudzovanej fyzickej osoby, nie je preto možné ich vyžadovať od osoby, u ktorej sa predpokladá, že koná na základe vôle zastúpenej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311/2025 Z. z. o ochrane spotrebiteľa pri finančných službách na diaľku), § 1 o</w:t>
              <w:br/>
            </w:r>
            <w:r>
              <w:rPr>
                <w:b w:val="off"/>
                <w:color w:val="000000"/>
                <w:rFonts w:ascii="Times New Roman" w:hAnsi="Times New Roman" w:cs="Times New Roman" w:eastAsia="Times New Roman"/>
                <w:sz w:val="24"/>
              </w:rPr>
              <w:t>Nad rámec návrhu – nový článok (zákon č. 311/2025 Z. z. o ochrane spotrebiteľa pri finančných službách na diaľku), § 1 ods. 4</w:t>
              <w:br/>
            </w:r>
            <w:r>
              <w:rPr>
                <w:b w:val="off"/>
                <w:color w:val="000000"/>
                <w:rFonts w:ascii="Times New Roman" w:hAnsi="Times New Roman" w:cs="Times New Roman" w:eastAsia="Times New Roman"/>
                <w:sz w:val="24"/>
              </w:rPr>
              <w:t>Navrhujeme vložiť nový novelizačný článok, ktorý dopĺňa zákon č. 311/2025 Z. z., ktorý znie:</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Zákon č. 311/2025 Z. z. o ochrane spotrebiteľa pri finančných službách na diaľku a o zmene a doplnení niektorých zákonov sa dopĺňa takto:§ 1 sa dopĺňa odsekom 4, ktorý znie:</w:t>
              <w:br/>
            </w:r>
            <w:r>
              <w:rPr>
                <w:b w:val="off"/>
                <w:color w:val="000000"/>
                <w:rFonts w:ascii="Times New Roman" w:hAnsi="Times New Roman" w:cs="Times New Roman" w:eastAsia="Times New Roman"/>
                <w:sz w:val="24"/>
              </w:rPr>
              <w:t>„(4) Spotrebiteľ sa nemôže vzdať práv, ktoré mu priznáva tento zákon. Ustanovenie zmluvy uzavretej na diaľku, ktoré sa priamo alebo nepriamo odchyľuje od ustanovení tohto zákona v neprospech spotrebiteľa alebo obmedzuje práva, ktoré mu tento zákon priznáva, je neplatné.“.“</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40/1964 Zb. Občiansky zákonník v znení neskorších predpisov v § 54 ods. 1 obsahuje ustanovenie, ktoré znie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Občiansky zákonník obsahuje časť tohto pravidla v § 625, pričom znie „Spotrebiteľ sa nemôže vopred vzdať práv, ktoré môžu vzniknúť až v budúcnosti.“.</w:t>
              <w:br/>
            </w:r>
            <w:r>
              <w:rPr>
                <w:b w:val="off"/>
                <w:color w:val="000000"/>
                <w:rFonts w:ascii="Times New Roman" w:hAnsi="Times New Roman" w:cs="Times New Roman" w:eastAsia="Times New Roman"/>
                <w:sz w:val="24"/>
              </w:rPr>
              <w:t>Ustanovenie § 54 ods. 1 koreluje s ustanovením čl. 25 smernice Európskeho parlamentu a Rady 2011/83/EÚ z 25. októbra 2011 o právach spotrebiteľov, ktorou sa mení a dopĺňa smernica Rady 93/13/EHS a smernica Európskeho parlamentu a Rady 1999/44/ES a ktorou sa zrušuje smernica Rady 85/577/EHS a smernica Európskeho parlamentu a Rady 97/7/ES.</w:t>
              <w:br/>
            </w:r>
            <w:r>
              <w:rPr>
                <w:b w:val="off"/>
                <w:color w:val="000000"/>
                <w:rFonts w:ascii="Times New Roman" w:hAnsi="Times New Roman" w:cs="Times New Roman" w:eastAsia="Times New Roman"/>
                <w:sz w:val="24"/>
              </w:rPr>
              <w:t>Hoci gestor smernice v tabuľke zhody pri prijímaní transpozičných opatrení k smernici uvádza k čl. 25, že transpozícia sa neuskutočňuje (teda, že ustanovenie nie je potrebné transponovať), súčasný § 54 ods. 1 bol do Občianskeho zákonníka doplnený pri transpozícii smernice zákonom č. 102/2014 Z. z. o ochrane spotrebiteľa pri predaji tovaru alebo poskytovaní služieb na základe zmluvy uzavretej na diaľku alebo zmluvy uzavretej mimo prevádzkových priestorov predávajúceho a o zmene a doplnení niektorých zákonov. Obsah čl. 25 je právnou normou, ktorá si vyžaduje transpozíciu. V Českej republike bolo ustanovenie čl. 25 smernice transponované § 1812 ods. 2 zákona č. 89/2012 Sb. (nový občanský zákonník) a transpozícia bola riadne notifikovaná Európskej komisii. Po zmene smernicou Európskeho parlamentu a Rady (EÚ) 2023/2673 sa čl. 25 smernice 2011/83/EÚ podľa jej čl. 3 ods. 1b výslovne vzťahuje aj na zmluvy o finančných službách uzavierané na diaľku, ktoré transponuje práve zákon č. 311/2025 Z. z.; doterajší § 54 ods. 1 zákona č. 40/1964 Zb. Občiansky zákonník túto požiadavku pokrýval všeobecne, kým § 625 Občianskeho zákonníka postihuje len vzdanie sa budúcich práv, nie odchylné zmluvné dojednania. Smernica 2011/83/EÚ vyžaduje úplnú harmonizáciu, preto je v záujme predídenia vzniku transpozičného deficitu potrebné zabezpečiť, že práv ustanovených touto smernicou sa spotrebiteľ nemôže zmluvou vzdať a nemôžu mu byť zmluvou obmedzené a to ani priamo ani nepriamo. Odporúčame zvážiť potrebu primerane doplniť aj iné právne predpisy, do ktorých sú ustanovenia smernice transponované (napr. zákon č. 108/2024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LII bodu 16 (zákon č. 566/2001 Z. z.) – § 53 ods. 4</w:t>
              <w:br/>
            </w:r>
            <w:r>
              <w:rPr>
                <w:b w:val="off"/>
                <w:color w:val="000000"/>
                <w:rFonts w:ascii="Times New Roman" w:hAnsi="Times New Roman" w:cs="Times New Roman" w:eastAsia="Times New Roman"/>
                <w:sz w:val="24"/>
              </w:rPr>
              <w:t>Navrhujeme prepracovať navrhované znenie § 53 ods. 4 tak, aby jednoznačne určovalo, či má zápis konštitutívny charakter alebo deklaratórny.</w:t>
              <w:br/>
            </w:r>
            <w:r>
              <w:rPr>
                <w:b w:val="off"/>
                <w:color w:val="000000"/>
                <w:rFonts w:ascii="Times New Roman" w:hAnsi="Times New Roman" w:cs="Times New Roman" w:eastAsia="Times New Roman"/>
                <w:sz w:val="24"/>
              </w:rPr>
              <w:t>Ak má byť zápis deklaratórny navrhujeme:</w:t>
              <w:br/>
            </w:r>
            <w:r>
              <w:rPr>
                <w:b w:val="off"/>
                <w:color w:val="000000"/>
                <w:rFonts w:ascii="Times New Roman" w:hAnsi="Times New Roman" w:cs="Times New Roman" w:eastAsia="Times New Roman"/>
                <w:sz w:val="24"/>
              </w:rPr>
              <w:t>„(4) Po zániku zabezpečovacieho prevodu cenných papierov podľa Občianskeho zákonníka centrálny depozitár vykoná výmaz zabezpečovacieho prevodu z osobitnej evidencie na základe príkazu. Na podanie príkazu a vykonanie výmazu sa primerane použije § 50 ods. 5.“.</w:t>
              <w:br/>
            </w:r>
            <w:r>
              <w:rPr>
                <w:b w:val="off"/>
                <w:color w:val="000000"/>
                <w:rFonts w:ascii="Times New Roman" w:hAnsi="Times New Roman" w:cs="Times New Roman" w:eastAsia="Times New Roman"/>
                <w:sz w:val="24"/>
              </w:rPr>
              <w:t>Ak má byť zápis konštitutívny, zákon musí upraviť, čo sa deje po splnení zabezpečenej pohľadávky, ale pred registráciou spätného prechodu.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zabezpečovací prevod cenných papierov zaniká jeho registráciou v osobitnej evidencii po vzniku dôvodu zániku.</w:t>
              <w:br/>
            </w:r>
            <w:r>
              <w:rPr>
                <w:b w:val="off"/>
                <w:color w:val="000000"/>
                <w:rFonts w:ascii="Times New Roman" w:hAnsi="Times New Roman" w:cs="Times New Roman" w:eastAsia="Times New Roman"/>
                <w:sz w:val="24"/>
              </w:rPr>
              <w:t>Takto formulovaná právna úprava môže vyvolávať pochybnosti o okamihu zániku zabezpečovacieho prevodu a o právnych účinkoch splnenia zabezpečenej pohľadávky.</w:t>
              <w:br/>
            </w:r>
            <w:r>
              <w:rPr>
                <w:b w:val="off"/>
                <w:color w:val="000000"/>
                <w:rFonts w:ascii="Times New Roman" w:hAnsi="Times New Roman" w:cs="Times New Roman" w:eastAsia="Times New Roman"/>
                <w:sz w:val="24"/>
              </w:rPr>
              <w:t>Zároveň vzniká rozdiel oproti navrhovanej úprave zániku záložného práva podľa § 46 ods. 1.</w:t>
              <w:br/>
            </w:r>
            <w:r>
              <w:rPr>
                <w:b w:val="off"/>
                <w:color w:val="000000"/>
                <w:rFonts w:ascii="Times New Roman" w:hAnsi="Times New Roman" w:cs="Times New Roman" w:eastAsia="Times New Roman"/>
                <w:sz w:val="24"/>
              </w:rPr>
              <w:t>Navrhujeme preto jednoznačne upraviť právne účinky registrácie a výmazu zabezpečovacieho prevodu cenných papierov a ich vzťah k všeobecnej úprave zabezpečovacieho prevodu práva podľa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53g ods. 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nové znenie § 53g odseku 1:</w:t>
              <w:br/>
            </w:r>
            <w:r>
              <w:rPr>
                <w:b w:val="off"/>
                <w:color w:val="000000"/>
                <w:rFonts w:ascii="Times New Roman" w:hAnsi="Times New Roman" w:cs="Times New Roman" w:eastAsia="Times New Roman"/>
                <w:sz w:val="24"/>
              </w:rPr>
              <w:t>„(1) Zmluvné predkupné právo k cenným papierom nadobúda účinky voči právnym nástupcom povinného a iným tretím osobám registráciou tohto práva v osobitnej evidencii (ďalej len „register predkupného práva“); tým nie sú dotknuté účinky dojednania o predkupnom práve medzi stranami podľa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všeobecne ustanovuje, že predkupné právo k cenným papierom vzniká registráciou.</w:t>
              <w:br/>
            </w:r>
            <w:r>
              <w:rPr>
                <w:b w:val="off"/>
                <w:color w:val="000000"/>
                <w:rFonts w:ascii="Times New Roman" w:hAnsi="Times New Roman" w:cs="Times New Roman" w:eastAsia="Times New Roman"/>
                <w:sz w:val="24"/>
              </w:rPr>
              <w:t>Takáto formulácia dostatočne nerozlišuje medzi zákonným a zmluvným predkupným právom ani medzi predkupným právom s obligačnými a vecnoprávnymi účinkami.</w:t>
              <w:br/>
            </w:r>
            <w:r>
              <w:rPr>
                <w:b w:val="off"/>
                <w:color w:val="000000"/>
                <w:rFonts w:ascii="Times New Roman" w:hAnsi="Times New Roman" w:cs="Times New Roman" w:eastAsia="Times New Roman"/>
                <w:sz w:val="24"/>
              </w:rPr>
              <w:t>Podľa § 1668 Občianskeho zákonníka zmluvné predkupné právo s vecnoprávnym účinkom možno zriadiť iba k veci evidovanej v katastri nehnuteľností alebo inom majetkovom registri a vzniká zápisom do tohto registra; obligačné predkupné právo vzniká zmluvou. Navrhujeme preto rozsah konštitutívnych účinkov registrácie jednoznačne zosúladiť s Občianskym zákonníkom, aby nevznikali pochybnosti o právnych dôvodoch vzniku predkupného práva a o účinkoch registrácie voči tretím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53j a 53l</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jednoznačne upraviť právne účinky registrácie, zmeny a výmazu práva spätnej kúpy k cenným papierom vrátane vzniku a zániku jeho vecnoprávnych účinkov.</w:t>
              <w:br/>
            </w:r>
            <w:r>
              <w:rPr>
                <w:b w:val="off"/>
                <w:color w:val="000000"/>
                <w:rFonts w:ascii="Times New Roman" w:hAnsi="Times New Roman" w:cs="Times New Roman" w:eastAsia="Times New Roman"/>
                <w:sz w:val="24"/>
              </w:rPr>
              <w:t>Navrhujeme analogicky upraviť aj okamih zániku práva spätnej kúpy a vzťah zániku k výmazu z registra.</w:t>
              <w:br/>
            </w:r>
            <w:r>
              <w:rPr>
                <w:b w:val="off"/>
                <w:color w:val="000000"/>
                <w:rFonts w:ascii="Times New Roman" w:hAnsi="Times New Roman" w:cs="Times New Roman" w:eastAsia="Times New Roman"/>
                <w:sz w:val="24"/>
              </w:rPr>
              <w:t>Navrhujeme § 53j doplniť odsekom 5, ktorý znie:</w:t>
              <w:br/>
            </w:r>
            <w:r>
              <w:rPr>
                <w:b w:val="off"/>
                <w:color w:val="000000"/>
                <w:rFonts w:ascii="Times New Roman" w:hAnsi="Times New Roman" w:cs="Times New Roman" w:eastAsia="Times New Roman"/>
                <w:sz w:val="24"/>
              </w:rPr>
              <w:t>„(5) Zmluvné právo spätnej kúpy k cenným papierom nadobúda účinky voči právnym nástupcom kupujúceho a iným tretím osobám registráciou v registri práva spätnej kúpy; tým nie sú dotknuté účinky výhrady spätnej kúpy medzi stranami podľa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53j upravuje registráciu práva spätnej kúpy v osobitnej evidencii, avšak na rozdiel od § 53g výslovne neupravuje vznik a zánik tohto práva registráciou a výmazom.</w:t>
              <w:br/>
            </w:r>
            <w:r>
              <w:rPr>
                <w:b w:val="off"/>
                <w:color w:val="000000"/>
                <w:rFonts w:ascii="Times New Roman" w:hAnsi="Times New Roman" w:cs="Times New Roman" w:eastAsia="Times New Roman"/>
                <w:sz w:val="24"/>
              </w:rPr>
              <w:t>Z návrhu preto nie je dostatočne zrejmé, či má zápis do registra práva spätnej kúpy konštitutívny alebo deklaratórny účinok.</w:t>
              <w:br/>
            </w:r>
            <w:r>
              <w:rPr>
                <w:b w:val="off"/>
                <w:color w:val="000000"/>
                <w:rFonts w:ascii="Times New Roman" w:hAnsi="Times New Roman" w:cs="Times New Roman" w:eastAsia="Times New Roman"/>
                <w:sz w:val="24"/>
              </w:rPr>
              <w:t>Podľa § 792 ods. 1 Občianskeho zákonníka výhrada spätnej kúpy s vecnoprávnym účinkom pôsobí voči právnym nástupcom kupujúceho len pri veci evidovanej v majetkovom registri a vzniká zápisom do tohto registra. Považujeme za potrebné právnu úpravu zosúladiť s Občianskym zákonníkom a jednoznačne rozlišovať medzi existenciou práva spätnej kúpy, jeho vecnoprávnymi účinkami a účinkami jednotlivých registračných úkonov.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429/2002 Z. z. o burze cenných papierov)</w:t>
              <w:br/>
            </w:r>
            <w:r>
              <w:rPr>
                <w:b w:val="off"/>
                <w:color w:val="000000"/>
                <w:rFonts w:ascii="Times New Roman" w:hAnsi="Times New Roman" w:cs="Times New Roman" w:eastAsia="Times New Roman"/>
                <w:sz w:val="24"/>
              </w:rPr>
              <w:t>Navrhujeme vložiť nový článok, ktorým sa mení zákon č. 429/2002 Z. z. o burze cenných papierov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 2 ods. 8 písm. d) zákona č. 429/2002 Z. z.</w:t>
              <w:br/>
            </w:r>
            <w:r>
              <w:rPr>
                <w:b w:val="off"/>
                <w:color w:val="000000"/>
                <w:rFonts w:ascii="Times New Roman" w:hAnsi="Times New Roman" w:cs="Times New Roman" w:eastAsia="Times New Roman"/>
                <w:sz w:val="24"/>
              </w:rPr>
              <w:t>Navrhujeme v poznámke pod čiarou k odkazu 8 nahradiť citáciu „§ 476 až 488 Obchodného zákonníka“ citáciou „§ 831 až 841 Občianskeho zákonníka“.</w:t>
              <w:br/>
            </w:r>
            <w:r>
              <w:rPr>
                <w:b w:val="off"/>
                <w:color w:val="000000"/>
                <w:rFonts w:ascii="Times New Roman" w:hAnsi="Times New Roman" w:cs="Times New Roman" w:eastAsia="Times New Roman"/>
                <w:sz w:val="24"/>
              </w:rPr>
              <w:t>2.	K § 2 ods. 10 zákona č. 429/2002 Z. z.</w:t>
              <w:br/>
            </w:r>
            <w:r>
              <w:rPr>
                <w:b w:val="off"/>
                <w:color w:val="000000"/>
                <w:rFonts w:ascii="Times New Roman" w:hAnsi="Times New Roman" w:cs="Times New Roman" w:eastAsia="Times New Roman"/>
                <w:sz w:val="24"/>
              </w:rPr>
              <w:t>Navrhujeme spresniť § 2 ods. 10 takto:</w:t>
              <w:br/>
            </w:r>
            <w:r>
              <w:rPr>
                <w:b w:val="off"/>
                <w:color w:val="000000"/>
                <w:rFonts w:ascii="Times New Roman" w:hAnsi="Times New Roman" w:cs="Times New Roman" w:eastAsia="Times New Roman"/>
                <w:sz w:val="24"/>
              </w:rPr>
              <w:t>„(10) Na burzu sa vzťahujú všeobecné ustanovenia Obchodného zákonníka o obchodných spoločnostiach a ustanovenia o akciových spoločnostiach, ak tento zákon neustanovuje inak.“.</w:t>
              <w:br/>
            </w:r>
            <w:r>
              <w:rPr>
                <w:b w:val="off"/>
                <w:color w:val="000000"/>
                <w:rFonts w:ascii="Times New Roman" w:hAnsi="Times New Roman" w:cs="Times New Roman" w:eastAsia="Times New Roman"/>
                <w:sz w:val="24"/>
              </w:rPr>
              <w:t>3.	K § 14 ods. 4 zákona č. 429/2002 Z. z.</w:t>
              <w:br/>
            </w:r>
            <w:r>
              <w:rPr>
                <w:b w:val="off"/>
                <w:color w:val="000000"/>
                <w:rFonts w:ascii="Times New Roman" w:hAnsi="Times New Roman" w:cs="Times New Roman" w:eastAsia="Times New Roman"/>
                <w:sz w:val="24"/>
              </w:rPr>
              <w:t>Navrhujeme § 14 ods. 4 upraviť takto:</w:t>
              <w:br/>
            </w:r>
            <w:r>
              <w:rPr>
                <w:b w:val="off"/>
                <w:color w:val="000000"/>
                <w:rFonts w:ascii="Times New Roman" w:hAnsi="Times New Roman" w:cs="Times New Roman" w:eastAsia="Times New Roman"/>
                <w:sz w:val="24"/>
              </w:rPr>
              <w:t>„(4) Burza je povinná upraviť právne vzťahy s členmi predstavenstva písomnou zmluvou, na ktorú sa vzťahuje osobitný predpis.22)“.</w:t>
              <w:br/>
            </w:r>
            <w:r>
              <w:rPr>
                <w:b w:val="off"/>
                <w:color w:val="000000"/>
                <w:rFonts w:ascii="Times New Roman" w:hAnsi="Times New Roman" w:cs="Times New Roman" w:eastAsia="Times New Roman"/>
                <w:sz w:val="24"/>
              </w:rPr>
              <w:t>Súčasne navrhujeme v poznámke pod čiarou k odkazu 22 nahradiť citáciu „§ 66 ods. 3 Obchodného zákonníka“ relevantnou citáciou ako napr. „§ 66 ods. 3 Obchodného zákonníka a § 224 Občianskeho zákonníka“. Písomnú formu ponechať v § 14 ods. 4 ako lex specialis“.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V súvislosti s rekodifikáciou súkromného práva sa právna úprava zmluvy o predaji podniku presúva z Obchodného zákonníka do Občianskeho zákonníka. Podľa Občianskeho zákonníka sa upravuje zmluva o predaji podniku vrátane predaja jeho časti. Z uvedeného dôvodu je potrebné aktualizovať poznámku pod čiarou k odkazu 8 tak, aby zodpovedala novej právnej úprave. Navrhovaná zmena má legislatívno-technický charakter a nemení rozsah zákazu predaja podniku burzy alebo jeho časti ustanoveného v § 2 ods. 8 písm. d).</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V súvislosti s rekodifikáciou súkromného práva dochádza k zmene systematiky právnej úpravy obsiahnutej v Obchodnom zákonníku a Občianskom zákonníku. Burza cenných papierov je akciovou spoločnosťou, na ktorú sa naďalej vzťahujú príslušné ustanovenia Obchodného zákonníka upravujúce právne postavenie obchodných spoločností. Navrhovaným spresnením sa má jednoznačne vyjadriť subsidiárna pôsobnosť korporačných ustanovení Obchodného zákonníka vo vzťahu k osobitnej právnej úprave burzy cenných papierov. Zároveň sa tým nemá vylúčiť uplatňovanie Občianskeho zákonníka ako všeobecného predpisu súkromného práva na právne vzťahy, ktoré nie sú osobitne upravené zákonom o burze cenných papierov alebo iným osobitným predpisom.</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V súvislosti s rekodifikáciou súkromného práva sa všeobecná právna úprava vzťahu medzi členom orgánu právnickej osoby a právnickou osobou presúva do Občianskeho zákonníka.</w:t>
              <w:br/>
            </w:r>
            <w:r>
              <w:rPr>
                <w:b w:val="off"/>
                <w:color w:val="000000"/>
                <w:rFonts w:ascii="Times New Roman" w:hAnsi="Times New Roman" w:cs="Times New Roman" w:eastAsia="Times New Roman"/>
                <w:sz w:val="24"/>
              </w:rPr>
              <w:t>Podľa Občianskeho zákonníka sa upravuje schvaľovanie zmluvy medzi členom orgánu a právnickou osobou a primerané použitie ustanovení o príkaznej zmluve na ich vzájomné práva a povinnosti.</w:t>
              <w:br/>
            </w:r>
            <w:r>
              <w:rPr>
                <w:b w:val="off"/>
                <w:color w:val="000000"/>
                <w:rFonts w:ascii="Times New Roman" w:hAnsi="Times New Roman" w:cs="Times New Roman" w:eastAsia="Times New Roman"/>
                <w:sz w:val="24"/>
              </w:rPr>
              <w:t>Nová právna úprava však výslovne neustanovuje povinnosť uzavrieť túto zmluvu v písomnej forme, na rozdiel od doterajšej právnej úpravy zmluvy o výkone funkcie podľa Obchodného zákonníka. Z dôvodu zachovania transparentnosti, preukázateľnosti a právnej istoty pri úprave právnych vzťahov medzi burzou cenných papierov a členmi jej predstavenstva považujeme za potrebné výslovne zachovať požiadavku písomnej formy zmluvy. Vzhľadom na osobitné postavenie burzy cenných papierov ako regulovaného subjektu finančného trhu je zachovanie tejto požiadavky odôvodnené aj potrebou zabezpečenia riadneho systému správy a riadenia a účinného výkonu dohľadu Národnej banky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 nahrádzanie pojmu „odborná starostlivosť“ pojmom „náležitá starostlivosť“ v sektorových predpisoch</w:t>
              <w:br/>
            </w:r>
            <w:r>
              <w:rPr>
                <w:b w:val="off"/>
                <w:color w:val="000000"/>
                <w:rFonts w:ascii="Times New Roman" w:hAnsi="Times New Roman" w:cs="Times New Roman" w:eastAsia="Times New Roman"/>
                <w:sz w:val="24"/>
              </w:rPr>
              <w:t>K návrhu ako celku – nahrádzanie pojmu „odborná starostlivosť“ pojmom „náležitá starostlivosť“ v sektorových predpisoch finančného trhu.</w:t>
              <w:br/>
            </w:r>
            <w:r>
              <w:rPr>
                <w:b w:val="off"/>
                <w:color w:val="000000"/>
                <w:rFonts w:ascii="Times New Roman" w:hAnsi="Times New Roman" w:cs="Times New Roman" w:eastAsia="Times New Roman"/>
                <w:sz w:val="24"/>
              </w:rPr>
              <w:t>Požadujeme, aby predkladateľ v sektorových predpisoch finančného trhu upustil od plošného nahrádzania pojmu „odborná starostlivosť“ pojmom „náležitá starostlivosť“, ktoré návrh vykonáva formuláciou o nahradení pojmu „v celom texte zákona“. Zmenu pojmu požadujeme obmedziť len na ustanovenia upravujúce súkromnoprávnu zodpovednosť člena orgánu alebo iný súkromnoprávny vzťah, pri ktorom má byť štandard konania odvodený z Občianskeho zákonníka. V ustanoveniach určujúcich podmienky výkonu regulovanej činnosti a štandard správania dohliadaných subjektov, ktorých dodržiavanie je predmetom dohľadu Národnej banky Slovenska, požadujeme zachovať pojem „odborná starostlivosť“.</w:t>
              <w:br/>
            </w:r>
            <w:r>
              <w:rPr>
                <w:b w:val="off"/>
                <w:color w:val="000000"/>
                <w:rFonts w:ascii="Times New Roman" w:hAnsi="Times New Roman" w:cs="Times New Roman" w:eastAsia="Times New Roman"/>
                <w:sz w:val="24"/>
              </w:rPr>
              <w:t>Odborná starostlivosť v predpisoch finančného trhu nepredstavuje všeobecný štandard správania, ale kvalifikovaný sektorový štandard vyplývajúci z osobitných právnych predpisov, preberaných aktov práva Európskej únie, regulačných technických predpisov, usmernení európskych orgánov dohľadu a ustálenej dohľadovej praxe. Tento pojem je dlhodobo používaný naprieč sektorovou legislatívou finančného trhu a tvorí základ viacerých dohľadových oprávnení a rozhodovacích procesov Národnej banky Slovenska.</w:t>
              <w:br/>
            </w:r>
            <w:r>
              <w:rPr>
                <w:b w:val="off"/>
                <w:color w:val="000000"/>
                <w:rFonts w:ascii="Times New Roman" w:hAnsi="Times New Roman" w:cs="Times New Roman" w:eastAsia="Times New Roman"/>
                <w:sz w:val="24"/>
              </w:rPr>
              <w:t>Ak predkladateľ na navrhovanej terminologickej zmene trvá, požadujeme, aby v normatívnom texte bolo jednoznačne vyjadrené,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náležitá starostlivosť podľa sektorových predpisov finančného trhu zahŕňa doterajší obsah odbornej starostlivosti ako kvalifikovaného sektorového štandardu,</w:t>
              <w:br/>
            </w:r>
            <w:r>
              <w:rPr>
                <w:b w:val="off"/>
                <w:color w:val="000000"/>
                <w:rFonts w:ascii="Times New Roman" w:hAnsi="Times New Roman" w:cs="Times New Roman" w:eastAsia="Times New Roman"/>
                <w:sz w:val="24"/>
              </w:rPr>
              <w:t>-	jej obsah sa posudzuje podľa príslušného sektorového predpisu, právnych aktov Európskej únie a súvisiacich regulačných požiadaviek, a nie podľa všeobecného meradla vyjadreného v čl. 11 ods. 1 Občianskeho zákonníka,</w:t>
              <w:br/>
            </w:r>
            <w:r>
              <w:rPr>
                <w:b w:val="off"/>
                <w:color w:val="000000"/>
                <w:rFonts w:ascii="Times New Roman" w:hAnsi="Times New Roman" w:cs="Times New Roman" w:eastAsia="Times New Roman"/>
                <w:sz w:val="24"/>
              </w:rPr>
              <w:t>-	zmena terminológie nemá za cieľ vecnú zmenu požadovaného štandardu správania, rozsahu povinností dohliadaných subjektov ani doterajšej dohľadovej a rozhodovacej praxe Národnej banky Slovenska.</w:t>
              <w:br/>
            </w:r>
            <w:r>
              <w:rPr>
                <w:b w:val="off"/>
                <w:color w:val="000000"/>
                <w:rFonts w:ascii="Times New Roman" w:hAnsi="Times New Roman" w:cs="Times New Roman" w:eastAsia="Times New Roman"/>
                <w:sz w:val="24"/>
              </w:rPr>
              <w:t>Rovnaký prístup požadujeme uplatniť aj pri ostatných sektorových predpisoch finančného trhu, v ktorých by malo dôjsť k nahradeniu pojmu „odborná starostlivosť“ pojmom „náležitá starostlivosť“ v priebehu legislatívneho procesu alebo pri následnej úprave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„odborná starostlivosť“ v sektorových predpisoch finančného trhu nepredstavuje len terminologické vyjadrenie všeobecného súkromnoprávneho štandardu starostlivosti. Ide o samostatný, obsahovo rozvinutý verejnoprávny štandard výkonu regulovanej činnosti, prostredníctvom ktorého sa do slovenského právneho poriadku preberajú požiadavky práva Európskej únie. Jeho obsah je konkretizovaný jednotlivými sektorovými predpismi, pravidlami výkonu činnosti a pravidlami správania voči klientom. Národná banka Slovenska ho dlhodobo vykladá a aplikuje v dohľadovej, metodickej a rozhodovacej praxi a jeho porušenie je v mnohých prípadoch skutkovou podstatou správneho deliktu.</w:t>
              <w:br/>
            </w:r>
            <w:r>
              <w:rPr>
                <w:b w:val="off"/>
                <w:color w:val="000000"/>
                <w:rFonts w:ascii="Times New Roman" w:hAnsi="Times New Roman" w:cs="Times New Roman" w:eastAsia="Times New Roman"/>
                <w:sz w:val="24"/>
              </w:rPr>
              <w:t>Naproti tomu pojem „náležitá starostlivosť“ v Občianskom zákonníku nevystupuje ako osobitne rozvinutý regulačný štandard. Je upravený v čl. 11 ako jeden zo základných princípov kódexu a slúži najmä ako interpretačné východisko a kritérium posudzovania dobromyseľnosti a vedomosti.</w:t>
              <w:br/>
            </w:r>
            <w:r>
              <w:rPr>
                <w:b w:val="off"/>
                <w:color w:val="000000"/>
                <w:rFonts w:ascii="Times New Roman" w:hAnsi="Times New Roman" w:cs="Times New Roman" w:eastAsia="Times New Roman"/>
                <w:sz w:val="24"/>
              </w:rPr>
              <w:t>Plošné nahradenie pojmu „odborná starostlivosť“ pojmom „náležitá starostlivosť“ bez bližšieho vysvetlenia jeho vzťahu k existujúcej sektorovej regulácii preto považujeme za problematické. Takáto zmena môže vyvolať argumentáciu, že sektorové povinnosti predstavujú iba konkretizáciu všeobecného civilnoprávneho štandardu, alebo naopak, že porušenie sektorových pravidiel správania automaticky nepredstavuje porušenie „náležitej starostlivosti“ v zmysle Občianskeho zákonníka. Vzniká tak riziko interpretačných sporov, oslabovania právnej istoty a spochybňovania existujúcej dohľadovej a sankčnej praxe Národnej banky Slovenska.</w:t>
              <w:br/>
            </w:r>
            <w:r>
              <w:rPr>
                <w:b w:val="off"/>
                <w:color w:val="000000"/>
                <w:rFonts w:ascii="Times New Roman" w:hAnsi="Times New Roman" w:cs="Times New Roman" w:eastAsia="Times New Roman"/>
                <w:sz w:val="24"/>
              </w:rPr>
              <w:t>Navrhovaná zmena môže zároveň viesť k terminologickej a vecnej nekonzistentnosti v rámci sektorovej regulácie finančného trhu a vyvolávať otázky z pohľadu riadnej transpozície práva Európskej únie, keďže nie je vyvolaná zmenou príslušných európskych predpisov, ale výlučne terminológiou Občianskeho zákonníka.</w:t>
              <w:br/>
            </w:r>
            <w:r>
              <w:rPr>
                <w:b w:val="off"/>
                <w:color w:val="000000"/>
                <w:rFonts w:ascii="Times New Roman" w:hAnsi="Times New Roman" w:cs="Times New Roman" w:eastAsia="Times New Roman"/>
                <w:sz w:val="24"/>
              </w:rPr>
              <w:t>Skutočnosť, že návrh pri dvanástej časti zákona č. 43/2004 Z. z. zachováva pojem „odborná starostlivosť“, potvrdzuje, že predkladateľ si rozdielnu povahu oboch štandardov uvedomuje. Tento prístup však nie je uplatnený systematicky vo vzťahu k ostatným sektorovým predpisom finančného trhu.</w:t>
              <w:br/>
            </w:r>
            <w:r>
              <w:rPr>
                <w:b w:val="off"/>
                <w:color w:val="000000"/>
                <w:rFonts w:ascii="Times New Roman" w:hAnsi="Times New Roman" w:cs="Times New Roman" w:eastAsia="Times New Roman"/>
                <w:sz w:val="24"/>
              </w:rPr>
              <w:t>Táto pripomienka sa nevzťahuje na navrhované zmeny § 66 ods. 7, § 135a, § 194 ods. 7 a § 243a Obchodného zákonníka ani na § 4 ods. 2 zákona č. 312/2025 Z. z. (naša pripomienka k čl. CCXXIII, § 4 ods. 2), ktoré upravujú súkromnoprávnu zodpovednosť člena orgánu alebo spotrebiteľské vzťahy.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 právnická osoba ako člen orgánu (§ 221 Občianskeho zákonníka) a jej dopad na sektorové predpisy</w:t>
              <w:br/>
            </w:r>
            <w:r>
              <w:rPr>
                <w:b w:val="off"/>
                <w:color w:val="000000"/>
                <w:rFonts w:ascii="Times New Roman" w:hAnsi="Times New Roman" w:cs="Times New Roman" w:eastAsia="Times New Roman"/>
                <w:sz w:val="24"/>
              </w:rPr>
              <w:t>K návrhu ako celku – právnická osoba ako člen orgánu (§ 221 Občianskeho zákonníka) a jej dopad na sektorové predpisy finančného trhu</w:t>
              <w:br/>
            </w:r>
            <w:r>
              <w:rPr>
                <w:b w:val="off"/>
                <w:color w:val="000000"/>
                <w:rFonts w:ascii="Times New Roman" w:hAnsi="Times New Roman" w:cs="Times New Roman" w:eastAsia="Times New Roman"/>
                <w:sz w:val="24"/>
              </w:rPr>
              <w:t>Požadujeme, aby predkladateľ riešil dopad § 221 Občianskeho zákonníka na sektorové predpisy finančného trhu systémovo, a nie len vo vybraných prípadoch. Návrh výslovne vylučuje členstvo právnickej osoby v orgáne dohliadaného subjektu iba v troch predpisoch (§ 54 ods. 9 zákona č. 43/2004 Z. z., § 28 ods. 16 zákona č. 650/2004 Z. z. a § 12 ods. 2 zákona č. 92/2008 Z. z.), pričom vo vzťahu k ostatným dohliadaným subjektom obdobnú otázku nerieši.</w:t>
              <w:br/>
            </w:r>
            <w:r>
              <w:rPr>
                <w:b w:val="off"/>
                <w:color w:val="000000"/>
                <w:rFonts w:ascii="Times New Roman" w:hAnsi="Times New Roman" w:cs="Times New Roman" w:eastAsia="Times New Roman"/>
                <w:sz w:val="24"/>
              </w:rPr>
              <w:t>Žiadame preto, aby predkladateľ systematicky posúdil vzťah § 221 Občianskeho zákonníka k osobitným predpisom finančného trhu a výsledok premietol do normatívneho textu tak, aby bolo jednoznačné, že členom štatutárneho orgánu, dozorného orgánu alebo iného orgánu dohliadaného subjektu môže byť len fyzická osoba.</w:t>
              <w:br/>
            </w:r>
            <w:r>
              <w:rPr>
                <w:b w:val="off"/>
                <w:color w:val="000000"/>
                <w:rFonts w:ascii="Times New Roman" w:hAnsi="Times New Roman" w:cs="Times New Roman" w:eastAsia="Times New Roman"/>
                <w:sz w:val="24"/>
              </w:rPr>
              <w:t>Naše osobitné pripomienky k jednotlivým sektorovým predpisom predstavujú konkrétnu aplikáciu tejto požiadavky. Nemožno ich však považovať za úplné ani vyčerpávajúce riešenie predmetnej otázky. Ich prípadné akceptovanie preto nenahrádza potrebu systémového vyriešenia vzťahu § 221 Občianskeho zákonníka k sektorovým predpisom finančného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Sektorová legislatíva finančného trhu je systematicky vystavaná na predpoklade, že riadiace a kontrolné funkcie u dohliadaných subjektov vykonávajú výlučne fyzické osoby. Na tento predpoklad nadväzuje celý režim posudzovania odbornej spôsobilosti a dôveryhodnosti, udeľovania predchádzajúceho súhlasu Národnej banky Slovenska s voľbou alebo ustanovením člena orgánu, obmedzenia súbehu funkcií, individuálnej zodpovednosti a sankcionovania fyzických osôb, ako aj oprávnenia Národnej banky Slovenska požadovať výmenu člena orgánu. Rovnaký predpoklad vyplýva aj z príslušných právnych aktov Európskej únie a zo spoločných usmernení EBA a ESMA. Pripustenie právnickej osoby ako člena orgánu dohliadaného subjektu by preto zasiahlo do samotných základov existujúceho dohľadového rámca.</w:t>
              <w:br/>
            </w:r>
            <w:r>
              <w:rPr>
                <w:b w:val="off"/>
                <w:color w:val="000000"/>
                <w:rFonts w:ascii="Times New Roman" w:hAnsi="Times New Roman" w:cs="Times New Roman" w:eastAsia="Times New Roman"/>
                <w:sz w:val="24"/>
              </w:rPr>
              <w:t>Za dostatočné riešenie nemožno považovať existenciu osobitných pravidiel v niektorých ustanoveniach Obchodného zákonníka. Hoci pri akciovej spoločnosti zákon výslovne ustanovuje, že členom predstavenstva a členom dozornej rady môže byť iba fyzická osoba (§ 194 ods. 2 a § 200 ods. 4 Obchodného zákonníka), tieto ustanovenia nevytvárajú všeobecné pravidlo pre všetky právne formy dohliadaných subjektov ani pre všetky orgány, na ktoré sa vzťahujú sektorové požiadavky finančného trhu. Samy osebe preto neriešia otázku vzťahu § 221 Občianskeho zákonníka k sektorovej regulácii finančného trhu.</w:t>
              <w:br/>
            </w:r>
            <w:r>
              <w:rPr>
                <w:b w:val="off"/>
                <w:color w:val="000000"/>
                <w:rFonts w:ascii="Times New Roman" w:hAnsi="Times New Roman" w:cs="Times New Roman" w:eastAsia="Times New Roman"/>
                <w:sz w:val="24"/>
              </w:rPr>
              <w:t>Potrebu systémového riešenia dokladá napr. aj licenčný režim spracovateľov bankoviek a mincí. Podľa § 17f ods. 3 písm. d) zákona Národnej rady Slovenskej republiky č. 566/1992 Zb. o Národnej banke Slovenska v znení neskorších predpisov a vyhlášky Národnej banky Slovenska č. 607/2008 Z. z. o niektorých podrobnostiach o hotovostnom peňažnom obehu a o zmene niektorých vyhlášok je podmienkou udelenia povolenia na spracovanie bankoviek a mincí dôveryhodnosť a bezúhonnosť členov štatutárneho orgánu spracovateľa, ktorú musí spracovateľ spĺňať nepretržite počas celej platnosti povolenia. Ide o osobné predpoklady fyzickej osoby, ktorá spracovateľa skutočne riadi, a posúdenie trestnoprávnej bezúhonnosti samotnej právnickej osoby ich nenahrádza. Ak by členom štatutárneho orgánu spracovateľa mohla byť právnická osoba, fyzická osoba, ktorá za ňu funkciu fakticky vykonáva, by sa mohla meniť bez opätovného preverenia jej bezúhonnosti, keďže zápis štatutárneho orgánu by zostal nezmenený. Pri nakladaní s hotovosťou je pritom jednoznačná identifikácia konajúcich osôb a vyvoditeľnosť ich zodpovednosti nevyhnutná. Zachovanie tohto režimu by nemalo byť podmienené novelizáciou zákona č. 566/1992 Zb., ale malo by vyplynúť zo systémového riešenia v návrhu.</w:t>
              <w:br/>
            </w:r>
            <w:r>
              <w:rPr>
                <w:b w:val="off"/>
                <w:color w:val="000000"/>
                <w:rFonts w:ascii="Times New Roman" w:hAnsi="Times New Roman" w:cs="Times New Roman" w:eastAsia="Times New Roman"/>
                <w:sz w:val="24"/>
              </w:rPr>
              <w:t>Ide teda o otázku presahujúcu jednotlivé sektorové predpisy, ktorá sa dotýka štruktúry dohľadu nad finančným trhom ako celku. Otázka, či môže byť právnická osoba štatutárnym orgánom alebo členom orgánu dohliadaného subjektu, je pre Národnú banku Slovenska zásadná, keďže je na ňu naviazaná významná časť regulačných a dohľadových mechanizmov. Predkladateľ by preto mal výslovne rozhodnúť, či a v akom rozsahu sa má § 221 Občianskeho zákonníka na dohliadané subjekty vzťahovať, a toto riešenie premietnuť do právnej úpravy systematickým spôsobom. Samotné čiastkové prispôsobenie vybraných sektorových predpisov nemožno považovať za dostatočné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XLIX bodom 1 a 5 (zákon č. 483/2001 Z. z. o bankách) – § 27h, § 91 ods. 18 a § 92 ods. 14</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1. Navrhujeme za § 27g zákona o bankách nevložiť § 27h, ale namiesto toho vložiť na záver § 92 zákona o bankách nový odsek 14, ktorý bude obsahovať obdobnú právnu úpravu, ako obsahuje § 20a zákona o úveroch na bývanie a § 48a zákona o spotrebiteľských úveroch a o iných úveroch a pôžičkách pre spotrebiteľov (osobitné predpisy, na ktoré § 27h odkazoval), ale pre situácie, ktoré sa týkajú klientov, ktorí nie sú spotrebiteľmi.</w:t>
              <w:br/>
            </w:r>
            <w:r>
              <w:rPr>
                <w:b w:val="off"/>
                <w:color w:val="000000"/>
                <w:rFonts w:ascii="Times New Roman" w:hAnsi="Times New Roman" w:cs="Times New Roman" w:eastAsia="Times New Roman"/>
                <w:sz w:val="24"/>
              </w:rPr>
              <w:t>2. V nadväznosti na bod 1 navrhujeme § 91 ods. 18 upraviť takto:</w:t>
              <w:br/>
            </w:r>
            <w:r>
              <w:rPr>
                <w:b w:val="off"/>
                <w:color w:val="000000"/>
                <w:rFonts w:ascii="Times New Roman" w:hAnsi="Times New Roman" w:cs="Times New Roman" w:eastAsia="Times New Roman"/>
                <w:sz w:val="24"/>
              </w:rPr>
              <w:t>„(18) Za porušenie bankového tajomstva sa nepovažuje poskytnutie údajov bankou, zahraničnou bankou a pobočkou zahraničnej banky ručiteľovi, záložcovi a osobe, ktorá poskytla zabezpečenie pohľadávky alebo jej časti prostredníctvom zabezpečovacieho prevodu práva, na účely prechodu pohľadávky alebo jej časti27fbh) spôsobom a v rozsahu podľa § 92 ods. 14 a osobitných predpisov27fbg).“.</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 Z hľadiska právnej istoty navrhujeme namiesto odkazu na primerané použitie osobitných predpisov v zákone o bankách priamo upraviť, aký je rozsah a spôsob poskytnutia informácií pri prechode pohľadávky banky, zahraničnej banky alebo pobočky zahraničnej banky alebo časti takejto pohľadávky voči klientovi, ktorý nie je spotrebiteľom, na ručiteľa, záložcu alebo osobu, ktorá poskytla zabezpečenie tejto pohľadávky alebo jej časti prostredníctvom zabezpečovacieho prevodu práva. Upresnením týchto podmienok priamo v zákone o bankách sa uľahčí orientácia povinných osôb v legislatíve a zachová sa konzistentnosť právnej úpravy.</w:t>
              <w:br/>
            </w:r>
            <w:r>
              <w:rPr>
                <w:b w:val="off"/>
                <w:color w:val="000000"/>
                <w:rFonts w:ascii="Times New Roman" w:hAnsi="Times New Roman" w:cs="Times New Roman" w:eastAsia="Times New Roman"/>
                <w:sz w:val="24"/>
              </w:rPr>
              <w:t>K bodu 2: Vzhľadom na presun úpravy z § 27h do nového § 92 ods. 14 je potrebné upraviť aj krížový odkaz v § 91 ods. 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CLXXI bodu 2 (zákon č. 90/2016 Z. z., § 20a ods. 4) a čl. CCXXIII bodu 7 (zákon č. 312/2025 Z. z., § 48a ods. 4)</w:t>
              <w:br/>
            </w:r>
            <w:r>
              <w:rPr>
                <w:b w:val="off"/>
                <w:color w:val="000000"/>
                <w:rFonts w:ascii="Times New Roman" w:hAnsi="Times New Roman" w:cs="Times New Roman" w:eastAsia="Times New Roman"/>
                <w:sz w:val="24"/>
              </w:rPr>
              <w:t>Znenie § 20a ods. 4 zákona č. 90/2016 Z. z. a § 48a ods. 4 zákona č. 312/2025 Z. z. navrhujeme upraviť takto:</w:t>
              <w:br/>
            </w:r>
            <w:r>
              <w:rPr>
                <w:b w:val="off"/>
                <w:color w:val="000000"/>
                <w:rFonts w:ascii="Times New Roman" w:hAnsi="Times New Roman" w:cs="Times New Roman" w:eastAsia="Times New Roman"/>
                <w:sz w:val="24"/>
              </w:rPr>
              <w:t>„(4) Ručiteľ, záložca alebo osoba podľa odseku 1 sú povinní zachovávať mlčanlivosť o informáciách a dokladoch, ktoré im boli poskytnuté a použiť ich výlučne na správu, uplatnenie alebo vymáhanie pohľadávky alebo jej časti a práv s ňou spojených, ktoré na nich prešli; tým nie je dotknuté ich sprístupnenie v rozsahu nevyhnutne potrebnom na tieto účely súdu, inému orgánu verejnej moci, exekútorovi, notárovi alebo inej osobe viazanej zákonnou povinnosťou mlčanlivosti.“.</w:t>
              <w:br/>
            </w:r>
            <w:r>
              <w:rPr>
                <w:b w:val="off"/>
                <w:color w:val="000000"/>
                <w:rFonts w:ascii="Times New Roman" w:hAnsi="Times New Roman" w:cs="Times New Roman" w:eastAsia="Times New Roman"/>
                <w:sz w:val="24"/>
              </w:rPr>
              <w:t>Z dôvodu právnej istoty navrhujeme aspoň v osobitnej časti dôvodovej správy k týmto ustanoveniam vysvetliť, kto môžu byť „osoby viazané povinnosťou mlčanlivosti“. Ak bude akceptovaná naša pripomienka k vypusteniu zabezpečovacieho prevodu práva z odseku 1, v navrhovanom znení sa slová „Ručiteľ, záložca alebo osoba podľa odseku 1 sú povinní“ nahrádzajú slovami „Ručiteľ alebo záložca sú povinní“.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bolo úmyslom zákonodarcu, aby „noví“ veritelia mohli, resp. mali povinnosť poskytnúť informácie daným subjektom len v rozsahu nevyhnutnom na účely správy, uplatnenia alebo vymáhania pohľadávky, resp. jej časti, je vhodné, aby toto ohraničenie rozsahu bolo uvedené pred vymenovaním všetkých subjektov a nie na konci vety. Z takejto formulácie bude jasné, že sa ohraničenie rozsahu týka všetkých vymenovaných subjektov.</w:t>
              <w:br/>
            </w:r>
            <w:r>
              <w:rPr>
                <w:b w:val="off"/>
                <w:color w:val="000000"/>
                <w:rFonts w:ascii="Times New Roman" w:hAnsi="Times New Roman" w:cs="Times New Roman" w:eastAsia="Times New Roman"/>
                <w:sz w:val="24"/>
              </w:rPr>
              <w:t>Keďže zákonná povinnosť mlčanlivosti sa týka aj súdov, iných orgánov verejnej moci, exekútorov a notárov, navrhujeme slová „alebo osobe viazanej zákonnou povinnosťou mlčanlivosti“ nahradiť slovami „alebo inej osobe viazanej zákonnou povinnosťou mlčanlivosti“. Osoby uvedené na konci vety sú charakterizované len tým, že sa na ne vzťahuje zákonná povinnosť mlčanlivosti, bez vymedzenia alebo odkazu na osobitné predpisy, preto navrhujeme ich upresnenie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XXXV (zákon č. 118/1996 Z. z. o ochrane vkladov) – § 9 ods. 8 písm. c) a poznámky pod čiarou</w:t>
              <w:br/>
            </w:r>
            <w:r>
              <w:rPr>
                <w:b w:val="off"/>
                <w:color w:val="000000"/>
                <w:rFonts w:ascii="Times New Roman" w:hAnsi="Times New Roman" w:cs="Times New Roman" w:eastAsia="Times New Roman"/>
                <w:sz w:val="24"/>
              </w:rPr>
              <w:t>1. V čl. XXXV v novelizačnom bode k § 9 ods. 8 písm. c) navrhujeme slová „§ 1177 až 1188 Občianskeho“ nahradiť slovami „§ 1177 až 1185 a 1191 až 1203 Občianskeho“.</w:t>
              <w:br/>
            </w:r>
            <w:r>
              <w:rPr>
                <w:b w:val="off"/>
                <w:color w:val="000000"/>
                <w:rFonts w:ascii="Times New Roman" w:hAnsi="Times New Roman" w:cs="Times New Roman" w:eastAsia="Times New Roman"/>
                <w:sz w:val="24"/>
              </w:rPr>
              <w:t>2. Navrhujeme do čl. XXXV doplniť nový novelizačný bod, ktorý znie:</w:t>
              <w:br/>
            </w:r>
            <w:r>
              <w:rPr>
                <w:b w:val="off"/>
                <w:color w:val="000000"/>
                <w:rFonts w:ascii="Times New Roman" w:hAnsi="Times New Roman" w:cs="Times New Roman" w:eastAsia="Times New Roman"/>
                <w:sz w:val="24"/>
              </w:rPr>
              <w:t>„Poznámky pod čiarou k odkazom 7aa, 9a, 13a, 13b, 15a, 15aaa, 15aab, 15ea, 17a, 18ba, 18bb a 18c znejú:</w:t>
              <w:br/>
            </w:r>
            <w:r>
              <w:rPr>
                <w:b w:val="off"/>
                <w:color w:val="000000"/>
                <w:rFonts w:ascii="Times New Roman" w:hAnsi="Times New Roman" w:cs="Times New Roman" w:eastAsia="Times New Roman"/>
                <w:sz w:val="24"/>
              </w:rPr>
              <w:t>„7aa) Napríklad § 16 Občianskeho zákonníka, zákon č. 29/2026 Z. z. o obchodnom registri a o zmene a doplnení niektorých zákonov (zákon o obchodnom registri), § 2 ods. 2 a § 10 a 11 zákona č. 34/2002 Z. z., § 9 ods. 1 a 2 a § 10 zákona č. 147/1997 Z. z., § 9 ods. 1 a 2 a § 11 zákona č. 213/1997 Z. z. v znení zákona č. 35/2002 Z. z., § 6, 7, 9 a 9a zákona č. 83/1990 Zb. v znení neskorších predpisov, § 6 ods. 1 a § 7 zákona Národnej rady Slovenskej republiky č. 182/1993 Z. z. v znení neskorších predpisov a § 289 ods. 2 Občianskeho zákonníka.</w:t>
              <w:br/>
            </w:r>
            <w:r>
              <w:rPr>
                <w:b w:val="off"/>
                <w:color w:val="000000"/>
                <w:rFonts w:ascii="Times New Roman" w:hAnsi="Times New Roman" w:cs="Times New Roman" w:eastAsia="Times New Roman"/>
                <w:sz w:val="24"/>
              </w:rPr>
              <w:t>9a) § 533 ods. 1 Občianskeho zákonníka.</w:t>
              <w:br/>
            </w:r>
            <w:r>
              <w:rPr>
                <w:b w:val="off"/>
                <w:color w:val="000000"/>
                <w:rFonts w:ascii="Times New Roman" w:hAnsi="Times New Roman" w:cs="Times New Roman" w:eastAsia="Times New Roman"/>
                <w:sz w:val="24"/>
              </w:rPr>
              <w:t>13a) § 138 a 1201 Občianskeho zákonníka.</w:t>
              <w:br/>
            </w:r>
            <w:r>
              <w:rPr>
                <w:b w:val="off"/>
                <w:color w:val="000000"/>
                <w:rFonts w:ascii="Times New Roman" w:hAnsi="Times New Roman" w:cs="Times New Roman" w:eastAsia="Times New Roman"/>
                <w:sz w:val="24"/>
              </w:rPr>
              <w:t>13b) § 1198 ods. 3 Občianskeho zákonníka.</w:t>
              <w:br/>
            </w:r>
            <w:r>
              <w:rPr>
                <w:b w:val="off"/>
                <w:color w:val="000000"/>
                <w:rFonts w:ascii="Times New Roman" w:hAnsi="Times New Roman" w:cs="Times New Roman" w:eastAsia="Times New Roman"/>
                <w:sz w:val="24"/>
              </w:rPr>
              <w:t>15a) § 1209 až 1217 Občianskeho zákonníka.</w:t>
              <w:br/>
            </w:r>
            <w:r>
              <w:rPr>
                <w:b w:val="off"/>
                <w:color w:val="000000"/>
                <w:rFonts w:ascii="Times New Roman" w:hAnsi="Times New Roman" w:cs="Times New Roman" w:eastAsia="Times New Roman"/>
                <w:sz w:val="24"/>
              </w:rPr>
              <w:t>15aaa) § 104 ods. 1, § 105 a 111 až 127 Občianskeho zákonníka.</w:t>
              <w:br/>
            </w:r>
            <w:r>
              <w:rPr>
                <w:b w:val="off"/>
                <w:color w:val="000000"/>
                <w:rFonts w:ascii="Times New Roman" w:hAnsi="Times New Roman" w:cs="Times New Roman" w:eastAsia="Times New Roman"/>
                <w:sz w:val="24"/>
              </w:rPr>
              <w:t>15aab) § 115 ods. 1 a 3 Občianskeho zákonníka.</w:t>
              <w:br/>
            </w:r>
            <w:r>
              <w:rPr>
                <w:b w:val="off"/>
                <w:color w:val="000000"/>
                <w:rFonts w:ascii="Times New Roman" w:hAnsi="Times New Roman" w:cs="Times New Roman" w:eastAsia="Times New Roman"/>
                <w:sz w:val="24"/>
              </w:rPr>
              <w:t>15ea) § 389 až 408 Občianskeho zákonníka.</w:t>
              <w:br/>
            </w:r>
            <w:r>
              <w:rPr>
                <w:b w:val="off"/>
                <w:color w:val="000000"/>
                <w:rFonts w:ascii="Times New Roman" w:hAnsi="Times New Roman" w:cs="Times New Roman" w:eastAsia="Times New Roman"/>
                <w:sz w:val="24"/>
              </w:rPr>
              <w:t>17a) Zákon č. 29/2026 Z. z. o obchodnom registri a o zmene a doplnení niektorých zákonov (zákon o obchodnom registri).</w:t>
              <w:br/>
            </w:r>
            <w:r>
              <w:rPr>
                <w:b w:val="off"/>
                <w:color w:val="000000"/>
                <w:rFonts w:ascii="Times New Roman" w:hAnsi="Times New Roman" w:cs="Times New Roman" w:eastAsia="Times New Roman"/>
                <w:sz w:val="24"/>
              </w:rPr>
              <w:t>18ba) Napríklad § 69 Obchodného zákonníka, § 831 až 841 Občianskeho zákonníka.</w:t>
              <w:br/>
            </w:r>
            <w:r>
              <w:rPr>
                <w:b w:val="off"/>
                <w:color w:val="000000"/>
                <w:rFonts w:ascii="Times New Roman" w:hAnsi="Times New Roman" w:cs="Times New Roman" w:eastAsia="Times New Roman"/>
                <w:sz w:val="24"/>
              </w:rPr>
              <w:t>18bb) § 45 a 84 Občianskeho zákonníka.</w:t>
              <w:br/>
            </w:r>
            <w:r>
              <w:rPr>
                <w:b w:val="off"/>
                <w:color w:val="000000"/>
                <w:rFonts w:ascii="Times New Roman" w:hAnsi="Times New Roman" w:cs="Times New Roman" w:eastAsia="Times New Roman"/>
                <w:sz w:val="24"/>
              </w:rPr>
              <w:t>18c) § 8 Občianskeho zákonníka.“.“.</w:t>
              <w:br/>
            </w:r>
            <w:r>
              <w:rPr>
                <w:b w:val="off"/>
                <w:color w:val="000000"/>
                <w:rFonts w:ascii="Times New Roman" w:hAnsi="Times New Roman" w:cs="Times New Roman" w:eastAsia="Times New Roman"/>
                <w:sz w:val="24"/>
              </w:rPr>
              <w:t>3. Odporúčame tiež prehodnotiť poznámku pod čiarou k odkazu 2b, ktorá odkazuje na § 780 ods. 1 zákona č. 40/1964 Zb. Občiansky zákonník, a § 3 ods. 4 písm. b) spolu s poznámkou pod čiarou k odkazu 7b, ktoré upravujú vklad na doručiteľa.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 Podľa § 9 ods. 8 písm. c) zákona č. 118/1996 Z. z. môže Fond ochrany vkladov odložiť vyplácanie náhrady, ak sa s vkladom počas 24 mesiacov nenakladalo, okrem vkladu na vkladovom účte podľa § 716 až 719a Obchodného zákonníka (transpozícia čl. 8 ods. 5 písm. c) smernice 2014/49/EÚ). Občiansky zákonník upravuje v § 1177 až 1185 spoločné ustanovenia o zmluve o účte, v § 1186 až 1190 bežný účet a iný platobný účet a v § 1191 až 1197 účet, ktorý nie je platobným účtom, vrátane viazaného vkladu a výpovede vkladu. Navrhovaný rozsah „§ 1177 až 1188“ zahŕňa časť úpravy bežného účtu, nezahŕňa však úpravu iného ako platobného účtu, vkladnej knižky, jednorazového vkladu ani vkladového listu. Nástupcom vkladového účtu je iný ako platobný účet (§ 1914 ods. 1 Občianskeho zákonníka); odkaz musí zahŕňať aj vkladnú knižku, zmluvu o jednorazovom vklade a vkladový list (§ 1198 až 1203), ktoré sú vkladovými produktmi rovnakej povahy.</w:t>
              <w:br/>
            </w:r>
            <w:r>
              <w:rPr>
                <w:b w:val="off"/>
                <w:color w:val="000000"/>
                <w:rFonts w:ascii="Times New Roman" w:hAnsi="Times New Roman" w:cs="Times New Roman" w:eastAsia="Times New Roman"/>
                <w:sz w:val="24"/>
              </w:rPr>
              <w:t>K bodu 2: Poznámky pod čiarou odkazujú na ustanovenia zákona č. 40/1964 Zb. Občiansky zákonník a Obchodného zákonníka, ktoré sa zrušujú alebo vypúšťajú, na ustanovenia Obchodného zákonníka o obchodnom registri, ktoré nahradil zákon č. 29/2026 Z. z. o obchodnom registri, a na zrušený zákon č. 222/1996 Z. z., namiesto ktorého sa cituje § 289 ods. 2 Občianskeho zákonníka o registri združení. Poznámka 9a cituje aj § 77 ods. 2 zákona č. 510/2002 Z. z., ktorý bol zrušený zákonom č. 492/2009 Z. z., a § 3 nariadenia vlády Slovenskej republiky č. 87/1995 Z. z.; nariadenie vlády podľa § 533 ods. 1 Občianskeho zákonníka zatiaľ nebolo vyhlásené, preto ho nemožno citovať. Poznámka 15aab sa viaže na poverenie vkladateľa (§ 10 ods. 2); obsahovo mu zodpovedá § 115 ods. 1 a 3 Občianskeho zákonníka. V poznámke 18ba sa zachováva odkaz na § 69 Obchodného zákonníka, ktorý sa nevypúšťa. Keďže sa zákon č. 118/1996 Z. z. v návrhu novelizuje, je vhodné aktualizovať aj jeho poznámkový aparát (metodika Ministerstva spravodlivosti Slovenskej republiky k príprave a spracovaniu implementačného zákona, časť 4 bod ii písm. c)).</w:t>
              <w:br/>
            </w:r>
            <w:r>
              <w:rPr>
                <w:b w:val="off"/>
                <w:color w:val="000000"/>
                <w:rFonts w:ascii="Times New Roman" w:hAnsi="Times New Roman" w:cs="Times New Roman" w:eastAsia="Times New Roman"/>
                <w:sz w:val="24"/>
              </w:rPr>
              <w:t>K bodu 3: Z logiky ustanovenia, ku ktorému sa viaže poznámka 2b, nie je zrejmé, prečo poznámka odkazuje na osobu vkladateľa. Ustanovenie § 3 ods. 4 písm. b) upravuje vklad na doručiteľa, ktorý je obsolétny: banky nesmú prijímať vklady na doručiteľa od 1. septembra 2001 (§ 879d zákona č. 40/1964 Zb. Občiansky zákonník), vkladové vzťahy pri vkladoch na doručiteľa sa zrušili k 31. decembru 2003 (§ 879e zákona č. 40/1964 Zb. Občiansky zákonník) a Občiansky zákonník pripúšťa vkladnú knižku len na meno (§ 1198 ods. 2). Podľa § 1914 ods. 4 Občianskeho zákonníka sa vkladné knižky a vkladové listy vydané pred jeho účinnosťou spravujú doterajšími predpismi až do ich zániku.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XLIX (zákon č. 483/2001 Z. z. o bankách) – nový novelizačný bod k poznámkam pod čiarou</w:t>
              <w:br/>
            </w:r>
            <w:r>
              <w:rPr>
                <w:b w:val="off"/>
                <w:color w:val="000000"/>
                <w:rFonts w:ascii="Times New Roman" w:hAnsi="Times New Roman" w:cs="Times New Roman" w:eastAsia="Times New Roman"/>
                <w:sz w:val="24"/>
              </w:rPr>
              <w:t>Navrhujeme do čl. XLIX doplniť nový novelizačný bod, ktorý znie:</w:t>
              <w:br/>
            </w:r>
            <w:r>
              <w:rPr>
                <w:b w:val="off"/>
                <w:color w:val="000000"/>
                <w:rFonts w:ascii="Times New Roman" w:hAnsi="Times New Roman" w:cs="Times New Roman" w:eastAsia="Times New Roman"/>
                <w:sz w:val="24"/>
              </w:rPr>
              <w:t>„Poznámky pod čiarou k odkazom 2, 3, 7, 13d, 13n, 24b, 26a, 27f, 27fa, 28c, 30, 37aba, 49b, 53, 53a, 72c, 86f a 88b znejú:</w:t>
              <w:br/>
            </w:r>
            <w:r>
              <w:rPr>
                <w:b w:val="off"/>
                <w:color w:val="000000"/>
                <w:rFonts w:ascii="Times New Roman" w:hAnsi="Times New Roman" w:cs="Times New Roman" w:eastAsia="Times New Roman"/>
                <w:sz w:val="24"/>
              </w:rPr>
              <w:t>„2) § 409 až 424 Občianskeho zákonníka.</w:t>
              <w:br/>
            </w:r>
            <w:r>
              <w:rPr>
                <w:b w:val="off"/>
                <w:color w:val="000000"/>
                <w:rFonts w:ascii="Times New Roman" w:hAnsi="Times New Roman" w:cs="Times New Roman" w:eastAsia="Times New Roman"/>
                <w:sz w:val="24"/>
              </w:rPr>
              <w:t>3) § 1209 až 1217 Občianskeho zákonníka.</w:t>
              <w:br/>
            </w:r>
            <w:r>
              <w:rPr>
                <w:b w:val="off"/>
                <w:color w:val="000000"/>
                <w:rFonts w:ascii="Times New Roman" w:hAnsi="Times New Roman" w:cs="Times New Roman" w:eastAsia="Times New Roman"/>
                <w:sz w:val="24"/>
              </w:rPr>
              <w:t>7) § 21 ods. 3 a 4 Obchodného zákonníka.</w:t>
              <w:br/>
            </w:r>
            <w:r>
              <w:rPr>
                <w:b w:val="off"/>
                <w:color w:val="000000"/>
                <w:rFonts w:ascii="Times New Roman" w:hAnsi="Times New Roman" w:cs="Times New Roman" w:eastAsia="Times New Roman"/>
                <w:sz w:val="24"/>
              </w:rPr>
              <w:t>13d) § 1186 Občianskeho zákonníka.</w:t>
              <w:br/>
            </w:r>
            <w:r>
              <w:rPr>
                <w:b w:val="off"/>
                <w:color w:val="000000"/>
                <w:rFonts w:ascii="Times New Roman" w:hAnsi="Times New Roman" w:cs="Times New Roman" w:eastAsia="Times New Roman"/>
                <w:sz w:val="24"/>
              </w:rPr>
              <w:t>13n) § 18, § 21 ods. 2, § 382, § 1592 až 1635 a § 1657 až 1660 Občianskeho zákonníka, zákon Národnej rady Slovenskej republiky č. 162/1995 Z. z. o katastri nehnuteľností a o zápise vlastníckych a iných práv k nehnuteľnostiam (katastrálny zákon) v znení neskorších predpisov.</w:t>
              <w:br/>
            </w:r>
            <w:r>
              <w:rPr>
                <w:b w:val="off"/>
                <w:color w:val="000000"/>
                <w:rFonts w:ascii="Times New Roman" w:hAnsi="Times New Roman" w:cs="Times New Roman" w:eastAsia="Times New Roman"/>
                <w:sz w:val="24"/>
              </w:rPr>
              <w:t>24b) § 84 Občianskeho zákonníka.</w:t>
              <w:br/>
            </w:r>
            <w:r>
              <w:rPr>
                <w:b w:val="off"/>
                <w:color w:val="000000"/>
                <w:rFonts w:ascii="Times New Roman" w:hAnsi="Times New Roman" w:cs="Times New Roman" w:eastAsia="Times New Roman"/>
                <w:sz w:val="24"/>
              </w:rPr>
              <w:t>26a) § 7 Občianskeho zákonníka.</w:t>
              <w:br/>
            </w:r>
            <w:r>
              <w:rPr>
                <w:b w:val="off"/>
                <w:color w:val="000000"/>
                <w:rFonts w:ascii="Times New Roman" w:hAnsi="Times New Roman" w:cs="Times New Roman" w:eastAsia="Times New Roman"/>
                <w:sz w:val="24"/>
              </w:rPr>
              <w:t>27f) § 5 Občianskeho zákonníka.</w:t>
              <w:br/>
            </w:r>
            <w:r>
              <w:rPr>
                <w:b w:val="off"/>
                <w:color w:val="000000"/>
                <w:rFonts w:ascii="Times New Roman" w:hAnsi="Times New Roman" w:cs="Times New Roman" w:eastAsia="Times New Roman"/>
                <w:sz w:val="24"/>
              </w:rPr>
              <w:t>27fa) § 1191 Občianskeho zákonníka.</w:t>
              <w:br/>
            </w:r>
            <w:r>
              <w:rPr>
                <w:b w:val="off"/>
                <w:color w:val="000000"/>
                <w:rFonts w:ascii="Times New Roman" w:hAnsi="Times New Roman" w:cs="Times New Roman" w:eastAsia="Times New Roman"/>
                <w:sz w:val="24"/>
              </w:rPr>
              <w:t>28c) § 551 až 567 a § 840 Občianskeho zákonníka.</w:t>
              <w:br/>
            </w:r>
            <w:r>
              <w:rPr>
                <w:b w:val="off"/>
                <w:color w:val="000000"/>
                <w:rFonts w:ascii="Times New Roman" w:hAnsi="Times New Roman" w:cs="Times New Roman" w:eastAsia="Times New Roman"/>
                <w:sz w:val="24"/>
              </w:rPr>
              <w:t>30) § 4 Občianskeho zákonníka.</w:t>
              <w:br/>
            </w:r>
            <w:r>
              <w:rPr>
                <w:b w:val="off"/>
                <w:color w:val="000000"/>
                <w:rFonts w:ascii="Times New Roman" w:hAnsi="Times New Roman" w:cs="Times New Roman" w:eastAsia="Times New Roman"/>
                <w:sz w:val="24"/>
              </w:rPr>
              <w:t>37aba) Napríklad zákon č. 29/2026 Z. z. o obchodnom registri a o zmene a doplnení niektorých zákonov (zákon o obchodnom registri), § 60 až 60b zákona č. 455/1991 Zb. v znení neskorších predpisov, § 20 a 21 zákona č. 540/2001 Z. z. o štátnej štatistike v znení neskorších predpisov, § 170 ods. 3 a § 226 ods. 1 písm. e) zákona č. 461/2003 Z. z. o sociálnom poistení v znení neskorších predpisov.</w:t>
              <w:br/>
            </w:r>
            <w:r>
              <w:rPr>
                <w:b w:val="off"/>
                <w:color w:val="000000"/>
                <w:rFonts w:ascii="Times New Roman" w:hAnsi="Times New Roman" w:cs="Times New Roman" w:eastAsia="Times New Roman"/>
                <w:sz w:val="24"/>
              </w:rPr>
              <w:t>49b) Napríklad § 9 ods. 1 prvá veta Zákonníka práce, § 244 Občianskeho zákonníka.</w:t>
              <w:br/>
            </w:r>
            <w:r>
              <w:rPr>
                <w:b w:val="off"/>
                <w:color w:val="000000"/>
                <w:rFonts w:ascii="Times New Roman" w:hAnsi="Times New Roman" w:cs="Times New Roman" w:eastAsia="Times New Roman"/>
                <w:sz w:val="24"/>
              </w:rPr>
              <w:t>53) § 551 až 567 Občianskeho zákonníka.</w:t>
              <w:br/>
            </w:r>
            <w:r>
              <w:rPr>
                <w:b w:val="off"/>
                <w:color w:val="000000"/>
                <w:rFonts w:ascii="Times New Roman" w:hAnsi="Times New Roman" w:cs="Times New Roman" w:eastAsia="Times New Roman"/>
                <w:sz w:val="24"/>
              </w:rPr>
              <w:t>53a) § 1644 až 1652 Občianskeho zákonníka, § 53a až 53e zákona č. 566/2001 Z. z. v znení neskorších predpisov, § 180 zákona č. 7/2005 Z. z.</w:t>
              <w:br/>
            </w:r>
            <w:r>
              <w:rPr>
                <w:b w:val="off"/>
                <w:color w:val="000000"/>
                <w:rFonts w:ascii="Times New Roman" w:hAnsi="Times New Roman" w:cs="Times New Roman" w:eastAsia="Times New Roman"/>
                <w:sz w:val="24"/>
              </w:rPr>
              <w:t>72c) Napríklad čl. 2, § 626 a 629 Občianskeho zákonníka, § 19 písm. d) a § 20 písm. e) Civilného sporového poriadku, čl. 6 a 19 nariadenia Európskeho parlamentu a Rady (ES) č. 593/2008 zo 17. júna 2008 o rozhodnom práve pre zmluvné záväzky (Rím I) (Ú. v. EÚ L 177, 4. 7. 2008) v platnom znení.</w:t>
              <w:br/>
            </w:r>
            <w:r>
              <w:rPr>
                <w:b w:val="off"/>
                <w:color w:val="000000"/>
                <w:rFonts w:ascii="Times New Roman" w:hAnsi="Times New Roman" w:cs="Times New Roman" w:eastAsia="Times New Roman"/>
                <w:sz w:val="24"/>
              </w:rPr>
              <w:t>86f) § 286 až 289 Občianskeho zákonníka.</w:t>
              <w:br/>
            </w:r>
            <w:r>
              <w:rPr>
                <w:b w:val="off"/>
                <w:color w:val="000000"/>
                <w:rFonts w:ascii="Times New Roman" w:hAnsi="Times New Roman" w:cs="Times New Roman" w:eastAsia="Times New Roman"/>
                <w:sz w:val="24"/>
              </w:rPr>
              <w:t>88b) Napríklad zákon č. 29/2026 Z. z. o obchodnom registri a o zmene a doplnení niektorých zákonov (zákon o obchodnom registri), § 2 ods. 2 a § 10 a 11 zákona č. 34/2002 Z. z. o nadáciách a o zmene Občianskeho zákonníka v znení neskorších predpisov, § 9 ods. 1 a 2 a § 10 zákona č. 147/1997 Z. z. o neinvestičných fondoch a o doplnení zákona Národnej rady Slovenskej republiky č. 207/1996 Z. z., § 9 ods. 1 a 2 a § 11 zákona č. 213/1997 Z. z. o neziskových organizáciách poskytujúcich všeobecne prospešné služby v znení zákona č. 35/2002 Z. z., § 6, 7, 9 a 9a zákona č. 83/1990 Zb. o združovaní občanov v znení neskorších predpisov, § 6 ods. 1 a § 7 zákona Národnej rady Slovenskej republiky č. 182/1993 Z. z. o vlastníctve bytov a nebytových priestorov v znení neskorších predpisov, § 289 ods. 2 Občianskeho zákonníka.“.“.</w:t>
              <w:br/>
            </w:r>
            <w:r>
              <w:rPr>
                <w:b w:val="off"/>
                <w:color w:val="000000"/>
                <w:rFonts w:ascii="Times New Roman" w:hAnsi="Times New Roman" w:cs="Times New Roman" w:eastAsia="Times New Roman"/>
                <w:sz w:val="24"/>
              </w:rPr>
              <w:t>V tom istom novelizačnom bode navrhujeme upraviť aj poznámku pod čiarou k odkazu 87ac tak, že sa z nej vypúšťa citácia „§ 525 ods. 2 Občianskeho zákonníka v znení neskorších predpisov.“ a citácia „§ 17 ods. 1 a 2 zákona č. 129/2010 Z. z. v znení neskorších predpisov“ sa nahrádza citáciou „§ 48 zákona č. 312/2025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čl. XLIX nereaguje na viaceré poznámky pod čiarou zákona o bankách, ktoré odkazujú na ustanovenia zákona č. 40/1964 Zb. Občiansky zákonník, na zmluvné typy upravené v tretej časti Obchodného zákonníka, ktorá sa vypúšťa (zmluvné typy budú upravené len v Občianskom zákonníku), na ustanovenia Obchodného zákonníka o obchodnom registri, ktoré nahradil zákon č. 29/2026 Z. z. o obchodnom registri (poznámky 37aba a 88b), a na zrušené predpisy. Poznámka 7 odkazuje na § 28 Obchodného zákonníka, ktorý bol zrušený k 1. februáru 2004. V poznámke 88b sa vypúšťajú neaktuálne odkazy na § 3a a § 27 až 33 Obchodného zákonníka a odkaz na zrušený zákon č. 515/2003 Z. z. sa nahrádza odkazom na § 289 ods. 2 Občianskeho zákonníka, ktorý upravuje register združení. Keďže sa zákon o bankách v návrhu novelizuje, je vhodné aktualizovať jeho poznámkový aparát v celom rozsahu (metodika Ministerstva spravodlivosti Slovenskej republiky k príprave a spracovaniu implementačného zákona, časť 4 bod ii písm. c)).</w:t>
              <w:br/>
            </w:r>
            <w:r>
              <w:rPr>
                <w:b w:val="off"/>
                <w:color w:val="000000"/>
                <w:rFonts w:ascii="Times New Roman" w:hAnsi="Times New Roman" w:cs="Times New Roman" w:eastAsia="Times New Roman"/>
                <w:sz w:val="24"/>
              </w:rPr>
              <w:t>Citácia § 525 ods. 2 zákona č. 40/1964 Zb. Občiansky zákonník v poznámke 87ac sa vypúšťa bez náhrady. Podľa § 352 ods. 3 Občianskeho zákonníka dohoda obmedzujúca alebo zakazujúca postúpenie na rozdiel od doterajšej úpravy nebráni postúpeniu pohľadávky a zakladá iba zodpovednosť postupcu za porušenie takejto dohody. Zákon č. 129/2010 Z. z. bol nahradený zákonom č. 312/2025 Z. z.; postúpenie pohľadávky zo zmluvy o spotrebiteľskom úvere upravuje jeho § 48.</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310/1992 Zb. o stavebnom sporení)</w:t>
              <w:br/>
            </w:r>
            <w:r>
              <w:rPr>
                <w:b w:val="off"/>
                <w:color w:val="000000"/>
                <w:rFonts w:ascii="Times New Roman" w:hAnsi="Times New Roman" w:cs="Times New Roman" w:eastAsia="Times New Roman"/>
                <w:sz w:val="24"/>
              </w:rPr>
              <w:t>Navrhujeme do návrhu doplniť nový článok, ktorým sa mení zákon č. 310/1992 Zb. o stavebnom sporení v znení neskorších predpisov, s týmito novelizačnými bodmi:</w:t>
              <w:br/>
            </w:r>
            <w:r>
              <w:rPr>
                <w:b w:val="off"/>
                <w:color w:val="000000"/>
                <w:rFonts w:ascii="Times New Roman" w:hAnsi="Times New Roman" w:cs="Times New Roman" w:eastAsia="Times New Roman"/>
                <w:sz w:val="24"/>
              </w:rPr>
              <w:t>„1. V § 7 ods. 5 sa slová „§ 708 až 715 Obchodného“ nahrádzajú slovami „§ 1186 Občianskeho“.</w:t>
              <w:br/>
            </w:r>
            <w:r>
              <w:rPr>
                <w:b w:val="off"/>
                <w:color w:val="000000"/>
                <w:rFonts w:ascii="Times New Roman" w:hAnsi="Times New Roman" w:cs="Times New Roman" w:eastAsia="Times New Roman"/>
                <w:sz w:val="24"/>
              </w:rPr>
              <w:t>2. Poznámky pod čiarou k odkazom 3c, 4a a 5 znejú:</w:t>
              <w:br/>
            </w:r>
            <w:r>
              <w:rPr>
                <w:b w:val="off"/>
                <w:color w:val="000000"/>
                <w:rFonts w:ascii="Times New Roman" w:hAnsi="Times New Roman" w:cs="Times New Roman" w:eastAsia="Times New Roman"/>
                <w:sz w:val="24"/>
              </w:rPr>
              <w:t>„3c) § 16 Občianskeho zákonníka, § 3 ods. 4 písm. a) prvý a druhý bod zákona č. 118/1996 Z. z. o ochrane vkladov a o zmene a doplnení niektorých zákonov v znení zákona č. 492/2001 Z. z.</w:t>
              <w:br/>
            </w:r>
            <w:r>
              <w:rPr>
                <w:b w:val="off"/>
                <w:color w:val="000000"/>
                <w:rFonts w:ascii="Times New Roman" w:hAnsi="Times New Roman" w:cs="Times New Roman" w:eastAsia="Times New Roman"/>
                <w:sz w:val="24"/>
              </w:rPr>
              <w:t>4a) § 515 Občianskeho zákonníka.</w:t>
              <w:br/>
            </w:r>
            <w:r>
              <w:rPr>
                <w:b w:val="off"/>
                <w:color w:val="000000"/>
                <w:rFonts w:ascii="Times New Roman" w:hAnsi="Times New Roman" w:cs="Times New Roman" w:eastAsia="Times New Roman"/>
                <w:sz w:val="24"/>
              </w:rPr>
              <w:t>5) § 385 až 387, § 389 až 408, § 425 až 436 a § 1592 až 1612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stavebnom sporení v návrhu chýba, hoci v § 7 ods. 5 odkazuje na ustanovenia Obchodného zákonníka, na zmluvu o bežnom účte (§ 708 až 715), ktoré sa vypúšťajú, a v poznámkach pod čiarou na ustanovenia zákona č. 40/1964 Zb. Občiansky zákonník. Bežný účet upravuje Občiansky zákonník v § 1186. Zároveň navrhujeme aktualizovať poznámky pod čiarou (metodika Ministerstva spravodlivosti Slovenskej republiky k príprave a spracovaniu implementačného zákona, časť 4 bod ii písm. a) a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CLXXI (zákon č. 90/2016 Z. z. o úveroch na bývanie) – poznámky pod čiarou a terminologické zosúladenie</w:t>
              <w:br/>
            </w:r>
            <w:r>
              <w:rPr>
                <w:b w:val="off"/>
                <w:color w:val="000000"/>
                <w:rFonts w:ascii="Times New Roman" w:hAnsi="Times New Roman" w:cs="Times New Roman" w:eastAsia="Times New Roman"/>
                <w:sz w:val="24"/>
              </w:rPr>
              <w:t>1. Bod 1 navrhujeme upraviť takto:</w:t>
              <w:br/>
            </w:r>
            <w:r>
              <w:rPr>
                <w:b w:val="off"/>
                <w:color w:val="000000"/>
                <w:rFonts w:ascii="Times New Roman" w:hAnsi="Times New Roman" w:cs="Times New Roman" w:eastAsia="Times New Roman"/>
                <w:sz w:val="24"/>
              </w:rPr>
              <w:t>„1. Poznámky pod čiarou k odkazom 1, 38, 39 a 45f znejú:</w:t>
              <w:br/>
            </w:r>
            <w:r>
              <w:rPr>
                <w:b w:val="off"/>
                <w:color w:val="000000"/>
                <w:rFonts w:ascii="Times New Roman" w:hAnsi="Times New Roman" w:cs="Times New Roman" w:eastAsia="Times New Roman"/>
                <w:sz w:val="24"/>
              </w:rPr>
              <w:t>„1) § 5 Občianskeho zákonníka.</w:t>
              <w:br/>
            </w:r>
            <w:r>
              <w:rPr>
                <w:b w:val="off"/>
                <w:color w:val="000000"/>
                <w:rFonts w:ascii="Times New Roman" w:hAnsi="Times New Roman" w:cs="Times New Roman" w:eastAsia="Times New Roman"/>
                <w:sz w:val="24"/>
              </w:rPr>
              <w:t>38) § 58 až 65 a § 622 až 637 Občianskeho zákonníka.</w:t>
              <w:br/>
            </w:r>
            <w:r>
              <w:rPr>
                <w:b w:val="off"/>
                <w:color w:val="000000"/>
                <w:rFonts w:ascii="Times New Roman" w:hAnsi="Times New Roman" w:cs="Times New Roman" w:eastAsia="Times New Roman"/>
                <w:sz w:val="24"/>
              </w:rPr>
              <w:t>39) § 636 písm. a) Občianskeho zákonníka.</w:t>
              <w:br/>
            </w:r>
            <w:r>
              <w:rPr>
                <w:b w:val="off"/>
                <w:color w:val="000000"/>
                <w:rFonts w:ascii="Times New Roman" w:hAnsi="Times New Roman" w:cs="Times New Roman" w:eastAsia="Times New Roman"/>
                <w:sz w:val="24"/>
              </w:rPr>
              <w:t>45f) § 4 Občianskeho zákonníka.“.“.</w:t>
              <w:br/>
            </w:r>
            <w:r>
              <w:rPr>
                <w:b w:val="off"/>
                <w:color w:val="000000"/>
                <w:rFonts w:ascii="Times New Roman" w:hAnsi="Times New Roman" w:cs="Times New Roman" w:eastAsia="Times New Roman"/>
                <w:sz w:val="24"/>
              </w:rPr>
              <w:t>2. V bode 2 navrhujeme poznámky pod čiarou k odkazom 45g až 45i upraviť takto:</w:t>
              <w:br/>
            </w:r>
            <w:r>
              <w:rPr>
                <w:b w:val="off"/>
                <w:color w:val="000000"/>
                <w:rFonts w:ascii="Times New Roman" w:hAnsi="Times New Roman" w:cs="Times New Roman" w:eastAsia="Times New Roman"/>
                <w:sz w:val="24"/>
              </w:rPr>
              <w:t>„45g) § 399 a 1627 Občianskeho zákonníka.</w:t>
              <w:br/>
            </w:r>
            <w:r>
              <w:rPr>
                <w:b w:val="off"/>
                <w:color w:val="000000"/>
                <w:rFonts w:ascii="Times New Roman" w:hAnsi="Times New Roman" w:cs="Times New Roman" w:eastAsia="Times New Roman"/>
                <w:sz w:val="24"/>
              </w:rPr>
              <w:t>45h) § 634 Občianskeho zákonníka.</w:t>
              <w:br/>
            </w:r>
            <w:r>
              <w:rPr>
                <w:b w:val="off"/>
                <w:color w:val="000000"/>
                <w:rFonts w:ascii="Times New Roman" w:hAnsi="Times New Roman" w:cs="Times New Roman" w:eastAsia="Times New Roman"/>
                <w:sz w:val="24"/>
              </w:rPr>
              <w:t>45i) § 399 ods. 4 a § 1627 ods. 1 Občianskeho zákonníka.“.</w:t>
              <w:br/>
            </w:r>
            <w:r>
              <w:rPr>
                <w:b w:val="off"/>
                <w:color w:val="000000"/>
                <w:rFonts w:ascii="Times New Roman" w:hAnsi="Times New Roman" w:cs="Times New Roman" w:eastAsia="Times New Roman"/>
                <w:sz w:val="24"/>
              </w:rPr>
              <w:t>Ak bude akceptovaná naša pripomienka k vypusteniu § 20a ods. 5, poznámka pod čiarou k odkazu 45i sa vypúšťa.</w:t>
              <w:br/>
            </w:r>
            <w:r>
              <w:rPr>
                <w:b w:val="off"/>
                <w:color w:val="000000"/>
                <w:rFonts w:ascii="Times New Roman" w:hAnsi="Times New Roman" w:cs="Times New Roman" w:eastAsia="Times New Roman"/>
                <w:sz w:val="24"/>
              </w:rPr>
              <w:t>3. V bode 3 v poznámke pod čiarou k odkazu 55 navrhujeme citáciu „§ 622 až 630 Občianskeho zákonníka“ nahradiť citáciou „§ 622 až 637 Občianskeho zákonníka“.</w:t>
              <w:br/>
            </w:r>
            <w:r>
              <w:rPr>
                <w:b w:val="off"/>
                <w:color w:val="000000"/>
                <w:rFonts w:ascii="Times New Roman" w:hAnsi="Times New Roman" w:cs="Times New Roman" w:eastAsia="Times New Roman"/>
                <w:sz w:val="24"/>
              </w:rPr>
              <w:t>4. V bode 4 navrhujeme slovo „uzavieranie“ nahradiť slovom „uzavretie“.</w:t>
              <w:br/>
            </w:r>
            <w:r>
              <w:rPr>
                <w:b w:val="off"/>
                <w:color w:val="000000"/>
                <w:rFonts w:ascii="Times New Roman" w:hAnsi="Times New Roman" w:cs="Times New Roman" w:eastAsia="Times New Roman"/>
                <w:sz w:val="24"/>
              </w:rPr>
              <w:t>5. Navrhujeme doplniť nové novelizačné body, ktoré znejú:</w:t>
              <w:br/>
            </w:r>
            <w:r>
              <w:rPr>
                <w:b w:val="off"/>
                <w:color w:val="000000"/>
                <w:rFonts w:ascii="Times New Roman" w:hAnsi="Times New Roman" w:cs="Times New Roman" w:eastAsia="Times New Roman"/>
                <w:sz w:val="24"/>
              </w:rPr>
              <w:t>„V § 2 písm. l) sa slová „splniť záväzok“ nahrádzajú slovami „splniť dlh“.“.</w:t>
              <w:br/>
            </w:r>
            <w:r>
              <w:rPr>
                <w:b w:val="off"/>
                <w:color w:val="000000"/>
                <w:rFonts w:ascii="Times New Roman" w:hAnsi="Times New Roman" w:cs="Times New Roman" w:eastAsia="Times New Roman"/>
                <w:sz w:val="24"/>
              </w:rPr>
              <w:t>„V § 13 ods. 18 sa slová „svojho záväzku úveru na bývanie“ nahrádzajú slovami „svojho dlhu zo zmluvy o úvere na bývanie“, slová „výška záväzku spotrebiteľa“ sa nahrádzajú slovami „výška dlhu spotrebiteľa“ a slová „splnenia záväzku spotrebiteľa“ sa nahrádzajú slovami „splnenia dlhu spotrebiteľa“.“.</w:t>
              <w:br/>
            </w:r>
            <w:r>
              <w:rPr>
                <w:b w:val="off"/>
                <w:color w:val="000000"/>
                <w:rFonts w:ascii="Times New Roman" w:hAnsi="Times New Roman" w:cs="Times New Roman" w:eastAsia="Times New Roman"/>
                <w:sz w:val="24"/>
              </w:rPr>
              <w:t>„V § 20 ods. 1 a 4 sa slová „svoje záväzky“ nahrádzajú slovami „svoje dlhy“, v odseku 4 sa slová „neplnených záväzkoch“ nahrádzajú slovami „neplnených dlhoch“ a v odseku 6 sa slová „tomuto peňažnému záväzku alebo tejto časti peňažného záväzku“ nahrádzajú slovami „tomuto peňažnému dlhu alebo tejto časti peňažného dlhu“ a slová „omeškaný peňažný záväzok“ sa nahrádzajú slovami „omeškaný peňažný dlh“.“.</w:t>
              <w:br/>
            </w:r>
            <w:r>
              <w:rPr>
                <w:b w:val="off"/>
                <w:color w:val="000000"/>
                <w:rFonts w:ascii="Times New Roman" w:hAnsi="Times New Roman" w:cs="Times New Roman" w:eastAsia="Times New Roman"/>
                <w:sz w:val="24"/>
              </w:rPr>
              <w:t>„V § 29 ods. 2 sa slová „s plnením záväzku spotrebiteľa“ nahrádzajú slovami „so splnením dlhu spotrebiteľa“.“.</w:t>
              <w:br/>
            </w:r>
            <w:r>
              <w:rPr>
                <w:b w:val="off"/>
                <w:color w:val="000000"/>
                <w:rFonts w:ascii="Times New Roman" w:hAnsi="Times New Roman" w:cs="Times New Roman" w:eastAsia="Times New Roman"/>
                <w:sz w:val="24"/>
              </w:rPr>
              <w:t>„Poznámka pod čiarou k odkazu 17 znie:</w:t>
              <w:br/>
            </w:r>
            <w:r>
              <w:rPr>
                <w:b w:val="off"/>
                <w:color w:val="000000"/>
                <w:rFonts w:ascii="Times New Roman" w:hAnsi="Times New Roman" w:cs="Times New Roman" w:eastAsia="Times New Roman"/>
                <w:sz w:val="24"/>
              </w:rPr>
              <w:t>„17) Napríklad zákon č. 108/2024 Z. z. o ochrane spotrebiteľa a o zmene a doplnení niektorých zákonov v znení neskorších predpisov, § 722, 723 a 725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 Poznámka pod čiarou k odkazu 1 (pojem „spotrebiteľ“) odkazuje na § 52 ods. 4 zákona č. 40/1964 Zb. Občiansky zákonník, ktorý sa k 1. júlu 2027 zrušuje; spotrebiteľa vymedzuje § 5 Občianskeho zákonníka. Návrh túto zmenu vykonáva v zákone č. 312/2025 Z. z. (čl. CCXXIII bod 1), v zákone č. 90/2016 Z. z. ju vynecháva. Odkaz 38 sa viaže na všeobecné náležitosti zmluvy; uzavieranie zmlúv upravujú § 58 až 65 a osobitné ustanovenia o spotrebiteľských zmluvách celý tretí diel Občianskeho zákonníka (§ 622 až 637), citácia „§ 622 až 627“ preto bez vecného dôvodu vylučuje § 628 až 637. Citácia „§ 637“ v poznámke 39 zodpovedá číslovaniu vládneho návrhu (tlač 1312); obmedzenie odplaty upravuje § 636 písm. a). Nariadenie vlády Slovenskej republiky č. 87/1995 Z. z. sa k 1. júlu 2027 zrušuje (§ 1919 bod 6 Občianskeho zákonníka) a nariadenie vlády podľa § 636 Občianskeho zákonníka zatiaľ nebolo vyhlásené, preto ho nemožno citovať; postačuje citácia splnomocňovacieho ustanovenia.</w:t>
              <w:br/>
            </w:r>
            <w:r>
              <w:rPr>
                <w:b w:val="off"/>
                <w:color w:val="000000"/>
                <w:rFonts w:ascii="Times New Roman" w:hAnsi="Times New Roman" w:cs="Times New Roman" w:eastAsia="Times New Roman"/>
                <w:sz w:val="24"/>
              </w:rPr>
              <w:t>K bodu 2: § 431 Občianskeho zákonníka upravuje použitie ustanovení o záložnom práve na zabezpečovací prevod práva; zabezpečenie záväzku zo spotrebiteľskej zmluvy zabezpečovacím prevodom práva je neplatné (§ 631 ods. 1 Občianskeho zákonníka), citácia § 431 preto nemá opodstatnenie. Podľa § 20a ods. 5 sa povinnosť veriteľa považuje za splnenú voči ručiteľovi aj záložcovi; § 399 ods. 4 Občianskeho zákonníka však ukladá povinnosť poskytnúť informácie a doklady len ručiteľovi, voči záložcovi sa uplatní na základe § 1627 ods. 1 druhej vety.</w:t>
              <w:br/>
            </w:r>
            <w:r>
              <w:rPr>
                <w:b w:val="off"/>
                <w:color w:val="000000"/>
                <w:rFonts w:ascii="Times New Roman" w:hAnsi="Times New Roman" w:cs="Times New Roman" w:eastAsia="Times New Roman"/>
                <w:sz w:val="24"/>
              </w:rPr>
              <w:t>K bodu 3: Podľa § 29 ods. 1 sa primerane vzťahujú ustanovenia Občianskeho zákonníka o spotrebiteľských zmluvách, ktoré tvoria celý tretí diel (§ 622 až 637). Citácia končiaca § 630 vylučuje zakázané spôsoby zabezpečenia (§ 631), výkon záložného práva (§ 632), stratu výhody splátok (§ 633 a 634) a obmedzenie odplaty a sankcií (§ 636). Ide aj o zosúladenie s poznámkou pod čiarou k odkazu 74 zákona č. 312/2025 Z. z.</w:t>
              <w:br/>
            </w:r>
            <w:r>
              <w:rPr>
                <w:b w:val="off"/>
                <w:color w:val="000000"/>
                <w:rFonts w:ascii="Times New Roman" w:hAnsi="Times New Roman" w:cs="Times New Roman" w:eastAsia="Times New Roman"/>
                <w:sz w:val="24"/>
              </w:rPr>
              <w:t>K bodu 4: Slovu „uzatvorenie“ zodpovedá dokonavý vid slovesa uzavrieť, teda slovo „uzavretie“.</w:t>
              <w:br/>
            </w:r>
            <w:r>
              <w:rPr>
                <w:b w:val="off"/>
                <w:color w:val="000000"/>
                <w:rFonts w:ascii="Times New Roman" w:hAnsi="Times New Roman" w:cs="Times New Roman" w:eastAsia="Times New Roman"/>
                <w:sz w:val="24"/>
              </w:rPr>
              <w:t>K bodu 5: Občiansky zákonník rozlišuje záväzok ako právny vzťah a dlh ako povinnosť dlžníka plniť (§ 312 ods. 1); splniť, neplniť alebo byť v omeškaní možno len s dlhom. Rovnako postupuje návrh v čl. II bode 24 a v navrhovanom § 20a ods. 1. § 13 ods. 18 preberá § 53 ods. 4 písm. s) zákona č. 40/1964 Zb. Občiansky zákonník, ktorému zodpovedá § 629 písm. r) Občianskeho zákonníka už s pojmom „dlh“; § 29 ods. 2 nadväzuje na § 636 písm. b) Občianskeho zákonníka („sankcie za omeškanie so splnením dlhu spotrebiteľa“). Poznámka pod čiarou k odkazu 17 (§ 3 ods. 1 – klamlivá reklama) cituje § 45 Obchodného zákonníka, ktorý sa podľa čl. II bodu 13 návrhu vypúšťa, a § 7 a 8 zákona č. 250/2007 Z. z., ktorý bol zrušený zákonom č. 108/2024 Z. z.; nekalú súťaž upravuje Občiansky zákonník v § 720 až 739.</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CCXXIII (zákon č. 312/2025 Z. z. o spotrebiteľských úveroch) – poznámky pod čiarou a terminologické zosúladenie</w:t>
              <w:br/>
            </w:r>
            <w:r>
              <w:rPr>
                <w:b w:val="off"/>
                <w:color w:val="000000"/>
                <w:rFonts w:ascii="Times New Roman" w:hAnsi="Times New Roman" w:cs="Times New Roman" w:eastAsia="Times New Roman"/>
                <w:sz w:val="24"/>
              </w:rPr>
              <w:t>1. Bod 1 navrhujeme upraviť takto:</w:t>
              <w:br/>
            </w:r>
            <w:r>
              <w:rPr>
                <w:b w:val="off"/>
                <w:color w:val="000000"/>
                <w:rFonts w:ascii="Times New Roman" w:hAnsi="Times New Roman" w:cs="Times New Roman" w:eastAsia="Times New Roman"/>
                <w:sz w:val="24"/>
              </w:rPr>
              <w:t>„1. Poznámky pod čiarou k odkazom 1, 7, 23, 27 a 28 znejú:</w:t>
              <w:br/>
            </w:r>
            <w:r>
              <w:rPr>
                <w:b w:val="off"/>
                <w:color w:val="000000"/>
                <w:rFonts w:ascii="Times New Roman" w:hAnsi="Times New Roman" w:cs="Times New Roman" w:eastAsia="Times New Roman"/>
                <w:sz w:val="24"/>
              </w:rPr>
              <w:t>„1) § 5 Občianskeho zákonníka.</w:t>
              <w:br/>
            </w:r>
            <w:r>
              <w:rPr>
                <w:b w:val="off"/>
                <w:color w:val="000000"/>
                <w:rFonts w:ascii="Times New Roman" w:hAnsi="Times New Roman" w:cs="Times New Roman" w:eastAsia="Times New Roman"/>
                <w:sz w:val="24"/>
              </w:rPr>
              <w:t>7) § 866 až 956 Občianskeho zákonníka.</w:t>
              <w:br/>
            </w:r>
            <w:r>
              <w:rPr>
                <w:b w:val="off"/>
                <w:color w:val="000000"/>
                <w:rFonts w:ascii="Times New Roman" w:hAnsi="Times New Roman" w:cs="Times New Roman" w:eastAsia="Times New Roman"/>
                <w:sz w:val="24"/>
              </w:rPr>
              <w:t>23) § 39 až 48 Občianskeho zákonníka.</w:t>
              <w:br/>
            </w:r>
            <w:r>
              <w:rPr>
                <w:b w:val="off"/>
                <w:color w:val="000000"/>
                <w:rFonts w:ascii="Times New Roman" w:hAnsi="Times New Roman" w:cs="Times New Roman" w:eastAsia="Times New Roman"/>
                <w:sz w:val="24"/>
              </w:rPr>
              <w:t>27) Napríklad § 629 písm. r) a § 631 Občianskeho zákonníka.</w:t>
              <w:br/>
            </w:r>
            <w:r>
              <w:rPr>
                <w:b w:val="off"/>
                <w:color w:val="000000"/>
                <w:rFonts w:ascii="Times New Roman" w:hAnsi="Times New Roman" w:cs="Times New Roman" w:eastAsia="Times New Roman"/>
                <w:sz w:val="24"/>
              </w:rPr>
              <w:t>28) § 636 písm. a) Občianskeho zákonníka.“.“.</w:t>
              <w:br/>
            </w:r>
            <w:r>
              <w:rPr>
                <w:b w:val="off"/>
                <w:color w:val="000000"/>
                <w:rFonts w:ascii="Times New Roman" w:hAnsi="Times New Roman" w:cs="Times New Roman" w:eastAsia="Times New Roman"/>
                <w:sz w:val="24"/>
              </w:rPr>
              <w:t>2. V bode 5 navrhujeme poznámku pod čiarou k odkazu 119 upraviť takto: „119) § 45 a 636 Občianskeho zákonníka.“.</w:t>
              <w:br/>
            </w:r>
            <w:r>
              <w:rPr>
                <w:b w:val="off"/>
                <w:color w:val="000000"/>
                <w:rFonts w:ascii="Times New Roman" w:hAnsi="Times New Roman" w:cs="Times New Roman" w:eastAsia="Times New Roman"/>
                <w:sz w:val="24"/>
              </w:rPr>
              <w:t>3. V bode 6 navrhujeme slová „Poznámka pod čiarou k odkazu 120 znie:“ nahradiť slovami „Poznámka pod čiarou k odkazu 120a znie:“ a poznámku upraviť takto: „120a) § 399 a 1627 Občianskeho zákonníka.“.</w:t>
              <w:br/>
            </w:r>
            <w:r>
              <w:rPr>
                <w:b w:val="off"/>
                <w:color w:val="000000"/>
                <w:rFonts w:ascii="Times New Roman" w:hAnsi="Times New Roman" w:cs="Times New Roman" w:eastAsia="Times New Roman"/>
                <w:sz w:val="24"/>
              </w:rPr>
              <w:t>4. Ak nebude akceptovaná naša pripomienka k vypusteniu § 48a ods. 5, navrhujeme v bode 7 poznámku pod čiarou k odkazu 120c upraviť takto: „120c) § 399 ods. 4 a § 1627 ods. 1 Občianskeho zákonníka.“.</w:t>
              <w:br/>
            </w:r>
            <w:r>
              <w:rPr>
                <w:b w:val="off"/>
                <w:color w:val="000000"/>
                <w:rFonts w:ascii="Times New Roman" w:hAnsi="Times New Roman" w:cs="Times New Roman" w:eastAsia="Times New Roman"/>
                <w:sz w:val="24"/>
              </w:rPr>
              <w:t>5. Navrhujeme doplniť nové novelizačné body, ktoré znejú:</w:t>
              <w:br/>
            </w:r>
            <w:r>
              <w:rPr>
                <w:b w:val="off"/>
                <w:color w:val="000000"/>
                <w:rFonts w:ascii="Times New Roman" w:hAnsi="Times New Roman" w:cs="Times New Roman" w:eastAsia="Times New Roman"/>
                <w:sz w:val="24"/>
              </w:rPr>
              <w:t>„V § 4 ods. 2 prvej vete sa slová „odbornej starostlivosti“ nahrádzajú slovami „náležitej starostlivosti“.“.</w:t>
              <w:br/>
            </w:r>
            <w:r>
              <w:rPr>
                <w:b w:val="off"/>
                <w:color w:val="000000"/>
                <w:rFonts w:ascii="Times New Roman" w:hAnsi="Times New Roman" w:cs="Times New Roman" w:eastAsia="Times New Roman"/>
                <w:sz w:val="24"/>
              </w:rPr>
              <w:t>„V § 30 ods. 4 písm. c) sa slová „splní všetky záväzky“ nahrádzajú slovami „splní všetky dlhy“.“.</w:t>
              <w:br/>
            </w:r>
            <w:r>
              <w:rPr>
                <w:b w:val="off"/>
                <w:color w:val="000000"/>
                <w:rFonts w:ascii="Times New Roman" w:hAnsi="Times New Roman" w:cs="Times New Roman" w:eastAsia="Times New Roman"/>
                <w:sz w:val="24"/>
              </w:rPr>
              <w:t>„V § 55 ods. 1 sa slová „výpovednej lehote. Táto lehota“ nahrádzajú slovami „výpovednej dobe. Táto doba“ a v odseku 2 sa slová „Výpovedná lehota“ nahrádzajú slovami „Výpovedná doba“.“.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 Odkaz 23 (§ 3 ods. 2 – súhlas spotrebiteľa) zahŕňal v doterajšej poznámke aj prejav vôle (§ 35 zákona č. 40/1964 Zb. Občiansky zákonník); spôsob prejavu vôle upravuje § 48 Občianskeho zákonníka, ktorý citácia „§ 39 až 47“ nezahŕňa. Odkaz 27 (§ 4 ods. 2) sa viaže na zákaz alebo neprijateľnosť zabezpečenia záväzku spotrebiteľa; tie upravujú § 631 a § 629 písm. r) Občianskeho zákonníka, kým navrhované § 626 až 629 zákaz podľa § 631, rozhodujúci pre § 4 ods. 2, neobsahujú. Poznámka 28 (§ 4 ods. 3, § 20 ods. 10 a § 46 ods. 1 písm. d) – odplata a jej najvyššia prípustná výška) cituje § 1 a 1a nariadenia vlády Slovenskej republiky č. 87/1995 Z. z., ktoré sa k 1. júlu 2027 zrušuje (§ 1919 bod 6 Občianskeho zákonníka); návrh ju nemení, hoci obdobné poznámky 39 zákona č. 90/2016 Z. z. a 119 upravuje.</w:t>
              <w:br/>
            </w:r>
            <w:r>
              <w:rPr>
                <w:b w:val="off"/>
                <w:color w:val="000000"/>
                <w:rFonts w:ascii="Times New Roman" w:hAnsi="Times New Roman" w:cs="Times New Roman" w:eastAsia="Times New Roman"/>
                <w:sz w:val="24"/>
              </w:rPr>
              <w:t>K bodu 2: § 636 Občianskeho zákonníka iba obmedzuje odplatu a sankcie za omeškanie; neplatnosť právneho úkonu pre rozpor so zákonom, na ktorú sa odkaz 119 v § 46 ods. 9 viaže, upravuje § 45. Citáciu nariadenia vlády Slovenskej republiky č. 87/1995 Z. z. navrhujeme vypustiť, keďže sa k účinnosti Občianskeho zákonníka zrušuje a nariadenie vlády podľa § 636 zatiaľ nebolo vyhlásené (bod 23.10 prílohy č. 1 Legislatívnych pravidiel vlády Slovenskej republiky); postačuje citácia splnomocňovacieho ustanovenia.</w:t>
              <w:br/>
            </w:r>
            <w:r>
              <w:rPr>
                <w:b w:val="off"/>
                <w:color w:val="000000"/>
                <w:rFonts w:ascii="Times New Roman" w:hAnsi="Times New Roman" w:cs="Times New Roman" w:eastAsia="Times New Roman"/>
                <w:sz w:val="24"/>
              </w:rPr>
              <w:t>K bodu 3: Bod 6 zavádza nový odkaz 120a, úvodná veta však hovorí o poznámke k odkazu 120, ktorá v platnom znení existuje a navrhovaným znením by sa nahradila (bod 39.1 prílohy č. 1 Legislatívnych pravidiel vlády Slovenskej republiky). Citácia § 431 nemá opodstatnenie, keďže zabezpečovací prevod práva je pri zabezpečení záväzku zo spotrebiteľskej zmluvy neplatný (§ 631 ods. 1 Občianskeho zákonníka).</w:t>
              <w:br/>
            </w:r>
            <w:r>
              <w:rPr>
                <w:b w:val="off"/>
                <w:color w:val="000000"/>
                <w:rFonts w:ascii="Times New Roman" w:hAnsi="Times New Roman" w:cs="Times New Roman" w:eastAsia="Times New Roman"/>
                <w:sz w:val="24"/>
              </w:rPr>
              <w:t>K bodu 4: § 399 ods. 4 Občianskeho zákonníka ukladá povinnosť poskytnúť informácie a doklady len ručiteľovi; voči záložcovi sa uplatní na základe § 1627 ods. 1 druhej vety.</w:t>
              <w:br/>
            </w:r>
            <w:r>
              <w:rPr>
                <w:b w:val="off"/>
                <w:color w:val="000000"/>
                <w:rFonts w:ascii="Times New Roman" w:hAnsi="Times New Roman" w:cs="Times New Roman" w:eastAsia="Times New Roman"/>
                <w:sz w:val="24"/>
              </w:rPr>
              <w:t>K bodu 5: § 4 ods. 2 preberá § 53 ods. 12 zákona č. 40/1964 Zb. Občiansky zákonník („v súlade s povinnosťou odbornej starostlivosti“); Občiansky zákonník toto pravidlo preberá v § 623 s pojmom „povinnosť náležitej starostlivosti“. Splniť možno len dlh, nie záväzok ako právny vzťah (§ 312 ods. 1 Občianskeho zákonníka); návrh túto terminológiu uplatňuje v § 48 ods. 1 písm. d) a § 48a. Občiansky zákonník rozlišuje lehotu (§ 134 ods. 1) a dobu (§ 135 ods. 1); uplynutím výpovednej doby zmluva zaniká (§ 498 ods. 4), preto Občiansky zákonník používa pojem „výpovedná doba“. Návrh tento prístup uplatňuje v § 4 ods. 6 (čl. CCXXIII bod 2), § 55 však vynecháva.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navrhovanému novému článku (zákon č. 202/1995 Z. z. Devízový zákon) – poznámky pod čiarou</w:t>
              <w:br/>
            </w:r>
            <w:r>
              <w:rPr>
                <w:b w:val="off"/>
                <w:color w:val="000000"/>
                <w:rFonts w:ascii="Times New Roman" w:hAnsi="Times New Roman" w:cs="Times New Roman" w:eastAsia="Times New Roman"/>
                <w:sz w:val="24"/>
              </w:rPr>
              <w:t>V novom článku k Devízovému zákonu, ktorý navrhujeme v pripomienke k § 2 písm. n) a § 6 ods. 4 písm. c),v pripomienke k § 6 ods. 4 písm. c), odporúčame doplniť novelizačné body, ktoré znejú:</w:t>
              <w:br/>
            </w:r>
            <w:r>
              <w:rPr>
                <w:b w:val="off"/>
                <w:color w:val="000000"/>
                <w:rFonts w:ascii="Times New Roman" w:hAnsi="Times New Roman" w:cs="Times New Roman" w:eastAsia="Times New Roman"/>
                <w:sz w:val="24"/>
              </w:rPr>
              <w:t>„Poznámky pod čiarou k odkazom 1, 5, 7, 9 a 12 znejú:</w:t>
              <w:br/>
            </w:r>
            <w:r>
              <w:rPr>
                <w:b w:val="off"/>
                <w:color w:val="000000"/>
                <w:rFonts w:ascii="Times New Roman" w:hAnsi="Times New Roman" w:cs="Times New Roman" w:eastAsia="Times New Roman"/>
                <w:sz w:val="24"/>
              </w:rPr>
              <w:t>„1) § 215 Občianskeho zákonníka.</w:t>
              <w:br/>
            </w:r>
            <w:r>
              <w:rPr>
                <w:b w:val="off"/>
                <w:color w:val="000000"/>
                <w:rFonts w:ascii="Times New Roman" w:hAnsi="Times New Roman" w:cs="Times New Roman" w:eastAsia="Times New Roman"/>
                <w:sz w:val="24"/>
              </w:rPr>
              <w:t>5) § 970 až 973 Občianskeho zákonníka.</w:t>
              <w:br/>
            </w:r>
            <w:r>
              <w:rPr>
                <w:b w:val="off"/>
                <w:color w:val="000000"/>
                <w:rFonts w:ascii="Times New Roman" w:hAnsi="Times New Roman" w:cs="Times New Roman" w:eastAsia="Times New Roman"/>
                <w:sz w:val="24"/>
              </w:rPr>
              <w:t>7) § 20 ods. 4 Občianskeho zákonníka.</w:t>
              <w:br/>
            </w:r>
            <w:r>
              <w:rPr>
                <w:b w:val="off"/>
                <w:color w:val="000000"/>
                <w:rFonts w:ascii="Times New Roman" w:hAnsi="Times New Roman" w:cs="Times New Roman" w:eastAsia="Times New Roman"/>
                <w:sz w:val="24"/>
              </w:rPr>
              <w:t>9) § 8 ods. 1 Občianskeho zákonníka.</w:t>
              <w:br/>
            </w:r>
            <w:r>
              <w:rPr>
                <w:b w:val="off"/>
                <w:color w:val="000000"/>
                <w:rFonts w:ascii="Times New Roman" w:hAnsi="Times New Roman" w:cs="Times New Roman" w:eastAsia="Times New Roman"/>
                <w:sz w:val="24"/>
              </w:rPr>
              <w:t>12) § 7 Občianskeho zákonníka.“.“.</w:t>
              <w:br/>
            </w:r>
            <w:r>
              <w:rPr>
                <w:b w:val="off"/>
                <w:color w:val="000000"/>
                <w:rFonts w:ascii="Times New Roman" w:hAnsi="Times New Roman" w:cs="Times New Roman" w:eastAsia="Times New Roman"/>
                <w:sz w:val="24"/>
              </w:rPr>
              <w:t>„V poznámke pod čiarou k odkazu 16a sa citácia „§ 17 až 20 Obchodného zákonníka v znení zákona Národnej rady Slovenskej republiky č. 249/1994 Z. z.“ nahrádza citáciou „§ 740 až 746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Poznámky pod čiarou odkazujú na ustanovenia Obchodného zákonníka, ktoré podľa čl. II návrhu dostávajú nové znenie alebo sa vypúšťajú (§ 2 ods. 1 až 4 – podnikanie, podnikateľ a sídlo, § 6 ods. 3 – čisté obchodné imanie, § 17 až 20 – obchodné tajomstvo), a na § 657 a 658 zákona č. 40/1964 Zb. Občiansky zákonník (pôžička). Zodpovedajúcu úpravu obsahuje Občiansky zákonník v § 215 (sídlo právnickej osoby), § 970 až 973 (zmluva o pôžičke), § 20 ods. 4 (čisté obchodné imanie), § 8 ods. 1 (podnikanie), § 7 (podnikateľ) a § 740 až 746 (obchodné tajomstvo); rovnako postupuje návrh v čl. II bode 26. Ak sa Devízový zákon doplní do návrhu na základe našej pripomienky k § 2 písm. n) a § 6 ods. 4 písm. c)k § 6 ods. 4 písm. c), je vhodné aktualizovať aj jeho poznámkový aparát (metodika Ministerstva spravodlivosti Slovenskej republiky k príprave a spracovaniu implementačného zákona, časť 4 bod ii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navrhovanému novému článku (zákon č. 106/2024 Z. z. o správcoch úverov a nákupcoch úverov) – § 23 ods. 1 písm. a)</w:t>
              <w:br/>
            </w:r>
            <w:r>
              <w:rPr>
                <w:b w:val="off"/>
                <w:color w:val="000000"/>
                <w:rFonts w:ascii="Times New Roman" w:hAnsi="Times New Roman" w:cs="Times New Roman" w:eastAsia="Times New Roman"/>
                <w:sz w:val="24"/>
              </w:rPr>
              <w:t>V novom článku k zákonu č. 106/2024 Z. z., ktorý navrhujeme v pripomienke k § 6 ods. 15, odporúčame doplniť novelizačné body, ktoré znejú:</w:t>
              <w:br/>
            </w:r>
            <w:r>
              <w:rPr>
                <w:b w:val="off"/>
                <w:color w:val="000000"/>
                <w:rFonts w:ascii="Times New Roman" w:hAnsi="Times New Roman" w:cs="Times New Roman" w:eastAsia="Times New Roman"/>
                <w:sz w:val="24"/>
              </w:rPr>
              <w:t>„V § 23 ods. 1 písm. a) sa slová „v dobrej viere“ nahrádzajú slovom „poctivo“.“.</w:t>
              <w:br/>
            </w:r>
            <w:r>
              <w:rPr>
                <w:b w:val="off"/>
                <w:color w:val="000000"/>
                <w:rFonts w:ascii="Times New Roman" w:hAnsi="Times New Roman" w:cs="Times New Roman" w:eastAsia="Times New Roman"/>
                <w:sz w:val="24"/>
              </w:rPr>
              <w:t>„V poznámke pod čiarou k odkazu 5 sa citácia „§ 52 až 54a Občianskeho zákonníka“ nahrádza citáciou „§ 622 až 637 Občianskeho zákonníka“.“.</w:t>
              <w:br/>
            </w:r>
            <w:r>
              <w:rPr>
                <w:b w:val="off"/>
                <w:color w:val="000000"/>
                <w:rFonts w:ascii="Times New Roman" w:hAnsi="Times New Roman" w:cs="Times New Roman" w:eastAsia="Times New Roman"/>
                <w:sz w:val="24"/>
              </w:rPr>
              <w:t>„Poznámka pod čiarou k odkazu 43 znie:</w:t>
              <w:br/>
            </w:r>
            <w:r>
              <w:rPr>
                <w:b w:val="off"/>
                <w:color w:val="000000"/>
                <w:rFonts w:ascii="Times New Roman" w:hAnsi="Times New Roman" w:cs="Times New Roman" w:eastAsia="Times New Roman"/>
                <w:sz w:val="24"/>
              </w:rPr>
              <w:t>„43) Napríklad § 355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Občiansky zákonník pojem „dobrá viera“ nepoužíva; pre vedomosť osoby používa pojem „dobromyseľnosť“ (čl. 10) a požiadavku na správanie vyjadruje princíp, podľa ktorého má každý konať „čestne, poctivo a slušne“ (čl. 4 ods. 1). § 23 ods. 1 písm. a) upravuje požiadavku na správanie nákupcu úverov a správcu úverov voči dlžníkovi, preto mu zodpovedá pojem „poctivo“.</w:t>
              <w:br/>
            </w:r>
            <w:r>
              <w:rPr>
                <w:b w:val="off"/>
                <w:color w:val="000000"/>
                <w:rFonts w:ascii="Times New Roman" w:hAnsi="Times New Roman" w:cs="Times New Roman" w:eastAsia="Times New Roman"/>
                <w:sz w:val="24"/>
              </w:rPr>
              <w:t>Poznámka 5 (§ 1 ods. 4 písm. b) – práva dlžníka) cituje § 52 až 54a zákona č. 40/1964 Zb. Občiansky zákonník o spotrebiteľských zmluvách, ktorým zodpovedajú § 622 až 637 Občianskeho zákonníka (rovnako poznámka 74 zákona č. 312/2025 Z. z. podľa čl. CCXXIII bodu 3 návrhu). Poznámka 43 (§ 23 ods. 5) cituje § 526 zákona č. 40/1964 Zb. Občiansky zákonník (povinnosť postupcu oznámiť postúpenie pohľadávky dlžníkovi), ktorú upravuje § 355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navrhovanému novému článku (zákon č. 311/2025 Z. z. o ochrane spotrebiteľa pri finančných službách na diaľku)</w:t>
              <w:br/>
            </w:r>
            <w:r>
              <w:rPr>
                <w:b w:val="off"/>
                <w:color w:val="000000"/>
                <w:rFonts w:ascii="Times New Roman" w:hAnsi="Times New Roman" w:cs="Times New Roman" w:eastAsia="Times New Roman"/>
                <w:sz w:val="24"/>
              </w:rPr>
              <w:t>V novom článku k zákonu č. 311/2025 Z. z., ktorý navrhujeme v pripomienke k § 1 ods. 4, odporúčame doplniť novelizačný bod, ktorý znie:</w:t>
              <w:br/>
            </w:r>
            <w:r>
              <w:rPr>
                <w:b w:val="off"/>
                <w:color w:val="000000"/>
                <w:rFonts w:ascii="Times New Roman" w:hAnsi="Times New Roman" w:cs="Times New Roman" w:eastAsia="Times New Roman"/>
                <w:sz w:val="24"/>
              </w:rPr>
              <w:t>„Poznámky pod čiarou k odkazom 1 a 2 znejú:</w:t>
              <w:br/>
            </w:r>
            <w:r>
              <w:rPr>
                <w:b w:val="off"/>
                <w:color w:val="000000"/>
                <w:rFonts w:ascii="Times New Roman" w:hAnsi="Times New Roman" w:cs="Times New Roman" w:eastAsia="Times New Roman"/>
                <w:sz w:val="24"/>
              </w:rPr>
              <w:t>„1) § 5 Občianskeho zákonníka.</w:t>
              <w:br/>
            </w:r>
            <w:r>
              <w:rPr>
                <w:b w:val="off"/>
                <w:color w:val="000000"/>
                <w:rFonts w:ascii="Times New Roman" w:hAnsi="Times New Roman" w:cs="Times New Roman" w:eastAsia="Times New Roman"/>
                <w:sz w:val="24"/>
              </w:rPr>
              <w:t>2) § 6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Poznámky 1 a 2 (§ 1 ods. 1 písm. a) – spotrebiteľ a obchodník) citujú § 52 ods. 4 a 3 zákona č. 40/1964 Zb. Občiansky zákonník, ktorý sa k 1. júlu 2027 zrušuje. Spotrebiteľa a obchodníka vymedzujú § 5 a 6 Občianskeho zákonníka; návrh obdobnú zmenu vykonáva v zákone č. 312/2025 Z. z. (čl. CCXXIII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CLVII (zákon č. 39/2015 Z. z. o poisťovníctve)</w:t>
              <w:br/>
            </w:r>
            <w:r>
              <w:rPr>
                <w:b w:val="off"/>
                <w:color w:val="000000"/>
                <w:rFonts w:ascii="Times New Roman" w:hAnsi="Times New Roman" w:cs="Times New Roman" w:eastAsia="Times New Roman"/>
                <w:sz w:val="24"/>
              </w:rPr>
              <w:t>Navrhujeme do čl. CLVII doplniť nové novelizačné body, ktoré znejú:</w:t>
              <w:br/>
            </w:r>
            <w:r>
              <w:rPr>
                <w:b w:val="off"/>
                <w:color w:val="000000"/>
                <w:rFonts w:ascii="Times New Roman" w:hAnsi="Times New Roman" w:cs="Times New Roman" w:eastAsia="Times New Roman"/>
                <w:sz w:val="24"/>
              </w:rPr>
              <w:t>„V § 151 ods. 1 sa slová „mandátnu zmluvu“ nahrádzajú slovami „príkaznú zmluvu“.“.</w:t>
              <w:br/>
            </w:r>
            <w:r>
              <w:rPr>
                <w:b w:val="off"/>
                <w:color w:val="000000"/>
                <w:rFonts w:ascii="Times New Roman" w:hAnsi="Times New Roman" w:cs="Times New Roman" w:eastAsia="Times New Roman"/>
                <w:sz w:val="24"/>
              </w:rPr>
              <w:t>„V § 188 odsek 1 znie:</w:t>
              <w:br/>
            </w:r>
            <w:r>
              <w:rPr>
                <w:b w:val="off"/>
                <w:color w:val="000000"/>
                <w:rFonts w:ascii="Times New Roman" w:hAnsi="Times New Roman" w:cs="Times New Roman" w:eastAsia="Times New Roman"/>
                <w:sz w:val="24"/>
              </w:rPr>
              <w:t>„(1) Zodpovednosť za škodu spôsobenú porušením povinností podľa tohto zákona sa spravuje Občianskym zákonníkom, ak § 70 a 151 neustanovujú inak.“.“.</w:t>
              <w:br/>
            </w:r>
            <w:r>
              <w:rPr>
                <w:b w:val="off"/>
                <w:color w:val="000000"/>
                <w:rFonts w:ascii="Times New Roman" w:hAnsi="Times New Roman" w:cs="Times New Roman" w:eastAsia="Times New Roman"/>
                <w:sz w:val="24"/>
              </w:rPr>
              <w:t>„Poznámka pod čiarou k odkazu 46 znie:</w:t>
              <w:br/>
            </w:r>
            <w:r>
              <w:rPr>
                <w:b w:val="off"/>
                <w:color w:val="000000"/>
                <w:rFonts w:ascii="Times New Roman" w:hAnsi="Times New Roman" w:cs="Times New Roman" w:eastAsia="Times New Roman"/>
                <w:sz w:val="24"/>
              </w:rPr>
              <w:t>„46) § 831 až 841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tretiu časť Obchodného zákonníka, na ktorú zákon o poisťovníctve odkazuje v troch ustanoveniach: § 151 ods. 1 (mandátna zmluva so zástupcom núteného správcu; návrh v čl. II v § 66 ods. 6 a 7 Obchodného zákonníka nahrádza mandátnu zmluvu príkaznou zmluvou), § 188 ods. 1 (náhrada škody podľa § 373 a nasl. a § 757 Obchodného zákonníka) a poznámka 46 k § 77 ods. 1 písm. c) a § 160 ods. 1 písm. e) (zmluva o predaji podniku podľa § 476 až 488 Obchodného zákonníka; v zákone o bankách predkladateľ obdobný odkaz nahradil odkazom na § 831 až 841 Občianskeho zákonníka). § 1894 Občianskeho zákonníka tieto odkazy nepokrýva, keďže sa vzťahuje len na ustanovenia zrušené Občianskym zákonníkom, nie na ustanovenia vypúšťané návrhom. Bez úpravy by zákon o poisťovníctve zakladal povinnosť Národnej banky Slovenska uzavrieť zmluvu neexistujúceho typu.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381/2001 Z. z. o povinnom zmluvnom poistení zodpovednosti za škodu spôsobenú</w:t>
              <w:br/>
            </w:r>
            <w:r>
              <w:rPr>
                <w:b w:val="off"/>
                <w:color w:val="000000"/>
                <w:rFonts w:ascii="Times New Roman" w:hAnsi="Times New Roman" w:cs="Times New Roman" w:eastAsia="Times New Roman"/>
                <w:sz w:val="24"/>
              </w:rPr>
              <w:t>Nad rámec návrhu – nový článok (zákon č. 381/2001 Z. z. o povinnom zmluvnom poistení zodpovednosti za škodu spôsobenú prevádzkou motorového vozidla)</w:t>
              <w:br/>
            </w:r>
            <w:r>
              <w:rPr>
                <w:b w:val="off"/>
                <w:color w:val="000000"/>
                <w:rFonts w:ascii="Times New Roman" w:hAnsi="Times New Roman" w:cs="Times New Roman" w:eastAsia="Times New Roman"/>
                <w:sz w:val="24"/>
              </w:rPr>
              <w:t>Navrhujeme do návrhu doplniť nový novelizačný článok, ktorým sa mení zákon č. 381/2001 Z. z. o povinnom zmluvnom poistení zodpovednosti za škodu spôsobenú prevádzkou motorového vozidla a o zmene a doplnení niektorých zákonov v znení neskorších predpisov, s týmito novelizačnými bodmi:</w:t>
              <w:br/>
            </w:r>
            <w:r>
              <w:rPr>
                <w:b w:val="off"/>
                <w:color w:val="000000"/>
                <w:rFonts w:ascii="Times New Roman" w:hAnsi="Times New Roman" w:cs="Times New Roman" w:eastAsia="Times New Roman"/>
                <w:sz w:val="24"/>
              </w:rPr>
              <w:t>„1. Poznámky pod čiarou k odkazom 7, 8, 9, 12, 15, 15a, 15ca a 20 až 22 znejú:</w:t>
              <w:br/>
            </w:r>
            <w:r>
              <w:rPr>
                <w:b w:val="off"/>
                <w:color w:val="000000"/>
                <w:rFonts w:ascii="Times New Roman" w:hAnsi="Times New Roman" w:cs="Times New Roman" w:eastAsia="Times New Roman"/>
                <w:sz w:val="24"/>
              </w:rPr>
              <w:t>„7) § 176 Občianskeho zákonníka.</w:t>
              <w:br/>
            </w:r>
            <w:r>
              <w:rPr>
                <w:b w:val="off"/>
                <w:color w:val="000000"/>
                <w:rFonts w:ascii="Times New Roman" w:hAnsi="Times New Roman" w:cs="Times New Roman" w:eastAsia="Times New Roman"/>
                <w:sz w:val="24"/>
              </w:rPr>
              <w:t>8) § 673 až 692 Občianskeho zákonníka, zákon č. 437/2004 Z. z. o náhrade za bolesť a o náhrade za sťaženie spoločenského uplatnenia a o zmene a doplnení zákona Národnej rady Slovenskej republiky č. 273/1994 Z. z. o zdravotnom poistení, financovaní zdravotného poistenia, o zriadení Všeobecnej zdravotnej poisťovne a o zriaďovaní rezortných, odvetvových, podnikových a občianskych zdravotných poisťovní v znení neskorších predpisov.</w:t>
              <w:br/>
            </w:r>
            <w:r>
              <w:rPr>
                <w:b w:val="off"/>
                <w:color w:val="000000"/>
                <w:rFonts w:ascii="Times New Roman" w:hAnsi="Times New Roman" w:cs="Times New Roman" w:eastAsia="Times New Roman"/>
                <w:sz w:val="24"/>
              </w:rPr>
              <w:t>9) § 1306 až 1339 Občianskeho zákonníka.</w:t>
              <w:br/>
            </w:r>
            <w:r>
              <w:rPr>
                <w:b w:val="off"/>
                <w:color w:val="000000"/>
                <w:rFonts w:ascii="Times New Roman" w:hAnsi="Times New Roman" w:cs="Times New Roman" w:eastAsia="Times New Roman"/>
                <w:sz w:val="24"/>
              </w:rPr>
              <w:t>12) § 1329 až 1338 Občianskeho zákonníka.</w:t>
              <w:br/>
            </w:r>
            <w:r>
              <w:rPr>
                <w:b w:val="off"/>
                <w:color w:val="000000"/>
                <w:rFonts w:ascii="Times New Roman" w:hAnsi="Times New Roman" w:cs="Times New Roman" w:eastAsia="Times New Roman"/>
                <w:sz w:val="24"/>
              </w:rPr>
              <w:t>15) § 104 Občianskeho zákonníka.</w:t>
              <w:br/>
            </w:r>
            <w:r>
              <w:rPr>
                <w:b w:val="off"/>
                <w:color w:val="000000"/>
                <w:rFonts w:ascii="Times New Roman" w:hAnsi="Times New Roman" w:cs="Times New Roman" w:eastAsia="Times New Roman"/>
                <w:sz w:val="24"/>
              </w:rPr>
              <w:t>15a) § 533 Občianskeho zákonníka.</w:t>
              <w:br/>
            </w:r>
            <w:r>
              <w:rPr>
                <w:b w:val="off"/>
                <w:color w:val="000000"/>
                <w:rFonts w:ascii="Times New Roman" w:hAnsi="Times New Roman" w:cs="Times New Roman" w:eastAsia="Times New Roman"/>
                <w:sz w:val="24"/>
              </w:rPr>
              <w:t>15ca) § 1332 Občianskeho zákonníka.</w:t>
              <w:br/>
            </w:r>
            <w:r>
              <w:rPr>
                <w:b w:val="off"/>
                <w:color w:val="000000"/>
                <w:rFonts w:ascii="Times New Roman" w:hAnsi="Times New Roman" w:cs="Times New Roman" w:eastAsia="Times New Roman"/>
                <w:sz w:val="24"/>
              </w:rPr>
              <w:t>20) § 1379 ods. 4 Občianskeho zákonníka.</w:t>
              <w:br/>
            </w:r>
            <w:r>
              <w:rPr>
                <w:b w:val="off"/>
                <w:color w:val="000000"/>
                <w:rFonts w:ascii="Times New Roman" w:hAnsi="Times New Roman" w:cs="Times New Roman" w:eastAsia="Times New Roman"/>
                <w:sz w:val="24"/>
              </w:rPr>
              <w:t>21) § 1328 a 1378 Občianskeho zákonníka.</w:t>
              <w:br/>
            </w:r>
            <w:r>
              <w:rPr>
                <w:b w:val="off"/>
                <w:color w:val="000000"/>
                <w:rFonts w:ascii="Times New Roman" w:hAnsi="Times New Roman" w:cs="Times New Roman" w:eastAsia="Times New Roman"/>
                <w:sz w:val="24"/>
              </w:rPr>
              <w:t>22) § 158 Občianskeho zákonníka.“.</w:t>
              <w:br/>
            </w:r>
            <w:r>
              <w:rPr>
                <w:b w:val="off"/>
                <w:color w:val="000000"/>
                <w:rFonts w:ascii="Times New Roman" w:hAnsi="Times New Roman" w:cs="Times New Roman" w:eastAsia="Times New Roman"/>
                <w:sz w:val="24"/>
              </w:rPr>
              <w:t>2. Poznámka pod čiarou k odkazu 24 sa vypúšťa.“.</w:t>
              <w:br/>
            </w:r>
            <w:r>
              <w:rPr>
                <w:b w:val="off"/>
                <w:color w:val="000000"/>
                <w:rFonts w:ascii="Times New Roman" w:hAnsi="Times New Roman" w:cs="Times New Roman" w:eastAsia="Times New Roman"/>
                <w:sz w:val="24"/>
              </w:rPr>
              <w:t>Zároveň navrhujeme v celom zákone prehodnotiť používanie pojmu „iná ujma“.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Poznámky pod čiarou odkazujú na ustanovenia zákona č. 40/1964 Zb. Občiansky zákonník, ktoré sa zrušujú; poznámky 20 až 22 majú odkazovať na ustanovenia Občianskeho zákonníka o škode na zdraví, nemajetkovej škode a nárokoch pozostalých, aby bola zachovaná vecná väzba medzi zákonom o povinnom zmluvnom poistení a novou súkromnoprávnou úpravou.</w:t>
              <w:br/>
            </w:r>
            <w:r>
              <w:rPr>
                <w:b w:val="off"/>
                <w:color w:val="000000"/>
                <w:rFonts w:ascii="Times New Roman" w:hAnsi="Times New Roman" w:cs="Times New Roman" w:eastAsia="Times New Roman"/>
                <w:sz w:val="24"/>
              </w:rPr>
              <w:t>Podľa § 639 ods. 1 Občianskeho zákonníka môže byť škoda majetková alebo nemajetková, pričom pojem „škoda“ predstavuje zastrešujúcu kategóriu pre oba druhy následkov. Odkazy na „inú ujmu“ sú preto terminologicky nejednoznačné, keďže nie je zrejmé, či označujú kategóriu odlišnú od nemajetkovej škody, alebo len preberajú terminológiu doterajšej úpravy. Zosúladenie terminológie obmedzí riziko výkladových nejasností pri určovaní rozsahu poistného krytia a nárokov poškodených.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5 (zákon č. 566/2001 Z. z. o cenných papieroch) – § 36 ods. 1</w:t>
              <w:br/>
            </w:r>
            <w:r>
              <w:rPr>
                <w:b w:val="off"/>
                <w:color w:val="000000"/>
                <w:rFonts w:ascii="Times New Roman" w:hAnsi="Times New Roman" w:cs="Times New Roman" w:eastAsia="Times New Roman"/>
                <w:sz w:val="24"/>
              </w:rPr>
              <w:t>Navrhujeme v § 36 ods. 1 vypustiť slová „a príkazca sa zaväzuje zaplatiť mu odplatu“.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upravuje odplatnosť ako definičný znak príkaznej zmluvy o obstaraní kúpy alebo predaja cenných papierov. Takáto úprava nezodpovedá všeobecnej koncepcii príkaznej zmluvy podľa Občianskeho zákonníka, podľa ktorej príkazná zmluva nie je pojmovo povinne odplatná a právo príkazníka na odplatu vzniká za podmienok ustanovených Občianskym zákonníkom.</w:t>
              <w:br/>
            </w:r>
            <w:r>
              <w:rPr>
                <w:b w:val="off"/>
                <w:color w:val="000000"/>
                <w:rFonts w:ascii="Times New Roman" w:hAnsi="Times New Roman" w:cs="Times New Roman" w:eastAsia="Times New Roman"/>
                <w:sz w:val="24"/>
              </w:rPr>
              <w:t>Navrhujeme preto ponechať otázku odplatnosti na všeobecnej právnej úprave Občianskeho zákonníka. Uvedeným nebude dotknuté právo príkazníka na odplatu v prípadoch ustanovených Občianskym zákonníkom ani osobitné pravidlá odmeňovania pri poskytovaní investičných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bodom 2 a 3 (zákon č. 566/2001 Z. z.) – § 28 ods. 3 písm. m) a ods. 14</w:t>
              <w:br/>
            </w:r>
            <w:r>
              <w:rPr>
                <w:b w:val="off"/>
                <w:color w:val="000000"/>
                <w:rFonts w:ascii="Times New Roman" w:hAnsi="Times New Roman" w:cs="Times New Roman" w:eastAsia="Times New Roman"/>
                <w:sz w:val="24"/>
              </w:rPr>
              <w:t>Navrhujeme prepracovať navrhovanú úpravu pozastavenia práva nakladať so zaknihovanými cennými papiermi na základe dedičskej zmluvy tak, aby jednoznačne rozlišovala medzi obmedzením práva scudziť cenné papiere a obmedzením práva zaťažiť cenné papiere.</w:t>
              <w:br/>
            </w:r>
            <w:r>
              <w:rPr>
                <w:b w:val="off"/>
                <w:color w:val="000000"/>
                <w:rFonts w:ascii="Times New Roman" w:hAnsi="Times New Roman" w:cs="Times New Roman" w:eastAsia="Times New Roman"/>
                <w:sz w:val="24"/>
              </w:rPr>
              <w:t>Navrhujeme upraviť rozsah a právne účinky príslušného zápisu tak, aby zodpovedali konkrétnemu obmedzeniu dohodnutému v dedičskej zmluve.</w:t>
              <w:br/>
            </w:r>
            <w:r>
              <w:rPr>
                <w:b w:val="off"/>
                <w:color w:val="000000"/>
                <w:rFonts w:ascii="Times New Roman" w:hAnsi="Times New Roman" w:cs="Times New Roman" w:eastAsia="Times New Roman"/>
                <w:sz w:val="24"/>
              </w:rPr>
              <w:t>Na účte majiteľa a v príslušnej evidencii musí byť zaznamenaný konkrétny druh a rozsah obmedzenia. Účinky podľa § 28 ods. 7 a 8 sa môžu uplatniť iba v rozsahu zodpovedajúcom obsahu registrovaného obmedzenia.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Nová právna úprava dedičskej zmluvy umožňuje dohodnúť osobitné obmedzenia nakladania s majetkom poručiteľa.</w:t>
              <w:br/>
            </w:r>
            <w:r>
              <w:rPr>
                <w:b w:val="off"/>
                <w:color w:val="000000"/>
                <w:rFonts w:ascii="Times New Roman" w:hAnsi="Times New Roman" w:cs="Times New Roman" w:eastAsia="Times New Roman"/>
                <w:sz w:val="24"/>
              </w:rPr>
              <w:t>Navrhovaný § 28 ods. 14 však ustanovuje, že pozastavením práva nakladať sa rozumie aj obmedzenie zaťažiť zaknihované cenné papiere.</w:t>
              <w:br/>
            </w:r>
            <w:r>
              <w:rPr>
                <w:b w:val="off"/>
                <w:color w:val="000000"/>
                <w:rFonts w:ascii="Times New Roman" w:hAnsi="Times New Roman" w:cs="Times New Roman" w:eastAsia="Times New Roman"/>
                <w:sz w:val="24"/>
              </w:rPr>
              <w:t>Podľa § 28 ods. 7 a 8 zákona o cenných papieroch má registrácia pozastavenia práva nakladať širšie právne účinky, vrátane obmedzenia uzavierania určitých zmlúv a registrácie prevodu cenných papierov.</w:t>
              <w:br/>
            </w:r>
            <w:r>
              <w:rPr>
                <w:b w:val="off"/>
                <w:color w:val="000000"/>
                <w:rFonts w:ascii="Times New Roman" w:hAnsi="Times New Roman" w:cs="Times New Roman" w:eastAsia="Times New Roman"/>
                <w:sz w:val="24"/>
              </w:rPr>
              <w:t>Ak by sa zákaz zaťaženia cenného papiera registroval rovnakým spôsobom a s rovnakými účinkami ako všeobecné pozastavenie práva nakladať, mohlo by dôjsť k neprimeranému obmedzeniu práv majiteľa cenného papiera nad rámec zákazu dohodnutého v dedičskej zmluve.</w:t>
              <w:br/>
            </w:r>
            <w:r>
              <w:rPr>
                <w:b w:val="off"/>
                <w:color w:val="000000"/>
                <w:rFonts w:ascii="Times New Roman" w:hAnsi="Times New Roman" w:cs="Times New Roman" w:eastAsia="Times New Roman"/>
                <w:sz w:val="24"/>
              </w:rPr>
              <w:t>Navrhujeme preto jednoznačne upraviť jednotlivé druhy obmedzení, ich právne účinky a spôsob ich evidencie.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3 (zákon č. 566/2001 Z. z.) – § 28 ods. 14</w:t>
              <w:br/>
            </w:r>
            <w:r>
              <w:rPr>
                <w:b w:val="off"/>
                <w:color w:val="000000"/>
                <w:rFonts w:ascii="Times New Roman" w:hAnsi="Times New Roman" w:cs="Times New Roman" w:eastAsia="Times New Roman"/>
                <w:sz w:val="24"/>
              </w:rPr>
              <w:t>Navrhujeme spresniť podmienky vykonania zápisu zániku pozastavenia práva nakladať so zaknihovanými cennými papiermi na základe právoplatného rozhodnutia o dedičstve a zosúladiť ich s existujúcimi ustanoveniami § 18, § 18b, § 28 ods. 7 až 10 a § 105 ods. 9 zákona o cenných papieroch.</w:t>
              <w:br/>
            </w:r>
            <w:r>
              <w:rPr>
                <w:b w:val="off"/>
                <w:color w:val="000000"/>
                <w:rFonts w:ascii="Times New Roman" w:hAnsi="Times New Roman" w:cs="Times New Roman" w:eastAsia="Times New Roman"/>
                <w:sz w:val="24"/>
              </w:rPr>
              <w:t>Zároveň navrhujeme preveriť aplikovateľnosť navrhovanej úpravy pri cezhraničnom dedení vrátane použitia európskeho osvedčenia o dedičstve podľa nariadenia (EÚ) č. 650/2012.</w:t>
              <w:br/>
            </w:r>
            <w:r>
              <w:rPr>
                <w:b w:val="off"/>
                <w:color w:val="000000"/>
                <w:rFonts w:ascii="Times New Roman" w:hAnsi="Times New Roman" w:cs="Times New Roman" w:eastAsia="Times New Roman"/>
                <w:sz w:val="24"/>
              </w:rPr>
              <w:t>Navrhujeme ustanoviť, že výmaz sa vykoná súčasne so zápisom prechodu cenného papiera, iba ak z rozhodnutia o dedičstve, európskeho osvedčenia o dedičstve alebo inej listiny spôsobilej preukázať dedičské právo nevyplýva pokračovanie obmedzenia. Zákon musí tiež určiť osobu, ktorá predkladá podklad, a spôsob preukázania jeho právoplatnosti alebo účinkov.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centrálnemu depozitárovi alebo členovi vykonať zápis zániku pozastavenia práva nakladať bez podania príkazu dediča.</w:t>
              <w:br/>
            </w:r>
            <w:r>
              <w:rPr>
                <w:b w:val="off"/>
                <w:color w:val="000000"/>
                <w:rFonts w:ascii="Times New Roman" w:hAnsi="Times New Roman" w:cs="Times New Roman" w:eastAsia="Times New Roman"/>
                <w:sz w:val="24"/>
              </w:rPr>
              <w:t>Z návrhu však nie je dostatočne zrejmé, či sa takýto zápis vykoná automaticky pri každom prechode cenných papierov na základe rozhodnutia o dedičstve, ani aký bude jeho vzťah k rozsahu a trvaniu obmedzenia dohodnutého v dedičskej zmluve.</w:t>
              <w:br/>
            </w:r>
            <w:r>
              <w:rPr>
                <w:b w:val="off"/>
                <w:color w:val="000000"/>
                <w:rFonts w:ascii="Times New Roman" w:hAnsi="Times New Roman" w:cs="Times New Roman" w:eastAsia="Times New Roman"/>
                <w:sz w:val="24"/>
              </w:rPr>
              <w:t>Je potrebné zabezpečiť, aby zápis zániku konkrétneho obmedzenia nemal za následok zánik alebo výmaz iných práv alebo obmedzení evidovaných k tým istým cenným papierom.</w:t>
              <w:br/>
            </w:r>
            <w:r>
              <w:rPr>
                <w:b w:val="off"/>
                <w:color w:val="000000"/>
                <w:rFonts w:ascii="Times New Roman" w:hAnsi="Times New Roman" w:cs="Times New Roman" w:eastAsia="Times New Roman"/>
                <w:sz w:val="24"/>
              </w:rPr>
              <w:t>Súčasne je potrebné posúdiť prípady cezhraničného dedenia, pri ktorých môže byť dedičské právo preukazované zahraničným rozhodnutím alebo európskym osvedčením o dedičstve, a zabezpečiť súlad s právom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9 (zákon č. 566/2001 Z. z.) – § 46 ods. 1 a 2</w:t>
              <w:br/>
            </w:r>
            <w:r>
              <w:rPr>
                <w:b w:val="off"/>
                <w:color w:val="000000"/>
                <w:rFonts w:ascii="Times New Roman" w:hAnsi="Times New Roman" w:cs="Times New Roman" w:eastAsia="Times New Roman"/>
                <w:sz w:val="24"/>
              </w:rPr>
              <w:t>Navrhujeme doplniť novelizačný bod, ktorým sa § 46 ods. 2 terminologicky zosúladí s navrhovaným znením § 46 ods. 1, najmä pokiaľ ide o rozlišovanie medzi zánikom záložného práva a jeho výmazom z registra záložných práv.</w:t>
              <w:br/>
            </w:r>
            <w:r>
              <w:rPr>
                <w:b w:val="off"/>
                <w:color w:val="000000"/>
                <w:rFonts w:ascii="Times New Roman" w:hAnsi="Times New Roman" w:cs="Times New Roman" w:eastAsia="Times New Roman"/>
                <w:sz w:val="24"/>
              </w:rPr>
              <w:t>V § 46 ods. 2 navrhujeme znenie:</w:t>
              <w:br/>
            </w:r>
            <w:r>
              <w:rPr>
                <w:b w:val="off"/>
                <w:color w:val="000000"/>
                <w:rFonts w:ascii="Times New Roman" w:hAnsi="Times New Roman" w:cs="Times New Roman" w:eastAsia="Times New Roman"/>
                <w:sz w:val="24"/>
              </w:rPr>
              <w:t>„(2) Pri registrácii zmeny zmluvného záložného práva k listinnému cennému papieru alebo pri výmaze tohto práva z registra záložných práv centrálny depozitár vyznačí túto skutočnosť na listinnom cennom papieri.“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46 ods. 1 ustanovuje, že zánik zmluvného záložného práva sa spravuje Občianskym zákonníkom a po jeho zániku centrálny depozitár vykoná výmaz z registra záložných práv.</w:t>
              <w:br/>
            </w:r>
            <w:r>
              <w:rPr>
                <w:b w:val="off"/>
                <w:color w:val="000000"/>
                <w:rFonts w:ascii="Times New Roman" w:hAnsi="Times New Roman" w:cs="Times New Roman" w:eastAsia="Times New Roman"/>
                <w:sz w:val="24"/>
              </w:rPr>
              <w:t>Súčasný § 46 ods. 2 však naďalej používa formuláciu „registrácia zmeny alebo zániku zmluvného záložného práva“ pri listinných cenných papieroch.</w:t>
              <w:br/>
            </w:r>
            <w:r>
              <w:rPr>
                <w:b w:val="off"/>
                <w:color w:val="000000"/>
                <w:rFonts w:ascii="Times New Roman" w:hAnsi="Times New Roman" w:cs="Times New Roman" w:eastAsia="Times New Roman"/>
                <w:sz w:val="24"/>
              </w:rPr>
              <w:t>Navrhujeme preto zabezpečiť terminologickú a systémovú konzistentnosť oboch ustanovení, aby bolo jednoznačné, či zápis v registri predstavuje hmotnoprávny zánik práva alebo následné evidenčné zachytenie jeho zániku.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53h ods. 3 a § 53k ods. 3</w:t>
              <w:br/>
            </w:r>
            <w:r>
              <w:rPr>
                <w:b w:val="off"/>
                <w:color w:val="000000"/>
                <w:rFonts w:ascii="Times New Roman" w:hAnsi="Times New Roman" w:cs="Times New Roman" w:eastAsia="Times New Roman"/>
                <w:sz w:val="24"/>
              </w:rPr>
              <w:t>V § 53h ods. 3 navrhujeme slová „písm. a) až d) a f)“ nahradiť slovami „písm. a) až f)“.</w:t>
              <w:br/>
            </w:r>
            <w:r>
              <w:rPr>
                <w:b w:val="off"/>
                <w:color w:val="000000"/>
                <w:rFonts w:ascii="Times New Roman" w:hAnsi="Times New Roman" w:cs="Times New Roman" w:eastAsia="Times New Roman"/>
                <w:sz w:val="24"/>
              </w:rPr>
              <w:t>V § 53k ods. 3 navrhujeme slová „písm. a) až c) a e)“ nahradiť slovami „písm. a) až 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53h ods. 3 nezahŕňa do rozsahu údajov poskytovaných vo výpise z registra predkupného práva údaj o čase, na ktorý je predkupné právo zriadené, hoci ide o povinne evidovaný údaj podľa § 53h ods. 1 písm. e).</w:t>
              <w:br/>
            </w:r>
            <w:r>
              <w:rPr>
                <w:b w:val="off"/>
                <w:color w:val="000000"/>
                <w:rFonts w:ascii="Times New Roman" w:hAnsi="Times New Roman" w:cs="Times New Roman" w:eastAsia="Times New Roman"/>
                <w:sz w:val="24"/>
              </w:rPr>
              <w:t>Obdobne § 53k ods. 3 nezahŕňa do rozsahu údajov poskytovaných vo výpise z registra práva spätnej kúpy údaj o lehote na jeho uplatnenie, hoci ide o povinne evidovaný údaj podľa § 53k ods. 1 písm. d).</w:t>
              <w:br/>
            </w:r>
            <w:r>
              <w:rPr>
                <w:b w:val="off"/>
                <w:color w:val="000000"/>
                <w:rFonts w:ascii="Times New Roman" w:hAnsi="Times New Roman" w:cs="Times New Roman" w:eastAsia="Times New Roman"/>
                <w:sz w:val="24"/>
              </w:rPr>
              <w:t>Uvedené údaje sú významné na posúdenie existencie a výkonu príslušných práv, a preto navrhujeme ich sprístupňovanie vo výpisoch z registrov.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53i ods. 9 a § 53l ods. 9</w:t>
              <w:br/>
            </w:r>
            <w:r>
              <w:rPr>
                <w:b w:val="off"/>
                <w:color w:val="000000"/>
                <w:rFonts w:ascii="Times New Roman" w:hAnsi="Times New Roman" w:cs="Times New Roman" w:eastAsia="Times New Roman"/>
                <w:sz w:val="24"/>
              </w:rPr>
              <w:t>Navrhujeme spresniť podmienky vykonania výmazu predkupného práva a práva spätnej kúpy, najmä požiadavky na listiny preukazujúce ich zánik a postup centrálneho depozitára v prípade sporných alebo nejednoznačných podkladov.</w:t>
              <w:br/>
            </w:r>
            <w:r>
              <w:rPr>
                <w:b w:val="off"/>
                <w:color w:val="000000"/>
                <w:rFonts w:ascii="Times New Roman" w:hAnsi="Times New Roman" w:cs="Times New Roman" w:eastAsia="Times New Roman"/>
                <w:sz w:val="24"/>
              </w:rPr>
              <w:t>Navrhujeme § 53i ods. 9 a § 53l ods. 9 doplniť vetami, ktoré znejú:</w:t>
              <w:br/>
            </w:r>
            <w:r>
              <w:rPr>
                <w:b w:val="off"/>
                <w:color w:val="000000"/>
                <w:rFonts w:ascii="Times New Roman" w:hAnsi="Times New Roman" w:cs="Times New Roman" w:eastAsia="Times New Roman"/>
                <w:sz w:val="24"/>
              </w:rPr>
              <w:t>„Ak z predložených listín nie je zánik práva jednoznačný alebo ak sú listiny navzájom rozporné, centrálny depozitár výmaz nevykoná a bezodkladne o tom informuje žiadateľa a ostatné osoby evidované pri práve. Výmaz v takom prípade vykoná na základe súhlasného prejavu dotknutých strán, právoplatného rozhodnutia súdu alebo inej verejnej listiny, z ktorej zánik práva jednoznačne vyplýva.“.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umožňuje podať príkaz na výmaz predkupného práva oprávnenému aj povinnému z predkupného práva. Pri práve spätnej kúpy sa obdobne predpokladá podanie príkazu kupujúcim alebo predávajúcim.</w:t>
              <w:br/>
            </w:r>
            <w:r>
              <w:rPr>
                <w:b w:val="off"/>
                <w:color w:val="000000"/>
                <w:rFonts w:ascii="Times New Roman" w:hAnsi="Times New Roman" w:cs="Times New Roman" w:eastAsia="Times New Roman"/>
                <w:sz w:val="24"/>
              </w:rPr>
              <w:t>Návrh už obsahuje požiadavku predložiť potvrdenie alebo inú listinu preukazujúcu dôvod zániku práva, ak zánik nevyplýva z údajov registrovaných v príslušnom registri.</w:t>
              <w:br/>
            </w:r>
            <w:r>
              <w:rPr>
                <w:b w:val="off"/>
                <w:color w:val="000000"/>
                <w:rFonts w:ascii="Times New Roman" w:hAnsi="Times New Roman" w:cs="Times New Roman" w:eastAsia="Times New Roman"/>
                <w:sz w:val="24"/>
              </w:rPr>
              <w:t>Považujeme však za potrebné precizovať dôkazný štandard pre jednotlivé dôvody zániku práva, najmä ak príkaz na výmaz podáva jednostranne osoba povinná z príslušného práva.</w:t>
              <w:br/>
            </w:r>
            <w:r>
              <w:rPr>
                <w:b w:val="off"/>
                <w:color w:val="000000"/>
                <w:rFonts w:ascii="Times New Roman" w:hAnsi="Times New Roman" w:cs="Times New Roman" w:eastAsia="Times New Roman"/>
                <w:sz w:val="24"/>
              </w:rPr>
              <w:t>Súčasne je potrebné zabezpečiť, aby centrálny depozitár nebol nútený rozhodovať o sporných hmotnoprávnych otázkach, ktoré patria do právomoci súdov.</w:t>
              <w:br/>
            </w:r>
            <w:r>
              <w:rPr>
                <w:b w:val="off"/>
                <w:color w:val="000000"/>
                <w:rFonts w:ascii="Times New Roman" w:hAnsi="Times New Roman" w:cs="Times New Roman" w:eastAsia="Times New Roman"/>
                <w:sz w:val="24"/>
              </w:rPr>
              <w:t>Navrhujeme preto výslovne upraviť postup pri nejednoznačných alebo rozporných podkladoch a zabezpečiť primeranú ochranu osôb, ktorých práva majú výmazom zaniknúť alebo byť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53g ods. 5, § 53i ods. 9 a 10 a § 53l ods. 9 a 10</w:t>
              <w:br/>
            </w:r>
            <w:r>
              <w:rPr>
                <w:b w:val="off"/>
                <w:color w:val="000000"/>
                <w:rFonts w:ascii="Times New Roman" w:hAnsi="Times New Roman" w:cs="Times New Roman" w:eastAsia="Times New Roman"/>
                <w:sz w:val="24"/>
              </w:rPr>
              <w:t>Navrhujeme jednoznačne upraviť vzťah medzi uplynutím času, na ktorý bolo právo zriadené, vznikom dôvodu jeho zániku a výmazom z príslušného registra.</w:t>
              <w:br/>
            </w:r>
            <w:r>
              <w:rPr>
                <w:b w:val="off"/>
                <w:color w:val="000000"/>
                <w:rFonts w:ascii="Times New Roman" w:hAnsi="Times New Roman" w:cs="Times New Roman" w:eastAsia="Times New Roman"/>
                <w:sz w:val="24"/>
              </w:rPr>
              <w:t>Zároveň navrhujeme preveriť možnosť automatizovaného výmazu práva pri objektívne preukázateľnom zániku alebo ustanoviť jednoznačnú povinnosť zabezpečiť jeho výmaz.</w:t>
              <w:br/>
            </w:r>
            <w:r>
              <w:rPr>
                <w:b w:val="off"/>
                <w:color w:val="000000"/>
                <w:rFonts w:ascii="Times New Roman" w:hAnsi="Times New Roman" w:cs="Times New Roman" w:eastAsia="Times New Roman"/>
                <w:sz w:val="24"/>
              </w:rPr>
              <w:t>Navrhujeme upraviť automatický výmaz len v prípadoch, keď zánik práva vyplýva priamo z objektívneho údaja vedeného v registri a nie je podmienený posúdením ďalšej právnej skutočnosti. Pri práve spätnej kúpy je potrebné súčasne upraviť spôsob evidovania jeho včasného uplatnenia.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53g ods. 5 predkupné právo zaniká výmazom z registra, pričom sa zároveň predpokladá evidencia času, na ktorý bolo právo zriadené.</w:t>
              <w:br/>
            </w:r>
            <w:r>
              <w:rPr>
                <w:b w:val="off"/>
                <w:color w:val="000000"/>
                <w:rFonts w:ascii="Times New Roman" w:hAnsi="Times New Roman" w:cs="Times New Roman" w:eastAsia="Times New Roman"/>
                <w:sz w:val="24"/>
              </w:rPr>
              <w:t>Navrhovaná úprava však dostatočne nerieši situáciu, keď uplynie čas trvania práva, ale výmaz z registra sa nevykoná.</w:t>
              <w:br/>
            </w:r>
            <w:r>
              <w:rPr>
                <w:b w:val="off"/>
                <w:color w:val="000000"/>
                <w:rFonts w:ascii="Times New Roman" w:hAnsi="Times New Roman" w:cs="Times New Roman" w:eastAsia="Times New Roman"/>
                <w:sz w:val="24"/>
              </w:rPr>
              <w:t>Obdobné aplikačné otázky vznikajú pri práve spätnej kúpy.</w:t>
              <w:br/>
            </w:r>
            <w:r>
              <w:rPr>
                <w:b w:val="off"/>
                <w:color w:val="000000"/>
                <w:rFonts w:ascii="Times New Roman" w:hAnsi="Times New Roman" w:cs="Times New Roman" w:eastAsia="Times New Roman"/>
                <w:sz w:val="24"/>
              </w:rPr>
              <w:t>Uvedený stav môže viesť k pretrvávaniu zápisov o právach, pri ktorých už nastal dôvod ich zániku, a tým k neistote pri nakladaní s cennými papiermi.</w:t>
              <w:br/>
            </w:r>
            <w:r>
              <w:rPr>
                <w:b w:val="off"/>
                <w:color w:val="000000"/>
                <w:rFonts w:ascii="Times New Roman" w:hAnsi="Times New Roman" w:cs="Times New Roman" w:eastAsia="Times New Roman"/>
                <w:sz w:val="24"/>
              </w:rPr>
              <w:t>Požadujeme preto upraviť jednoznačné pravidlá zabezpečujúce aktuálnosť registrovaných údajov a zosúladenie registračného stavu so skutočným právnym stavom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53g až 53l (vzťah k systému evidencie)</w:t>
              <w:br/>
            </w:r>
            <w:r>
              <w:rPr>
                <w:b w:val="off"/>
                <w:color w:val="000000"/>
                <w:rFonts w:ascii="Times New Roman" w:hAnsi="Times New Roman" w:cs="Times New Roman" w:eastAsia="Times New Roman"/>
                <w:sz w:val="24"/>
              </w:rPr>
              <w:t>Navrhujeme preveriť a dopracovať právnu úpravu registrácie predkupného práva a práva spätnej kúpy vo vzťahu k existujúcemu systému evidencie zaknihovaných cenných papierov, najmä pri zastupiteľných cenných papieroch, čiastočných prevodoch, presunoch medzi účtami a zmene spôsobu evidencie.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identifikuje cenné papiere najmä prostredníctvom ISIN a množstva alebo objemu cenných papierov príslušnej emisie.</w:t>
              <w:br/>
            </w:r>
            <w:r>
              <w:rPr>
                <w:b w:val="off"/>
                <w:color w:val="000000"/>
                <w:rFonts w:ascii="Times New Roman" w:hAnsi="Times New Roman" w:cs="Times New Roman" w:eastAsia="Times New Roman"/>
                <w:sz w:val="24"/>
              </w:rPr>
              <w:t>Pri zastupiteľných zaknihovaných cenných papieroch však môže vzniknúť otázka jednoznačnej identifikácie časti cenných papierov, ku ktorej je príslušné právo zriadené, najmä pri postupnom nadobúdaní, čiastočných prevodoch a presunoch medzi účtami.</w:t>
              <w:br/>
            </w:r>
            <w:r>
              <w:rPr>
                <w:b w:val="off"/>
                <w:color w:val="000000"/>
                <w:rFonts w:ascii="Times New Roman" w:hAnsi="Times New Roman" w:cs="Times New Roman" w:eastAsia="Times New Roman"/>
                <w:sz w:val="24"/>
              </w:rPr>
              <w:t>Zároveň je potrebné preveriť, ako sa registrácia predkupného práva a práva spätnej kúpy prejaví pri ďalšom nakladaní s cennými papiermi a či môže mať vplyv na registráciu prevodu, vyrovnanie obchodov alebo nadobudnutie cenných papierov treťou osobou.</w:t>
              <w:br/>
            </w:r>
            <w:r>
              <w:rPr>
                <w:b w:val="off"/>
                <w:color w:val="000000"/>
                <w:rFonts w:ascii="Times New Roman" w:hAnsi="Times New Roman" w:cs="Times New Roman" w:eastAsia="Times New Roman"/>
                <w:sz w:val="24"/>
              </w:rPr>
              <w:t>Navrhujeme preto jednoznačne upraviť evidenčné a právne účinky uvedených práv v existujúcom systéme evidencie a vyrovnania obchodov s cennými papiermi vrátane rešpektovania pravidiel neodvolateľnosti a konečnosti vyrovnania.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bodu 17 (zákon č. 566/2001 Z. z.) – § 53g až 53l, § 105c a § 107 ods. 13 a 14</w:t>
              <w:br/>
            </w:r>
            <w:r>
              <w:rPr>
                <w:b w:val="off"/>
                <w:color w:val="000000"/>
                <w:rFonts w:ascii="Times New Roman" w:hAnsi="Times New Roman" w:cs="Times New Roman" w:eastAsia="Times New Roman"/>
                <w:sz w:val="24"/>
              </w:rPr>
              <w:t>Navrhujeme preveriť a dopracovať pravidlá zachovania a prenosu registrovaných práv k cenným papierom pri presune emisie medzi centrálnymi depozitármi a pri využívaní viacúrovňových a cezhraničných evidenčných štruktúr.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107 ods. 13 a 14 zákona o cenných papieroch môže emitent požiadať o presun emisie medzi centrálnymi depozitármi, pričom presun sa má vykonať tak, aby nedošlo k obmedzeniu práv súvisiacich s cennými papiermi.</w:t>
              <w:br/>
            </w:r>
            <w:r>
              <w:rPr>
                <w:b w:val="off"/>
                <w:color w:val="000000"/>
                <w:rFonts w:ascii="Times New Roman" w:hAnsi="Times New Roman" w:cs="Times New Roman" w:eastAsia="Times New Roman"/>
                <w:sz w:val="24"/>
              </w:rPr>
              <w:t>Navrhované § 53g až § 53l však výslovne neupravujú spôsob zachovania a prenosu údajov o registrovaných právach pri zmene centrálneho depozitára, ktorý vedie register emitenta.</w:t>
              <w:br/>
            </w:r>
            <w:r>
              <w:rPr>
                <w:b w:val="off"/>
                <w:color w:val="000000"/>
                <w:rFonts w:ascii="Times New Roman" w:hAnsi="Times New Roman" w:cs="Times New Roman" w:eastAsia="Times New Roman"/>
                <w:sz w:val="24"/>
              </w:rPr>
              <w:t>Súčasne je potrebné zohľadniť právny režim prepojenia centrálnych depozitárov podľa § 105c, ako aj vedenie cenných papierov prostredníctvom držiteľských a klientskych účtov.</w:t>
              <w:br/>
            </w:r>
            <w:r>
              <w:rPr>
                <w:b w:val="off"/>
                <w:color w:val="000000"/>
                <w:rFonts w:ascii="Times New Roman" w:hAnsi="Times New Roman" w:cs="Times New Roman" w:eastAsia="Times New Roman"/>
                <w:sz w:val="24"/>
              </w:rPr>
              <w:t>Považujeme za nevyhnutné zabezpečiť, aby zmena centrálneho depozitára alebo spôsobu evidencie nemala za následok stratu, obmedzenie alebo nejednoznačnosť právnych účinkov riadne registrovaných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bodom 2, 3 a 17 (zákon č. 566/2001 Z. z.) – cezhraničná realizovateľnosť</w:t>
              <w:br/>
            </w:r>
            <w:r>
              <w:rPr>
                <w:b w:val="off"/>
                <w:color w:val="000000"/>
                <w:rFonts w:ascii="Times New Roman" w:hAnsi="Times New Roman" w:cs="Times New Roman" w:eastAsia="Times New Roman"/>
                <w:sz w:val="24"/>
              </w:rPr>
              <w:t>Navrhujeme komplexne posúdiť cezhraničnú realizovateľnosť navrhovanej právnej úpravy, najmä jej vzťah k nariadeniu (EÚ) č. 909/2014 (CSDR), k centrálnym depozitárom z iných členských štátov a tretích krajín a k cenným papierom vedeným v zahraničných evidenčných systémoch.</w:t>
              <w:br/>
            </w:r>
            <w:r>
              <w:rPr>
                <w:b w:val="off"/>
                <w:color w:val="000000"/>
                <w:rFonts w:ascii="Times New Roman" w:hAnsi="Times New Roman" w:cs="Times New Roman" w:eastAsia="Times New Roman"/>
                <w:sz w:val="24"/>
              </w:rPr>
              <w:t>Osobitne navrhujeme posúdiť právne a praktické dôsledky pri dedení cenných papierov vedených v zahraničných centrálnych depozitároch alebo v centrálnych depozitároch poskytujúcich služby v Slovenskej republike podľa CSDR.</w:t>
              <w:br/>
            </w:r>
            <w:r>
              <w:rPr>
                <w:b w:val="off"/>
                <w:color w:val="000000"/>
                <w:rFonts w:ascii="Times New Roman" w:hAnsi="Times New Roman" w:cs="Times New Roman" w:eastAsia="Times New Roman"/>
                <w:sz w:val="24"/>
              </w:rPr>
              <w:t>Navrhujeme upraviť použitie zahraničných rozhodnutí vo veciach dedenia a európskeho osvedčenia o dedičstve pri zápise prechodu cenných papierov a pri výmaze obmedzenia podľa § 28 ods. 3 písm. m), vrátane určenia rozhodného práva a požadovaných listín.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CSDR umožňuje za ustanovených podmienok cezhraničné poskytovanie služieb centrálnych depozitárov a voľbu centrálneho depozitára emitentom.</w:t>
              <w:br/>
            </w:r>
            <w:r>
              <w:rPr>
                <w:b w:val="off"/>
                <w:color w:val="000000"/>
                <w:rFonts w:ascii="Times New Roman" w:hAnsi="Times New Roman" w:cs="Times New Roman" w:eastAsia="Times New Roman"/>
                <w:sz w:val="24"/>
              </w:rPr>
              <w:t>Navrhovaná právna úprava však vychádza prevažne z modelu evidencie vedenej centrálnym depozitárom podľa slovenského zákona o cenných papieroch.</w:t>
              <w:br/>
            </w:r>
            <w:r>
              <w:rPr>
                <w:b w:val="off"/>
                <w:color w:val="000000"/>
                <w:rFonts w:ascii="Times New Roman" w:hAnsi="Times New Roman" w:cs="Times New Roman" w:eastAsia="Times New Roman"/>
                <w:sz w:val="24"/>
              </w:rPr>
              <w:t>Nie je dostatočne zrejmé, akým spôsobom sa navrhované registračné mechanizmy uplatnia pri emitentoch využívajúcich zahraničný centrálny depozitár, pri cenných papieroch vedených prostredníctvom cezhraničných prepojení a pri ďalších prípustných modeloch evidencie.</w:t>
              <w:br/>
            </w:r>
            <w:r>
              <w:rPr>
                <w:b w:val="off"/>
                <w:color w:val="000000"/>
                <w:rFonts w:ascii="Times New Roman" w:hAnsi="Times New Roman" w:cs="Times New Roman" w:eastAsia="Times New Roman"/>
                <w:sz w:val="24"/>
              </w:rPr>
              <w:t>Osobitné otázky vznikajú pri dedení cenných papierov evidovaných v zahraničí, kde je potrebné zohľadniť rozhodné právo, príslušné kolízne normy a pravidlá preukazovania dedičských práv.</w:t>
              <w:br/>
            </w:r>
            <w:r>
              <w:rPr>
                <w:b w:val="off"/>
                <w:color w:val="000000"/>
                <w:rFonts w:ascii="Times New Roman" w:hAnsi="Times New Roman" w:cs="Times New Roman" w:eastAsia="Times New Roman"/>
                <w:sz w:val="24"/>
              </w:rPr>
              <w:t>Požadujeme preto zabezpečiť súlad navrhovanej úpravy s CSDR a ďalšími relevantnými právnymi aktmi Európskej únie a predísť vzniku neodôvodnených právnych alebo technických prekážok cezhraničného poskytovania služieb a nakladania s cennými papiermi.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LII (zákon č. 566/2001 Z. z.) – nové novelizačné body (koordinačné zmeny)</w:t>
              <w:br/>
            </w:r>
            <w:r>
              <w:rPr>
                <w:b w:val="off"/>
                <w:color w:val="000000"/>
                <w:rFonts w:ascii="Times New Roman" w:hAnsi="Times New Roman" w:cs="Times New Roman" w:eastAsia="Times New Roman"/>
                <w:sz w:val="24"/>
              </w:rPr>
              <w:t>Navrhujeme do čl. LII doplniť nové novelizačné body, ktorými sa vykonajú tieto koordinačné zmeny zákona o cenných papieroch:</w:t>
              <w:br/>
            </w:r>
            <w:r>
              <w:rPr>
                <w:b w:val="off"/>
                <w:color w:val="000000"/>
                <w:rFonts w:ascii="Times New Roman" w:hAnsi="Times New Roman" w:cs="Times New Roman" w:eastAsia="Times New Roman"/>
                <w:sz w:val="24"/>
              </w:rPr>
              <w:t>a) v § 9 ods. 3 sa slová „Obchodného zákonníka alebo Občianskeho zákonníka“ nahrádzajú slovami „Občianskeho zákonníka“,</w:t>
              <w:br/>
            </w:r>
            <w:r>
              <w:rPr>
                <w:b w:val="off"/>
                <w:color w:val="000000"/>
                <w:rFonts w:ascii="Times New Roman" w:hAnsi="Times New Roman" w:cs="Times New Roman" w:eastAsia="Times New Roman"/>
                <w:sz w:val="24"/>
              </w:rPr>
              <w:t>b) poznámka pod čiarou k odkazu 33 (§ 18 ods. 3) sa aktualizuje tak, aby odkazovala na úpravu zmluvy o predaji podniku v § 831 až 841 Občianskeho zákonníka,</w:t>
              <w:br/>
            </w:r>
            <w:r>
              <w:rPr>
                <w:b w:val="off"/>
                <w:color w:val="000000"/>
                <w:rFonts w:ascii="Times New Roman" w:hAnsi="Times New Roman" w:cs="Times New Roman" w:eastAsia="Times New Roman"/>
                <w:sz w:val="24"/>
              </w:rPr>
              <w:t>c) v § 41 ods. 9 sa odkazy na ustanovenia Obchodného zákonníka o mandátnej a komisionárskej zmluve nahrádzajú odkazmi na ustanovenia Občianskeho zákonníka o príkaznej a komisionárskej zmluve,</w:t>
              <w:br/>
            </w:r>
            <w:r>
              <w:rPr>
                <w:b w:val="off"/>
                <w:color w:val="000000"/>
                <w:rFonts w:ascii="Times New Roman" w:hAnsi="Times New Roman" w:cs="Times New Roman" w:eastAsia="Times New Roman"/>
                <w:sz w:val="24"/>
              </w:rPr>
              <w:t>d) v § 105 ods. 5, § 105a ods. 6, § 106 ods. 5 a § 107 ods. 3 sa slová „Obchodným zákonníkom“ nahrádzajú slovami „Občianskym zákonníkom“,</w:t>
              <w:br/>
            </w:r>
            <w:r>
              <w:rPr>
                <w:b w:val="off"/>
                <w:color w:val="000000"/>
                <w:rFonts w:ascii="Times New Roman" w:hAnsi="Times New Roman" w:cs="Times New Roman" w:eastAsia="Times New Roman"/>
                <w:sz w:val="24"/>
              </w:rPr>
              <w:t>e) v § 112 ods. 1 sa odkaz na ustanovenia Obchodného zákonníka o nekalej súťaži nahrádza odkazom na § 720 až 739 Občianskeho zákonníka,</w:t>
              <w:br/>
            </w:r>
            <w:r>
              <w:rPr>
                <w:b w:val="off"/>
                <w:color w:val="000000"/>
                <w:rFonts w:ascii="Times New Roman" w:hAnsi="Times New Roman" w:cs="Times New Roman" w:eastAsia="Times New Roman"/>
                <w:sz w:val="24"/>
              </w:rPr>
              <w:t>f) § 159 ods. 1 sa upraví tak, aby bola zabezpečená jeho nadväznosť na Občiansky zákonník pri zachovaní osobitných pravidiel zodpovednosti za škodu podľa zákona o cenných papieroch.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nezohľadňuje všetky ustanovenia zákona o cenných papieroch, ktoré odkazujú na záväzkovoprávnu úpravu Obchodného zákonníka alebo na jeho piatu hlavu prvej časti (nekalá súťaž). Občiansky zákonník zavádza jednotnú úpravu záväzkových vzťahov, a preto je potrebné primerane upraviť aj subsidiárne odkazy v zákone o cenných papieroch, najmä pri právnych vzťahoch pri správe cenných papierov a pri evidenčných službách centrálneho depozitára a jeho členov. Pri § 41 ods. 9 je zároveň potrebné zabezpečiť súlad s navrhovanou novelizáciou § 36 a 37. Ponechanie odkazov na vypúšťanú úpravu by spôsobilo neaktuálnosť a interpretačnú neistotu, a to tak pri § 112 ods. 1, ako aj pri § 159 ods. 1, kde sa doterajšia úprava zodpovednosti za škodu viaže na vypúšťané ustanovenia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CXXXIV (zákon č. 203/2011 Z. z. o kolektívnom investovaní) – § 5 ods. 4 a nové novelizačné body</w:t>
              <w:br/>
            </w:r>
            <w:r>
              <w:rPr>
                <w:b w:val="off"/>
                <w:color w:val="000000"/>
                <w:rFonts w:ascii="Times New Roman" w:hAnsi="Times New Roman" w:cs="Times New Roman" w:eastAsia="Times New Roman"/>
                <w:sz w:val="24"/>
              </w:rPr>
              <w:t>1. V novelizačnom bode k § 5 ods. 4 navrhujeme slová „a 1510“ nahradiť slovami „až 1538“, prípadne použiť slová „ustanovenia Občianskeho zákonníka o spoluvlastníctve“.</w:t>
              <w:br/>
            </w:r>
            <w:r>
              <w:rPr>
                <w:b w:val="off"/>
                <w:color w:val="000000"/>
                <w:rFonts w:ascii="Times New Roman" w:hAnsi="Times New Roman" w:cs="Times New Roman" w:eastAsia="Times New Roman"/>
                <w:sz w:val="24"/>
              </w:rPr>
              <w:t>2. Navrhujeme doplniť nové novelizačné body, ktoré znejú:</w:t>
              <w:br/>
            </w:r>
            <w:r>
              <w:rPr>
                <w:b w:val="off"/>
                <w:color w:val="000000"/>
                <w:rFonts w:ascii="Times New Roman" w:hAnsi="Times New Roman" w:cs="Times New Roman" w:eastAsia="Times New Roman"/>
                <w:sz w:val="24"/>
              </w:rPr>
              <w:t>„V § 10 ods. 3 tretej vete a ods. 9 sa slová „a Obchodným zákonníkom“ nahrádzajú slovami „a Občianskym zákonníkom“.“.</w:t>
              <w:br/>
            </w:r>
            <w:r>
              <w:rPr>
                <w:b w:val="off"/>
                <w:color w:val="000000"/>
                <w:rFonts w:ascii="Times New Roman" w:hAnsi="Times New Roman" w:cs="Times New Roman" w:eastAsia="Times New Roman"/>
                <w:sz w:val="24"/>
              </w:rPr>
              <w:t>„V § 209 ods. 6 sa vypúšťajú slová „pri podaní tohto návrhu sa nepoužije § 68 ods. 7 Obchodného zákonníka“.“.</w:t>
              <w:br/>
            </w:r>
            <w:r>
              <w:rPr>
                <w:b w:val="off"/>
                <w:color w:val="000000"/>
                <w:rFonts w:ascii="Times New Roman" w:hAnsi="Times New Roman" w:cs="Times New Roman" w:eastAsia="Times New Roman"/>
                <w:sz w:val="24"/>
              </w:rPr>
              <w:t>„Poznámky pod čiarou k odkazom 25nd a 59 znejú:</w:t>
              <w:br/>
            </w:r>
            <w:r>
              <w:rPr>
                <w:b w:val="off"/>
                <w:color w:val="000000"/>
                <w:rFonts w:ascii="Times New Roman" w:hAnsi="Times New Roman" w:cs="Times New Roman" w:eastAsia="Times New Roman"/>
                <w:sz w:val="24"/>
              </w:rPr>
              <w:t>„25nd) § 5 Občianskeho zákonníka.</w:t>
              <w:br/>
            </w:r>
            <w:r>
              <w:rPr>
                <w:b w:val="off"/>
                <w:color w:val="000000"/>
                <w:rFonts w:ascii="Times New Roman" w:hAnsi="Times New Roman" w:cs="Times New Roman" w:eastAsia="Times New Roman"/>
                <w:sz w:val="24"/>
              </w:rPr>
              <w:t>59) § 720 až 739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 Tretia veta § 5 ods. 4 vylučuje na majetok podielového fondu použitie ustanovení o spoluvlastníctve (§ 136 a 137 zákona č. 40/1964 Zb. Občiansky zákonník). Občiansky zákonník upravuje spoluvlastníctvo v § 1506 až 1538, návrh však vylučuje len § 1506 (všeobecné ustanovenia) a § 1510 (spoluvlastnícky podiel). Pri gramatickom výklade by sa na majetok podielového fondu a vzťahy medzi podielnikmi uplatnili § 1511 (nakladanie s podielom), § 1512 (predkupné právo k podielu), § 1513 a nasl. (správa spoločnej veci) a § 1521 a nasl. (oddelenie zo spoluvlastníctva a zrušenie spoluvlastníctva), čo je nezlučiteľné s voľnou prevoditeľnosťou podielových listov.</w:t>
              <w:br/>
            </w:r>
            <w:r>
              <w:rPr>
                <w:b w:val="off"/>
                <w:color w:val="000000"/>
                <w:rFonts w:ascii="Times New Roman" w:hAnsi="Times New Roman" w:cs="Times New Roman" w:eastAsia="Times New Roman"/>
                <w:sz w:val="24"/>
              </w:rPr>
              <w:t>K bodu 2: § 10 ods. 3 a 9 odkazujú na Obchodný zákonník ako na predpis upravujúci subsidiárny záväzkový režim právneho vzťahu medzi správcovskou spoločnosťou a depozitárom; v súvislosti so zjednotením všeobecnej úpravy záväzkových vzťahov v Občianskom zákonníku je potrebné tento odkaz aktualizovať. § 209 ods. 6 odkazuje na § 68 ods. 7 Obchodného zákonníka, ktorý už v účinnom znení neexistuje, a upravuje postup pri zápise odobratia povolenia do obchodného registra, nie konanie o zrušení právnickej osoby; vypustenie odstráni nefunkčný odkaz bez zásahu do povinností Národnej banky Slovenska alebo do právnych účinkov odobratia povolenia. Poznámka 25nd (§ 37e ods. 15) odkazuje na § 52 ods. 4 zákona č. 40/1964 Zb. Občiansky zákonník a poznámka 59 (§ 151 ods. 1) na § 44 až 52 Obchodného zákonníka o nekalej súťaži, ktorú upravuje Občiansky zákonník v § 720 až 739.</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CXXXIV (zákon č. 203/2011 Z. z.) – nové novelizačné body k § 209 ods. 7 a § 209a</w:t>
              <w:br/>
            </w:r>
            <w:r>
              <w:rPr>
                <w:b w:val="off"/>
                <w:color w:val="000000"/>
                <w:rFonts w:ascii="Times New Roman" w:hAnsi="Times New Roman" w:cs="Times New Roman" w:eastAsia="Times New Roman"/>
                <w:sz w:val="24"/>
              </w:rPr>
              <w:t>Navrhujeme doplniť nové novelizačné body, ktoré znejú:</w:t>
              <w:br/>
            </w:r>
            <w:r>
              <w:rPr>
                <w:b w:val="off"/>
                <w:color w:val="000000"/>
                <w:rFonts w:ascii="Times New Roman" w:hAnsi="Times New Roman" w:cs="Times New Roman" w:eastAsia="Times New Roman"/>
                <w:sz w:val="24"/>
              </w:rPr>
              <w:t>„V § 209 ods. 7 druhá veta znie: „Nadobudnutie právoplatnosti rozhodnutia o odobratí povolenia podľa § 28 alebo povolenia podľa § 28a správcovskej spoločnosti predstavuje neodstrániteľný dôvod na zrušenie správcovskej spoločnosti; ustanovenie § 255 ods. 3 Občianskeho zákonníka sa nepoužije.“.“.</w:t>
              <w:br/>
            </w:r>
            <w:r>
              <w:rPr>
                <w:b w:val="off"/>
                <w:color w:val="000000"/>
                <w:rFonts w:ascii="Times New Roman" w:hAnsi="Times New Roman" w:cs="Times New Roman" w:eastAsia="Times New Roman"/>
                <w:sz w:val="24"/>
              </w:rPr>
              <w:t>„V § 209a druhá veta znie: „Nadobudnutie právoplatnosti rozhodnutia o odobratí povolenia podľa § 28, 28a, 84 alebo 121 investičnému fondu s premenlivým základným imaním predstavuje neodstrániteľný dôvod na zrušenie investičného fondu s premenlivým základným imaním; ustanovenie § 255 ods. 3 Občianskeho zákonníka sa nepoužije.“.“.</w:t>
              <w:br/>
            </w:r>
            <w:r>
              <w:rPr>
                <w:b w:val="off"/>
                <w:color w:val="000000"/>
                <w:rFonts w:ascii="Times New Roman" w:hAnsi="Times New Roman" w:cs="Times New Roman" w:eastAsia="Times New Roman"/>
                <w:sz w:val="24"/>
              </w:rPr>
              <w:t>Alternatívne dávame na zváženie toto znenie druhých viet: „Súd pri rozhodovaní o zrušení správcovskej spoločnosti z dôvodu právoplatného odobratia povolenia podľa prvej vety neurčuje lehotu na odstránenie dôvodu jej zrušenia.“ a „Súd pri rozhodovaní o zrušení investičného fondu s premenlivým základným imaním z dôvodu právoplatného odobratia povolenia podľa prvej vety neurčuje lehotu na odstránenie dôvodu jeho zrušenia.“.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Doterajší § 209 ods. 7 a druhá veta § 209a vylučujú použitie § 68 ods. 7 Obchodného zákonníka, ktorý už neexistuje. Účelom výluky je zabezpečiť účinné súdne zrušenie správcovskej spoločnosti a investičného fondu s premenlivým základným imaním, ktorým Národná banka Slovenska právoplatne odobrala povolenie.</w:t>
              <w:br/>
            </w:r>
            <w:r>
              <w:rPr>
                <w:b w:val="off"/>
                <w:color w:val="000000"/>
                <w:rFonts w:ascii="Times New Roman" w:hAnsi="Times New Roman" w:cs="Times New Roman" w:eastAsia="Times New Roman"/>
                <w:sz w:val="24"/>
              </w:rPr>
              <w:t>Riziko zvyšuje nové znenie konania o zrušení právnickej osoby v čl. VI návrhu (Civilný mimosporový poriadok): pri odstrániteľnom dôvode súd vyzve právnickú osobu na jeho odstránenie v lehote 90 dní (§ 308 ods. 2), ktorú na žiadosť právnickej osoby predĺži, a to aj opakovane (§ 308 ods. 6). Ustanovenie § 309 Civilného mimosporového poriadku odkazuje na Civilný sporový poriadok, ktorý však postup v konaní o zrušení právnickej osoby na návrh a bez návrhu neupravuje. Ustanovenie § 309a Civilného mimosporového poriadku pri konaní o zrušení spoločnosti bez návrhu rozlišuje odstrániteľné a neodstrániteľné dôvody zrušenia; právoplatné rozhodnutie Národnej banky Slovenska o odobratí povolenia je neodstrániteľným dôvodom.</w:t>
              <w:br/>
            </w:r>
            <w:r>
              <w:rPr>
                <w:b w:val="off"/>
                <w:color w:val="000000"/>
                <w:rFonts w:ascii="Times New Roman" w:hAnsi="Times New Roman" w:cs="Times New Roman" w:eastAsia="Times New Roman"/>
                <w:sz w:val="24"/>
              </w:rPr>
              <w:t>Občiansky zákonník v § 255 ods. 3 ukladá súdu vyzvať právnickú osobu na odstránenie dôvodu zrušenia, ak ho možno odstrániť. Bez výslovnej výluky by správcovská spoločnosť alebo investičný fond s premenlivým základným imaním mohli argumentovať odstrániteľnosťou dôvodu (napr. novou žiadosťou o povolenie) a oddialiť rozhodnutie o zrušení.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(zákon č. 530/1990 Zb. o dlhopisoch) – nové novelizačné body k poznámkam pod čiarou k odkazom 2a a 3g</w:t>
              <w:br/>
            </w:r>
            <w:r>
              <w:rPr>
                <w:b w:val="off"/>
                <w:color w:val="000000"/>
                <w:rFonts w:ascii="Times New Roman" w:hAnsi="Times New Roman" w:cs="Times New Roman" w:eastAsia="Times New Roman"/>
                <w:sz w:val="24"/>
              </w:rPr>
              <w:t>Navrhujeme do čl. XII doplniť nové novelizačné body, ktoré znejú:</w:t>
              <w:br/>
            </w:r>
            <w:r>
              <w:rPr>
                <w:b w:val="off"/>
                <w:color w:val="000000"/>
                <w:rFonts w:ascii="Times New Roman" w:hAnsi="Times New Roman" w:cs="Times New Roman" w:eastAsia="Times New Roman"/>
                <w:sz w:val="24"/>
              </w:rPr>
              <w:t>„Poznámka pod čiarou k odkazu 2a znie:</w:t>
              <w:br/>
            </w:r>
            <w:r>
              <w:rPr>
                <w:b w:val="off"/>
                <w:color w:val="000000"/>
                <w:rFonts w:ascii="Times New Roman" w:hAnsi="Times New Roman" w:cs="Times New Roman" w:eastAsia="Times New Roman"/>
                <w:sz w:val="24"/>
              </w:rPr>
              <w:t>„2a) § 1730 až 1889 Občianskeho zákonníka.“.“.</w:t>
              <w:br/>
            </w:r>
            <w:r>
              <w:rPr>
                <w:b w:val="off"/>
                <w:color w:val="000000"/>
                <w:rFonts w:ascii="Times New Roman" w:hAnsi="Times New Roman" w:cs="Times New Roman" w:eastAsia="Times New Roman"/>
                <w:sz w:val="24"/>
              </w:rPr>
              <w:t>„Poznámka pod čiarou k odkazu 3g sa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Poznámka pod čiarou k odkazu 2a odkazuje na § 460 a nasl. zákona č. 40/1964 Zb. Občiansky zákonník; dedenie upravuje Občiansky zákonník v § 1730 až 1889. Poznámka pod čiarou k odkazu 3g obsahuje všeobecný odkaz na Obchodný zákonník a zákon č. 566/2001 Z. z., odkaz 3g sa však v normatívnom texte zákona o dlhopisoch nenachádza, a preto je poznámka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ako celku – vzťah Občianskeho zákonníka a Obchodného zákonníka</w:t>
              <w:br/>
            </w:r>
            <w:r>
              <w:rPr>
                <w:b w:val="off"/>
                <w:color w:val="000000"/>
                <w:rFonts w:ascii="Times New Roman" w:hAnsi="Times New Roman" w:cs="Times New Roman" w:eastAsia="Times New Roman"/>
                <w:sz w:val="24"/>
              </w:rPr>
              <w:t>Požadujeme vyjasnenie vzťahu Občianskeho zákonníka k Obchodnému zákonníku. Navrhujeme napr. v Obchodnom zákonníku upraviť všeobecné pravidlo o vzťahu k Občianskemu zákonníku (napr. „Právne vzťahy upravené týmto zákonom sa spravujú ustanoveniami Občianskeho zákonníka, ak tento zákon neustanovuje inak.“) a v dôvodovej správe uviesť, ktoré ustanovenia Občianskeho zákonníka o právnických osobách (najmä § 221, § 224 a § 255) sa na obchodné spoločnosti a družstvo použijú a ktoré 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Občianskeho zákonníka bolo zjednotiť záväzkové právo v jednom kódexe, na druhej strane pripravovaná novela Obchodného zákonníka v určitom rozsahu vylučuje použitie Občianskeho zákonníka. Bolo by preto užitočné vyjasniť vzťah oboch predpisov. Návrh vylučuje úpravu Občianskeho zákonníka len selektívne (§ 66 ods. 9 a § 70 ods. 5 Obchodného zákonníka), pri iných inštitútoch, napríklad pri právnickej osobe ako členovi orgánu (§ 221) alebo pri výzve na odstránenie dôvodu zrušenia (§ 255 ods. 3), mlčí, čo potenciálne zakladá argument a contrario.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o riešení krízových situácií na finančnom trhu) – § 40 ods. 9</w:t>
              <w:br/>
            </w:r>
            <w:r>
              <w:rPr>
                <w:b w:val="off"/>
                <w:color w:val="000000"/>
                <w:rFonts w:ascii="Times New Roman" w:hAnsi="Times New Roman" w:cs="Times New Roman" w:eastAsia="Times New Roman"/>
                <w:sz w:val="24"/>
              </w:rPr>
              <w:t>Navrhujeme do návrhu doplniť nový článok, ktorým sa mení a dopĺňa zákon č. 371/2014 Z. z. o riešení krízových situácií na finančnom trhu a o zmene a doplnení niektorých zákonov v znení neskorších predpisov, v rozsahu tejto pripomienky a našich ďalších pripomienok k zákonu č. 371/2014 Z. z.</w:t>
              <w:br/>
            </w:r>
            <w:r>
              <w:rPr>
                <w:b w:val="off"/>
                <w:color w:val="000000"/>
                <w:rFonts w:ascii="Times New Roman" w:hAnsi="Times New Roman" w:cs="Times New Roman" w:eastAsia="Times New Roman"/>
                <w:sz w:val="24"/>
              </w:rPr>
              <w:t>V § 40 ods. 9 navrhujeme písmeno j) nahradiť znením „j) nemožnosti postúpiť pohľadávku, previesť zmluvu alebo prevziať dlh bez súhlasu dlžníka, druhej zmluvnej strany alebo veriteľa,81b)“, poznámku pod čiarou k odkazu 81b upraviť takto: „81b) § 352 ods. 1 a 2, § 362 ods. 1, § 369 ods. 1 a § 1183 Občianskeho zákonníka.“ a odsek 9 doplniť písmenom u), ktoré znie:</w:t>
              <w:br/>
            </w:r>
            <w:r>
              <w:rPr>
                <w:b w:val="off"/>
                <w:color w:val="000000"/>
                <w:rFonts w:ascii="Times New Roman" w:hAnsi="Times New Roman" w:cs="Times New Roman" w:eastAsia="Times New Roman"/>
                <w:sz w:val="24"/>
              </w:rPr>
              <w:t>„u) prechode dlhov na kupujúceho, ručení predávajúceho a zhoršení vymožiteľnosti pohľadávky pri predaji podniku alebo jeho časti,81k)“.</w:t>
              <w:br/>
            </w:r>
            <w:r>
              <w:rPr>
                <w:b w:val="off"/>
                <w:color w:val="000000"/>
                <w:rFonts w:ascii="Times New Roman" w:hAnsi="Times New Roman" w:cs="Times New Roman" w:eastAsia="Times New Roman"/>
                <w:sz w:val="24"/>
              </w:rPr>
              <w:t>Poznámka pod čiarou k odkazu 81k znie: „81k) § 834 a 840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371/2014 Z. z. používa pojmy a odkazy na zákon č. 40/1964 Zb. Občiansky zákonník a na Obchodný zákonník (postúpenie, podriadenie, zabezpečovacie práva, započítanie, účet, zastúpenie, neplatnosť) a jeho nástroje (prevod obchodnej činnosti, preklenovacia inštitúcia, oddelenie aktív, kapitalizácia) musia byť účinné aj proti novým súkromnoprávnym pravidlám. Bez nadväznej novely vznikne riziko nesúladu so smernicou 2014/59/EÚ (BRRD) a s nariadením (EÚ) č. 806/2014 a riziko spochybnenia účinnosti rozhodnutí Rady pre riešenie krízových situácií pred súdmi.</w:t>
              <w:br/>
            </w:r>
            <w:r>
              <w:rPr>
                <w:b w:val="off"/>
                <w:color w:val="000000"/>
                <w:rFonts w:ascii="Times New Roman" w:hAnsi="Times New Roman" w:cs="Times New Roman" w:eastAsia="Times New Roman"/>
                <w:sz w:val="24"/>
              </w:rPr>
              <w:t>Poznámka 81b odkazuje na § 525 ods. 2 zákona č. 40/1964 Zb. Občiansky zákonník, ktorý sa ruší. Občiansky zákonník zavádza zákonný zákaz postúpiť pohľadávku voči banke alebo poisťovni bez ich súhlasu (§ 352 ods. 2), súhlas banky pri postúpení pohľadávky z účtu (§ 1183) a všeobecnú úpravu prevodu zmluvy so súhlasom druhej strany (§ 369). Pri predaji podniku prechádzajú na kupujúceho všetky dlhy, predávajúci za ne ručí a veriteľ môže podať odpor (§ 834 a 840). Tieto pravidlá sú nezlučiteľné s nástrojmi podľa čl. 38, 40 a 42 BRRD, pri ktorých prevod nastupuje rozhodnutím orgánu a bez súhlasu kohokoľvek [čl. 63 ods. 1 písm. j) a ods. 2 BRRD]. Všeobecná výluka v § 9 ods. 2 sa vzťahuje len na „povolenie alebo súhlas“ pre výkon právomocí rady, nie na súkromnoprávne následky prevodu.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10 ods. 8</w:t>
              <w:br/>
            </w:r>
            <w:r>
              <w:rPr>
                <w:b w:val="off"/>
                <w:color w:val="000000"/>
                <w:rFonts w:ascii="Times New Roman" w:hAnsi="Times New Roman" w:cs="Times New Roman" w:eastAsia="Times New Roman"/>
                <w:sz w:val="24"/>
              </w:rPr>
              <w:t>Navrhujeme nový novelizačný bod. Navrhujeme § 10 doplniť odsekom 8 v znení: „(8) Opatrenie na predchádzanie krízovej situácii, opatrenie riadenia krízovej situácie ani skutočnosť s nimi bezprostredne súvisiaca sa na účely Občianskeho zákonníka nepovažuje za nesplnenie ani očakávané nesplnenie, za zmarenie základného účelu zmluvy ani za podstatnú zmenu okolností a nezakladá právo požadovať predčasné splnenie dlhu.52a)“</w:t>
              <w:br/>
            </w:r>
            <w:r>
              <w:rPr>
                <w:b w:val="off"/>
                <w:color w:val="000000"/>
                <w:rFonts w:ascii="Times New Roman" w:hAnsi="Times New Roman" w:cs="Times New Roman" w:eastAsia="Times New Roman"/>
                <w:sz w:val="24"/>
              </w:rPr>
              <w:t>Poznámka pod čiarou k odkazu 52a znie:</w:t>
              <w:br/>
            </w:r>
            <w:r>
              <w:rPr>
                <w:b w:val="off"/>
                <w:color w:val="000000"/>
                <w:rFonts w:ascii="Times New Roman" w:hAnsi="Times New Roman" w:cs="Times New Roman" w:eastAsia="Times New Roman"/>
                <w:sz w:val="24"/>
              </w:rPr>
              <w:t>„52a) § 462, § 503, § 515 ods. 4, § 545, § 546, § 548, § 580, § 977 ods. 3, § 984 a § 985 ods. 3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68 BRRD vyžaduje, aby prijatie opatrenia na predchádzanie krízovej situácie, opatrenia riadenia krízovej situácie alebo skutočnosti s nimi bezprostredne súvisiace samy osebe nezakladali právo zmluvnej strany ukončiť zmluvný vzťah, pozastaviť plnenie, zmeniť zmluvu alebo uplatniť iné obdobné práva.</w:t>
              <w:br/>
            </w:r>
            <w:r>
              <w:rPr>
                <w:b w:val="off"/>
                <w:color w:val="000000"/>
                <w:rFonts w:ascii="Times New Roman" w:hAnsi="Times New Roman" w:cs="Times New Roman" w:eastAsia="Times New Roman"/>
                <w:sz w:val="24"/>
              </w:rPr>
              <w:t>Súčasné znenie § 10 ods. 4 sa zameriava predovšetkým na zmluvné práva. Občiansky zákonník však obsahuje viaceré zákonné dôvody, prostredníctvom ktorých by mohli byť obdobné účinky dosiahnuté aj bez osobitného zmluvného dojednania. Ide najmä o odstúpenie od zmluvy pre zmarenie základného účelu zmluvy (§ 503), odstúpenie od zmluvy pre podstatné nesplnenie (§ 545), odstúpenie pre očakávané nesplnenie (§ 548), zánik povinnosti pri trvalej prekážke ex lege (§ 515 ods. 4) zmenu alebo zrušenie záväzku súdom z dôvodu podstatnej zmeny okolností (§ 580) alebo odopretie poskytnutia peňažných prostriedkov z úveru pri podstatnej zmene okolností (§ 977 ods. 3) alebo požiadavka na predčasné splnenie dlhu (§ 462, § 984 a § 985 ods. 3).</w:t>
              <w:br/>
            </w:r>
            <w:r>
              <w:rPr>
                <w:b w:val="off"/>
                <w:color w:val="000000"/>
                <w:rFonts w:ascii="Times New Roman" w:hAnsi="Times New Roman" w:cs="Times New Roman" w:eastAsia="Times New Roman"/>
                <w:sz w:val="24"/>
              </w:rPr>
              <w:t>Bez výslovnej úpravy by mohli vzniknúť pochybnosti, či prijatie opatrenia na predchádzanie krízovej situácie, opatrenia riadenia krízovej situácie alebo skutočnosti s nimi bezprostredne súvisiace nepredstavujú zákonný dôvod na uplatnenie uvedených práv. Navrhované doplnenie preto jednoznačne zabezpečí, že samotné prijatie krízového opatrenia alebo skutočnosti s ním bezprostredne súvisiace nebudú môcť aktivovať zákonné práva smerujúce k ukončeniu zmluvného vzťahu, jeho modifikácii alebo k predčasnej splatnosti pohľadávky, čím sa posilní súlad vnútroštátnej úpravy s cieľom čl. 68 BRRD a predíde sa obchádzaniu ochrany pred aktiváciou práv z dôvodu prijatia krízového opatrenia prostredníctvom všeobecných ustanovení súkromného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15 ods. 1 a 2</w:t>
              <w:br/>
            </w:r>
            <w:r>
              <w:rPr>
                <w:b w:val="off"/>
                <w:color w:val="000000"/>
                <w:rFonts w:ascii="Times New Roman" w:hAnsi="Times New Roman" w:cs="Times New Roman" w:eastAsia="Times New Roman"/>
                <w:sz w:val="24"/>
              </w:rPr>
              <w:t>Navrhujeme nový novelizačný bod. Navrhujeme v § 15 ods. 1 slová „záložných veriteľov vybranej inštitúcie pri výkone záložných práv“ nahradiť slovami „zabezpečených veriteľov vybranej inštitúcie pri výkone zabezpečovacích práv44aa) vrátane ich výkonu správcom zabezpečenia záväzku44ab)“ a slová „obmedzení záložných veriteľov“ slovami „obmedzení zabezpečených veriteľov“.</w:t>
              <w:br/>
            </w:r>
            <w:r>
              <w:rPr>
                <w:b w:val="off"/>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„44aa) § 8 zákona č. 7/2005 Z. z.“ a</w:t>
              <w:br/>
            </w:r>
            <w:r>
              <w:rPr>
                <w:b w:val="off"/>
                <w:color w:val="000000"/>
                <w:rFonts w:ascii="Times New Roman" w:hAnsi="Times New Roman" w:cs="Times New Roman" w:eastAsia="Times New Roman"/>
                <w:sz w:val="24"/>
              </w:rPr>
              <w:t>„44ab) § 437 až 441 Občianskeho zákonníka.“.</w:t>
              <w:br/>
            </w:r>
            <w:r>
              <w:rPr>
                <w:b w:val="off"/>
                <w:color w:val="000000"/>
                <w:rFonts w:ascii="Times New Roman" w:hAnsi="Times New Roman" w:cs="Times New Roman" w:eastAsia="Times New Roman"/>
                <w:sz w:val="24"/>
              </w:rPr>
              <w:t>Rovnako upraviť ods. 2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Občiansky zákonník rozširuje okruh zabezpečovacích práv aj na ďalšie zabezpečovacie inštitúty, najmä zabezpečovací prevod práva a zabezpečovacie postúpenie pohľadávky, pri ktorých môže dôjsť k uspokojeniu veriteľa obdobným spôsobom ako pri výkone záložného práva. Rovnako upravuje inštitút správcu zabezpečenia záväzku, ktorý vykonáva zabezpečenie vo vlastnom mene na účet zabezpečených veriteľov.</w:t>
              <w:br/>
            </w:r>
            <w:r>
              <w:rPr>
                <w:b w:val="off"/>
                <w:color w:val="000000"/>
                <w:rFonts w:ascii="Times New Roman" w:hAnsi="Times New Roman" w:cs="Times New Roman" w:eastAsia="Times New Roman"/>
                <w:sz w:val="24"/>
              </w:rPr>
              <w:t>Ponechanie súčasnej formulácie odkazujúcej iba na „záložných veriteľov“ a „záložné práva“ by mohlo vyvolávať pochybnosti, či sa zákonné obmedzenia podľa § 15 vzťahujú aj na výkon iných zabezpečovacích práv alebo na ich výkon prostredníctvom správcu zabezpečenia. Navrhovaná úprava preto zosúlaďuje terminológiu s čl. 70 BRRD a zabezpečuje, aby sa právny režim ochrany uplatnil na všetky formy zabezpečenia bez ohľadu na ich právnu konštrukciu alebo spôsob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62 ods. 6</w:t>
              <w:br/>
            </w:r>
            <w:r>
              <w:rPr>
                <w:b w:val="off"/>
                <w:color w:val="000000"/>
                <w:rFonts w:ascii="Times New Roman" w:hAnsi="Times New Roman" w:cs="Times New Roman" w:eastAsia="Times New Roman"/>
                <w:sz w:val="24"/>
              </w:rPr>
              <w:t>Navrhujeme nový novelizačný bod. Navrhujeme § 62 ods. 6 formulovať: „(6) Podriadeným dlhom sa na účely tohto zákona rozumejú dlhy, s ktorými je spojené podriadenie pohľadávky podľa Občianskeho zákonníka,96b) a zmluvné sankcie a úrok z omeškania podľa dohody uvedenej v § 539 Občianskeho zákonníka.“</w:t>
              <w:br/>
            </w:r>
            <w:r>
              <w:rPr>
                <w:b w:val="off"/>
                <w:color w:val="000000"/>
                <w:rFonts w:ascii="Times New Roman" w:hAnsi="Times New Roman" w:cs="Times New Roman" w:eastAsia="Times New Roman"/>
                <w:sz w:val="24"/>
              </w:rPr>
              <w:t>Poznámka 96b: „§ 617 až 621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408a Obchodného zákonníka sa vypúšťa a podriadenie prechádza do § 617 až 621 Občianskeho zákonníka. Pojem „zmluvná pokuta“ nahrádza širší pojem zmluvnej sankcie (§ 388, § 536 až 538 Občianskeho zákonníka) a dohoda o percentuálnej pokute sa podľa § 539 Občianskeho zákonníka považuje za dohodu o úroku z omeškania. Bez úpravy by takéto nároky v kapitalizácii unikli z triedy podriadeného dlhu, čím by sa narušila hierarchia podriadenia podľa čl. 48 BRRD a test NCWO. Zmenu treba zosúladiť so zmenou § 95 ods. 3 zákona č. 7/2005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62 a 70 (podriadené pohľadávky)</w:t>
              <w:br/>
            </w:r>
            <w:r>
              <w:rPr>
                <w:b w:val="off"/>
                <w:color w:val="000000"/>
                <w:rFonts w:ascii="Times New Roman" w:hAnsi="Times New Roman" w:cs="Times New Roman" w:eastAsia="Times New Roman"/>
                <w:sz w:val="24"/>
              </w:rPr>
              <w:t>Navrhujeme do zákona doplniť ustanovenie: „Na odpísanie, konverziu a iné opatrenia rady týkajúce sa podriadených pohľadávok, ako aj na umorenie, spätné odkúpenie alebo predčasné splatenie kapitálových nástrojov a oprávnených záväzkov so súhlasom príslušného orgánu sa §</w:t>
              <w:br/>
            </w:r>
            <w:r>
              <w:rPr>
                <w:b w:val="off"/>
                <w:color w:val="000000"/>
                <w:rFonts w:ascii="Times New Roman" w:hAnsi="Times New Roman" w:cs="Times New Roman" w:eastAsia="Times New Roman"/>
                <w:sz w:val="24"/>
              </w:rPr>
              <w:t>619 ods. 3 a § 620 ods. 1 Občianskeho zákonníka nepoužijú. Podriadenie pohľadávky nezaniká podľa § 621 ods. 1 písm. c) Občianskeho zákonníka, ak vybraná inštitúcia zaniká bez likvidácie v dôsledku opatrenia na riešenie krízovej situácie.“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619 ods. 3 a § 620 ods. 1 Občianskeho zákonníka zakazujú zmeniť dohodu o podriadení, skrátiť dobu trvania podriadenej zmluvy a spôsobiť jej zánik; § 621 ods. 1 písm. c) Občianskeho zákonníka spája zánik podriadenia so zrušením banky bez likvidácie. Pri prevode obchodnej činnosti alebo pri preklenovacej inštitúcii by takto mohla úpadková banka zaniknúť a držitelia podriadených nástrojov by sa dostali na úroveň nepodriadených veriteľov. Zákazy tiež kolidujú s možnosťou predčasného splatenia alebo odkúpenia nástrojov podľa čl. 77 a 78 CRR a s výkonom právomoci odpísania a konverzie podľa § 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prechodné ustanovenie</w:t>
              <w:br/>
            </w:r>
            <w:r>
              <w:rPr>
                <w:b w:val="off"/>
                <w:color w:val="000000"/>
                <w:rFonts w:ascii="Times New Roman" w:hAnsi="Times New Roman" w:cs="Times New Roman" w:eastAsia="Times New Roman"/>
                <w:sz w:val="24"/>
              </w:rPr>
              <w:t>Navrhujeme doplniť prechodné ustanovenie: „Ustanovenia tohto zákona v znení účinnom od 1. júla 2027 sa použijú aj na právne vzťahy, ktoré sa podľa § 1893 ods. 3 Občianskeho zákonníka spravujú doterajšími predpismi. Ak sa v tomto zákone odkazuje na ustanovenia Občianskeho zákonníka o podriadení pohľadávky, postúpení pohľadávky, prevode zmluvy alebo prevzatí dlhu, rozumejú sa tým pre tieto vzťahy aj zodpovedajúce ustanovenia Občianskeho zákonníka a Obchodného zákonníka v znení účinnom do 30. júna 2027.“.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1893 ods. 3 Občianskeho zákonníka sa zmluvy uzavreté pred 1. júla 2027 vrátane dohody o podriadení, úverových zmlúv, zmluvy o zabezpečení a zmluvy o účte bez časového obmedzenia spravujú doterajším právom. Ak by zákon č. 371/2014 Z. z. odkazoval len na Občiansky zákonník, mohli by vylúčenia a vymedzenia (§ 40 ods. 9, § 62 ods. 6) dopadať iba na nové zmluvy a väčšina existujúcich záväzkov bánk, vrátane nástrojov MREL, by zostala mimo ich dosahu.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6f a § 19 ods. 2</w:t>
              <w:br/>
            </w:r>
            <w:r>
              <w:rPr>
                <w:b w:val="off"/>
                <w:color w:val="000000"/>
                <w:rFonts w:ascii="Times New Roman" w:hAnsi="Times New Roman" w:cs="Times New Roman" w:eastAsia="Times New Roman"/>
                <w:sz w:val="24"/>
              </w:rPr>
              <w:t>Navrhujeme v § 6f nahradiť slová „v dobrej viere“ slovom „dobromyseľne“ a v § 19 ods. 2 určiť vzťah neplatnosti úkonu, ktorý marí výkon právomoci rady, k ochrane dobromyseľného nadobúdateľa podľa § 1498 až 1503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Terminologická zmena v § 6f zodpovedá pojmu dobromyseľnosti v Občianskom zákonníku. Občiansky zákonník zavádza materiálnu publicitu katastra a dobromyseľné nadobúdanie hnuteľných vecí od nevlastníka. Bez výslovnej úpravy nie je zrejmé, či neplatnosť podľa § 19 ods. 2 má prednosť pred ochranou dôvery tretích osôb, alebo naopak.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poznámky pod čiarou k odkazom 102b, 105aa, 105d, 106 a 106a</w:t>
              <w:br/>
            </w:r>
            <w:r>
              <w:rPr>
                <w:b w:val="off"/>
                <w:color w:val="000000"/>
                <w:rFonts w:ascii="Times New Roman" w:hAnsi="Times New Roman" w:cs="Times New Roman" w:eastAsia="Times New Roman"/>
                <w:sz w:val="24"/>
              </w:rPr>
              <w:t>V poznámke pod čiarou k odkazu 105aa sa odkaz na § 714 Obchodného zákonníka nahrádza odkazom na § 1184 Občianskeho zákonníka.</w:t>
              <w:br/>
            </w:r>
            <w:r>
              <w:rPr>
                <w:b w:val="off"/>
                <w:color w:val="000000"/>
                <w:rFonts w:ascii="Times New Roman" w:hAnsi="Times New Roman" w:cs="Times New Roman" w:eastAsia="Times New Roman"/>
                <w:sz w:val="24"/>
              </w:rPr>
              <w:t>V poznámke pod čiarou k odkazu 106a sa odkaz na § 711 ods. 1 Obchodného zákonníka nahrádza odkazom na § 1179, § 1183 a § 1184 Občianskeho zákonníka.</w:t>
              <w:br/>
            </w:r>
            <w:r>
              <w:rPr>
                <w:b w:val="off"/>
                <w:color w:val="000000"/>
                <w:rFonts w:ascii="Times New Roman" w:hAnsi="Times New Roman" w:cs="Times New Roman" w:eastAsia="Times New Roman"/>
                <w:sz w:val="24"/>
              </w:rPr>
              <w:t>V poznámke pod čiarou k odkazu 105d sa odkazy na § 21 ods. 2, § 24 prvá veta, § 26 ods. 5, § 251 ods. 1 a 4 Občianskeho súdneho poriadku a § 22 až 24 a 31 až 33b Občianskeho zákonníka v znení zákona č. 509/1991 Zb. nahrádzajú odkazom na § 104 až 110 Občianskeho zákonníka.</w:t>
              <w:br/>
            </w:r>
            <w:r>
              <w:rPr>
                <w:b w:val="off"/>
                <w:color w:val="000000"/>
                <w:rFonts w:ascii="Times New Roman" w:hAnsi="Times New Roman" w:cs="Times New Roman" w:eastAsia="Times New Roman"/>
                <w:sz w:val="24"/>
              </w:rPr>
              <w:t>V poznámke pod čiarou k odkazu 106 sa odkazy na § 21 ods. 2, § 24 prvá veta, § 26 ods. 5 Občianskeho súdneho poriadku a § 22 až 24 a 31 až 33b Občianskeho zákonníka v znení zákona č. 509/1991 Zb. nahrádzajú odkazom na § 111 až 130 Občianskeho zákonníka.</w:t>
              <w:br/>
            </w:r>
            <w:r>
              <w:rPr>
                <w:b w:val="off"/>
                <w:color w:val="000000"/>
                <w:rFonts w:ascii="Times New Roman" w:hAnsi="Times New Roman" w:cs="Times New Roman" w:eastAsia="Times New Roman"/>
                <w:sz w:val="24"/>
              </w:rPr>
              <w:t>V poznámke pod čiarou k odkazu 102b sa odkaz na § 248 písm. d) zákona č. 99/1963 Zb. Občiansky súdny poriadok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predstavuje legislatívno-technické zosúladenie zákona č. 371/2014 Z. z. s Občianskym zákonníkom.</w:t>
              <w:br/>
            </w:r>
            <w:r>
              <w:rPr>
                <w:b w:val="off"/>
                <w:color w:val="000000"/>
                <w:rFonts w:ascii="Times New Roman" w:hAnsi="Times New Roman" w:cs="Times New Roman" w:eastAsia="Times New Roman"/>
                <w:sz w:val="24"/>
              </w:rPr>
              <w:t>Odkaz v poznámke pod čiarou 105aa na § 714 Obchodného zákonníka upravujúci započítanie pohľadávok z účtu je potrebné nahradiť odkazom na § 1184 Občianskeho zákonníka, ktorý upravuje použitie peňažných prostriedkov na účte na úhradu pohľadávok osoby vedúcej účet.</w:t>
              <w:br/>
            </w:r>
            <w:r>
              <w:rPr>
                <w:b w:val="off"/>
                <w:color w:val="000000"/>
                <w:rFonts w:ascii="Times New Roman" w:hAnsi="Times New Roman" w:cs="Times New Roman" w:eastAsia="Times New Roman"/>
                <w:sz w:val="24"/>
              </w:rPr>
              <w:t>Odkaz v poznámke pod čiarou 106a na § 711 ods. 1 Obchodného zákonníka je potrebné nahradiť odkazom na ustanovenia Občianskeho zákonníka upravujúce nakladanie s peňažnými prostriedkami na účte (§ 1179), postúpenie pohľadávky a záložné právo k pohľadávke z účtu (§ 1183) a započítanie pohľadávok (§ 1184).</w:t>
              <w:br/>
            </w:r>
            <w:r>
              <w:rPr>
                <w:b w:val="off"/>
                <w:color w:val="000000"/>
                <w:rFonts w:ascii="Times New Roman" w:hAnsi="Times New Roman" w:cs="Times New Roman" w:eastAsia="Times New Roman"/>
                <w:sz w:val="24"/>
              </w:rPr>
              <w:t>Poznámky pod čiarou k odkazom 105d a 106 odkazujú na ustanovenia Občianskeho súdneho poriadku, ktorý bol zrušený k 1. júlu 2016, a na § 22 až 24 a 31 až 33b zákona č. 40/1964 Zb. Občiansky zákonník o zastúpení. Novú úpravu zastúpenia obsahuje § 104 až 130 Občianskeho zákonníka: poznámke pod čiarou k odkazu 105d zodpovedajú všeobecné ustanovenia o zastúpení (§ 104 až 110), poznámke pod čiarou k odkazu 106 ustanovenia o plnomocenstve (§ 111 až 130). Z poznámky pod čiarou k odkazu 102b sa z rovnakého dôvodu vypúšťa odkaz na zrušený Občiansky súdny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17 ods. 1 (pozastavenie práva ukončiť zmluvu)</w:t>
              <w:br/>
            </w:r>
            <w:r>
              <w:rPr>
                <w:b w:val="off"/>
                <w:color w:val="000000"/>
                <w:rFonts w:ascii="Times New Roman" w:hAnsi="Times New Roman" w:cs="Times New Roman" w:eastAsia="Times New Roman"/>
                <w:sz w:val="24"/>
              </w:rPr>
              <w:t>Navrhujeme v § 17 ods. 1 za slová „k zrušeniu zmluvy“ vložiť slová „vrátane odstúpenia od zmluvy, výpovede alebo návrhu na zmenu alebo zrušenie záväzku súdom“.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Občiansky zákonník rozlišuje viacero spôsobov ukončenia záväzku vrátane súdnej zmeny alebo súdneho zrušenia pri podstatnej zmene okolností (§ 580 ods. 3) a odstúpenia pri zmarení účelu (§ 503). Pozastavenie podľa čl. 71 BRRD má zachytiť všetky tieto formy vrátane procesných krokov smerujúcich k ukončeniu.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371/2014 Z. z.) – § 40 ods. 6 (odporovanie počas rezolučného konania)</w:t>
              <w:br/>
            </w:r>
            <w:r>
              <w:rPr>
                <w:b w:val="off"/>
                <w:color w:val="000000"/>
                <w:rFonts w:ascii="Times New Roman" w:hAnsi="Times New Roman" w:cs="Times New Roman" w:eastAsia="Times New Roman"/>
                <w:sz w:val="24"/>
              </w:rPr>
              <w:t>Navrhujeme § 40 doplniť o pravidlo, že počas rezolučného konania nemôže veriteľ vybranej inštitúcie uplatniť právo odporovať právnemu úkonu vybranej inštitúcie podľa § 551 až 568 Občianskeho zákonníka, prebiehajúce konania sa prerušujú a prekluzívne lehoty podľa § 552 až 555 v spojení s § 560 Občianskeho zákonníka neplynú. Navrhujeme tiež výslovne ustanoviť, že prevodu uskutočnenému na základe rozhodnutia rady nemožno odporovať ani podľa Občianskeho zákonníka, ani podľa zákona č. 7/2005 Z. z.</w:t>
              <w:br/>
            </w:r>
            <w:r>
              <w:rPr>
                <w:b w:val="off"/>
                <w:color w:val="000000"/>
                <w:rFonts w:ascii="Times New Roman" w:hAnsi="Times New Roman" w:cs="Times New Roman" w:eastAsia="Times New Roman"/>
                <w:sz w:val="24"/>
              </w:rPr>
              <w:t>Navrhujeme toto znenie: „(…) Počas rezolučného konania nemôže veriteľ vybranej inštitúcie uplatniť právo odporovať právnemu úkonu vybranej inštitúcie podľa Občianskeho zákonníka ani podľa osobitného predpisu;xx) začaté konania o takomto odporovaní sa prerušujú a lehoty podľa § 552 až 555 Občianskeho zákonníka počas rezolučného konania neplynú. Prevodu, prechodu alebo inému právnemu úkonu uskutočnenému na základe rozhodnutia rady alebo v priamej súvislosti s použitím nástroja riešenia krízovej situácie nemožno odporovať podľa Občianskeho zákonníka ani podľa osobitného predpisu.xx) Právo odporovať v rozsahu odseku 6 vykonáva len rada.“ Poznámka pod čiarou k odkazu xx znie: „xx) § 57 až 66 zákona č. 7/2005 Z. z.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Občiansky zákonník významne rozširuje praktické účinky odporovania právnym úkonom. Veriteľ môže odporovať nielen voči bezprostrednému nadobúdateľovi, ale aj voči ďalším nadobúdateľom (§ 557), zabezpečiť zápis poznámky o vedení odporovacieho konania do katastra nehnuteľností (§ 559), domáhať sa uspokojenia svojej pohľadávky z majetku, ktorý odporovateľným právnym úkonom ušiel z majetku dlžníka (§ 561), a pri úspešnom odporovaní dosiahnuť zánik vecného bremena alebo záložného práva pri exekučnom postihu majetku (§ 562).</w:t>
              <w:br/>
            </w:r>
            <w:r>
              <w:rPr>
                <w:b w:val="off"/>
                <w:color w:val="000000"/>
                <w:rFonts w:ascii="Times New Roman" w:hAnsi="Times New Roman" w:cs="Times New Roman" w:eastAsia="Times New Roman"/>
                <w:sz w:val="24"/>
              </w:rPr>
              <w:t>Uvedené účinky sú nezlučiteľné s cieľmi rezolučného konania a s požiadavkou zabezpečiť rýchly, právne istý a účinný prevod akcií, majetku, práv alebo záväzkov na nadobúdateľa, preklenovaciu inštitúciu alebo subjekt pre správu aktív. Individuálne odporovanie zo strany jednotlivých veriteľov by mohlo spochybňovať účinky prevodov uskutočnených v rezolúcii, vytvárať právnu neistotu pre nadobúdateľov majetku a narúšať zásadu rovnakého zaobchádzania s veriteľmi.</w:t>
              <w:br/>
            </w:r>
            <w:r>
              <w:rPr>
                <w:b w:val="off"/>
                <w:color w:val="000000"/>
                <w:rFonts w:ascii="Times New Roman" w:hAnsi="Times New Roman" w:cs="Times New Roman" w:eastAsia="Times New Roman"/>
                <w:sz w:val="24"/>
              </w:rPr>
              <w:t>Keďže § 40 ods. 6 zákona č. 371/2014 Z. z. zveruje výkon odporovacích oprávnení vo vzťahu k úkonom vybranej inštitúcie rade, je potrebné výslovne ustanoviť, že počas rezolučného konania nemôžu jednotliví veritelia uplatňovať odporovacie práva podľa § 551 až 568 Občianskeho zákonníka ani podľa zákona č. 7/2005 Z. z. vo vzťahu k prevodom, prechodom alebo iným právnym úkonom uskutočneným na základe rozhodnutia rady alebo v priamej súvislosti s použitím rezolučného nástroja. Právo odporovať má v rozsahu § 40 ods. 6 vykonávať len rada.</w:t>
              <w:br/>
            </w:r>
            <w:r>
              <w:rPr>
                <w:b w:val="off"/>
                <w:color w:val="000000"/>
                <w:rFonts w:ascii="Times New Roman" w:hAnsi="Times New Roman" w:cs="Times New Roman" w:eastAsia="Times New Roman"/>
                <w:sz w:val="24"/>
              </w:rPr>
              <w:t>Zároveň je potrebné ustanoviť spočívanie prekluzívnych lehôt podľa § 552 až 555 v spojení s § 560 Občianskeho zákonníka počas trvania rezolučného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nový článok (zákon č. 186/2009 Z. z. o finančnom sprostredkovaní a finančnom poradenstve)</w:t>
              <w:br/>
            </w:r>
            <w:r>
              <w:rPr>
                <w:b w:val="off"/>
                <w:color w:val="000000"/>
                <w:rFonts w:ascii="Times New Roman" w:hAnsi="Times New Roman" w:cs="Times New Roman" w:eastAsia="Times New Roman"/>
                <w:sz w:val="24"/>
              </w:rPr>
              <w:t>Navrhujeme vložiť nový novelizačný článok, ktorým sa mení zákon č. 186/2009 Z. z. o finančnom sprostredkovaní a finančnom poradenstve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K § 2 ods. 5 a § 3 ods. 4 </w:t>
              <w:br/>
            </w:r>
            <w:r>
              <w:rPr>
                <w:b w:val="off"/>
                <w:color w:val="000000"/>
                <w:rFonts w:ascii="Times New Roman" w:hAnsi="Times New Roman" w:cs="Times New Roman" w:eastAsia="Times New Roman"/>
                <w:sz w:val="24"/>
              </w:rPr>
              <w:t>Navrhujeme v poznámke pod čiarou k odkazu 8 nahradiť citáciu „§ 476 až 488 Obchodného zákonníka“ citáciou „§ 831 až 841 Občianskeho zákonníka“.</w:t>
              <w:br/>
            </w:r>
            <w:r>
              <w:rPr>
                <w:b w:val="off"/>
                <w:color w:val="000000"/>
                <w:rFonts w:ascii="Times New Roman" w:hAnsi="Times New Roman" w:cs="Times New Roman" w:eastAsia="Times New Roman"/>
                <w:sz w:val="24"/>
              </w:rPr>
              <w:t xml:space="preserve">2.	K § 4 písm. l) </w:t>
              <w:br/>
            </w:r>
            <w:r>
              <w:rPr>
                <w:b w:val="off"/>
                <w:color w:val="000000"/>
                <w:rFonts w:ascii="Times New Roman" w:hAnsi="Times New Roman" w:cs="Times New Roman" w:eastAsia="Times New Roman"/>
                <w:sz w:val="24"/>
              </w:rPr>
              <w:t>Navrhujeme v § 4 písm. l) nahradiť slová „v pracovnoprávnom vzťahu alebo obchodnoprávnom vzťahu“ slovami „v pracovnoprávnom vzťahu alebo inom právnom vzťahu, na základe ktorého vykonáva činnosť odborného garanta“.</w:t>
              <w:br/>
            </w:r>
            <w:r>
              <w:rPr>
                <w:b w:val="off"/>
                <w:color w:val="000000"/>
                <w:rFonts w:ascii="Times New Roman" w:hAnsi="Times New Roman" w:cs="Times New Roman" w:eastAsia="Times New Roman"/>
                <w:sz w:val="24"/>
              </w:rPr>
              <w:t xml:space="preserve">3.	K § 18 ods. 11 </w:t>
              <w:br/>
            </w:r>
            <w:r>
              <w:rPr>
                <w:b w:val="off"/>
                <w:color w:val="000000"/>
                <w:rFonts w:ascii="Times New Roman" w:hAnsi="Times New Roman" w:cs="Times New Roman" w:eastAsia="Times New Roman"/>
                <w:sz w:val="24"/>
              </w:rPr>
              <w:t>Navrhujeme v § 18 ods. 11 nahradiť slová „pracovný pomer alebo obchodnoprávny vzťah odborného garanta“ slovami „pracovnoprávny vzťah alebo iný právny vzťah odborného garanta“.</w:t>
              <w:br/>
            </w:r>
            <w:r>
              <w:rPr>
                <w:b w:val="off"/>
                <w:color w:val="000000"/>
                <w:rFonts w:ascii="Times New Roman" w:hAnsi="Times New Roman" w:cs="Times New Roman" w:eastAsia="Times New Roman"/>
                <w:sz w:val="24"/>
              </w:rPr>
              <w:t>4.	K § 18 ods. 18– poznámka pod čiarou k odkazu 27a</w:t>
              <w:br/>
            </w:r>
            <w:r>
              <w:rPr>
                <w:b w:val="off"/>
                <w:color w:val="000000"/>
                <w:rFonts w:ascii="Times New Roman" w:hAnsi="Times New Roman" w:cs="Times New Roman" w:eastAsia="Times New Roman"/>
                <w:sz w:val="24"/>
              </w:rPr>
              <w:t>Navrhujeme v poznámke pod čiarou k odkazu 27a nahradiť citáciu „§ 279 Civilného mimosporového poriadku“ citáciou „§ 4 zákona č. 29/2026 Z. z. o obchodnom registri“.</w:t>
              <w:br/>
            </w:r>
            <w:r>
              <w:rPr>
                <w:b w:val="off"/>
                <w:color w:val="000000"/>
                <w:rFonts w:ascii="Times New Roman" w:hAnsi="Times New Roman" w:cs="Times New Roman" w:eastAsia="Times New Roman"/>
                <w:sz w:val="24"/>
              </w:rPr>
              <w:t>5.	K § 18 ods. 6 písm. e) a § 18 ods. 18 – poznámka pod čiarou k odkazu 27b</w:t>
              <w:br/>
            </w:r>
            <w:r>
              <w:rPr>
                <w:b w:val="off"/>
                <w:color w:val="000000"/>
                <w:rFonts w:ascii="Times New Roman" w:hAnsi="Times New Roman" w:cs="Times New Roman" w:eastAsia="Times New Roman"/>
                <w:sz w:val="24"/>
              </w:rPr>
              <w:t>Navrhujeme v poznámke pod čiarou k odkazu 27b nahradiť citáciu zákona č. 530/2003 Z. z. citáciou zákona č. 29/2026 Z. z. o obchodnom registri.</w:t>
              <w:br/>
            </w:r>
            <w:r>
              <w:rPr>
                <w:b w:val="off"/>
                <w:color w:val="000000"/>
                <w:rFonts w:ascii="Times New Roman" w:hAnsi="Times New Roman" w:cs="Times New Roman" w:eastAsia="Times New Roman"/>
                <w:sz w:val="24"/>
              </w:rPr>
              <w:t>6.	K § 31 ods. 1 písm. b) Navrhujeme aktualizovať poznámku pod čiarou k odkazu 34 tak, že sa citácia „§ 3a a § 27 Obchodného zákonníka“ nahradí citáciou „§ 16 Občianskeho zákonníka“ a citácia zákona č. 530/2003 Z. z. sa nahradí citáciou zákona č. 29/2026 Z. z. o obchodnom registri.</w:t>
              <w:br/>
            </w:r>
            <w:r>
              <w:rPr>
                <w:b w:val="off"/>
                <w:color w:val="000000"/>
                <w:rFonts w:ascii="Times New Roman" w:hAnsi="Times New Roman" w:cs="Times New Roman" w:eastAsia="Times New Roman"/>
                <w:sz w:val="24"/>
              </w:rPr>
              <w:t>7.	K § 33 ods. 21  -poznámka pod čiarou k odkazu 40</w:t>
              <w:br/>
            </w:r>
            <w:r>
              <w:rPr>
                <w:b w:val="off"/>
                <w:color w:val="000000"/>
                <w:rFonts w:ascii="Times New Roman" w:hAnsi="Times New Roman" w:cs="Times New Roman" w:eastAsia="Times New Roman"/>
                <w:sz w:val="24"/>
              </w:rPr>
              <w:t>Navrhujeme v poznámke pod čiarou k odkazu 40 nahradiť citáciu „§ 792a a 793 Občianskeho zákonníka“ citáciou „§ 70 ods. 1 písm. b) a ods. 4 a § 164 zákona č. 39/2015 Z. z. o poisťovníctve a o zmene a doplnení niektorých zákonov v znení zákona č. .../2026 Z. z.“.</w:t>
              <w:br/>
            </w:r>
            <w:r>
              <w:rPr>
                <w:b w:val="off"/>
                <w:color w:val="000000"/>
                <w:rFonts w:ascii="Times New Roman" w:hAnsi="Times New Roman" w:cs="Times New Roman" w:eastAsia="Times New Roman"/>
                <w:sz w:val="24"/>
              </w:rPr>
              <w:t>Zároveň navrhujeme z uvedenej poznámky pod čiarou vypustiť odkaz na § 3 ods. 3 až 8 zákona č. 258/2001 Z. z., ktorý bol zrušený.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Poznámka pod čiarou k odkazu 8 cituje zákon č. 594/2003 Z. z. o kolektívnom investovaní, ktorý bol zrušený zákonom č. 203/2011 Z. z. Navrhovaná zmena má legislatívno-technický charakter.</w:t>
              <w:br/>
            </w:r>
            <w:r>
              <w:rPr>
                <w:b w:val="off"/>
                <w:color w:val="000000"/>
                <w:rFonts w:ascii="Times New Roman" w:hAnsi="Times New Roman" w:cs="Times New Roman" w:eastAsia="Times New Roman"/>
                <w:sz w:val="24"/>
              </w:rPr>
              <w:t>K bodom 2 a 3:</w:t>
              <w:br/>
            </w:r>
            <w:r>
              <w:rPr>
                <w:b w:val="off"/>
                <w:color w:val="000000"/>
                <w:rFonts w:ascii="Times New Roman" w:hAnsi="Times New Roman" w:cs="Times New Roman" w:eastAsia="Times New Roman"/>
                <w:sz w:val="24"/>
              </w:rPr>
              <w:t>Rekodifikáciou súkromného práva dochádza k zjednoteniu občianskoprávnej a obchodnoprávnej úpravy záväzkových vzťahov v Občianskom zákonníku.</w:t>
              <w:br/>
            </w:r>
            <w:r>
              <w:rPr>
                <w:b w:val="off"/>
                <w:color w:val="000000"/>
                <w:rFonts w:ascii="Times New Roman" w:hAnsi="Times New Roman" w:cs="Times New Roman" w:eastAsia="Times New Roman"/>
                <w:sz w:val="24"/>
              </w:rPr>
              <w:t>Z uvedeného dôvodu považujeme za potrebné terminologicky zosúladiť ustanovenia zákona č. 186/2009 Z. z., ktoré používajú pojem „obchodnoprávny vzťah“ pri vymedzení odborného garanta a pri úprave povinnosti zabezpečiť jeho nahradenie.</w:t>
              <w:br/>
            </w:r>
            <w:r>
              <w:rPr>
                <w:b w:val="off"/>
                <w:color w:val="000000"/>
                <w:rFonts w:ascii="Times New Roman" w:hAnsi="Times New Roman" w:cs="Times New Roman" w:eastAsia="Times New Roman"/>
                <w:sz w:val="24"/>
              </w:rPr>
              <w:t>Navrhované zmeny zachovávajú možnosť vykonávať činnosť odborného garanta v pracovnoprávnom vzťahu, ako aj na základe iného právneho vzťahu. Zároveň zabezpečujú terminologickú jednotnosť § 4 písm. l) a § 18 ods. 11.</w:t>
              <w:br/>
            </w:r>
            <w:r>
              <w:rPr>
                <w:b w:val="off"/>
                <w:color w:val="000000"/>
                <w:rFonts w:ascii="Times New Roman" w:hAnsi="Times New Roman" w:cs="Times New Roman" w:eastAsia="Times New Roman"/>
                <w:sz w:val="24"/>
              </w:rPr>
              <w:t>Účelom navrhovanej úpravy nie je rozšírenie ani obmedzenie okruhu osôb oprávnených vykonávať činnosť odborného garanta ani zmena povinností finančných agentov a finančných poradcov súvisiacich so zabezpečením výkonu tejto funkcie.</w:t>
              <w:br/>
            </w:r>
            <w:r>
              <w:rPr>
                <w:b w:val="off"/>
                <w:color w:val="000000"/>
                <w:rFonts w:ascii="Times New Roman" w:hAnsi="Times New Roman" w:cs="Times New Roman" w:eastAsia="Times New Roman"/>
                <w:sz w:val="24"/>
              </w:rPr>
              <w:t>K bodom 4 a 5:</w:t>
              <w:br/>
            </w:r>
            <w:r>
              <w:rPr>
                <w:b w:val="off"/>
                <w:color w:val="000000"/>
                <w:rFonts w:ascii="Times New Roman" w:hAnsi="Times New Roman" w:cs="Times New Roman" w:eastAsia="Times New Roman"/>
                <w:sz w:val="24"/>
              </w:rPr>
              <w:t>V súvislosti s nadobudnutím účinnosti zákona č. 29/2026 Z. z. o obchodnom registri od 17. augusta 2026 došlo k zmene právnej úpravy vedenia obchodného registra a registračných konaní.</w:t>
              <w:br/>
            </w:r>
            <w:r>
              <w:rPr>
                <w:b w:val="off"/>
                <w:color w:val="000000"/>
                <w:rFonts w:ascii="Times New Roman" w:hAnsi="Times New Roman" w:cs="Times New Roman" w:eastAsia="Times New Roman"/>
                <w:sz w:val="24"/>
              </w:rPr>
              <w:t>Uvedeným zákonom bol zrušený zákon č. 530/2003 Z. z. o obchodnom registri a zároveň bola z Civilného mimosporového poriadku vypustená právna úprava konania vo veciach obchodného registra vrátane § 279.</w:t>
              <w:br/>
            </w:r>
            <w:r>
              <w:rPr>
                <w:b w:val="off"/>
                <w:color w:val="000000"/>
                <w:rFonts w:ascii="Times New Roman" w:hAnsi="Times New Roman" w:cs="Times New Roman" w:eastAsia="Times New Roman"/>
                <w:sz w:val="24"/>
              </w:rPr>
              <w:t>Z uvedeného dôvodu navrhujeme aktualizovať poznámky pod čiarou k odkazom 27a a 27b tak, aby odkazovali na účinné ustanovenia zákona č. 29/2026 Z. z.</w:t>
              <w:br/>
            </w:r>
            <w:r>
              <w:rPr>
                <w:b w:val="off"/>
                <w:color w:val="000000"/>
                <w:rFonts w:ascii="Times New Roman" w:hAnsi="Times New Roman" w:cs="Times New Roman" w:eastAsia="Times New Roman"/>
                <w:sz w:val="24"/>
              </w:rPr>
              <w:t>Navrhované zmeny majú legislatívno-technický charakter a nemenia povinnosti finančných agentov a finančných poradcov v súvislosti so zápisom povolenej činnosti do obchodného registra.</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V súvislosti s rekodifikáciou súkromného práva sa právna úprava obchodných dokumentov obsiahnutá v § 3a Obchodného zákonníka presúva do § 16 Občianskeho zákonníka.</w:t>
              <w:br/>
            </w:r>
            <w:r>
              <w:rPr>
                <w:b w:val="off"/>
                <w:color w:val="000000"/>
                <w:rFonts w:ascii="Times New Roman" w:hAnsi="Times New Roman" w:cs="Times New Roman" w:eastAsia="Times New Roman"/>
                <w:sz w:val="24"/>
              </w:rPr>
              <w:t>Zároveň v súvislosti s prijatím zákona č. 29/2026 Z. z. o obchodnom registri došlo k zmene právnej úpravy obchodného registra.</w:t>
              <w:br/>
            </w:r>
            <w:r>
              <w:rPr>
                <w:b w:val="off"/>
                <w:color w:val="000000"/>
                <w:rFonts w:ascii="Times New Roman" w:hAnsi="Times New Roman" w:cs="Times New Roman" w:eastAsia="Times New Roman"/>
                <w:sz w:val="24"/>
              </w:rPr>
              <w:t>Z uvedených dôvodov navrhujeme aktualizovať poznámku pod čiarou k odkazu 34 tak, aby zodpovedala novej právnej úprave.</w:t>
              <w:br/>
            </w:r>
            <w:r>
              <w:rPr>
                <w:b w:val="off"/>
                <w:color w:val="000000"/>
                <w:rFonts w:ascii="Times New Roman" w:hAnsi="Times New Roman" w:cs="Times New Roman" w:eastAsia="Times New Roman"/>
                <w:sz w:val="24"/>
              </w:rPr>
              <w:t>Samotné ustanovenie § 31 ods. 1 písm. b) považujeme za dostatočne všeobecné a jeho zmenu nenavrhujeme.</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Ustanovenie § 33 ods. 21 zákona č. 186/2009 Z. z. zachováva uplatňovanie informačných povinností vyplývajúcich z osobitných právnych predpisov popri informačných povinnostiach upravených zákonom o finančnom sprostredkovaní a finančnom poradenstve.</w:t>
              <w:br/>
            </w:r>
            <w:r>
              <w:rPr>
                <w:b w:val="off"/>
                <w:color w:val="000000"/>
                <w:rFonts w:ascii="Times New Roman" w:hAnsi="Times New Roman" w:cs="Times New Roman" w:eastAsia="Times New Roman"/>
                <w:sz w:val="24"/>
              </w:rPr>
              <w:t>Poznámka pod čiarou k odkazu 40 obsahuje odkazy na § 792a a § 793 doterajšieho Občianskeho zákonníka. V súvislosti s rekodifikáciou súkromného práva je potrebné uvedené odkazy zosúladiť s novou právnou úpravou poistnej zmluvy.</w:t>
              <w:br/>
            </w:r>
            <w:r>
              <w:rPr>
                <w:b w:val="off"/>
                <w:color w:val="000000"/>
                <w:rFonts w:ascii="Times New Roman" w:hAnsi="Times New Roman" w:cs="Times New Roman" w:eastAsia="Times New Roman"/>
                <w:sz w:val="24"/>
              </w:rPr>
              <w:t>Vzhľadom na predmet § 33 ods. 21 považujeme za vhodné odkázať najmä na osobitnú právnu úpravu predzmluvných informačných povinností poisťovateľa podľa § 70 zákona č. 39/2015 Z. z. o poisťovníctve.</w:t>
              <w:br/>
            </w:r>
            <w:r>
              <w:rPr>
                <w:b w:val="off"/>
                <w:color w:val="000000"/>
                <w:rFonts w:ascii="Times New Roman" w:hAnsi="Times New Roman" w:cs="Times New Roman" w:eastAsia="Times New Roman"/>
                <w:sz w:val="24"/>
              </w:rPr>
              <w:t>Navrhujeme zároveň vypustiť odkaz na zrušený zákon č. 258/2001 Z. z.</w:t>
              <w:br/>
            </w:r>
            <w:r>
              <w:rPr>
                <w:b w:val="off"/>
                <w:color w:val="000000"/>
                <w:rFonts w:ascii="Times New Roman" w:hAnsi="Times New Roman" w:cs="Times New Roman" w:eastAsia="Times New Roman"/>
                <w:sz w:val="24"/>
              </w:rPr>
              <w:t>Navrhovaná zmena má legislatívno-technický charakter a jej účelom nie je meniť rozsah informačných povinností pri distribúcii poistných produktov.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 – čl. IV bod 5 (§ 4a ods. 3 daňového poriadku), čl. V bod 8 (§ 63 ods. 4 CSP), čl. LXII bod 2 [§ 1 ods. 3 písm. b) zákona o účtovníctve], čl. LXXVI (body 42 a 43 zákona o dani z príjmov), LXXXV (bod 9 zákona o dani z pridanej hodnoty), CXXXIX (body 5 až 13 zákona o spotrebnej dani z alkoholických nápojov), CLV (bod 2 zákona o dani z motorových vozidiel) a CCXIII (bod 1 zákona o dani zo sladených nealkoholických nápojov): Všeobecne k postaveniu notára ako súdneho komisára: navrhujeme z celého návrhu zákona vypustiť ustanovenia, podľa ktorých notár ako súdny komisár vykonáva funkciu správcu dedičstva na účely správy daní alebo je „správcom dedičstva“ na účely osobitných predpisov, a to</w:t>
              <w:br/>
            </w:r>
            <w:r>
              <w:rPr>
                <w:b w:val="off"/>
                <w:color w:val="000000"/>
                <w:rFonts w:ascii="Times New Roman" w:hAnsi="Times New Roman" w:cs="Times New Roman" w:eastAsia="Times New Roman"/>
                <w:sz w:val="24"/>
              </w:rPr>
              <w:t>a) v čl. IV bode 5 v § 4a vypustiť odsek 3 (bližšie bod 5),</w:t>
              <w:br/>
            </w:r>
            <w:r>
              <w:rPr>
                <w:b w:val="off"/>
                <w:color w:val="000000"/>
                <w:rFonts w:ascii="Times New Roman" w:hAnsi="Times New Roman" w:cs="Times New Roman" w:eastAsia="Times New Roman"/>
                <w:sz w:val="24"/>
              </w:rPr>
              <w:t>b) v čl. LXII  (62) bode 2 v § 1 ods. 3 písm. b) vypustiť slová „alebo notára ako súdneho komisára“ (bližšie bod 36),</w:t>
              <w:br/>
            </w:r>
            <w:r>
              <w:rPr>
                <w:b w:val="off"/>
                <w:color w:val="000000"/>
                <w:rFonts w:ascii="Times New Roman" w:hAnsi="Times New Roman" w:cs="Times New Roman" w:eastAsia="Times New Roman"/>
                <w:sz w:val="24"/>
              </w:rPr>
              <w:t>c) ustanovenia čl. LXXVI, LXXXV, CXXXIX, CLV a CCXIII, ktoré nadväzujú na § 4a daňového poriadku, uplatňovať výlučne vo vzťahu k správcovi dedičstva na účely správy daní podľa § 4a ods. 1 a 2 daňového poriadku (bližšie bod 58).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 viacerých miestach (§ 4a ods. 3 daňového poriadku, § 1 ods. 3 písm. b) zákona o účtovníctve a nadväzujúce ustanovenia daňových predpisov) zveruje notárovi ako súdnemu komisárovi postavenie správcu dedičstva, hoci schválený Občiansky zákonník také postavenie notára nepozná. Správu dedičstva vykonáva správca ustanovený poručiteľom (§ 1855 OZ) alebo súdom (§ 1856 OZ), a ak nie je ustanovený, dedičia spoločne (§ 1858 OZ). Sám návrh v čl. VI bode 14 (§ 183 ods. 1 CMP) vylučuje, aby správcom dedičstva bol notár, ktorý je v tom istom konaní súdnym komisárom.</w:t>
              <w:br/>
            </w:r>
            <w:r>
              <w:rPr>
                <w:b w:val="off"/>
                <w:color w:val="000000"/>
                <w:rFonts w:ascii="Times New Roman" w:hAnsi="Times New Roman" w:cs="Times New Roman" w:eastAsia="Times New Roman"/>
                <w:sz w:val="24"/>
              </w:rPr>
              <w:t>Notár ako súdny komisár vykonáva úkony súdu (§ 161 a nasl. CMP) a musí byť nestranný voči všetkým účastníkom vrátane veriteľov poručiteľa, ktorým je spravidla aj štát zastúpený správcom dane. Návrh by ho postavil do pozície, v ktorej by voči tomu istému veriteľovi plnil povinnosti daňového subjektu, podával daňové priznania, plnil oznamovacie povinnosti a zároveň posudzoval pohľadávky tohto veriteľa v konaní o dedičstve; podľa navrhovaného § 63 ods. 4 CSP by sa navyše dostal do postavenia sporovej strany. Súdny komisár nemá k majetku poručiteľa dispozičné oprávnenie, nemá prístup k jeho účtovníctvu, daňovej evidencii, elektronickej schránke ani k bankovým účtom a nemá prostriedky na úhradu daní.</w:t>
              <w:br/>
            </w:r>
            <w:r>
              <w:rPr>
                <w:b w:val="off"/>
                <w:color w:val="000000"/>
                <w:rFonts w:ascii="Times New Roman" w:hAnsi="Times New Roman" w:cs="Times New Roman" w:eastAsia="Times New Roman"/>
                <w:sz w:val="24"/>
              </w:rPr>
              <w:t xml:space="preserve">Notár ako súdny komisár nie je sudcom, ale koná za súd a jeho úkony sú úkonmi súdu. Jeho poverenie funkciou správcu dedičstva na účely správy daní je preto obdobné, ako keby sudca v konaní o zrušení obchodnej spoločnosti plnil jej daňové povinnosti alebo sudca v konkurze vykonával funkciu správcu konkurznej podstaty. </w:t>
              <w:br/>
            </w:r>
            <w:r>
              <w:rPr>
                <w:b w:val="off"/>
                <w:color w:val="000000"/>
                <w:rFonts w:ascii="Times New Roman" w:hAnsi="Times New Roman" w:cs="Times New Roman" w:eastAsia="Times New Roman"/>
                <w:sz w:val="24"/>
              </w:rPr>
              <w:t>Ide o zásah do postavenia notára ako súdneho komisára, a teda do vecnej pôsobnosti Notárskej komory SR (§ 31 ods. 1 zákona SNR č. 323/1992 Zb.). Pripomienku preto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 – k čl. XXI (NP) – nový § 73n, § 3 ods. 1 písm. d), § 54 ods. 5, § 73k ods. 1; čl. V (CSP) – § 92 ods. 5 a 6, § 471f; čl. VI (CMP) – § 2 ods. 3: Navrhujeme zaviesť Notársky centrálny register plnomocenstiev ako celok, a to týmito zmenami:</w:t>
              <w:br/>
            </w:r>
            <w:r>
              <w:rPr>
                <w:b w:val="off"/>
                <w:color w:val="000000"/>
                <w:rFonts w:ascii="Times New Roman" w:hAnsi="Times New Roman" w:cs="Times New Roman" w:eastAsia="Times New Roman"/>
                <w:sz w:val="24"/>
              </w:rPr>
              <w:t>a) V čl. XXI bod 1 znie:</w:t>
              <w:br/>
            </w:r>
            <w:r>
              <w:rPr>
                <w:b w:val="off"/>
                <w:color w:val="000000"/>
                <w:rFonts w:ascii="Times New Roman" w:hAnsi="Times New Roman" w:cs="Times New Roman" w:eastAsia="Times New Roman"/>
                <w:sz w:val="24"/>
              </w:rPr>
              <w:t>„1. V § 3 ods. 1 písm. d) sa text „73k“ nahrádza textom „73n“.“.</w:t>
              <w:br/>
            </w:r>
            <w:r>
              <w:rPr>
                <w:b w:val="off"/>
                <w:color w:val="000000"/>
                <w:rFonts w:ascii="Times New Roman" w:hAnsi="Times New Roman" w:cs="Times New Roman" w:eastAsia="Times New Roman"/>
                <w:sz w:val="24"/>
              </w:rPr>
              <w:t>b) V čl. XXI bode 14 sa za § 73m vkladá § 73n, ktorý vrátane nadpisu znie:</w:t>
              <w:br/>
            </w:r>
            <w:r>
              <w:rPr>
                <w:b w:val="off"/>
                <w:color w:val="000000"/>
                <w:rFonts w:ascii="Times New Roman" w:hAnsi="Times New Roman" w:cs="Times New Roman" w:eastAsia="Times New Roman"/>
                <w:sz w:val="24"/>
              </w:rPr>
              <w:t>„§ 73n</w:t>
              <w:br/>
            </w:r>
            <w:r>
              <w:rPr>
                <w:b w:val="off"/>
                <w:color w:val="000000"/>
                <w:rFonts w:ascii="Times New Roman" w:hAnsi="Times New Roman" w:cs="Times New Roman" w:eastAsia="Times New Roman"/>
                <w:sz w:val="24"/>
              </w:rPr>
              <w:t>Notársky centrálny register plnomocenstiev</w:t>
              <w:br/>
            </w:r>
            <w:r>
              <w:rPr>
                <w:b w:val="off"/>
                <w:color w:val="000000"/>
                <w:rFonts w:ascii="Times New Roman" w:hAnsi="Times New Roman" w:cs="Times New Roman" w:eastAsia="Times New Roman"/>
                <w:sz w:val="24"/>
              </w:rPr>
              <w:t>(1) Komora vedie register plnomocenstiev, v ktorom sa registrujú plnomocenstvá, ak je ich registrácia podľa osobitného predpisuzz) podmienkou ich účinnosti, a na žiadosť splnomocniteľa aj iné plnomocenstvá.</w:t>
              <w:br/>
            </w:r>
            <w:r>
              <w:rPr>
                <w:b w:val="off"/>
                <w:color w:val="000000"/>
                <w:rFonts w:ascii="Times New Roman" w:hAnsi="Times New Roman" w:cs="Times New Roman" w:eastAsia="Times New Roman"/>
                <w:sz w:val="24"/>
              </w:rPr>
              <w:t>(2) Register plnomocenstiev obsahuje</w:t>
              <w:br/>
            </w:r>
            <w:r>
              <w:rPr>
                <w:b w:val="off"/>
                <w:color w:val="000000"/>
                <w:rFonts w:ascii="Times New Roman" w:hAnsi="Times New Roman" w:cs="Times New Roman" w:eastAsia="Times New Roman"/>
                <w:sz w:val="24"/>
              </w:rPr>
              <w:t>a) meno a priezvisko, dátum narodenia, rodné číslo, ak je pridelené, a adresu trvalého pobytu alebo iného pobytu splnomocniteľa a splnomocnenca, ak ide o fyzické osoby,</w:t>
              <w:br/>
            </w:r>
            <w:r>
              <w:rPr>
                <w:b w:val="off"/>
                <w:color w:val="000000"/>
                <w:rFonts w:ascii="Times New Roman" w:hAnsi="Times New Roman" w:cs="Times New Roman" w:eastAsia="Times New Roman"/>
                <w:sz w:val="24"/>
              </w:rPr>
              <w:t>b) názov alebo obchodné meno, identifikačné číslo organizácie, ak je pridelené, a sídlo splnomocniteľa a splnomocnenca, ak ide o právnické osoby,</w:t>
              <w:br/>
            </w:r>
            <w:r>
              <w:rPr>
                <w:b w:val="off"/>
                <w:color w:val="000000"/>
                <w:rFonts w:ascii="Times New Roman" w:hAnsi="Times New Roman" w:cs="Times New Roman" w:eastAsia="Times New Roman"/>
                <w:sz w:val="24"/>
              </w:rPr>
              <w:t>c) rozsah oprávnenia splnomocnenca na zastupovanie a spôsob konania splnomocnencov, ak bolo plnomocenstvo udelené viacerým splnomocnencom,</w:t>
              <w:br/>
            </w:r>
            <w:r>
              <w:rPr>
                <w:b w:val="off"/>
                <w:color w:val="000000"/>
                <w:rFonts w:ascii="Times New Roman" w:hAnsi="Times New Roman" w:cs="Times New Roman" w:eastAsia="Times New Roman"/>
                <w:sz w:val="24"/>
              </w:rPr>
              <w:t>d) deň, od ktorého má byť plnomocenstvo podľa svojho obsahu účinné, ak je určený, a dobu jeho trvania, ak je určená,</w:t>
              <w:br/>
            </w:r>
            <w:r>
              <w:rPr>
                <w:b w:val="off"/>
                <w:color w:val="000000"/>
                <w:rFonts w:ascii="Times New Roman" w:hAnsi="Times New Roman" w:cs="Times New Roman" w:eastAsia="Times New Roman"/>
                <w:sz w:val="24"/>
              </w:rPr>
              <w:t>e) deň a čas registrácie plnomocenstva do registra plnomocenstiev,</w:t>
              <w:br/>
            </w:r>
            <w:r>
              <w:rPr>
                <w:b w:val="off"/>
                <w:color w:val="000000"/>
                <w:rFonts w:ascii="Times New Roman" w:hAnsi="Times New Roman" w:cs="Times New Roman" w:eastAsia="Times New Roman"/>
                <w:sz w:val="24"/>
              </w:rPr>
              <w:t>f) údaj o zmene alebo obmedzení plnomocenstva, v rozsahu deň, keď táto skutočnosť nastala, ak ho možno zistiť, a deň a čas jej registrácie do registra plnomocenstiev,</w:t>
              <w:br/>
            </w:r>
            <w:r>
              <w:rPr>
                <w:b w:val="off"/>
                <w:color w:val="000000"/>
                <w:rFonts w:ascii="Times New Roman" w:hAnsi="Times New Roman" w:cs="Times New Roman" w:eastAsia="Times New Roman"/>
                <w:sz w:val="24"/>
              </w:rPr>
              <w:t>g) údaj o zániku plnomocenstva, dôvod a deň jeho zániku, ak ich možno zistiť, a deň a čas registrácie zániku do registra plnomocenstiev,</w:t>
              <w:br/>
            </w:r>
            <w:r>
              <w:rPr>
                <w:b w:val="off"/>
                <w:color w:val="000000"/>
                <w:rFonts w:ascii="Times New Roman" w:hAnsi="Times New Roman" w:cs="Times New Roman" w:eastAsia="Times New Roman"/>
                <w:sz w:val="24"/>
              </w:rPr>
              <w:t>h) označenie notára, ktorý registráciu vykonal.</w:t>
              <w:br/>
            </w:r>
            <w:r>
              <w:rPr>
                <w:b w:val="off"/>
                <w:color w:val="000000"/>
                <w:rFonts w:ascii="Times New Roman" w:hAnsi="Times New Roman" w:cs="Times New Roman" w:eastAsia="Times New Roman"/>
                <w:sz w:val="24"/>
              </w:rPr>
              <w:t>(3) Plnomocenstvo registruje notár na žiadosť splnomocniteľa. O registráciu môže požiadať aj splnomocnenec, ak je pravosť podpisu splnomocniteľa na plnomocenstve v listinnej podobe úradne osvedčená alebo ak je plnomocenstvo v elektronickej podobe podpísané kvalifikovaným elektronickým podpisom s kvalifikovanou elektronickou časovou pečiatkou splnomocniteľa alebo osoby oprávnenej konať v jeho mene. Žiadateľ preukáže notárovi svoju totožnosť; ak za žiadateľa koná iná osoba, preukáže aj svoje oprávnenie konať za žiadateľa. Notár pred registráciou overí splnenie podmienok podľa druhej vety a zisťuje, či plnomocenstvo obsahuje údaje potrebné na registráciu podľa odseku 2 písm. a) až d).</w:t>
              <w:br/>
            </w:r>
            <w:r>
              <w:rPr>
                <w:b w:val="off"/>
                <w:color w:val="000000"/>
                <w:rFonts w:ascii="Times New Roman" w:hAnsi="Times New Roman" w:cs="Times New Roman" w:eastAsia="Times New Roman"/>
                <w:sz w:val="24"/>
              </w:rPr>
              <w:t>(4) Registráciou do registra plnomocenstiev notár neosvedčuje platnosť listiny ani pravdivosť skutočností uvádzaných v registrovanej listine; tým nie je dotknutá jeho povinnosť overiť skutočnosti podľa odseku 3 ani zodpovednosť za správnosť vykonanej registrácie. O vykonaní registrácie vydá notár žiadateľovi potvrdenie.</w:t>
              <w:br/>
            </w:r>
            <w:r>
              <w:rPr>
                <w:b w:val="off"/>
                <w:color w:val="000000"/>
                <w:rFonts w:ascii="Times New Roman" w:hAnsi="Times New Roman" w:cs="Times New Roman" w:eastAsia="Times New Roman"/>
                <w:sz w:val="24"/>
              </w:rPr>
              <w:t>(5) Listiny, ktorých obsahom sú právne úkony registrované do registra plnomocenstiev spísané vo forme notárskej zápisnice, zaregistruje do registra plnomocenstiev notár, ktorý notársku zápisnicu spísal, v deň jej podpísania.</w:t>
              <w:br/>
            </w:r>
            <w:r>
              <w:rPr>
                <w:b w:val="off"/>
                <w:color w:val="000000"/>
                <w:rFonts w:ascii="Times New Roman" w:hAnsi="Times New Roman" w:cs="Times New Roman" w:eastAsia="Times New Roman"/>
                <w:sz w:val="24"/>
              </w:rPr>
              <w:t>(6) Notár na žiadosť splnomocniteľa zaregistruje zmenu, obmedzenie alebo odvolanie plnomocenstva; výpoveď plnomocenstva zaregistruje na žiadosť splnomocnenca. Iný dôvod zániku plnomocenstva zaregistruje na žiadosť osoby, ktorá tento dôvod hodnoverne preukáže a osvedčí právny záujem na registrácii. Žiadateľ predloží listinu preukazujúcu skutočnosť, o ktorej registráciu žiada. Na preukázanie totožnosti žiadateľa a oprávnenia osoby konať za žiadateľa sa odsek 3 použije primerane.</w:t>
              <w:br/>
            </w:r>
            <w:r>
              <w:rPr>
                <w:b w:val="off"/>
                <w:color w:val="000000"/>
                <w:rFonts w:ascii="Times New Roman" w:hAnsi="Times New Roman" w:cs="Times New Roman" w:eastAsia="Times New Roman"/>
                <w:sz w:val="24"/>
              </w:rPr>
              <w:t>(7) Listiny, na základe ktorých notár vykonal registráciu plnomocenstva alebo registráciu skutočnosti podľa odseku 6, sa ukladajú do registra plnomocenstiev v elektronickej podobe. Ak je listina predložená v elektronickej podobe, uchováva sa v podobe umožňujúcej overiť jej autorizáciu.</w:t>
              <w:br/>
            </w:r>
            <w:r>
              <w:rPr>
                <w:b w:val="off"/>
                <w:color w:val="000000"/>
                <w:rFonts w:ascii="Times New Roman" w:hAnsi="Times New Roman" w:cs="Times New Roman" w:eastAsia="Times New Roman"/>
                <w:sz w:val="24"/>
              </w:rPr>
              <w:t>(8) Údaje registrované v registri plnomocenstiev sa uchovávajú aj po ich zmene alebo po zániku plnomocenstva tak, aby bolo možné zistiť stav registrácie ku konkrétnemu dňu a času.</w:t>
              <w:br/>
            </w:r>
            <w:r>
              <w:rPr>
                <w:b w:val="off"/>
                <w:color w:val="000000"/>
                <w:rFonts w:ascii="Times New Roman" w:hAnsi="Times New Roman" w:cs="Times New Roman" w:eastAsia="Times New Roman"/>
                <w:sz w:val="24"/>
              </w:rPr>
              <w:t>(9) Splnomocniteľovi a splnomocnencovi notár na ich žiadosť sprístupní údaje a listiny týkajúce sa ich plnomocenstva uložené v registri plnomocenstiev. Súdu sa tieto údaje a listiny sprístupnia na účely konania, v ktorom sa splnomocnenec dovoláva oprávnenia zastupovať. Inej osobe notár na požiadanie vydá výpis z registra plnomocenstiev v rozsahu údajov potrebných na overenie existencie, rozsahu a trvania oprávnenia na zastupovanie.“.</w:t>
              <w:br/>
            </w:r>
            <w:r>
              <w:rPr>
                <w:b w:val="off"/>
                <w:color w:val="000000"/>
                <w:rFonts w:ascii="Times New Roman" w:hAnsi="Times New Roman" w:cs="Times New Roman" w:eastAsia="Times New Roman"/>
                <w:sz w:val="24"/>
              </w:rPr>
              <w:t>Poznámka pod čiarou k odkazu ZZ znie:</w:t>
              <w:br/>
            </w:r>
            <w:r>
              <w:rPr>
                <w:b w:val="off"/>
                <w:color w:val="000000"/>
                <w:rFonts w:ascii="Times New Roman" w:hAnsi="Times New Roman" w:cs="Times New Roman" w:eastAsia="Times New Roman"/>
                <w:sz w:val="24"/>
              </w:rPr>
              <w:t>„ZZ) § 92 ods. 5 Civilného sporového poriadku.“.</w:t>
              <w:br/>
            </w:r>
            <w:r>
              <w:rPr>
                <w:b w:val="off"/>
                <w:color w:val="000000"/>
                <w:rFonts w:ascii="Times New Roman" w:hAnsi="Times New Roman" w:cs="Times New Roman" w:eastAsia="Times New Roman"/>
                <w:sz w:val="24"/>
              </w:rPr>
              <w:t>c) Do čl. XXI sa vkladá nový bod, ktorý znie:</w:t>
              <w:br/>
            </w:r>
            <w:r>
              <w:rPr>
                <w:b w:val="off"/>
                <w:color w:val="000000"/>
                <w:rFonts w:ascii="Times New Roman" w:hAnsi="Times New Roman" w:cs="Times New Roman" w:eastAsia="Times New Roman"/>
                <w:sz w:val="24"/>
              </w:rPr>
              <w:t>„V § 73k ods. 1 sa za slová „spísané notárom“ vkladá čiarka a slová „listiny registrované v registri plnomocenstiev“.“.</w:t>
              <w:br/>
            </w:r>
            <w:r>
              <w:rPr>
                <w:b w:val="off"/>
                <w:color w:val="000000"/>
                <w:rFonts w:ascii="Times New Roman" w:hAnsi="Times New Roman" w:cs="Times New Roman" w:eastAsia="Times New Roman"/>
                <w:sz w:val="24"/>
              </w:rPr>
              <w:t>d) Doplnenie § 54 ods. 5 (register plnomocenstiev) – bod 26.</w:t>
              <w:br/>
            </w:r>
            <w:r>
              <w:rPr>
                <w:b w:val="off"/>
                <w:color w:val="000000"/>
                <w:rFonts w:ascii="Times New Roman" w:hAnsi="Times New Roman" w:cs="Times New Roman" w:eastAsia="Times New Roman"/>
                <w:sz w:val="24"/>
              </w:rPr>
              <w:t>e) Do čl. V sa vkladá nový bod, ktorý znie:</w:t>
              <w:br/>
            </w:r>
            <w:r>
              <w:rPr>
                <w:b w:val="off"/>
                <w:color w:val="000000"/>
                <w:rFonts w:ascii="Times New Roman" w:hAnsi="Times New Roman" w:cs="Times New Roman" w:eastAsia="Times New Roman"/>
                <w:sz w:val="24"/>
              </w:rPr>
              <w:t>„§ 92 sa dopĺňa odsekmi 5 a 6, ktoré znejú:</w:t>
              <w:br/>
            </w:r>
            <w:r>
              <w:rPr>
                <w:b w:val="off"/>
                <w:color w:val="000000"/>
                <w:rFonts w:ascii="Times New Roman" w:hAnsi="Times New Roman" w:cs="Times New Roman" w:eastAsia="Times New Roman"/>
                <w:sz w:val="24"/>
              </w:rPr>
              <w:t>„(5) Splnomocnenie udelené zvolenému zástupcovi na zastupovanie v konaní je účinné najskôr okamihom jeho registrácie v Notárskom centrálnom registri plnomocenstiev podľa osobitného predpisu.xx) Registrácia sa nevyžaduje, ak</w:t>
              <w:br/>
            </w:r>
            <w:r>
              <w:rPr>
                <w:b w:val="off"/>
                <w:color w:val="000000"/>
                <w:rFonts w:ascii="Times New Roman" w:hAnsi="Times New Roman" w:cs="Times New Roman" w:eastAsia="Times New Roman"/>
                <w:sz w:val="24"/>
              </w:rPr>
              <w:t>a) je zvoleným zástupcom advokát; to platí aj vtedy, ak advokáta pri zastupovaní strany alebo pri jednotlivých úkonoch zastupuje iná osoba podľa osobitného predpisu,yy) alebo</w:t>
              <w:br/>
            </w:r>
            <w:r>
              <w:rPr>
                <w:b w:val="off"/>
                <w:color w:val="000000"/>
                <w:rFonts w:ascii="Times New Roman" w:hAnsi="Times New Roman" w:cs="Times New Roman" w:eastAsia="Times New Roman"/>
                <w:sz w:val="24"/>
              </w:rPr>
              <w:t>b) je zvoleným zástupcom iná strana toho istého konania.</w:t>
              <w:br/>
            </w:r>
            <w:r>
              <w:rPr>
                <w:b w:val="off"/>
                <w:color w:val="000000"/>
                <w:rFonts w:ascii="Times New Roman" w:hAnsi="Times New Roman" w:cs="Times New Roman" w:eastAsia="Times New Roman"/>
                <w:sz w:val="24"/>
              </w:rPr>
              <w:t>(6) Ak sa podľa odseku 5 vyžaduje registrácia splnomocnenia, súd overí, či bolo splnomocnenie v čase vykonania procesného úkonu zástupcom registrované v Notárskom centrálnom registri plnomocenstiev. Na procesný úkon vykonaný zástupcom pred registráciou splnomocnenia súd neprihliada.“.</w:t>
              <w:br/>
            </w:r>
            <w:r>
              <w:rPr>
                <w:b w:val="off"/>
                <w:color w:val="000000"/>
                <w:rFonts w:ascii="Times New Roman" w:hAnsi="Times New Roman" w:cs="Times New Roman" w:eastAsia="Times New Roman"/>
                <w:sz w:val="24"/>
              </w:rPr>
              <w:t>Poznámky pod čiarou k odkazom XX a YY znejú:</w:t>
              <w:br/>
            </w:r>
            <w:r>
              <w:rPr>
                <w:b w:val="off"/>
                <w:color w:val="000000"/>
                <w:rFonts w:ascii="Times New Roman" w:hAnsi="Times New Roman" w:cs="Times New Roman" w:eastAsia="Times New Roman"/>
                <w:sz w:val="24"/>
              </w:rPr>
              <w:t>„XX) § 73n zákona Slovenskej národnej rady č. 323/1992 Zb. o notároch a notárskej činnosti (Notársky poriadok) v znení neskorších predpisov.</w:t>
              <w:br/>
            </w:r>
            <w:r>
              <w:rPr>
                <w:b w:val="off"/>
                <w:color w:val="000000"/>
                <w:rFonts w:ascii="Times New Roman" w:hAnsi="Times New Roman" w:cs="Times New Roman" w:eastAsia="Times New Roman"/>
                <w:sz w:val="24"/>
              </w:rPr>
              <w:t>YY) § 16 zákona č. 586/2003 Z. z. o advokácii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f) V čl. V bode 30 sa doterajší text § 471f označuje ako odsek 1 a dopĺňa sa odsekom 2, ktorý znie:</w:t>
              <w:br/>
            </w:r>
            <w:r>
              <w:rPr>
                <w:b w:val="off"/>
                <w:color w:val="000000"/>
                <w:rFonts w:ascii="Times New Roman" w:hAnsi="Times New Roman" w:cs="Times New Roman" w:eastAsia="Times New Roman"/>
                <w:sz w:val="24"/>
              </w:rPr>
              <w:t>„(2) Na splnomocnenie udelené pred 1. júlom 2027, ktoré bolo pred týmto dňom predložené súdu v začatom konaní, sa § 92 ods. 5 a 6 nepoužijú do právoplatného skončenia tohto konania. Na splnomocnenie udelené od 1. júla 2027 sa § 92 ods. 5 a 6 použijú.“.</w:t>
              <w:br/>
            </w:r>
            <w:r>
              <w:rPr>
                <w:b w:val="off"/>
                <w:color w:val="000000"/>
                <w:rFonts w:ascii="Times New Roman" w:hAnsi="Times New Roman" w:cs="Times New Roman" w:eastAsia="Times New Roman"/>
                <w:sz w:val="24"/>
              </w:rPr>
              <w:t>g) Do čl. VI sa vkladá nový bod, ktorý znie:</w:t>
              <w:br/>
            </w:r>
            <w:r>
              <w:rPr>
                <w:b w:val="off"/>
                <w:color w:val="000000"/>
                <w:rFonts w:ascii="Times New Roman" w:hAnsi="Times New Roman" w:cs="Times New Roman" w:eastAsia="Times New Roman"/>
                <w:sz w:val="24"/>
              </w:rPr>
              <w:t>„§ 2 sa dopĺňa odsekom 3, ktorý znie:</w:t>
              <w:br/>
            </w:r>
            <w:r>
              <w:rPr>
                <w:b w:val="off"/>
                <w:color w:val="000000"/>
                <w:rFonts w:ascii="Times New Roman" w:hAnsi="Times New Roman" w:cs="Times New Roman" w:eastAsia="Times New Roman"/>
                <w:sz w:val="24"/>
              </w:rPr>
              <w:t>„(3) Na zastupovanie v konaní podľa tohto zákona sa ustanovenia § 92 ods. 5 a 6 Civilného sporového poriadku nepoužijú.“.“.</w:t>
              <w:br/>
            </w:r>
            <w:r>
              <w:rPr>
                <w:b w:val="off"/>
                <w:color w:val="000000"/>
                <w:rFonts w:ascii="Times New Roman" w:hAnsi="Times New Roman" w:cs="Times New Roman" w:eastAsia="Times New Roman"/>
                <w:sz w:val="24"/>
              </w:rPr>
              <w:t>Ostatné body v čl. V, VI a XXI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Notárska komora SR navrhla zriadenie Notárskeho centrálneho registra plnomocenstiev už v rámci pripomienok k Novému Občianskemu zákonníku; návrh nebol akceptovaný s tým, že bude možné sa k nemu vrátiť po prijatí Nového Občianskeho zákonníka. Preto ho uplatňujeme v pripomienkovom konaní ako celok. Keďže sa Občiansky zákonník v tomto návrhu nemení, register sa zriaďuje v Notárskom poriadku a podmienka registrácie sa ustanovuje len pre procesné splnomocnenia v Civilnom sporovom poriadku.</w:t>
              <w:br/>
            </w:r>
            <w:r>
              <w:rPr>
                <w:b w:val="off"/>
                <w:color w:val="000000"/>
                <w:rFonts w:ascii="Times New Roman" w:hAnsi="Times New Roman" w:cs="Times New Roman" w:eastAsia="Times New Roman"/>
                <w:sz w:val="24"/>
              </w:rPr>
              <w:t>Osoba, voči ktorej splnomocnenec koná, dnes vychádza výlučne z predloženej listiny, z ktorej nemožno zistiť, či plnomocenstvo nebolo medzičasom odvolané alebo obmedzené. V súdnom konaní to vedie k sporom o oprávnenie zástupcu, k zneužívaniu plnomocenstiev udelených zraniteľným osobám a k neistote súdu, či zástupca v čase úkonu ešte konať smel. Ak má zákon spájať účinnosť procesného splnomocnenia s registráciou, musí súčasne vytvoriť spoľahlivý spôsob, ako registráciu overiť. Register s historickými údajmi (ods. 8) umožní zistiť stav oprávnenia ku konkrétnemu okamihu, čo má význam pri spätnom posudzovaní úkonov vykonaných v zastúpení.</w:t>
              <w:br/>
            </w:r>
            <w:r>
              <w:rPr>
                <w:b w:val="off"/>
                <w:color w:val="000000"/>
                <w:rFonts w:ascii="Times New Roman" w:hAnsi="Times New Roman" w:cs="Times New Roman" w:eastAsia="Times New Roman"/>
                <w:sz w:val="24"/>
              </w:rPr>
              <w:t>Register umožňuje na žiadosť splnomocniteľa zaregistrovať aj iné plnomocenstvá, najmä všeobecné plnomocenstvá podľa § 113 Občianskeho zákonníka a plnomocenstvá na úkony týkajúce sa nehnuteľností. Registrácia v týchto prípadoch nie je podmienkou účinnosti plnomocenstva, ale umožní tretím osobám overiť jeho existenciu, rozsah a trvanie a uplatní sa na ňu ochrana dôvery v zápis podľa § 73a ods. 2.</w:t>
              <w:br/>
            </w:r>
            <w:r>
              <w:rPr>
                <w:b w:val="off"/>
                <w:color w:val="000000"/>
                <w:rFonts w:ascii="Times New Roman" w:hAnsi="Times New Roman" w:cs="Times New Roman" w:eastAsia="Times New Roman"/>
                <w:sz w:val="24"/>
              </w:rPr>
              <w:t>Registráciu vykonáva notár, ktorý overí totožnosť žiadateľa a jeho oprávnenie; registráciou sa neosvedčuje platnosť plnomocenstva (ods. 4). Prístup tretích osôb je obmedzený na údaje potrebné na overenie existencie, rozsahu a trvania oprávnenia (ods. 9). Úprava nadväzuje na existujúci systém notárskych centrálnych registrov.</w:t>
              <w:br/>
            </w:r>
            <w:r>
              <w:rPr>
                <w:b w:val="off"/>
                <w:color w:val="000000"/>
                <w:rFonts w:ascii="Times New Roman" w:hAnsi="Times New Roman" w:cs="Times New Roman" w:eastAsia="Times New Roman"/>
                <w:sz w:val="24"/>
              </w:rPr>
              <w:t>V Civilnom sporovom poriadku sa ustanovuje, že súd overí registráciu k okamihu vykonania procesného úkonu a na úkony vykonané pred registráciou neprihliada; z povinnosti registrácie sa vyníma zastupovanie advokátom a inou stranou toho istého konania. V Civilnom mimosporovom poriadku sa podmienka registrácie výslovne vylučuje, keďže v mimosporových veciach (starostlivosť o maloletých, opatrovnícke a dedičské konania) treba zabezpečiť rýchly postup a ochranu účastníka a CSP sa v nich použije subsidiárne (§ 2 ods. 1 CMP). Súvisiace legislatívno-technické úpravy sa týkajú § 3 ods. 1 písm. d) a § 73k ods. 1 NP.</w:t>
              <w:br/>
            </w:r>
            <w:r>
              <w:rPr>
                <w:b w:val="off"/>
                <w:color w:val="000000"/>
                <w:rFonts w:ascii="Times New Roman" w:hAnsi="Times New Roman" w:cs="Times New Roman" w:eastAsia="Times New Roman"/>
                <w:sz w:val="24"/>
              </w:rPr>
              <w:t>Ide o rozšírenie notárskych centrálnych registrov vedených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20 § 16a Zákonníka práce</w:t>
              <w:br/>
            </w:r>
            <w:r>
              <w:rPr>
                <w:b w:val="off"/>
                <w:color w:val="000000"/>
                <w:rFonts w:ascii="Times New Roman" w:hAnsi="Times New Roman" w:cs="Times New Roman" w:eastAsia="Times New Roman"/>
                <w:sz w:val="24"/>
              </w:rPr>
              <w:t>Navrhujeme v čl. III bode 20 vypustiť § 16a a zachovať požiadavku notárskej zápisnice v prípadoch podľa § 75 ods. 2 Občianskeho zákonníka.</w:t>
              <w:br/>
            </w:r>
            <w:r>
              <w:rPr>
                <w:b w:val="off"/>
                <w:color w:val="000000"/>
                <w:rFonts w:ascii="Times New Roman" w:hAnsi="Times New Roman" w:cs="Times New Roman" w:eastAsia="Times New Roman"/>
                <w:sz w:val="24"/>
              </w:rPr>
              <w:t>V čl. III bode 20 sa vypúšťa § 16a; nasledujúce vkladané paragrafy sa primerane preznačia a úvodná veta bodu 20 sa primerane upraví.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16a umožňuje v pracovnoprávnych vzťahoch nahradiť notársku zápisnicu, ktorú Občiansky zákonník v § 75 ods. 2 vyžaduje, zápisnicou potvrdenou dvoma súčasne prítomnými zamestnancami zamestnávateľa. Takáto zápisnica neposkytuje rovnocenné záruky nestrannosti, hodnovernosti a právnej istoty: zamestnanci zamestnávateľa nie sú nezávislými osobami, sú od zamestnávateľa ekonomicky závislí a nezodpovedajú za obsah zápisnice tak ako notár. Oslabuje sa tým ochrana zamestnanca ako slabšej strany pracovnoprávneho vzťahu práve v prípadoch, v ktorých Občiansky zákonník požaduje prísnu formu. Okrem toho Občiansky zákonník značne rozšíril možnosti podpisovania aj u osôb, ktoré nemôžu čítať alebo písať alebo len so značnými ťažkosťami a zaviedol nahradenie podpisu znakom napísaným vlastnou rukou alebo inak pred dvoma svedkami. Máme však za to, že ak už osoba nemôže ani len urobiť znak, je skutočne na mieste spísanie notárskej zápisnice. Pripomienka sa týka formy notárskej zápisnice a jej nahraditeľnosti, a teda vecnej pôsobnosti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3 ods. 6 daňového poriadku</w:t>
              <w:br/>
            </w:r>
            <w:r>
              <w:rPr>
                <w:b w:val="off"/>
                <w:color w:val="000000"/>
                <w:rFonts w:ascii="Times New Roman" w:hAnsi="Times New Roman" w:cs="Times New Roman" w:eastAsia="Times New Roman"/>
                <w:sz w:val="24"/>
              </w:rPr>
              <w:t>Navrhujeme v čl. IV vypustiť bod 2.</w:t>
              <w:br/>
            </w:r>
            <w:r>
              <w:rPr>
                <w:b w:val="off"/>
                <w:color w:val="000000"/>
                <w:rFonts w:ascii="Times New Roman" w:hAnsi="Times New Roman" w:cs="Times New Roman" w:eastAsia="Times New Roman"/>
                <w:sz w:val="24"/>
              </w:rPr>
              <w:t>V čl. IV sa vypúšťa bod 2.</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 3 ods. 6 daňového poriadku už obsahuje všeobecné pravidlo proti zneužitiu, podľa ktorého sa neprihliada na právny úkon, viacero právnych úkonov alebo iné skutočnosti „uskutočnené bez riadneho podnikateľského dôvodu alebo iného dôvodu, ktorý odráža ekonomickú realitu“, ak je ich účelom obchádzanie daňovej povinnosti. Toto pravidlo sa vzťahuje na všetky právne úkony vrátane zmlúv o spoločnom imaní manželov, dedičských zmlúv a odkazov. Navrhovaná veta preto nič nedopĺňa, ale vytvára pre tri vybrané súkromnoprávne inštitúty osobitný a prísnejší test.</w:t>
              <w:br/>
            </w:r>
            <w:r>
              <w:rPr>
                <w:b w:val="off"/>
                <w:color w:val="000000"/>
                <w:rFonts w:ascii="Times New Roman" w:hAnsi="Times New Roman" w:cs="Times New Roman" w:eastAsia="Times New Roman"/>
                <w:sz w:val="24"/>
              </w:rPr>
              <w:t>Všeobecné pravidlo vyžaduje absenciu „riadneho podnikateľského dôvodu alebo iného dôvodu, ktorý odráža ekonomickú realitu“, nová veta sa uspokojí s absenciou „riadneho dôvodu“ bez akéhokoľvek kritéria. Zmluva o spoločnom imaní manželov, dedičská zmluva a odkaz sú inštitúty rodinného a dedičského práva, ktoré podnikateľský dôvod spravidla nemajú a mať nemusia; ich dôvodom je usporiadanie rodinných a majetkových pomerov. Neurčitý pojem „riadny dôvod“ by správcovi dane umožňoval spochybňovať tieto úkony podľa vlastného uváženia.</w:t>
              <w:br/>
            </w:r>
            <w:r>
              <w:rPr>
                <w:b w:val="off"/>
                <w:color w:val="000000"/>
                <w:rFonts w:ascii="Times New Roman" w:hAnsi="Times New Roman" w:cs="Times New Roman" w:eastAsia="Times New Roman"/>
                <w:sz w:val="24"/>
              </w:rPr>
              <w:t>Zmluva o spoločnom imaní manželov a dedičská zmluva musia mať formu notárskej zápisnice (§ 298 ods. 1 a § 1742 OZ) a zmluva o spoločnom imaní manželov nadobúda účinnosť registráciou v notárskom centrálnom registri (§ 298 ods. 1 OZ). Výslovné zaradenie práve týchto notárskych úkonov medzi úkony podozrivé z obchádzania daňovej povinnosti oslabuje dôveru vo verejnú listinu a v registre vedené komorou a vytvára právnu neistotu pre účastníkov, ktorým notár tieto úkony spisuje. Odkaz navyše nie je „uskutočnený“ za života poručiteľa, ale účinky nadobúda jeho smrťou, takže formulácia naň nie je primeraná. Dôvodová správa neuvádza, v čom všeobecné pravidlo nepostačuje. Pripomienka sa týka notárskych zápisníc o právnych úkonoch a registra vedeného komorou, a teda vecnej pôsobnosti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 § 4a ods. 3 daňového poriadku</w:t>
              <w:br/>
            </w:r>
            <w:r>
              <w:rPr>
                <w:b w:val="off"/>
                <w:color w:val="000000"/>
                <w:rFonts w:ascii="Times New Roman" w:hAnsi="Times New Roman" w:cs="Times New Roman" w:eastAsia="Times New Roman"/>
                <w:sz w:val="24"/>
              </w:rPr>
              <w:t xml:space="preserve">Navrhujeme v čl. IV bode 5 v § 4a vypustiť odsek 3; doterajšie odseky 4 až 6 sa označia ako odseky 3 až 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3 návrhu je v priamom rozpore s OZ, podľa ktorého ak nebol ustanovený správca dedičstva, vykonávajú správu dedičstva vždy dedičia (§ 1858 OZ): „Ak nebol správca dedičstva ustanovený poručiteľom ani súdom, správu dedičstva vykonávajú dedičia spoločne.“. Hypotéza opísaná v odseku 3 preto nemôže nastať.</w:t>
              <w:br/>
            </w:r>
            <w:r>
              <w:rPr>
                <w:b w:val="off"/>
                <w:color w:val="000000"/>
                <w:rFonts w:ascii="Times New Roman" w:hAnsi="Times New Roman" w:cs="Times New Roman" w:eastAsia="Times New Roman"/>
                <w:sz w:val="24"/>
              </w:rPr>
              <w:t>Navyše návrh v čl. VI bode 14 (§ 183 ods. 1 CMP) výslovne vylučuje, aby správcom dedičstva bol notár, ktorý je v tom istom konaní súdnym komisárom. Určenie správcu dedičstva na účely správy daní je pritom úplne upravené v § 4a ods. 1 a 2: ak nie je ustanovený správca dedičstva podľa § 1855 alebo 1856 OZ, správu vykonávajú dedičia spoločne (§ 1858 OZ) a ak si nezvolia jedného z nich ani na výzvu, určí ho správca dane. Na dispozíciu opísanú v odseku 3 preto nie je dôvod; ak dedičia nie sú známi, môže správca dane podať podnet súdu, ktorý správcu dedičstva ustanoví aj bez návrhu (§ 1856 ods. 1 OZ).</w:t>
              <w:br/>
            </w:r>
            <w:r>
              <w:rPr>
                <w:b w:val="off"/>
                <w:color w:val="000000"/>
                <w:rFonts w:ascii="Times New Roman" w:hAnsi="Times New Roman" w:cs="Times New Roman" w:eastAsia="Times New Roman"/>
                <w:sz w:val="24"/>
              </w:rPr>
              <w:t>Notár koná ako súdny komisár na základe poverenia súdu (§ 161 a nasl. CMP), jeho úkony sú úkonmi súdu a voči všetkým účastníkom vrátane veriteľov poručiteľa musí byť nestranný. Štát zastúpený správcom dane je spravidla veriteľom poručiteľa a jeho pohľadávky notár v konaní o dedičstve posudzuje. Podľa návrhu by však zároveň voči tomu istému veriteľovi plnil povinnosti daňového subjektu a uplatňoval jeho práva, a to aj s dosahom na osobitné predpisy (zákon o dani z príjmov, DPH, spotrebné dane, daň z motorových vozidiel, daň zo sladených nápojov). Notár ako súdny komisár nemá k majetku poručiteľa dispozičné oprávnenie, nemá prístup k jeho účtovníctvu, daňovej evidencii, elektronickej schránke ani bankovým účtom a nemá prostriedky na úhradu daní. Argument dôvodovej správy, že notár „disponuje potrebnými informáciami“, nezakladá oprávnenie ani spôsobilosť plniť daňové povinnosti za poručiteľa. Pripomienka sa týka postavenia notára ako súdneho komisára, a teda vecnej pôsobnosti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 § 4a ods. 4 daňového poriadku</w:t>
              <w:br/>
            </w:r>
            <w:r>
              <w:rPr>
                <w:b w:val="off"/>
                <w:color w:val="000000"/>
                <w:rFonts w:ascii="Times New Roman" w:hAnsi="Times New Roman" w:cs="Times New Roman" w:eastAsia="Times New Roman"/>
                <w:sz w:val="24"/>
              </w:rPr>
              <w:t>Navrhujeme v čl. IV bode 5 v § 4a v odseku 4 slová „smrti daňového subjektu až do právoplatného skončenia konania o dedičstve“ nahradiť slovami „vzniku funkcie správcu dedičstva až do dňa skončenia funkcie správcu dedičstva“.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Funkcia správcu dedičstva nevzniká dňom smrti poručiteľa a nie vždy zaniká právoplatnosťou skončenia konania o dedičstve.</w:t>
              <w:br/>
            </w:r>
            <w:r>
              <w:rPr>
                <w:b w:val="off"/>
                <w:color w:val="000000"/>
                <w:rFonts w:ascii="Times New Roman" w:hAnsi="Times New Roman" w:cs="Times New Roman" w:eastAsia="Times New Roman"/>
                <w:sz w:val="24"/>
              </w:rPr>
              <w:t>Podľa § 1855 ods. 1 a 2 OZ: „… Ak súd v konaní o dedičstve zistí, že poručiteľ ustanovil správcu dedičstva, upovedomí ho o tom. Správca dedičstva oznámi súdu súhlas s výkonom funkcie do desiatich dní od upovedomenia súdom podľa odseku 1; inak funkcia správcu nevznikne.“.</w:t>
              <w:br/>
            </w:r>
            <w:r>
              <w:rPr>
                <w:b w:val="off"/>
                <w:color w:val="000000"/>
                <w:rFonts w:ascii="Times New Roman" w:hAnsi="Times New Roman" w:cs="Times New Roman" w:eastAsia="Times New Roman"/>
                <w:sz w:val="24"/>
              </w:rPr>
              <w:t>Podľa § 1856 ods. 1 OZ: „Ak niet správcu dedičstva ustanoveného poručiteľom, súd ustanoví správcu dedičstva na základe dohody dedičov. Ak dohody niet, súd ustanoví správcu dedičstva na návrh dediča alebo aj bez návrhu, ak je to potrebné.“.</w:t>
              <w:br/>
            </w:r>
            <w:r>
              <w:rPr>
                <w:b w:val="off"/>
                <w:color w:val="000000"/>
                <w:rFonts w:ascii="Times New Roman" w:hAnsi="Times New Roman" w:cs="Times New Roman" w:eastAsia="Times New Roman"/>
                <w:sz w:val="24"/>
              </w:rPr>
              <w:t>Podľa § 1861 OZ: „Funkcia správcu dedičstva sa končí potvrdením dedičstva, nariadením likvidácie dedičstva alebo schválením dohody o prenechaní dedičstva na úhradu pozostalostných dlhov. Ak bola nariadená likvidácia dedičstva, súd môže rozhodnúť, že správca dedičstva vykonáva funkciu až do skončenia likvidácie dedičstva.“.</w:t>
              <w:br/>
            </w:r>
            <w:r>
              <w:rPr>
                <w:b w:val="off"/>
                <w:color w:val="000000"/>
                <w:rFonts w:ascii="Times New Roman" w:hAnsi="Times New Roman" w:cs="Times New Roman" w:eastAsia="Times New Roman"/>
                <w:sz w:val="24"/>
              </w:rPr>
              <w:t>Navrhované ustanovenie navyše nerieši začiatok a koniec výkonu správy dedičstva, ak túto správu vykonávajú dedičia. Pripomienka nadväzuje na vymedzenie osôb, ktoré môžu byť správcom dedičstva na účely správy daní, a tým aj na postavenie notára ako súdneho komisára (bod 5), a teda na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 § 4a ods. 6 daňového poriadku</w:t>
              <w:br/>
            </w:r>
            <w:r>
              <w:rPr>
                <w:b w:val="off"/>
                <w:color w:val="000000"/>
                <w:rFonts w:ascii="Times New Roman" w:hAnsi="Times New Roman" w:cs="Times New Roman" w:eastAsia="Times New Roman"/>
                <w:sz w:val="24"/>
              </w:rPr>
              <w:t>Navrhujeme v čl. IV bode 5 v § 4a vypustiť odsek 6.</w:t>
              <w:br/>
            </w:r>
            <w:r>
              <w:rPr>
                <w:b w:val="off"/>
                <w:color w:val="000000"/>
                <w:rFonts w:ascii="Times New Roman" w:hAnsi="Times New Roman" w:cs="Times New Roman" w:eastAsia="Times New Roman"/>
                <w:sz w:val="24"/>
              </w:rPr>
              <w:t>V čl. IV bode 5 sa v § 4a vypúšťa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odseku 6 má správca dedičstva na účely správy daní „zastupovať obchodnú spoločnosť“, ktorej jediný konateľ a spoločník zomrel. Daňový predpis by tak založil zákonné zastúpenie obchodnej spoločnosti mimo úpravy jej štatutárneho orgánu, čo je v rozpore s § 1854 ods. 2 Občianskeho zákonníka. Občiansky zákonník túto situáciu rieši inak: správca dedičstva vykonáva práva z majetkových účastí, a teda môže ako spoločník vymenovať konateľa, a pri nedostatočne obsadenom štatutárnom orgáne súd na návrh vymenuje člena orgánu alebo ustanoví opatrovníka (§ 249 OZ; návrh to premieta aj do zákona o obchodnom registri v čl. CCXXIX). Odsek 6 by vytvoril paralelné a s nimi nezosúladené zastúpenie, pri ktorom nie je zrejmé, či sa vzťahuje len na správu daní spoločnosti, alebo aj na iné úkony, a ako sa vzťahuje k opatrovníkovi alebo vymenovanému konateľovi.</w:t>
              <w:br/>
            </w:r>
            <w:r>
              <w:rPr>
                <w:b w:val="off"/>
                <w:color w:val="000000"/>
                <w:rFonts w:ascii="Times New Roman" w:hAnsi="Times New Roman" w:cs="Times New Roman" w:eastAsia="Times New Roman"/>
                <w:sz w:val="24"/>
              </w:rPr>
              <w:t>V spojení s odsekom 3 by navyše zastupovať obchodnú spoločnosť musel notár ako súdny komisár, a to v konaní, v ktorom zároveň rozhoduje o dedičstve obchodného podielu. Táto kombinácia je s postavením súdneho komisára nezlučiteľná.</w:t>
              <w:br/>
            </w:r>
            <w:r>
              <w:rPr>
                <w:b w:val="off"/>
                <w:color w:val="000000"/>
                <w:rFonts w:ascii="Times New Roman" w:hAnsi="Times New Roman" w:cs="Times New Roman" w:eastAsia="Times New Roman"/>
                <w:sz w:val="24"/>
              </w:rPr>
              <w:t>Notár ako súdny komisár nie je sudcom, v konaní o dedičstve však koná za súd na základe jeho poverenia a jeho úkony sú podľa Civilného mimosporového poriadku úkonmi súdu. Uložiť mu povinnosti daňového subjektu v tom istom konaní je preto obdobné, ako keby sudca v konaní o zrušení obchodnej spoločnosti s likvidáciou plnil daňové povinnosti tejto spoločnosti alebo sudca v konkurznom konaní vykonával funkciu správcu konkurznej podstaty. Právny poriadok rozhodovaciu funkciu súdu a správu majetku dôsledne oddeľuje: likvidátora aj správcu konkurznej podstaty súd ustanovuje, ale nevykonáva ich funkciu. Návrh tento princíp sám uplatňuje v § 183 ods. 1 Civilného mimosporového poriadku, podľa ktorého správcom dedičstva nemôže byť notár, ktorý je v tom istom konaní súdnym komisárom. Navrhovaný § 4a ods. 3 daňového poriadku by toto obmedzenie na daňové účely obišiel a súdny komisár by voči štátu ako veriteľovi poručiteľa vystupoval zároveň ako ten, kto jeho pohľadávku v konaní posudzuje, aj ako ten, kto za poručiteľa plní daňové povinnosti. Pripomienka sa týka postavenia notára ako súdneho komisára, a teda vecnej pôsobnosti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18 § 229 ods. 2 a 3 CSP (vykonateľnosť rozsudku nahrádzajúceho prejav vôle oproti vzájomnému plneniu)</w:t>
              <w:br/>
            </w:r>
            <w:r>
              <w:rPr>
                <w:b w:val="off"/>
                <w:color w:val="000000"/>
                <w:rFonts w:ascii="Times New Roman" w:hAnsi="Times New Roman" w:cs="Times New Roman" w:eastAsia="Times New Roman"/>
                <w:sz w:val="24"/>
              </w:rPr>
              <w:t>Navrhujeme v čl. V bode 18 doplniť § 229 odsekom 4, ktorý znie:</w:t>
              <w:br/>
            </w:r>
            <w:r>
              <w:rPr>
                <w:b w:val="off"/>
                <w:color w:val="000000"/>
                <w:rFonts w:ascii="Times New Roman" w:hAnsi="Times New Roman" w:cs="Times New Roman" w:eastAsia="Times New Roman"/>
                <w:sz w:val="24"/>
              </w:rPr>
              <w:t>„(4) Vykonateľnosť rozsudku podľa odseku 2 vyznačí súd na návrh strany, ak sa preukáže splnenie podmienky podľa odseku 3; splnenie vzájomnej povinnosti možno preukázať aj tým, že plnenie bolo zložené do notárskej úschovy na účely splnenia záväzku alebo do úschovy súdu v prospech protistrany. Na zápis do verejného registra sa predkladá rozsudok s vyznačenou vykonateľnosťou.“.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229 ods. 2 a 3 je prejav vôle nahradený až vykonateľnosťou rozsudku, ktorá nastane splnením vzájomnej povinnosti alebo odmietnutím jej riadne ponúknutého plnenia. Návrh však neurčuje, kto a akým spôsobom túto skutočnosť osvedčí. Orgán, ktorý na základe rozsudku vykonáva zápis – katastrálny odbor okresného úradu, registrový súd alebo notár ako registrátor (napr. pri prevode obchodného podielu nahradenom rozsudkom) – by musel sám posudzovať, či a kedy bola vzájomná povinnosť splnená, na čo nemá podklady ani procesné nástroje.</w:t>
              <w:br/>
            </w:r>
            <w:r>
              <w:rPr>
                <w:b w:val="off"/>
                <w:color w:val="000000"/>
                <w:rFonts w:ascii="Times New Roman" w:hAnsi="Times New Roman" w:cs="Times New Roman" w:eastAsia="Times New Roman"/>
                <w:sz w:val="24"/>
              </w:rPr>
              <w:t>Navrhujeme preto, aby vykonateľnosť vyznačil súd na návrh strany po preukázaní splnenia podmienky. Zároveň navrhujeme výslovne uviesť, že splnenie možno preukázať aj zložením plnenia do notárskej úschovy na účely splnenia záväzku (§ 65 ods. 3 písm. d) NP) alebo do úschovy súdu; ide o bežný a overiteľný spôsob zabezpečenia vzájomného plnenia, ktorý chráni obe strany.</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18 § 229 ods. nový odsek 5 CSP (registrácia dedičskej zmluvy pojatej do výroku rozhodnutia súdu)</w:t>
              <w:br/>
            </w:r>
            <w:r>
              <w:rPr>
                <w:b w:val="off"/>
                <w:color w:val="000000"/>
                <w:rFonts w:ascii="Times New Roman" w:hAnsi="Times New Roman" w:cs="Times New Roman" w:eastAsia="Times New Roman"/>
                <w:sz w:val="24"/>
              </w:rPr>
              <w:t xml:space="preserve">Navrhujeme do čl. V bod 18 do § 229 vložiť nový odsek 5, ktorý znie: </w:t>
              <w:br/>
            </w:r>
            <w:r>
              <w:rPr>
                <w:b w:val="off"/>
                <w:color w:val="000000"/>
                <w:rFonts w:ascii="Times New Roman" w:hAnsi="Times New Roman" w:cs="Times New Roman" w:eastAsia="Times New Roman"/>
                <w:sz w:val="24"/>
              </w:rPr>
              <w:t>„(5) Ak súd podľa osobitného predpisuxx) nahradí prejav vôle poručiteľa smerujúci k povolaniu dediča dedičskou zmluvou a dedičskú zmluvu pojme do výroku rozhodnutia, zabezpečí po nadobudnutí právoplatnosti rozhodnutia registráciu dedičskej zmluvy v Notárskom centrálnom registri právnych úkonov pre prípad smrti.“.</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1750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1750 ods. 1 a 3 OZ môže súd na návrh zákonného zástupcu nahradiť prejav vôle poručiteľa, ktorý nemá spôsobilosť povolať dediča a dedičskú zmluvu pojme do výroku rozhodnutia. Podľa § 76 OZ je požiadavka formy dodržaná aj vtedy, ak prejav vôle nahradilo rozhodnutie súdu; takáto dedičská zmluva sa teda nebude spisovať vo forme notárskej zápisnice ani prijímať do notárskej úschovy, a preto by sa podľa § 54 NP v znení návrhu nikdy nezaregistrovala. Návrh pritom nikde neupravuje povinnosť ani spôsob jej registrácie. Bez registrácie by súd v konaní o dedičstve takúto dedičskú zmluvu pri lustrácii (§ 176 CMP) nezistil.</w:t>
              <w:br/>
            </w:r>
            <w:r>
              <w:rPr>
                <w:b w:val="off"/>
                <w:color w:val="000000"/>
                <w:rFonts w:ascii="Times New Roman" w:hAnsi="Times New Roman" w:cs="Times New Roman" w:eastAsia="Times New Roman"/>
                <w:sz w:val="24"/>
              </w:rPr>
              <w:t>Navrhuje sa preto postup analogický s § 277a CMP v znení návrhu (súd zabezpečí uloženie uznesenia v notárskom centrálnom registri). Na úpravu nadväzuje doplnenie § 54 ods. 2 a § 73c ods. 1 NP (body 26 a 27).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12 § 176 ods. 1 CMP</w:t>
              <w:br/>
            </w:r>
            <w:r>
              <w:rPr>
                <w:b w:val="off"/>
                <w:color w:val="000000"/>
                <w:rFonts w:ascii="Times New Roman" w:hAnsi="Times New Roman" w:cs="Times New Roman" w:eastAsia="Times New Roman"/>
                <w:sz w:val="24"/>
              </w:rPr>
              <w:t>Navrhujeme v čl. VI bode 12 v § 176 ods. 1 nahradiť slovo „listín“ slovami „právnych úkonov pre prípad smrti“ a slová „u ktorého notára“ slovami „kde“.</w:t>
              <w:br/>
            </w:r>
            <w:r>
              <w:rPr>
                <w:b w:val="off"/>
                <w:color w:val="000000"/>
                <w:rFonts w:ascii="Times New Roman" w:hAnsi="Times New Roman" w:cs="Times New Roman" w:eastAsia="Times New Roman"/>
                <w:sz w:val="24"/>
              </w:rPr>
              <w:t>„(1) Súd bezodkladne vykoná šetrenie v evidencii, ktorá je vedená v Notárskom centrálnom registri právnych úkonov pre prípad smrti, či je v nej evidovaná listina o právnom úkone poručiteľa pre prípad smrti (ďalej len „listina pre prípad smrti“), a kde je uložená.“.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Listiny o právnych úkonoch pre prípad smrti sa podľa § 54 a § 73c NP v znení návrhu (čl. XXI body 7 a 13) registrujú v Notárskom centrálnom registri právnych úkonov pre prípad smrti, nie v Notárskom centrálnom registri listín. V registri listín sú uložené všetky notárske zápisnice a listiny uložené na žiadosť a nemožno v ňom vyhľadávať podľa osoby poručiteľa, ale len podľa čísla záznamu; šetrenie v ňom by bolo nevykonateľné. Slová „u ktorého notára“ nezohľadňujú, že listina pre prípad smrti môže byť uložená aj inde ako u notára (na súde, ak boli registrované u notára, ktorého úrad zanikol), preto navrhujeme všeobecné slovo „kde“. Chybné označenie registra by v praxi znamenalo, že súdny komisár listinu pre prípad smrti nezistí; ide o register vedený komorou a o úkony súdneho komisára, preto pripomienku považujeme za zásadnú. Ide o vecnú pôsobnosť Notárskej komory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12 § 176 ods. 3 CMP</w:t>
              <w:br/>
            </w:r>
            <w:r>
              <w:rPr>
                <w:b w:val="off"/>
                <w:color w:val="000000"/>
                <w:rFonts w:ascii="Times New Roman" w:hAnsi="Times New Roman" w:cs="Times New Roman" w:eastAsia="Times New Roman"/>
                <w:sz w:val="24"/>
              </w:rPr>
              <w:t>Navrhujeme v čl. VI bode 12 nahradiť § 176 ods. 3 odsekmi 3 a 4, ktoré znejú:</w:t>
              <w:br/>
            </w:r>
            <w:r>
              <w:rPr>
                <w:b w:val="off"/>
                <w:color w:val="000000"/>
                <w:rFonts w:ascii="Times New Roman" w:hAnsi="Times New Roman" w:cs="Times New Roman" w:eastAsia="Times New Roman"/>
                <w:sz w:val="24"/>
              </w:rPr>
              <w:t>„(3) Ak to súd vzhľadom na všetky okolnosti považuje za vhodné, predvolá osoby, ktoré by boli podľa doterajších zistení povolané dediť, a oboznámi ich s obsahom listiny pre prípad smrti.</w:t>
              <w:br/>
            </w:r>
            <w:r>
              <w:rPr>
                <w:b w:val="off"/>
                <w:color w:val="000000"/>
                <w:rFonts w:ascii="Times New Roman" w:hAnsi="Times New Roman" w:cs="Times New Roman" w:eastAsia="Times New Roman"/>
                <w:sz w:val="24"/>
              </w:rPr>
              <w:t>(4) Ak sa niektorá z osôb predvolaných podľa odseku 3 napriek riadnemu predvolaniu nedostaví, súd jej doručí do vlastných rúk odpis listiny pre prípad smrti, poučí ju o jej procesných právach a určí jej lehotu na vyjadrenie k obsahu listiny pre prípad smrti. Ak sa osoba v určenej lehote nevyjadrí, súd má za to, že proti obsahu listiny pre prípad smrti nemá námietky.“.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 176 ods. 3 zavádza obligatórne „informatívne stretnutie“, ktoré Civilný mimosporový poriadok ani Civilný sporový poriadok ako procesný úkon nepozná. Povinnosť predvolávať v každom konaní všetky osoby, ktoré by boli povolané dediť, je nehospodárna najmä tam, kde sú povolané vzdialenejšie dedičské skupiny, alebo kde je obsah listiny všetkým dotknutým osobám známy a postačí ich oboznámiť na pojednávaní. Procesný úkon má byť preto fakultatívny. </w:t>
              <w:br/>
            </w:r>
            <w:r>
              <w:rPr>
                <w:b w:val="off"/>
                <w:color w:val="000000"/>
                <w:rFonts w:ascii="Times New Roman" w:hAnsi="Times New Roman" w:cs="Times New Roman" w:eastAsia="Times New Roman"/>
                <w:sz w:val="24"/>
              </w:rPr>
              <w:t>Návrh zároveň rieši situáciu, keď sa osoby dotknuté právnym úkonom pre prípad smrti napriek riadnemu predvolaniu nezúčastnia. Od osoby, ktorej práva sú dotknuté, možno očakávať procesnú aktivitu; ak po doručení odpisu listiny a poučení v určenej lehote nekoná, súd má za to, že proti obsahu listiny nemá námietky. Zjednotí sa tým postup súdnych komisárov, ktorý pre absenciu výslovnej úpravy doposiaľ nebol jednotný. Subsidiárne (ak predkladateľ trvá na obligatórnom oboznámení) navrhujeme aspoň vypustiť slová „na informatívnom stretnutí“ a ponechať formu oboznámenia na úvahe súdu. Ide o úkony notára ako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12 § 178 CMP</w:t>
              <w:br/>
            </w:r>
            <w:r>
              <w:rPr>
                <w:b w:val="off"/>
                <w:color w:val="000000"/>
                <w:rFonts w:ascii="Times New Roman" w:hAnsi="Times New Roman" w:cs="Times New Roman" w:eastAsia="Times New Roman"/>
                <w:sz w:val="24"/>
              </w:rPr>
              <w:t>Navrhujeme v čl. VI bode 12 v § 178 nahradiť text za bodkočiarkou týmto znením:</w:t>
              <w:br/>
            </w:r>
            <w:r>
              <w:rPr>
                <w:b w:val="off"/>
                <w:color w:val="000000"/>
                <w:rFonts w:ascii="Times New Roman" w:hAnsi="Times New Roman" w:cs="Times New Roman" w:eastAsia="Times New Roman"/>
                <w:sz w:val="24"/>
              </w:rPr>
              <w:t>„; ak je listina pre prípad smrti spísaná formou notárskej zápisnice, do zbierky vyhlásených právnych úkonov pre prípad smrti sa uloží jej osvedčený odpis.“.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„to neplatí, ak je listina pre prípad smrti spísaná formou notárskej zápisnice“ vyvoláva dojem, že pri notárskej zápisnici sa do zbierky neukladá nič. Prvopis notárskej zápisnice musí zostať v zbierke notárskych zápisníc notára (§ 17 ods. 2 Kancelárskeho poriadku pre notárov), aby sa po skončení výkonu notárskeho úradu odovzdala ako celok; do zbierky vyhlásených úkonov pre prípad smrti sa ukladá jej osvedčený odpis, ako to dnes ustanovuje aj § 95 ods. 3 Spravovacieho poriadku pre súdy. Navrhujeme to výslovne uviesť.</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14 § 183 ods. 1 CMP (ustanovenie správcu bez dohody dedičov)</w:t>
              <w:br/>
            </w:r>
            <w:r>
              <w:rPr>
                <w:b w:val="off"/>
                <w:color w:val="000000"/>
                <w:rFonts w:ascii="Times New Roman" w:hAnsi="Times New Roman" w:cs="Times New Roman" w:eastAsia="Times New Roman"/>
                <w:sz w:val="24"/>
              </w:rPr>
              <w:t>Navrhujeme v čl. VI bode 14 v § 183 ods. 1 za prvú vetu vložiť novú druhú vetu, ktorá znie:</w:t>
              <w:br/>
            </w:r>
            <w:r>
              <w:rPr>
                <w:b w:val="off"/>
                <w:color w:val="000000"/>
                <w:rFonts w:ascii="Times New Roman" w:hAnsi="Times New Roman" w:cs="Times New Roman" w:eastAsia="Times New Roman"/>
                <w:sz w:val="24"/>
              </w:rPr>
              <w:t>„Ak dohody dedičov niet, súd ustanoví správcu dedičstva s jeho súhlasom na návrh dediča alebo aj bez návrhu, ak je to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1856 ods. 1 OZ súd ustanoví správcu dedičstva na základe dohody dedičov, a ak dohody niet, na návrh dediča alebo aj bez návrhu, ak je to potrebné. Navrhovaný § 183 ods. 1 procesne upravuje len prvú situáciu. Súdny komisár by tak nemal procesný podklad práve v prípadoch, v ktorých je správca najpotrebnejší – keď sa dedičia nevedia dohodnúť alebo nie sú známi (porovnaj aj bod 5).</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14 § 184 CMP</w:t>
              <w:br/>
            </w:r>
            <w:r>
              <w:rPr>
                <w:b w:val="off"/>
                <w:color w:val="000000"/>
                <w:rFonts w:ascii="Times New Roman" w:hAnsi="Times New Roman" w:cs="Times New Roman" w:eastAsia="Times New Roman"/>
                <w:sz w:val="24"/>
              </w:rPr>
              <w:t>Navrhujeme v čl. VI bode 14 v § 184 prvej vete vypustiť slová „a uvedie ich podiely na dedičstve“.</w:t>
              <w:br/>
            </w:r>
            <w:r>
              <w:rPr>
                <w:b w:val="off"/>
                <w:color w:val="000000"/>
                <w:rFonts w:ascii="Times New Roman" w:hAnsi="Times New Roman" w:cs="Times New Roman" w:eastAsia="Times New Roman"/>
                <w:sz w:val="24"/>
              </w:rPr>
              <w:t>„Ak niet správcu dedičstva, súd vydá na návrh dediča osvedčenie, že správu dedičstva vykonávajú dedičia spoločne.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Uvádzanie dedičských podielov v osvedčení nemá pre výkon spoločnej správy (§ 1858 OZ) praktický význam. Po zavedení nových inštitútov dedičského práva (dedičská zmluva, odkaz, započítanie, povinný podiel) nebude určenie podielov v počiatočnom štádiu konania, keď sa urgentne rieši správa dedičstva, spoľahlivo možné a osvedčenie by mohlo v dôvere tretích osôb (§ 1860 ods. 2 OZ) vyvolať nesprávny dojem o rozsahu práv dedičov.</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15 § 186b ods. 3 CMP</w:t>
              <w:br/>
            </w:r>
            <w:r>
              <w:rPr>
                <w:b w:val="off"/>
                <w:color w:val="000000"/>
                <w:rFonts w:ascii="Times New Roman" w:hAnsi="Times New Roman" w:cs="Times New Roman" w:eastAsia="Times New Roman"/>
                <w:sz w:val="24"/>
              </w:rPr>
              <w:t>Navrhujeme v čl. VI bode 15 v § 186b ods. 3 na konci pripojiť tieto slová:</w:t>
              <w:br/>
            </w:r>
            <w:r>
              <w:rPr>
                <w:b w:val="off"/>
                <w:color w:val="000000"/>
                <w:rFonts w:ascii="Times New Roman" w:hAnsi="Times New Roman" w:cs="Times New Roman" w:eastAsia="Times New Roman"/>
                <w:sz w:val="24"/>
              </w:rPr>
              <w:t>„; to neplatí, ak ide o úkony, ktoré môže uskutočniť len dedič, najmä o odmietnutie dedičstva, uzavretie dohody o vyporiadaní dedičstva a uzavretie dohody o prenechaní predlženého dedičstva na úhradu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186b ods. 3 je vykonávateľ poslednej vôle v konaní o dedičstve oprávnený „na všetky procesné úkony, ktoré môže vykonať účastník“. Doslovne by mohol odmietnuť dedičstvo, uzavrieť dohodu o vyporiadaní dedičstva alebo dohodu o prenechaní predlženého dedičstva veriteľom, teda nakladať s právami dedičov. Občiansky zákonník mu také oprávnenie nedáva: vykonávateľ háji platnosť právnych úkonov poručiteľa, namieta nespôsobilosť dediča alebo odkazovníka, dbá na splnenie príkazov poručiteľa a podáva vo vlastnom mene žaloby a iné návrhy (§ 1829 OZ). Jeho procesné oprávnenia musia byť ohraničené týmto účelom; obdobne CSP pri zástupcoch vylučuje úkony, ktorými sa disponuje predmetom konania bez osobitného oprávnenia. Predkladateľ sám v čl. V bode 12 (§ 93a ods. 4 CSP) obmedzuje oprávnenia vykonávateľa poslednej vôle v spore na úkony, ktoré nemôže vykonať len subjekt právneho vzťahu; navrhujeme rovnaké obmedzenie aj v konaní o dedičstve, inak by mal vykonávateľ v konaní o dedičstve širšie oprávnenia než v spore.</w:t>
              <w:br/>
            </w:r>
            <w:r>
              <w:rPr>
                <w:b w:val="off"/>
                <w:color w:val="000000"/>
                <w:rFonts w:ascii="Times New Roman" w:hAnsi="Times New Roman" w:cs="Times New Roman" w:eastAsia="Times New Roman"/>
                <w:sz w:val="24"/>
              </w:rPr>
              <w:t>Bez obmedzenia by vznikla neistota, ktoré dispozitívne úkony vykonávateľa súdny komisár musí akceptovať, s rizikom neplatných dohôd a následných sporov. Ide o vedenie konania o dedičstve notárom ako súdnym komisárom,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16 § 194 ods. 4 CMP</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 xml:space="preserve">„(4) Súd postupuje podľa odsekov 1 až 3 aj vtedy, ak ide o spor o započítanie daru na podiel na dedičstve, o zistenie výšky nároku na povinný podiel, o platnosť ustanovenia správcu dedičstva, o platnosť ustanovenia vykonávateľa poslednej vôle a rozhodnutie závisí od zistenia sporných skutočností.“.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Občiansky zákonník v § 1855 ods. 4 a § 1833 ustanovuje, že súd rozhodne o námietke dediča alebo inej osoby, ktorá preukáže právny záujem, že správca dedičstva, resp. vykonávateľ poslednej vôle nebol platne ustanovený, a že funkciu vykonávajú do rozhodnutia súdu, ak súd neurčí inak. Návrh v čl. VI tento hmotnoprávny inštitút procesne nepremieta: neupravuje formu rozhodnutia, okamih, ku ktorému sa zmena prejaví, ani nakladanie s vydaným osvedčením, na ktoré sa podľa § 1860 ods. 2 OZ viaže ochrana dôvery tretích osôb. Bez procesnej úpravy hrozí, že súdni komisári budú postupovať rozdielne a tretie osoby budú konať v dôvere v osvedčenie, ktoré už nezodpovedá právnemu stavu. Navrhovaný postup zodpovedá rozdeleniu, ktoré Civilný mimosporový poriadok uplatňuje pri spore o dedičské právo (§ 193 a 194): otázky právneho posúdenia nesporných skutočností rozhodne súd v konaní o dedičstve, spor o skutočnosti sa odkazuje na sporové konanie. Súdny komisár tak nebude viesť dokazovanie o sporných skutočnostiach, napríklad o pravosti listiny alebo o spôsobilosti poručiteľa, ktoré do konania o dedičstve nepatrí. Odkázaný na žalobu je ten, kto námietku podal, pretože východiskom je platné ustanovenie poručiteľom a správca alebo vykonávateľ do rozhodnutia funkciu vykonáva (§ 1855 ods. 4 a § 1833 OZ). </w:t>
              <w:br/>
            </w:r>
            <w:r>
              <w:rPr>
                <w:b w:val="off"/>
                <w:color w:val="000000"/>
                <w:rFonts w:ascii="Times New Roman" w:hAnsi="Times New Roman" w:cs="Times New Roman" w:eastAsia="Times New Roman"/>
                <w:sz w:val="24"/>
              </w:rPr>
              <w:t>Navyše sporné môžu byť aj iné skutočnosti rozhodujúce pre započítanie daru a pre výšku povinného podielu (napr. či išlo o dar, kedy bol poskytnutý). Navrhujeme preto všeobecné kritérium sporných skutočností, ktoré zodpovedá logike § 194 CMP. Ide o úkony notára ako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17 § 199 ods. 1 CMP</w:t>
              <w:br/>
            </w:r>
            <w:r>
              <w:rPr>
                <w:b w:val="off"/>
                <w:color w:val="000000"/>
                <w:rFonts w:ascii="Times New Roman" w:hAnsi="Times New Roman" w:cs="Times New Roman" w:eastAsia="Times New Roman"/>
                <w:sz w:val="24"/>
              </w:rPr>
              <w:t>Navrhujeme v čl. VI bode 17 v § 199 ods. 1 za slovo „veriteľov“ vložiť slová „a odkazovníkov“.</w:t>
              <w:br/>
            </w:r>
            <w:r>
              <w:rPr>
                <w:b w:val="off"/>
                <w:color w:val="000000"/>
                <w:rFonts w:ascii="Times New Roman" w:hAnsi="Times New Roman" w:cs="Times New Roman" w:eastAsia="Times New Roman"/>
                <w:sz w:val="24"/>
              </w:rPr>
              <w:t>„(1) Konvokáciu veriteľov a odkazovníkov vykoná súd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1879 ods. 1 OZ súd pred potvrdením dedičstva vyzve veriteľov poručiteľa a odkazovníkov, aby prihlásili svoje pohľadávky. Neprihlásenie má pre odkazovníka závažný hmotnoprávny následok: pohľadávka z odkazu, ktorú odkazovník na výzvu súdu podľa § 1879 neprihlásil, nie je uplatniteľná na súde (§ 1809 ods. 1 OZ – naturálna pohľadávka z odkazu). Procesný predpis, ktorý upravuje konvokáciu len vo vzťahu k veriteľom, je s Občianskym zákonníkom v nesúlade a súdny komisár by nemal jednoznačný procesný podklad na výzvu odkazovníkom. Ide o úkony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17 § 199 ods. 2 CMP</w:t>
              <w:br/>
            </w:r>
            <w:r>
              <w:rPr>
                <w:b w:val="off"/>
                <w:color w:val="000000"/>
                <w:rFonts w:ascii="Times New Roman" w:hAnsi="Times New Roman" w:cs="Times New Roman" w:eastAsia="Times New Roman"/>
                <w:sz w:val="24"/>
              </w:rPr>
              <w:t>Navrhujeme v čl. VI bode 17 v § 199 ods. 2 vypustiť slová „na úradnej tabuli súdu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zverejnenie výlučne elektronickým spôsobom na webovom sídle NK SR. Konvokáciu vykonáva notár ako súdny komisár, ktorý nemá prístup k systému súdneho manažmentu; pri zverejnení na úradnej tabuli súdu by musel v každej veci žiadať súd o zverejnenie, čo predstavuje administratívnu záťaž. Pri dvoch rovnocenných miestach zverejnenia môžu navyše vzniknúť rozdielne dátumy zverejnenia a neistota, odkedy plynie lehota na prihlásenie pohľadávok s následkami podľa § 1880 a 1809 OZ. Webové sídlo Notárskej komory SR je jednotným a celoštátne dostupným miestom zverejnenia. Ide o úkony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20 § 205 CMP</w:t>
              <w:br/>
            </w:r>
            <w:r>
              <w:rPr>
                <w:b w:val="off"/>
                <w:color w:val="000000"/>
                <w:rFonts w:ascii="Times New Roman" w:hAnsi="Times New Roman" w:cs="Times New Roman" w:eastAsia="Times New Roman"/>
                <w:sz w:val="24"/>
              </w:rPr>
              <w:t>Navrhujeme čl. VI bod 20 nahradiť týmto znením:</w:t>
              <w:br/>
            </w:r>
            <w:r>
              <w:rPr>
                <w:b w:val="off"/>
                <w:color w:val="000000"/>
                <w:rFonts w:ascii="Times New Roman" w:hAnsi="Times New Roman" w:cs="Times New Roman" w:eastAsia="Times New Roman"/>
                <w:sz w:val="24"/>
              </w:rPr>
              <w:t>„20. V § 205 sa vypúšťajú odseky 1 a 2 a odsek 3 znie:</w:t>
              <w:br/>
            </w:r>
            <w:r>
              <w:rPr>
                <w:b w:val="off"/>
                <w:color w:val="000000"/>
                <w:rFonts w:ascii="Times New Roman" w:hAnsi="Times New Roman" w:cs="Times New Roman" w:eastAsia="Times New Roman"/>
                <w:sz w:val="24"/>
              </w:rPr>
              <w:t xml:space="preserve">„(3) O nariadení likvidácie dedičstva vydá súd uznesenie, ktoré zverejní na webovom sídle Notárskej komory Slovenskej republiky. Pri likvidácii dedičstva sa prihliada na pohľadávky prihlásené na základe výzvy podľa § 199 a na pohľadávky, ktoré sa podľa osobitného predpisuxx) považujú za prihlásené; opätovná výzva na prihlásenie pohľadávok sa nevykonáva. To neplatí, ak sa dedičia dohodli, že sa výzva podľa § 199 neuskutoční.“. </w:t>
              <w:br/>
            </w:r>
            <w:r>
              <w:rPr>
                <w:b w:val="off"/>
                <w:color w:val="000000"/>
                <w:rFonts w:ascii="Times New Roman" w:hAnsi="Times New Roman" w:cs="Times New Roman" w:eastAsia="Times New Roman"/>
                <w:sz w:val="24"/>
              </w:rPr>
              <w:t>Doterajšie odseky 3 a 4 sa označujú ako odseky 1 a 2.</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1879 ods. 3 a § 1880 ods. 3 až 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 205 ods. 1 a 2 (nariadenie likvidácie), ponecháva však doterajší odsek 3, podľa ktorého súd v uznesení o nariadení likvidácie „vyzve veriteľov, aby si prihlásili svoje pohľadávky“ v lehote najmenej jeden mesiac a upozorní ich na zánik neuspokojených pohľadávok. Podľa nového Občianskeho zákonníka sa však konvokácia vykonáva pred potvrdením dedičstva z úradnej povinnosti (§ 1879 OZ, § 199 CMP v znení návrhu) a likvidáciu možno nariadiť až „po uplynutí lehoty na prihlásenie pohľadávok veriteľmi“ (§ 1884 ods. 1 OZ). Ponechaný § 205 ods. 3 by tak viedol k dvojitej konvokácii, k predĺženiu konania aspoň o ďalší mesiac a k neistote, ktorá lehota je rozhodujúca pre následky neprihlásenia podľa § 1880 OZ. Upozornenie na „zánik“ neuspokojených pohľadávok navyše Občiansky zákonník v novej úprave neobsahuje.</w:t>
              <w:br/>
            </w:r>
            <w:r>
              <w:rPr>
                <w:b w:val="off"/>
                <w:color w:val="000000"/>
                <w:rFonts w:ascii="Times New Roman" w:hAnsi="Times New Roman" w:cs="Times New Roman" w:eastAsia="Times New Roman"/>
                <w:sz w:val="24"/>
              </w:rPr>
              <w:t>Navrhované znenie ustanovuje, že pri likvidácii sa vychádza z pohľadávok prihlásených pri konvokácii a z pohľadávok, ktoré sa podľa Občianskeho zákonníka považujú za prihlásené, a zverejnenie uznesenia sa zosúlaďuje s § 199 ods. 2 CMP. V prípade, ak sa konvokácia na základe dohody dedičov podľa § 1879 ods. 2 Občianskeho zákonníka neuskutočnila, potom sa uskutoční v procese likvidácie dedičstva. Konanie o dedičstve vedie notár ako súdny komisár, ide preto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 44 – § 277j CMP; čl. XXI bod 14 – § 73m ods. 4 NP</w:t>
              <w:br/>
            </w:r>
            <w:r>
              <w:rPr>
                <w:b w:val="off"/>
                <w:color w:val="000000"/>
                <w:rFonts w:ascii="Times New Roman" w:hAnsi="Times New Roman" w:cs="Times New Roman" w:eastAsia="Times New Roman"/>
                <w:sz w:val="24"/>
              </w:rPr>
              <w:t>Navrhujeme v čl. VI bode 44 zosúladiť § 277j s registrom podporných opatrení:</w:t>
              <w:br/>
            </w:r>
            <w:r>
              <w:rPr>
                <w:b w:val="off"/>
                <w:color w:val="000000"/>
                <w:rFonts w:ascii="Times New Roman" w:hAnsi="Times New Roman" w:cs="Times New Roman" w:eastAsia="Times New Roman"/>
                <w:sz w:val="24"/>
              </w:rPr>
              <w:t>„§ 277j</w:t>
              <w:br/>
            </w:r>
            <w:r>
              <w:rPr>
                <w:b w:val="off"/>
                <w:color w:val="000000"/>
                <w:rFonts w:ascii="Times New Roman" w:hAnsi="Times New Roman" w:cs="Times New Roman" w:eastAsia="Times New Roman"/>
                <w:sz w:val="24"/>
              </w:rPr>
              <w:t>Súd zabezpečí registráciu rozsudku o zrušení predbežného prehlásenia v Notárskom centrálnom registri podporných opatrení.“.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Predbežné prehlásenie sa podľa § 54 a § 73m NP v znení návrhu registruje v Notárskom centrálnom registri podporných opatrení a podľa § 73m ods. 4 sa v ňom registruje aj jeho zrušenie súdom. Navrhovaný § 277j CMP však ukladá súdu zabezpečiť uloženie rozsudku v Notárskom centrálnom registri listín. Registrácia v registri listín v takejto podobe (ako sa dnes postupuje pri rozsudkoch o obmedzení spôsobilosti na právne úkony) neplní sledovaný účel: v registri listín nemožno vyhľadávať podľa osoby a záznam o zrušení predbežného prehlásenia by sa nepremietol do registra podporných opatrení, z ktorého komora podľa § 73m ods. 6 NP sprístupňuje údaje tretím osobám. Register podporných opatrení by tak vykazoval predbežné prehlásenie, ktoré už bolo zrušené.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49 § 396f CMP (prechodné ustanovenie ku konaniu o dedičstve)</w:t>
              <w:br/>
            </w:r>
            <w:r>
              <w:rPr>
                <w:b w:val="off"/>
                <w:color w:val="000000"/>
                <w:rFonts w:ascii="Times New Roman" w:hAnsi="Times New Roman" w:cs="Times New Roman" w:eastAsia="Times New Roman"/>
                <w:sz w:val="24"/>
              </w:rPr>
              <w:t>Navrhujeme v čl. VI bode 49 doplniť § 396f odsekom 2, ktorý znie:</w:t>
              <w:br/>
            </w:r>
            <w:r>
              <w:rPr>
                <w:b w:val="off"/>
                <w:color w:val="000000"/>
                <w:rFonts w:ascii="Times New Roman" w:hAnsi="Times New Roman" w:cs="Times New Roman" w:eastAsia="Times New Roman"/>
                <w:sz w:val="24"/>
              </w:rPr>
              <w:t>„(2) Konanie o dedičstve po poručiteľovi, ktorý zomrel pred 1. júlom 2027, sa dokončí podľa predpisov účinných do 30. júna 2027.“.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1915 OZ sa pri dedení použije právo účinné v deň smrti poručiteľa; po poručiteľoch zomrelých pred 1. júlom 2027 sa teda bude dediť podľa doterajšieho Občianskeho zákonníka (bez správcu dedičstva podľa § 1855 OZ, bez konvokácie z úradnej povinnosti, bez likvidácie podľa § 1884 až 1886 OZ). Návrh zákona však procesnú úpravu konania o dedičstve (§ 176 až 212 CMP) mení bez akéhokoľvek prechodného ustanovenia, takže by sa v konaniach začatých podľa doterajšieho hmotného práva mali uplatniť nové procesné inštitúty, ktoré na doterajšie hmotné právo nenadväzujú (napr. konvokácia podľa § 199, rozvrh výťažku podľa § 208, osvedčenie o správcovi podľa § 182 a 183). Prechodné ustanovenie § 396f navyše obsahuje len odsek 1, hoci je označené ako odsek a nadpis hovorí o „ustanoveniach“.</w:t>
              <w:br/>
            </w:r>
            <w:r>
              <w:rPr>
                <w:b w:val="off"/>
                <w:color w:val="000000"/>
                <w:rFonts w:ascii="Times New Roman" w:hAnsi="Times New Roman" w:cs="Times New Roman" w:eastAsia="Times New Roman"/>
                <w:sz w:val="24"/>
              </w:rPr>
              <w:t>Navrhované pravidlo zabezpečí súlad procesného a hmotného práva a jednotný postup súdnych komisárov v tisíckach prebiehajúcich konaní. Ide o vedenie konania o dedičstve notárom ako súdnym komisárom,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XXI – § 3 ods. 5, § 47 ods. 3, § 47a, § 48 ods. 4, § 48a, § 49 ods. 2, § 51 ods. 1 a 3, § 61 ods. 2, § 62, § 64 ods. 3, § 75 ods. 3 NP (notárska zápisnica v elektronickej podobe): Navrhujeme do čl. XXI vložiť nové body, ktoré znejú:</w:t>
              <w:br/>
            </w:r>
            <w:r>
              <w:rPr>
                <w:b w:val="off"/>
                <w:color w:val="000000"/>
                <w:rFonts w:ascii="Times New Roman" w:hAnsi="Times New Roman" w:cs="Times New Roman" w:eastAsia="Times New Roman"/>
                <w:sz w:val="24"/>
              </w:rPr>
              <w:t>„§ 3 sa dopĺňa odsekom 5, ktorý znie:</w:t>
              <w:br/>
            </w:r>
            <w:r>
              <w:rPr>
                <w:b w:val="off"/>
                <w:color w:val="000000"/>
                <w:rFonts w:ascii="Times New Roman" w:hAnsi="Times New Roman" w:cs="Times New Roman" w:eastAsia="Times New Roman"/>
                <w:sz w:val="24"/>
              </w:rPr>
              <w:t>„(5) Notárske listiny sa spisujú a vydávajú v listinnej podobe; ak tak ustanovuje tento zákon alebo osobitný predpis, možno ich spísať a vydať aj v elektronickej podobe. Notársku zápisnicu možno spísať a vydať aj v elektronickej podobe, ak tento zákon alebo osobitný predpis neustanovuje inak.“.“.</w:t>
              <w:br/>
            </w:r>
            <w:r>
              <w:rPr>
                <w:b w:val="off"/>
                <w:color w:val="000000"/>
                <w:rFonts w:ascii="Times New Roman" w:hAnsi="Times New Roman" w:cs="Times New Roman" w:eastAsia="Times New Roman"/>
                <w:sz w:val="24"/>
              </w:rPr>
              <w:t>„V § 47 ods. 3, § 61 ods. 2 a § 64 ods. 3 sa za slová „§ 48“ vkladajú slová „alebo § 48a“.“.</w:t>
              <w:br/>
            </w:r>
            <w:r>
              <w:rPr>
                <w:b w:val="off"/>
                <w:color w:val="000000"/>
                <w:rFonts w:ascii="Times New Roman" w:hAnsi="Times New Roman" w:cs="Times New Roman" w:eastAsia="Times New Roman"/>
                <w:sz w:val="24"/>
              </w:rPr>
              <w:t>„Za § 47 sa vkladá § 47a, ktorý znie:</w:t>
              <w:br/>
            </w:r>
            <w:r>
              <w:rPr>
                <w:b w:val="off"/>
                <w:color w:val="000000"/>
                <w:rFonts w:ascii="Times New Roman" w:hAnsi="Times New Roman" w:cs="Times New Roman" w:eastAsia="Times New Roman"/>
                <w:sz w:val="24"/>
              </w:rPr>
              <w:t>„§ 47a</w:t>
              <w:br/>
            </w:r>
            <w:r>
              <w:rPr>
                <w:b w:val="off"/>
                <w:color w:val="000000"/>
                <w:rFonts w:ascii="Times New Roman" w:hAnsi="Times New Roman" w:cs="Times New Roman" w:eastAsia="Times New Roman"/>
                <w:sz w:val="24"/>
              </w:rPr>
              <w:t>(1) Na notárske zápisnice spísané a vydané v elektronickej podobe sa primerane vzťahujú ustanovenia tohto zákona o notárskych zápisniciach spísaných a vydaných v listinnej podobe, ak tento zákon neustanovuje inak. Notárska zápisnica spísaná v elektronickej podobe je elektronickým úradným dokumentom.4aa)</w:t>
              <w:br/>
            </w:r>
            <w:r>
              <w:rPr>
                <w:b w:val="off"/>
                <w:color w:val="000000"/>
                <w:rFonts w:ascii="Times New Roman" w:hAnsi="Times New Roman" w:cs="Times New Roman" w:eastAsia="Times New Roman"/>
                <w:sz w:val="24"/>
              </w:rPr>
              <w:t>(2) Notárska zápisnica spísaná v elektronickej podobe obsahuje údaj o tom, že bola spísaná v elektronickej podobe, a</w:t>
              <w:br/>
            </w:r>
            <w:r>
              <w:rPr>
                <w:b w:val="off"/>
                <w:color w:val="000000"/>
                <w:rFonts w:ascii="Times New Roman" w:hAnsi="Times New Roman" w:cs="Times New Roman" w:eastAsia="Times New Roman"/>
                <w:sz w:val="24"/>
              </w:rPr>
              <w:t>a) namiesto vlastnoručného podpisu notára jeho kvalifikovaný elektronický podpis vyhotovený s použitím mandátneho certifikátu, ku ktorému pripojí kvalifikovanú elektronickú časovú pečiatku;4ab)</w:t>
              <w:br/>
            </w:r>
            <w:r>
              <w:rPr>
                <w:b w:val="off"/>
                <w:color w:val="000000"/>
                <w:rFonts w:ascii="Times New Roman" w:hAnsi="Times New Roman" w:cs="Times New Roman" w:eastAsia="Times New Roman"/>
                <w:sz w:val="24"/>
              </w:rPr>
              <w:t>b) namiesto vlastnoručných podpisov účastníkov alebo ich zástupcov, svedkov, dôverníkov, osoby, ktorá ovláda jazyk účastníka, a ďalších osôb, ktoré podľa ustanovení tohto zákona notársku zápisnicu podpisujú, ich kvalifikované elektronické podpisy.</w:t>
              <w:br/>
            </w:r>
            <w:r>
              <w:rPr>
                <w:b w:val="off"/>
                <w:color w:val="000000"/>
                <w:rFonts w:ascii="Times New Roman" w:hAnsi="Times New Roman" w:cs="Times New Roman" w:eastAsia="Times New Roman"/>
                <w:sz w:val="24"/>
              </w:rPr>
              <w:t>(3) Ak je notárska zápisnica spísaná v elektronickej podobe, nevyžaduje sa odtlačok úradnej pečiatky notára.</w:t>
              <w:br/>
            </w:r>
            <w:r>
              <w:rPr>
                <w:b w:val="off"/>
                <w:color w:val="000000"/>
                <w:rFonts w:ascii="Times New Roman" w:hAnsi="Times New Roman" w:cs="Times New Roman" w:eastAsia="Times New Roman"/>
                <w:sz w:val="24"/>
              </w:rPr>
              <w:t>(4) Ak notár pri spisovaní notárskej zápisnice v elektronickej podobe postupoval podľa § 48a ods. 1 a 2, túto skutočnosť uvedie do notárskej zápisnice, ktorá v takom prípade neobsahuje</w:t>
              <w:br/>
            </w:r>
            <w:r>
              <w:rPr>
                <w:b w:val="off"/>
                <w:color w:val="000000"/>
                <w:rFonts w:ascii="Times New Roman" w:hAnsi="Times New Roman" w:cs="Times New Roman" w:eastAsia="Times New Roman"/>
                <w:sz w:val="24"/>
              </w:rPr>
              <w:t>a) miesto podpísania notárskej zápisnice, ak ide o notársku zápisnicu o právnom úkone, alebo</w:t>
              <w:br/>
            </w:r>
            <w:r>
              <w:rPr>
                <w:b w:val="off"/>
                <w:color w:val="000000"/>
                <w:rFonts w:ascii="Times New Roman" w:hAnsi="Times New Roman" w:cs="Times New Roman" w:eastAsia="Times New Roman"/>
                <w:sz w:val="24"/>
              </w:rPr>
              <w:t>b) miesto zasadnutia orgánov právnickej osoby, ak ide o notársku zápisnicu spísanú podľa ustanovení štvrtej časti tretieho dielu tohto zákona.</w:t>
              <w:br/>
            </w:r>
            <w:r>
              <w:rPr>
                <w:b w:val="off"/>
                <w:color w:val="000000"/>
                <w:rFonts w:ascii="Times New Roman" w:hAnsi="Times New Roman" w:cs="Times New Roman" w:eastAsia="Times New Roman"/>
                <w:sz w:val="24"/>
              </w:rPr>
              <w:t>(5) Prílohy notárskej zápisnice spísanej v elektronickej podobe sa k nej pripájajú v elektronickej podobe; prílohu v listinnej podobe notár pred pripojením prevedie do elektronickej podoby zaručenou konverziou podľa osobitného predpisu.4af)</w:t>
              <w:br/>
            </w:r>
            <w:r>
              <w:rPr>
                <w:b w:val="off"/>
                <w:color w:val="000000"/>
                <w:rFonts w:ascii="Times New Roman" w:hAnsi="Times New Roman" w:cs="Times New Roman" w:eastAsia="Times New Roman"/>
                <w:sz w:val="24"/>
              </w:rPr>
              <w:t>(6) Pokračovanie v notárskej zápisnici (§ 46) a oprava notárskej zápisnice (§ 43 ods. 2) sa spisujú v tej istej podobe, v akej bola notárska zápisnica spísaná.</w:t>
              <w:br/>
            </w:r>
            <w:r>
              <w:rPr>
                <w:b w:val="off"/>
                <w:color w:val="000000"/>
                <w:rFonts w:ascii="Times New Roman" w:hAnsi="Times New Roman" w:cs="Times New Roman" w:eastAsia="Times New Roman"/>
                <w:sz w:val="24"/>
              </w:rPr>
              <w:t>(7) Na notársku zápisnicu spísanú v elektronickej podobe sa nevzťahujú § 44 ods. 3 a § 45. Prvopisom notárskej zápisnice spísanej v elektronickej podobe je jej vyhotovenie uložené v registri listín (§ 73k ods. 2). Podrobnosti ustanoví interný predpis komory.“.</w:t>
              <w:br/>
            </w:r>
            <w:r>
              <w:rPr>
                <w:b w:val="off"/>
                <w:color w:val="000000"/>
                <w:rFonts w:ascii="Times New Roman" w:hAnsi="Times New Roman" w:cs="Times New Roman" w:eastAsia="Times New Roman"/>
                <w:sz w:val="24"/>
              </w:rPr>
              <w:t>Poznámky pod čiarou k odkazom 4aa, 4ab a 4af znejú:</w:t>
              <w:br/>
            </w:r>
            <w:r>
              <w:rPr>
                <w:b w:val="off"/>
                <w:color w:val="000000"/>
                <w:rFonts w:ascii="Times New Roman" w:hAnsi="Times New Roman" w:cs="Times New Roman" w:eastAsia="Times New Roman"/>
                <w:sz w:val="24"/>
              </w:rPr>
              <w:t>„4aa) § 3 písm. k)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4ab) § 23 ods. 3 zákona č. 305/2013 Z. z. v znení neskorších predpisov.</w:t>
              <w:br/>
            </w:r>
            <w:r>
              <w:rPr>
                <w:b w:val="off"/>
                <w:color w:val="000000"/>
                <w:rFonts w:ascii="Times New Roman" w:hAnsi="Times New Roman" w:cs="Times New Roman" w:eastAsia="Times New Roman"/>
                <w:sz w:val="24"/>
              </w:rPr>
              <w:t>4af) § 35 zákona č. 305/2013 Z. z. v znení neskorších predpisov.“.</w:t>
              <w:br/>
            </w:r>
            <w:r>
              <w:rPr>
                <w:b w:val="off"/>
                <w:color w:val="000000"/>
                <w:rFonts w:ascii="Times New Roman" w:hAnsi="Times New Roman" w:cs="Times New Roman" w:eastAsia="Times New Roman"/>
                <w:sz w:val="24"/>
              </w:rPr>
              <w:t>„§ 48 sa dopĺňa odsekom 4, ktorý znie:</w:t>
              <w:br/>
            </w:r>
            <w:r>
              <w:rPr>
                <w:b w:val="off"/>
                <w:color w:val="000000"/>
                <w:rFonts w:ascii="Times New Roman" w:hAnsi="Times New Roman" w:cs="Times New Roman" w:eastAsia="Times New Roman"/>
                <w:sz w:val="24"/>
              </w:rPr>
              <w:t>„(4) Príslušný útvar Policajného zboru, ktorý vydal doklad totožnosti, poskytne notárovi na jeho žiadosť prostredníctvom Centrálneho informačného systému údaje z informačného systému Policajného zboru4ac) v rozsahu potrebnom na overenie podoby tváre držiteľa dokladu totožnosti a správnosti údajov zapísaných v doklade totožnosti.“.</w:t>
              <w:br/>
            </w:r>
            <w:r>
              <w:rPr>
                <w:b w:val="off"/>
                <w:color w:val="000000"/>
                <w:rFonts w:ascii="Times New Roman" w:hAnsi="Times New Roman" w:cs="Times New Roman" w:eastAsia="Times New Roman"/>
                <w:sz w:val="24"/>
              </w:rPr>
              <w:t>Poznámka pod čiarou k odkazu 4ac znie:</w:t>
              <w:br/>
            </w:r>
            <w:r>
              <w:rPr>
                <w:b w:val="off"/>
                <w:color w:val="000000"/>
                <w:rFonts w:ascii="Times New Roman" w:hAnsi="Times New Roman" w:cs="Times New Roman" w:eastAsia="Times New Roman"/>
                <w:sz w:val="24"/>
              </w:rPr>
              <w:t>„4ac) § 69 zákona Národnej rady Slovenskej republiky č. 171/1993 Z. z. o Policajnom zbore v znení neskorších predpisov.“.“.</w:t>
              <w:br/>
            </w:r>
            <w:r>
              <w:rPr>
                <w:b w:val="off"/>
                <w:color w:val="000000"/>
                <w:rFonts w:ascii="Times New Roman" w:hAnsi="Times New Roman" w:cs="Times New Roman" w:eastAsia="Times New Roman"/>
                <w:sz w:val="24"/>
              </w:rPr>
              <w:t>„Za § 48 sa vkladá § 48a, ktorý znie:</w:t>
              <w:br/>
            </w:r>
            <w:r>
              <w:rPr>
                <w:b w:val="off"/>
                <w:color w:val="000000"/>
                <w:rFonts w:ascii="Times New Roman" w:hAnsi="Times New Roman" w:cs="Times New Roman" w:eastAsia="Times New Roman"/>
                <w:sz w:val="24"/>
              </w:rPr>
              <w:t>„§ 48a</w:t>
              <w:br/>
            </w:r>
            <w:r>
              <w:rPr>
                <w:b w:val="off"/>
                <w:color w:val="000000"/>
                <w:rFonts w:ascii="Times New Roman" w:hAnsi="Times New Roman" w:cs="Times New Roman" w:eastAsia="Times New Roman"/>
                <w:sz w:val="24"/>
              </w:rPr>
              <w:t>(1) Preukázanie totožnosti účastníkov, svedkov, dôverníkov a osoby, ktorá ovláda jazyk účastníka, a zistenie obsahu prejavu vôle o tom, čo má byť pojaté do notárskej zápisnice, možno vykonať aj bez ich fyzickej prítomnosti, a to spojením prostredníctvom videokonferencie za súčasného použitia prostriedkov pre elektronickú identifikáciu.</w:t>
              <w:br/>
            </w:r>
            <w:r>
              <w:rPr>
                <w:b w:val="off"/>
                <w:color w:val="000000"/>
                <w:rFonts w:ascii="Times New Roman" w:hAnsi="Times New Roman" w:cs="Times New Roman" w:eastAsia="Times New Roman"/>
                <w:sz w:val="24"/>
              </w:rPr>
              <w:t>(2) Na postup podľa odseku 1 možno použiť iba taký prostriedok elektronickej komunikácie a elektronickej identifikácie, ktorý spĺňa technické špecifikácie, normy a postupy pre vysokú úroveň zabezpečenia prostriedkov elektronickej identifikácie podľa osobitného predpisu.4ad)</w:t>
              <w:br/>
            </w:r>
            <w:r>
              <w:rPr>
                <w:b w:val="off"/>
                <w:color w:val="000000"/>
                <w:rFonts w:ascii="Times New Roman" w:hAnsi="Times New Roman" w:cs="Times New Roman" w:eastAsia="Times New Roman"/>
                <w:sz w:val="24"/>
              </w:rPr>
              <w:t>(3) Postup podľa odsekov 1 a 2 je vylúčený, ak</w:t>
              <w:br/>
            </w:r>
            <w:r>
              <w:rPr>
                <w:b w:val="off"/>
                <w:color w:val="000000"/>
                <w:rFonts w:ascii="Times New Roman" w:hAnsi="Times New Roman" w:cs="Times New Roman" w:eastAsia="Times New Roman"/>
                <w:sz w:val="24"/>
              </w:rPr>
              <w:t>a) sa má spísať notárska zápisnica o právnom úkone pre prípad smrti,</w:t>
              <w:br/>
            </w:r>
            <w:r>
              <w:rPr>
                <w:b w:val="off"/>
                <w:color w:val="000000"/>
                <w:rFonts w:ascii="Times New Roman" w:hAnsi="Times New Roman" w:cs="Times New Roman" w:eastAsia="Times New Roman"/>
                <w:sz w:val="24"/>
              </w:rPr>
              <w:t>b) sa totožnosť potvrdzuje svedkami totožnosti (§ 48 ods. 1),</w:t>
              <w:br/>
            </w:r>
            <w:r>
              <w:rPr>
                <w:b w:val="off"/>
                <w:color w:val="000000"/>
                <w:rFonts w:ascii="Times New Roman" w:hAnsi="Times New Roman" w:cs="Times New Roman" w:eastAsia="Times New Roman"/>
                <w:sz w:val="24"/>
              </w:rPr>
              <w:t>c) sa má spísať notárska zápisnica s účastníkom podľa § 49 ods. 1 alebo § 51 ods. 2 a nemožno upustiť od pribratia svedkov úkonu alebo dôverníka, alebo</w:t>
              <w:br/>
            </w:r>
            <w:r>
              <w:rPr>
                <w:b w:val="off"/>
                <w:color w:val="000000"/>
                <w:rFonts w:ascii="Times New Roman" w:hAnsi="Times New Roman" w:cs="Times New Roman" w:eastAsia="Times New Roman"/>
                <w:sz w:val="24"/>
              </w:rPr>
              <w:t>d) sa má spísať notárska zápisnica o osvedčení, že je niekto nažive.“.</w:t>
              <w:br/>
            </w:r>
            <w:r>
              <w:rPr>
                <w:b w:val="off"/>
                <w:color w:val="000000"/>
                <w:rFonts w:ascii="Times New Roman" w:hAnsi="Times New Roman" w:cs="Times New Roman" w:eastAsia="Times New Roman"/>
                <w:sz w:val="24"/>
              </w:rPr>
              <w:t>Poznámka pod čiarou k odkazu 4ad znie:</w:t>
              <w:br/>
            </w:r>
            <w:r>
              <w:rPr>
                <w:b w:val="off"/>
                <w:color w:val="000000"/>
                <w:rFonts w:ascii="Times New Roman" w:hAnsi="Times New Roman" w:cs="Times New Roman" w:eastAsia="Times New Roman"/>
                <w:sz w:val="24"/>
              </w:rPr>
              <w:t>„4ad) Vykonávacie nariadenie Komisie (EÚ) 2015/1502 z 8. septembra 2015, ktorým sa stanovujú minimálne technické špecifikácie a postupy pre úrovne zabezpečenia prostriedkov elektronickej identifikácie podľa článku 8 ods. 3 nariadenia Európskeho parlamentu a Rady (EÚ) č. 910/2014 o elektronickej identifikácii a dôveryhodných službách pre elektronické transakcie na vnútornom trhu a o zrušení smernice 1999/93/ES (Ú. v. EÚ L 235, 9. 9. 2015).“.</w:t>
              <w:br/>
            </w:r>
            <w:r>
              <w:rPr>
                <w:b w:val="off"/>
                <w:color w:val="000000"/>
                <w:rFonts w:ascii="Times New Roman" w:hAnsi="Times New Roman" w:cs="Times New Roman" w:eastAsia="Times New Roman"/>
                <w:sz w:val="24"/>
              </w:rPr>
              <w:t>„V § 49 sa doterajší text označuje ako odsek 1 a dopĺňa sa odsekom 2, ktorý znie:</w:t>
              <w:br/>
            </w:r>
            <w:r>
              <w:rPr>
                <w:b w:val="off"/>
                <w:color w:val="000000"/>
                <w:rFonts w:ascii="Times New Roman" w:hAnsi="Times New Roman" w:cs="Times New Roman" w:eastAsia="Times New Roman"/>
                <w:sz w:val="24"/>
              </w:rPr>
              <w:t>„(2) Ak sa účastník dokáže oboznámiť s obsahom notárskej zápisnice pomocou prístrojov alebo špeciálnych pomôcok a je schopný sa vlastnoručne podpísať, možno upustiť od pribratia svedkov úkonu podľa odseku 1. Ak sa notárska zápisnica spisuje v elektronickej podobe, rozumie sa schopnosťou vlastnoručne sa podpísať schopnosť pripojiť k dokumentu svoj kvalifikovaný elektronický podpis.“.</w:t>
              <w:br/>
            </w:r>
            <w:r>
              <w:rPr>
                <w:b w:val="off"/>
                <w:color w:val="000000"/>
                <w:rFonts w:ascii="Times New Roman" w:hAnsi="Times New Roman" w:cs="Times New Roman" w:eastAsia="Times New Roman"/>
                <w:sz w:val="24"/>
              </w:rPr>
              <w:t>„V § 51 ods. 1 sa na konci pripája táto veta: „Ak sa notárska zápisnica spisuje v elektronickej podobe, notár do nej namiesto vlastnoručného pripísania účastníkom podľa prvej vety uvedie, že účastník zápisnicu prečítal a že ju schvaľuje.“.</w:t>
              <w:br/>
            </w:r>
            <w:r>
              <w:rPr>
                <w:b w:val="off"/>
                <w:color w:val="000000"/>
                <w:rFonts w:ascii="Times New Roman" w:hAnsi="Times New Roman" w:cs="Times New Roman" w:eastAsia="Times New Roman"/>
                <w:sz w:val="24"/>
              </w:rPr>
              <w:t>„V § 51 sa za odsek 2 vkladá nový odsek 3, ktorý znie:</w:t>
              <w:br/>
            </w:r>
            <w:r>
              <w:rPr>
                <w:b w:val="off"/>
                <w:color w:val="000000"/>
                <w:rFonts w:ascii="Times New Roman" w:hAnsi="Times New Roman" w:cs="Times New Roman" w:eastAsia="Times New Roman"/>
                <w:sz w:val="24"/>
              </w:rPr>
              <w:t>„(3) Ak sa takýto účastník dokáže oboznámiť s obsahom právneho úkonu pomocou prístrojov alebo špeciálnych pomôcok a je schopný sa vlastnoručne podpísať, možno upustiť od pribratia osôb podľa odseku 2. Ak sa notárska zápisnica spisuje v elektronickej podobe, rozumie sa schopnosťou vlastnoručne sa podpísať schopnosť pripojiť k dokumentu svoj kvalifikovaný elektronický podpis.“.</w:t>
              <w:br/>
            </w:r>
            <w:r>
              <w:rPr>
                <w:b w:val="off"/>
                <w:color w:val="000000"/>
                <w:rFonts w:ascii="Times New Roman" w:hAnsi="Times New Roman" w:cs="Times New Roman" w:eastAsia="Times New Roman"/>
                <w:sz w:val="24"/>
              </w:rPr>
              <w:t>Doterajší odsek 3 sa označuje ako odsek 4.“.</w:t>
              <w:br/>
            </w:r>
            <w:r>
              <w:rPr>
                <w:b w:val="off"/>
                <w:color w:val="000000"/>
                <w:rFonts w:ascii="Times New Roman" w:hAnsi="Times New Roman" w:cs="Times New Roman" w:eastAsia="Times New Roman"/>
                <w:sz w:val="24"/>
              </w:rPr>
              <w:t>„V § 62 sa za prvú vetu vkladá nová druhá veta, ktorá znie: „Notársku zápisnicu o osvedčení, že je niekto nažive, nemožno spísať v elektronickej podobe.“.“.</w:t>
              <w:br/>
            </w:r>
            <w:r>
              <w:rPr>
                <w:b w:val="off"/>
                <w:color w:val="000000"/>
                <w:rFonts w:ascii="Times New Roman" w:hAnsi="Times New Roman" w:cs="Times New Roman" w:eastAsia="Times New Roman"/>
                <w:sz w:val="24"/>
              </w:rPr>
              <w:t>„§ 75 sa dopĺňa odsekom 3, ktorý znie:</w:t>
              <w:br/>
            </w:r>
            <w:r>
              <w:rPr>
                <w:b w:val="off"/>
                <w:color w:val="000000"/>
                <w:rFonts w:ascii="Times New Roman" w:hAnsi="Times New Roman" w:cs="Times New Roman" w:eastAsia="Times New Roman"/>
                <w:sz w:val="24"/>
              </w:rPr>
              <w:t>„(3) Pri vydávaní odpisu notárskej zápisnice spísanej v elektronickej podobe doložka o osvedčení obsahuje aj údaj o mene a priezvisku osôb, ktoré notársku zápisnicu elektronicky podpísali. Ak sa odpis vydáva v elektronickej podobe, doložka o osvedčení obsahuje namiesto vlastnoručného podpisu notára jeho kvalifikovaný elektronický podpis vyhotovený s použitím mandátneho certifikátu, ku ktorému pripojí kvalifikovanú elektronickú časovú pečiatku podľa osobitného predpisu;4ab) to platí aj pre zástupcu notára, náhradníka notára a kandidáta, ak doložku o osvedčení podpisujú namiesto notára (§ 18 ods. 2, § 19 ods. 3 a § 25 ods. 2); odtlačok úradnej pečiatky sa nevyžaduje.“.</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Notárska komora SR navrhla úpravu notárskej zápisnice v elektronickej podobe už v predbežných pripomienkach; predkladateľ ju neakceptoval ako „mimo rámca“ Občianskeho zákonníka. S týmto hodnotením nesúhlasíme. Nový Občiansky zákonník upravuje písomnú formu v elektronickej podobe a dôjdenie právneho úkonu elektronickými prostriedkami (§ 53 ods. 2 a § 73 OZ) a súčasne rozširuje okruh úkonov, pre ktoré vyžaduje formu notárskej zápisnice (§ 75 OZ; zmluva o spoločnom imaní manželov, dedičská zmluva, predbežné prehlásenie, zmluva o podporovanom rozhodovaní). Ak sa majú tieto úkony uskutočňovať aj elektronicky, Notársky poriadok musí ustanoviť, ako sa spisuje notárska zápisnica v elektronickej podobe, čo je jej prvopisom, ako sa vydávajú jej odpisy a ako notár overí totožnosť účastníka na diaľku. Bez tejto úpravy by sa forma notárskej zápisnice stala jedinou formou právneho úkonu, ktorú nemožno uskutočniť elektronicky.</w:t>
              <w:br/>
            </w:r>
            <w:r>
              <w:rPr>
                <w:b w:val="off"/>
                <w:color w:val="000000"/>
                <w:rFonts w:ascii="Times New Roman" w:hAnsi="Times New Roman" w:cs="Times New Roman" w:eastAsia="Times New Roman"/>
                <w:sz w:val="24"/>
              </w:rPr>
              <w:t>Návrh zachováva záruky: elektronická zápisnica je elektronickým úradným dokumentom podpísaným kvalifikovanými elektronickými podpismi, prvopis je uložený v registri listín, overenie totožnosti na diaľku je možné len prostriedkom s vysokou úrovňou zabezpečenia (vykonávacie nariadenie (EÚ) 2015/1502) a s prístupom k fotografii z dokladu totožnosti. Doplnenie § 49 a 51 umožňuje osobám so zdravotným postihnutím, ktoré sa s obsahom listiny dokážu oboznámiť pomocou pomôcok, konať samostatne.</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40 ods. 1 a 3 NP (zodpovednosť notára za škodu); súvislosť s čl. LXXV bodom 12 (§ 26 zákona o advokácii)</w:t>
              <w:br/>
            </w:r>
            <w:r>
              <w:rPr>
                <w:b w:val="off"/>
                <w:color w:val="000000"/>
                <w:rFonts w:ascii="Times New Roman" w:hAnsi="Times New Roman" w:cs="Times New Roman" w:eastAsia="Times New Roman"/>
                <w:sz w:val="24"/>
              </w:rPr>
              <w:t>Navrhujeme do čl. XXI vložiť nové body, ktoré znejú:</w:t>
              <w:br/>
            </w:r>
            <w:r>
              <w:rPr>
                <w:b w:val="off"/>
                <w:color w:val="000000"/>
                <w:rFonts w:ascii="Times New Roman" w:hAnsi="Times New Roman" w:cs="Times New Roman" w:eastAsia="Times New Roman"/>
                <w:sz w:val="24"/>
              </w:rPr>
              <w:t>„§ 40 ods. 1 prvá veta znie: „Notár zodpovedá za škodu, ktorú spôsobí porušením povinnosti pri výkone činnosti podľa tohto zákona.“.“.</w:t>
              <w:br/>
            </w:r>
            <w:r>
              <w:rPr>
                <w:b w:val="off"/>
                <w:color w:val="000000"/>
                <w:rFonts w:ascii="Times New Roman" w:hAnsi="Times New Roman" w:cs="Times New Roman" w:eastAsia="Times New Roman"/>
                <w:sz w:val="24"/>
              </w:rPr>
              <w:t>„§ 40 odsek 3 znie:</w:t>
              <w:br/>
            </w:r>
            <w:r>
              <w:rPr>
                <w:b w:val="off"/>
                <w:color w:val="000000"/>
                <w:rFonts w:ascii="Times New Roman" w:hAnsi="Times New Roman" w:cs="Times New Roman" w:eastAsia="Times New Roman"/>
                <w:sz w:val="24"/>
              </w:rPr>
              <w:t>„(3) Notár sa vyviní, ak preukáže, že pri výkone činnosti podľa tohto zákona nezanedbal odbornú starostlivosť.“.</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čl. LXXV bode 12 nanovo upravuje zodpovednosť advokáta za škodu: advokát zodpovedá klientovi za škodu, ktorú mu spôsobil porušením povinnosti, a vyviní sa, ak preukáže, že pri výkone advokácie nezanedbal odbornú starostlivosť (§ 26 ods. 1 a 4 zákona o advokácii v znení návrhu). Platný § 26 zákona o advokácii pritom obsahuje rovnaký liberačný dôvod ako § 40 ods. 3 Notárskeho poriadku (zbavenie sa zodpovednosti, len ak škode nebolo možné zabrániť ani pri vynaložení všetkého úsilia). Rozdiel medzi dvoma právnickými profesiami by tak vytvoril až tento návrh, a to bez akéhokoľvek odôvodnenia v dôvodovej správe.</w:t>
              <w:br/>
            </w:r>
            <w:r>
              <w:rPr>
                <w:b w:val="off"/>
                <w:color w:val="000000"/>
                <w:rFonts w:ascii="Times New Roman" w:hAnsi="Times New Roman" w:cs="Times New Roman" w:eastAsia="Times New Roman"/>
                <w:sz w:val="24"/>
              </w:rPr>
              <w:t>Liberačný dôvod platného § 40 ods. 3 NP zodpovedá tomu, ktorý nový Občiansky zákonník vyhradzuje prevádzkovateľovi mimoriadne nebezpečnej prevádzky (§ 655 ods. 3 OZ), zatiaľ čo pri profesijnej činnosti sa prevádzkovateľ vyviní preukázaním náležitej starostlivosti (§ 654 ods. 2 OZ). Ak je cieľom rekodifikácie zjednotiť základné pravidlá súkromnoprávnej zodpovednosti, notár nemá zostať jedinou právnickou profesiou s prísnejším liberačným dôvodom. Notár pritom na rozdiel od advokáta nemôže bez zákonného dôvodu odmietnuť výkon úradného úkonu a vykonáva aj úkony súdu ako súdny komisár.</w:t>
              <w:br/>
            </w:r>
            <w:r>
              <w:rPr>
                <w:b w:val="off"/>
                <w:color w:val="000000"/>
                <w:rFonts w:ascii="Times New Roman" w:hAnsi="Times New Roman" w:cs="Times New Roman" w:eastAsia="Times New Roman"/>
                <w:sz w:val="24"/>
              </w:rPr>
              <w:t>Zmena odseku 1 zosúlaďuje predpoklady zodpovednosti s § 26 ods. 1 zákona o advokácii v znení návrhu (porušenie povinnosti); notár na rozdiel od advokáta zodpovedá nielen klientovi, ale každému poškodenému, čo zostáva zachované. Ochrana poškodeného zostáva zabezpečená povinným poistením zodpovednosti (§ 40 ods. 4 NP) a subsidiárnou zodpovednosťou štátu (§ 40 ods. 5 NP). Ide o postavenie notára a podmienky výkonu notárskeho úradu, a teda o vecnú pôsobnosť a postavenie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47 ods. 1 písm. e) NP</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„V § 47 ods. 1 písm. e) sa na konci pripájajú tieto slová: „a ak bola totožnosť preukázaná postupom podľa § 48a, aj údaj o použitom prostriedku elektronickej identifikácie a o spôsobe spojenia,“.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nadväzuje na § 48a (bod 22). Ak sa totožnosť účastníka preukazuje na diaľku, notárska zápisnica má obsahovať údaj o použitom prostriedku elektronickej identifikácie a spôsobe spojenia, aby bolo spätne preukázateľné, že boli splnené podmienky podľa § 48a ods. 2 NP.</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6 § 53a ods. 1 a 2 NP</w:t>
              <w:br/>
            </w:r>
            <w:r>
              <w:rPr>
                <w:b w:val="off"/>
                <w:color w:val="000000"/>
                <w:rFonts w:ascii="Times New Roman" w:hAnsi="Times New Roman" w:cs="Times New Roman" w:eastAsia="Times New Roman"/>
                <w:sz w:val="24"/>
              </w:rPr>
              <w:t>Navrhujeme v čl. XXI bode 6 doplniť nad § 53a nadpis „Poučovacia povinnosť pri dedičskej zmluve“ a § 53a ods. 1 a 2 formulovať takto:</w:t>
              <w:br/>
            </w:r>
            <w:r>
              <w:rPr>
                <w:b w:val="off"/>
                <w:color w:val="000000"/>
                <w:rFonts w:ascii="Times New Roman" w:hAnsi="Times New Roman" w:cs="Times New Roman" w:eastAsia="Times New Roman"/>
                <w:sz w:val="24"/>
              </w:rPr>
              <w:t>„(1) Pred spísaním dedičskej zmluvy notár poučí účastníkov, že v dedičskej zmluve si môžu dohodnúť dôvody, pre ktoré môže zmluvná strana od dedičskej zmluvy odstúpiť, alebo dohodnúť, že zmluvná strana má právo odstúpiť od dedičskej zmluvy aj bez uvedenia dôvodu. Ak sú zmluvnými stranami manželia, notár poučí účastníkov, že v dedičskej zmluve si môžu dohodou vylúčiť, že rozvod manželstva spôsobuje zánik dedičskej zmluvy.</w:t>
              <w:br/>
            </w:r>
            <w:r>
              <w:rPr>
                <w:b w:val="off"/>
                <w:color w:val="000000"/>
                <w:rFonts w:ascii="Times New Roman" w:hAnsi="Times New Roman" w:cs="Times New Roman" w:eastAsia="Times New Roman"/>
                <w:sz w:val="24"/>
              </w:rPr>
              <w:t>(2) Pred spísaním dedičskej zmluvy notár na žiadosť účastníka, ktorý má v dedičskej zmluve vystupovať ako poručiteľ, vykoná lustráciu v Notárskom centrálnom registri právnych úkonov pre prípad smrti na účel zistenia, či tento účastník už uzavrel inú dedičskú zmluvu. Ak notár zistí existenciu skôr uzavretej dedičskej zmluvy, poučí účastníkov o právnych následkoch uzavretia ďalšej dedičskej zmluvy podľa osobitného predpisu.4ae)“.</w:t>
              <w:br/>
            </w:r>
            <w:r>
              <w:rPr>
                <w:b w:val="off"/>
                <w:color w:val="000000"/>
                <w:rFonts w:ascii="Times New Roman" w:hAnsi="Times New Roman" w:cs="Times New Roman" w:eastAsia="Times New Roman"/>
                <w:sz w:val="24"/>
              </w:rPr>
              <w:t>Poznámka pod čiarou k odkazu 4ae znie:</w:t>
              <w:br/>
            </w:r>
            <w:r>
              <w:rPr>
                <w:b w:val="off"/>
                <w:color w:val="000000"/>
                <w:rFonts w:ascii="Times New Roman" w:hAnsi="Times New Roman" w:cs="Times New Roman" w:eastAsia="Times New Roman"/>
                <w:sz w:val="24"/>
              </w:rPr>
              <w:t>„4ae) § 1743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odseku 1: ide o jazykovú a interpunkčnú úpravu znenia, ktoré navrhla Notárska komora SR (chýbajúce čiarky, zvratné „si“) a doplnenie nadpisu.</w:t>
              <w:br/>
            </w:r>
            <w:r>
              <w:rPr>
                <w:b w:val="off"/>
                <w:color w:val="000000"/>
                <w:rFonts w:ascii="Times New Roman" w:hAnsi="Times New Roman" w:cs="Times New Roman" w:eastAsia="Times New Roman"/>
                <w:sz w:val="24"/>
              </w:rPr>
              <w:t xml:space="preserve">K odseku 2: povinnosť notára predložiť budúcej zmluvnej strane „k nahliadnutiu“ odpis skoršej dedičskej zmluvy poručiteľa považujeme za neprimeraný zásah do súkromia poručiteľa a do práv ostatných zmluvných strán, pričom sledovaný cieľ je možné docieliť aj vhodnejším spôsobom. Osoba, ktorá má byť povolaná za dediča až novou dedičskou zmluvou, nie je zmluvnou stranou skoršej zmluvy a nemá dôvod poznať jej obsah. Anonymizácia údajov skôr povolaného dediča problém nerieši: dedičská zmluva obsahuje údaje o majetku, rozsahu povolania, odplate, zaopatrovacej rente, obmedzeniach nakladania s majetkom či dôvodoch odstúpenia a skôr povolaný dedič je z jej obsahu často nepriamo identifikovateľný. Úprava by otvárala priestor na zneužitie: ktokoľvek by mohol predstierať záujem o uzavretie dedičskej zmluvy len preto, aby prostredníctvom notára získal informácie o predchádzajúcich dispozíciách a majetkových pomeroch poručiteľa, osobitne staršieho alebo zraniteľného. Občiansky zákonník také oprávnenie nezakladá; § 1743 OZ upravuje len následky existencie viacerých dedičských zmlúv. Existencia zápisu v registri navyše nepreukazuje, že skoršia zmluva trvá, takže notár ani na základe lustrácie nemôže garantovať rozsah budúceho dedičského práva. Navrhovaná právna úprava je zároveň nejasná, nezrozumiteľná a vo vnútornom rozpore s § 75 Notárskeho poriadku. Zákon nijako nedefinuje, aké osobné údaje by sa mali z textu vypustiť, či si taká osoba pri nahliadnutí môže urobiť aj fotodokumentáciu tejto listiny a podobne. Podľa nariadenia (EÚ) 2016/679 a zákona č. 18/2018 Z. z. o ochrane osobných údajov sú osobnými údajmi akékoľvek informácie týkajúce sa identifikovanej alebo identifikovateľnej fyzickej osoby. Osobnými údajmi sú teda najmä meno, priezvisko, dátum narodenia, rodné číslo, adresa bydliska alebo číslo dokladu totožnosti. Takýto odpis notárskej zápisnice, ktorý je verejnou listinou a ktorý sa má opatriť úradnou pečiatkou notára a jeho podpisom, by vlastne nemal obsahovať žiadne informácie o účastníkoch, čo je samo o sebe v rozpore s účelom odpisu notárskej zápisnice a verejnej listiny ako takej. § 75 Notárskeho poriadku navyše ukladá, aby sa každý odpis zhodoval s prvopisom. </w:t>
              <w:br/>
            </w:r>
            <w:r>
              <w:rPr>
                <w:b w:val="off"/>
                <w:color w:val="000000"/>
                <w:rFonts w:ascii="Times New Roman" w:hAnsi="Times New Roman" w:cs="Times New Roman" w:eastAsia="Times New Roman"/>
                <w:sz w:val="24"/>
              </w:rPr>
              <w:t>Navrhujeme preto, aby lustráciu notár vykonal na žiadosť poručiteľa a pri zistení skoršej zmluvy poučil účastníkov o následkoch podľa Občianskeho zákonníka bez sprístupnenia jej obsahu. Ak má poručiteľ záujem, aby s ním potenciálny zmluvný dedič uzavrel dedičskú zmluvu, môže mu skoršiu dedičskú zmluvu sám sprístupniť, resp. si od notára vyžiadať jej odpis. Upozorňujeme tiež na nesúlad s dôvodovou správou, ktorá lustráciu opisuje ako povinnosť notára, hoci návrh ju viaže na žiadosť účastníkov. Ide o povinnosti notára pri spisovaní notárskej zápisnice a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7 § 54 NP a poznámky pod čiarou k odkazom 4b a 4c</w:t>
              <w:br/>
            </w:r>
            <w:r>
              <w:rPr>
                <w:b w:val="off"/>
                <w:color w:val="000000"/>
                <w:rFonts w:ascii="Times New Roman" w:hAnsi="Times New Roman" w:cs="Times New Roman" w:eastAsia="Times New Roman"/>
                <w:sz w:val="24"/>
              </w:rPr>
              <w:t>Navrhujeme čl. XXI bod 7 nahradiť týmto znením:</w:t>
              <w:br/>
            </w:r>
            <w:r>
              <w:rPr>
                <w:b w:val="off"/>
                <w:color w:val="000000"/>
                <w:rFonts w:ascii="Times New Roman" w:hAnsi="Times New Roman" w:cs="Times New Roman" w:eastAsia="Times New Roman"/>
                <w:sz w:val="24"/>
              </w:rPr>
              <w:t>„7. § 54 znie:</w:t>
              <w:br/>
            </w:r>
            <w:r>
              <w:rPr>
                <w:b w:val="off"/>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 xml:space="preserve">(1) Ak notár spíše formou notárskej zápisnice právny úkon pre prípad smrti4a), alebo ak notár prijme do úschovy listinu, v ktorej je spísaný právny úkon pre prípad smrti,4a) zabezpečí bez zbytočného odkladu po vykonaní tohto úkonu jeho zaregistrovanie v Notárskom centrálnom registri právnych úkonov pre prípad smrti (ďalej len „register pre prípad smrti“). </w:t>
              <w:br/>
            </w:r>
            <w:r>
              <w:rPr>
                <w:b w:val="off"/>
                <w:color w:val="000000"/>
                <w:rFonts w:ascii="Times New Roman" w:hAnsi="Times New Roman" w:cs="Times New Roman" w:eastAsia="Times New Roman"/>
                <w:sz w:val="24"/>
              </w:rPr>
              <w:t>(2) Ak súd nahradil prejav vôle poručiteľa4aa) smerujúci k povolaniu dediča dedičskou zmluvou a dedičskú zmluvu pojal do výroku svojho rozhodnutia, notár, ktorému súd doručil právoplatné rozhodnutie v elektronickej podobe na účely registrácie, zabezpečí bez zbytočného odkladu registráciu dedičskej zmluvy v registri pre prípad smrti.</w:t>
              <w:br/>
            </w:r>
            <w:r>
              <w:rPr>
                <w:b w:val="off"/>
                <w:color w:val="000000"/>
                <w:rFonts w:ascii="Times New Roman" w:hAnsi="Times New Roman" w:cs="Times New Roman" w:eastAsia="Times New Roman"/>
                <w:sz w:val="24"/>
              </w:rPr>
              <w:t>(3) Ak notár spíše formou notárskej zápisnice zmluvu o spoločnom imaní manželov, jej zmenu alebo jej zánik, poverenie manžela na výlučnú správu časti alebo celého spoločného imania manželov alebo odvolanie takého poverenia,4b) zabezpečí bez zbytočného odkladu po vykonaní tohto úkonu jeho zaregistrovanie v Notárskom centrálnom registri modifikácií spoločného imania manželov (ďalej len „register modifikácií“).</w:t>
              <w:br/>
            </w:r>
            <w:r>
              <w:rPr>
                <w:b w:val="off"/>
                <w:color w:val="000000"/>
                <w:rFonts w:ascii="Times New Roman" w:hAnsi="Times New Roman" w:cs="Times New Roman" w:eastAsia="Times New Roman"/>
                <w:sz w:val="24"/>
              </w:rPr>
              <w:t>(4) Ak notár spíše formou notárskej zápisnice predbežné prehlásenie alebo jeho odvolanie, zmluvu o podporovanom rozhodovaní, jej zmenu alebo dohodu o jej zániku,4c) zabezpečí bez zbytočného odkladu po vykonaní tohto úkonu jeho zaregistrovanie v Notárskom centrálnom registri podporných opatrení (ďalej len „register podporných opatrení“).</w:t>
              <w:br/>
            </w:r>
            <w:r>
              <w:rPr>
                <w:b w:val="off"/>
                <w:color w:val="000000"/>
                <w:rFonts w:ascii="Times New Roman" w:hAnsi="Times New Roman" w:cs="Times New Roman" w:eastAsia="Times New Roman"/>
                <w:sz w:val="24"/>
              </w:rPr>
              <w:t>(5) Ak notár spíše formou notárskej zápisnice právny úkon, na ktorého účinnosť sa vyžaduje registrácia v Notárskom centrálnom registri plnomocenstiev (ďalej len „register plnomocenstiev“), zabezpečí bez zbytočného odkladu po vykonaní tohto úkonu jeho zaregistrovanie v registri plnomocenstiev.“.</w:t>
              <w:br/>
            </w:r>
            <w:r>
              <w:rPr>
                <w:b w:val="off"/>
                <w:color w:val="000000"/>
                <w:rFonts w:ascii="Times New Roman" w:hAnsi="Times New Roman" w:cs="Times New Roman" w:eastAsia="Times New Roman"/>
                <w:sz w:val="24"/>
              </w:rPr>
              <w:t>Poznámky pod čiarou k odkazom 4a až 4c znejú:</w:t>
              <w:br/>
            </w:r>
            <w:r>
              <w:rPr>
                <w:b w:val="off"/>
                <w:color w:val="000000"/>
                <w:rFonts w:ascii="Times New Roman" w:hAnsi="Times New Roman" w:cs="Times New Roman" w:eastAsia="Times New Roman"/>
                <w:sz w:val="24"/>
              </w:rPr>
              <w:t>„4a) Občiansky zákonník, čl. 22 nariadenia Európskeho parlamentu a Rady (EÚ) č. 650/2012 zo 4. júla 2012 o právomoci, rozhodnom práve, uznávaní a výkone rozhodnutí a prijatí a výkone verejných listín v dedičských veciach a o zavedení európskeho osvedčenia o dedičstve (Ú. v. EÚ L 201, 27. 7. 2012).</w:t>
              <w:br/>
            </w:r>
            <w:r>
              <w:rPr>
                <w:b w:val="off"/>
                <w:color w:val="000000"/>
                <w:rFonts w:ascii="Times New Roman" w:hAnsi="Times New Roman" w:cs="Times New Roman" w:eastAsia="Times New Roman"/>
                <w:sz w:val="24"/>
              </w:rPr>
              <w:t>4aa) § 1750 Občianskeho zákonníka.</w:t>
              <w:br/>
            </w:r>
            <w:r>
              <w:rPr>
                <w:b w:val="off"/>
                <w:color w:val="000000"/>
                <w:rFonts w:ascii="Times New Roman" w:hAnsi="Times New Roman" w:cs="Times New Roman" w:eastAsia="Times New Roman"/>
                <w:sz w:val="24"/>
              </w:rPr>
              <w:t>4b) § 297 až 301 Občianskeho zákonníka.</w:t>
              <w:br/>
            </w:r>
            <w:r>
              <w:rPr>
                <w:b w:val="off"/>
                <w:color w:val="000000"/>
                <w:rFonts w:ascii="Times New Roman" w:hAnsi="Times New Roman" w:cs="Times New Roman" w:eastAsia="Times New Roman"/>
                <w:sz w:val="24"/>
              </w:rPr>
              <w:t>4c) § 194 až 206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upravuje v § 54 len registráciu do registra pre prípad smrti, hoci § 73c, 73l a 73m v znení návrhu používajú skratky „register pre prípad smrti“, „register modifikácií“ a „register podporných opatrení“, ktoré nie sú nikde zavedené, a hoci Občiansky zákonník spája účinnosť zmluvy o spoločnom imaní manželov a poverenia na správu spoločného imania s registráciou v notárskom centrálnom registri modifikácií (§ 298 ods. 1 a § 301 ods. 5 OZ) a účinnosť zmluvy o podporovanom rozhodovaní s registráciou v notárskom centrálnom registri podporných opatrení (§ 204 ods. 2 OZ). Bez zákonnej povinnosti notára tieto úkony zaregistrovať by účinnosť týchto právnych úkonov nemala v Notárskom poriadku oporu.</w:t>
              <w:br/>
            </w:r>
            <w:r>
              <w:rPr>
                <w:b w:val="off"/>
                <w:color w:val="000000"/>
                <w:rFonts w:ascii="Times New Roman" w:hAnsi="Times New Roman" w:cs="Times New Roman" w:eastAsia="Times New Roman"/>
                <w:sz w:val="24"/>
              </w:rPr>
              <w:t>Odsek 1 preberá znenie návrhu a dopĺňa legislatívnu skratku. Odsek 2 rieši dedičskú zmluvu, ktorú súd podľa § 1750 ods. 3 OZ pojme do výroku rozhodnutia: podľa § 76 OZ je požiadavka formy dodržaná aj vtedy, ak prejav vôle nahradilo rozhodnutie súdu, takže táto zmluva sa nespisuje vo forme notárskej zápisnice ani neprijíma do úschovy a podľa návrhu by sa nikdy nezaregistrovala (nadväzuje na bod 9). Odseky 3 a 4 dopĺňajú registračnú povinnosť pre modifikácie spoločného imania manželov a podporné opatrenia. Odsek 5 nadväzuje na zriadenie registra plnomocenstiev (bod 2); zjednocuje sa s § 73n ods. 5, podľa ktorého sa listina registruje v deň podpísania notárskej zápisnice. Poznámky pod čiarou 4b a 4c odkazujú na ustanovenia Občianskeho zákonníka o zmluvnom spoločnom imaní manželov a o podporných opatreniach. Ide o notárske centrálne registre vedené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13 § 73c NP</w:t>
              <w:br/>
            </w:r>
            <w:r>
              <w:rPr>
                <w:b w:val="off"/>
                <w:color w:val="000000"/>
                <w:rFonts w:ascii="Times New Roman" w:hAnsi="Times New Roman" w:cs="Times New Roman" w:eastAsia="Times New Roman"/>
                <w:sz w:val="24"/>
              </w:rPr>
              <w:t>Navrhujeme v čl. XXI bode 13 nahradiť nesprávne označenie „§ 66“ a nadpis „Úschova listiny pre prípad smrti“ označením „§ 73c“ a nadpisom „Notársky centrálny register právnych úkonov pre prípad smrti“ a § 73c ods. 1 formulovať takto:</w:t>
              <w:br/>
            </w:r>
            <w:r>
              <w:rPr>
                <w:b w:val="off"/>
                <w:color w:val="000000"/>
                <w:rFonts w:ascii="Times New Roman" w:hAnsi="Times New Roman" w:cs="Times New Roman" w:eastAsia="Times New Roman"/>
                <w:sz w:val="24"/>
              </w:rPr>
              <w:t>„§ 73c</w:t>
              <w:br/>
            </w:r>
            <w:r>
              <w:rPr>
                <w:b w:val="off"/>
                <w:color w:val="000000"/>
                <w:rFonts w:ascii="Times New Roman" w:hAnsi="Times New Roman" w:cs="Times New Roman" w:eastAsia="Times New Roman"/>
                <w:sz w:val="24"/>
              </w:rPr>
              <w:t>Notársky centrálny register právnych úkonov pre prípad smrti</w:t>
              <w:br/>
            </w:r>
            <w:r>
              <w:rPr>
                <w:b w:val="off"/>
                <w:color w:val="000000"/>
                <w:rFonts w:ascii="Times New Roman" w:hAnsi="Times New Roman" w:cs="Times New Roman" w:eastAsia="Times New Roman"/>
                <w:sz w:val="24"/>
              </w:rPr>
              <w:t>(1) Komora vedie register pre prípad smrti, ktorý obsahuje nevyhlásené právne úkony pre prípad smrti a vyhlásené právne úkony pre prípad smrti, ktoré boli spísané vo forme notárskej zápisnice, ktoré notár prijal do úschovy, a ktoré sú obsiahnuté vo výroku právoplatného rozhodnutia súdu.“.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XXI bode 13 je zjavná chyba: ustanovenie, ktoré má nahradiť § 73c, je označené ako „§ 66“ s nadpisom „Úschova listiny pre prípad smrti“, ktorý patrí k § 66 (bod 11). V Zbierke zákonov by tak vznikli dva § 66 a § 73c by zostal v doterajšom znení.</w:t>
              <w:br/>
            </w:r>
            <w:r>
              <w:rPr>
                <w:b w:val="off"/>
                <w:color w:val="000000"/>
                <w:rFonts w:ascii="Times New Roman" w:hAnsi="Times New Roman" w:cs="Times New Roman" w:eastAsia="Times New Roman"/>
                <w:sz w:val="24"/>
              </w:rPr>
              <w:t>Doplnenie odseku 1 nadväzuje na registráciu dedičskej zmluvy pojatej do výroku rozhodnutia súdu podľa § 1750 ods. 3 OZ (body 26 a 9); bez neho by register pre prípad smrti takúto dedičskú zmluvu neobsahoval.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68 ods. 7, § 73d až 73i NP a nový § 73da (register záložných práv a podzáložné právo)</w:t>
              <w:br/>
            </w:r>
            <w:r>
              <w:rPr>
                <w:b w:val="off"/>
                <w:color w:val="000000"/>
                <w:rFonts w:ascii="Times New Roman" w:hAnsi="Times New Roman" w:cs="Times New Roman" w:eastAsia="Times New Roman"/>
                <w:sz w:val="24"/>
              </w:rPr>
              <w:t>Navrhujeme zosúladiť ustanovenia o Notárskom centrálnom registri záložných práv s novým Občianskym zákonníkom a do čl. XXI vložiť nové body, ktoré znejú:</w:t>
              <w:br/>
            </w:r>
            <w:r>
              <w:rPr>
                <w:b w:val="off"/>
                <w:color w:val="000000"/>
                <w:rFonts w:ascii="Times New Roman" w:hAnsi="Times New Roman" w:cs="Times New Roman" w:eastAsia="Times New Roman"/>
                <w:sz w:val="24"/>
              </w:rPr>
              <w:t>a) „V § 68 ods. 7 sa za slová „záložných veriteľov“ vkladajú slová „a podzáložných veriteľov“.“.</w:t>
              <w:br/>
            </w:r>
            <w:r>
              <w:rPr>
                <w:b w:val="off"/>
                <w:color w:val="000000"/>
                <w:rFonts w:ascii="Times New Roman" w:hAnsi="Times New Roman" w:cs="Times New Roman" w:eastAsia="Times New Roman"/>
                <w:sz w:val="24"/>
              </w:rPr>
              <w:t>b) „V § 73d ods. 1 písmeno f) znie:</w:t>
              <w:br/>
            </w:r>
            <w:r>
              <w:rPr>
                <w:b w:val="off"/>
                <w:color w:val="000000"/>
                <w:rFonts w:ascii="Times New Roman" w:hAnsi="Times New Roman" w:cs="Times New Roman" w:eastAsia="Times New Roman"/>
                <w:sz w:val="24"/>
              </w:rPr>
              <w:t>„f) meno a priezvisko (obchodné meno), adresu trvalého pobytu (sídlo) a dátum narodenia (identifikačné číslo organizácie) záložného veriteľa, osoby, ktorá je oprávnená konať za záložného veriteľa, alebo správcu zabezpečenia; ak sa zapisuje osoba oprávnená konať za záložného veriteľa alebo správca zabezpečenia, je potrebné túto skutočnosť vyznačiť,“.“.</w:t>
              <w:br/>
            </w:r>
            <w:r>
              <w:rPr>
                <w:b w:val="off"/>
                <w:color w:val="000000"/>
                <w:rFonts w:ascii="Times New Roman" w:hAnsi="Times New Roman" w:cs="Times New Roman" w:eastAsia="Times New Roman"/>
                <w:sz w:val="24"/>
              </w:rPr>
              <w:t>c) „Za § 73d sa vkladá § 73da, ktorý vrátane nadpisu znie:</w:t>
              <w:br/>
            </w:r>
            <w:r>
              <w:rPr>
                <w:b w:val="off"/>
                <w:color w:val="000000"/>
                <w:rFonts w:ascii="Times New Roman" w:hAnsi="Times New Roman" w:cs="Times New Roman" w:eastAsia="Times New Roman"/>
                <w:sz w:val="24"/>
              </w:rPr>
              <w:t>„§ 73da</w:t>
              <w:br/>
            </w:r>
            <w:r>
              <w:rPr>
                <w:b w:val="off"/>
                <w:color w:val="000000"/>
                <w:rFonts w:ascii="Times New Roman" w:hAnsi="Times New Roman" w:cs="Times New Roman" w:eastAsia="Times New Roman"/>
                <w:sz w:val="24"/>
              </w:rPr>
              <w:t>Podzáložné právo</w:t>
              <w:br/>
            </w:r>
            <w:r>
              <w:rPr>
                <w:b w:val="off"/>
                <w:color w:val="000000"/>
                <w:rFonts w:ascii="Times New Roman" w:hAnsi="Times New Roman" w:cs="Times New Roman" w:eastAsia="Times New Roman"/>
                <w:sz w:val="24"/>
              </w:rPr>
              <w:t>(1) V registri záložných práv sa registruje podzáložné právo, ak je záložné právo, ktorým je zabezpečená založená pohľadávka, registrované v registri záložných práv.</w:t>
              <w:br/>
            </w:r>
            <w:r>
              <w:rPr>
                <w:b w:val="off"/>
                <w:color w:val="000000"/>
                <w:rFonts w:ascii="Times New Roman" w:hAnsi="Times New Roman" w:cs="Times New Roman" w:eastAsia="Times New Roman"/>
                <w:sz w:val="24"/>
              </w:rPr>
              <w:t>(2) Pri registrácii podzáložného práva sa do registra záložných práv zapíše</w:t>
              <w:br/>
            </w:r>
            <w:r>
              <w:rPr>
                <w:b w:val="off"/>
                <w:color w:val="000000"/>
                <w:rFonts w:ascii="Times New Roman" w:hAnsi="Times New Roman" w:cs="Times New Roman" w:eastAsia="Times New Roman"/>
                <w:sz w:val="24"/>
              </w:rPr>
              <w:t>a) odkaz na registráciu záložného práva, ktorým je zabezpečená založená pohľadávka,</w:t>
              <w:br/>
            </w:r>
            <w:r>
              <w:rPr>
                <w:b w:val="off"/>
                <w:color w:val="000000"/>
                <w:rFonts w:ascii="Times New Roman" w:hAnsi="Times New Roman" w:cs="Times New Roman" w:eastAsia="Times New Roman"/>
                <w:sz w:val="24"/>
              </w:rPr>
              <w:t>b) určenie založenej pohľadávky,</w:t>
              <w:br/>
            </w:r>
            <w:r>
              <w:rPr>
                <w:b w:val="off"/>
                <w:color w:val="000000"/>
                <w:rFonts w:ascii="Times New Roman" w:hAnsi="Times New Roman" w:cs="Times New Roman" w:eastAsia="Times New Roman"/>
                <w:sz w:val="24"/>
              </w:rPr>
              <w:t>c) údaje podľa § 73d ods. 1 písm. f) o záložnom veriteľovi, ktorý založil pohľadávku,</w:t>
              <w:br/>
            </w:r>
            <w:r>
              <w:rPr>
                <w:b w:val="off"/>
                <w:color w:val="000000"/>
                <w:rFonts w:ascii="Times New Roman" w:hAnsi="Times New Roman" w:cs="Times New Roman" w:eastAsia="Times New Roman"/>
                <w:sz w:val="24"/>
              </w:rPr>
              <w:t>d) údaje podľa § 73d ods. 1 písm. f) o podzáložnom veriteľovi,</w:t>
              <w:br/>
            </w:r>
            <w:r>
              <w:rPr>
                <w:b w:val="off"/>
                <w:color w:val="000000"/>
                <w:rFonts w:ascii="Times New Roman" w:hAnsi="Times New Roman" w:cs="Times New Roman" w:eastAsia="Times New Roman"/>
                <w:sz w:val="24"/>
              </w:rPr>
              <w:t>e) určenie pohľadávky zabezpečenej podzáložným právom, dátum jej splatnosti, ak je určený, a určenie jej hodnoty; ak hodnota zabezpečenej pohľadávky nie je pri zriadení podzáložného práva určená, najvyššia hodnota istiny, do ktorej je pohľadávka zabezpečená,</w:t>
              <w:br/>
            </w:r>
            <w:r>
              <w:rPr>
                <w:b w:val="off"/>
                <w:color w:val="000000"/>
                <w:rFonts w:ascii="Times New Roman" w:hAnsi="Times New Roman" w:cs="Times New Roman" w:eastAsia="Times New Roman"/>
                <w:sz w:val="24"/>
              </w:rPr>
              <w:t>f) dátum a čas registrácie podzáložného práva a určenie notára, ktorý zápis vykonal.</w:t>
              <w:br/>
            </w:r>
            <w:r>
              <w:rPr>
                <w:b w:val="off"/>
                <w:color w:val="000000"/>
                <w:rFonts w:ascii="Times New Roman" w:hAnsi="Times New Roman" w:cs="Times New Roman" w:eastAsia="Times New Roman"/>
                <w:sz w:val="24"/>
              </w:rPr>
              <w:t>(3) Na registráciu podzáložného práva, zmenu údajov o podzáložnom práve, začatie výkonu podzáložného práva a výmaz podzáložného práva sa primerane použijú § 73e až 73h.“.“.</w:t>
              <w:br/>
            </w:r>
            <w:r>
              <w:rPr>
                <w:b w:val="off"/>
                <w:color w:val="000000"/>
                <w:rFonts w:ascii="Times New Roman" w:hAnsi="Times New Roman" w:cs="Times New Roman" w:eastAsia="Times New Roman"/>
                <w:sz w:val="24"/>
              </w:rPr>
              <w:t>d) „V § 73e až 73h sa slovo „žiadosť“ vo všetkých tvaroch nahrádza slovom „návrh“ v príslušnom tvare a v § 73h ods. 2 sa slovo „žiadateľovi“ nahrádza slovom „navrhovateľovi“.“.</w:t>
              <w:br/>
            </w:r>
            <w:r>
              <w:rPr>
                <w:b w:val="off"/>
                <w:color w:val="000000"/>
                <w:rFonts w:ascii="Times New Roman" w:hAnsi="Times New Roman" w:cs="Times New Roman" w:eastAsia="Times New Roman"/>
                <w:sz w:val="24"/>
              </w:rPr>
              <w:t>e) „V § 73f ods. 1 a 3 a § 73g ods. 1 a 3 sa slová „správneho orgánu“ vo všetkých tvaroch nahrádzajú slovami „iného orgánu verejnej moci“ v príslušnom tvare.“.</w:t>
              <w:br/>
            </w:r>
            <w:r>
              <w:rPr>
                <w:b w:val="off"/>
                <w:color w:val="000000"/>
                <w:rFonts w:ascii="Times New Roman" w:hAnsi="Times New Roman" w:cs="Times New Roman" w:eastAsia="Times New Roman"/>
                <w:sz w:val="24"/>
              </w:rPr>
              <w:t>f) „V § 73f odsek 2 znie:</w:t>
              <w:br/>
            </w:r>
            <w:r>
              <w:rPr>
                <w:b w:val="off"/>
                <w:color w:val="000000"/>
                <w:rFonts w:ascii="Times New Roman" w:hAnsi="Times New Roman" w:cs="Times New Roman" w:eastAsia="Times New Roman"/>
                <w:sz w:val="24"/>
              </w:rPr>
              <w:t>„(2) Notár pred registráciou záložného práva alebo podzáložného práva v registri záložných práv zisťuje</w:t>
              <w:br/>
            </w:r>
            <w:r>
              <w:rPr>
                <w:b w:val="off"/>
                <w:color w:val="000000"/>
                <w:rFonts w:ascii="Times New Roman" w:hAnsi="Times New Roman" w:cs="Times New Roman" w:eastAsia="Times New Roman"/>
                <w:sz w:val="24"/>
              </w:rPr>
              <w:t>a) totožnosť osoby, ktorá podáva návrh na registráciu; ak návrh podáva iná ako oprávnená osoba, jej oprávnenie konať,</w:t>
              <w:br/>
            </w:r>
            <w:r>
              <w:rPr>
                <w:b w:val="off"/>
                <w:color w:val="000000"/>
                <w:rFonts w:ascii="Times New Roman" w:hAnsi="Times New Roman" w:cs="Times New Roman" w:eastAsia="Times New Roman"/>
                <w:sz w:val="24"/>
              </w:rPr>
              <w:t>b) či návrh na registráciu záložného práva obsahuje všetky údaje podľa § 73d ods. 1 písm. a), c) až f) alebo či návrh na registráciu podzáložného práva obsahuje všetky údaje podľa § 73da ods. 2 písm. a) až e),</w:t>
              <w:br/>
            </w:r>
            <w:r>
              <w:rPr>
                <w:b w:val="off"/>
                <w:color w:val="000000"/>
                <w:rFonts w:ascii="Times New Roman" w:hAnsi="Times New Roman" w:cs="Times New Roman" w:eastAsia="Times New Roman"/>
                <w:sz w:val="24"/>
              </w:rPr>
              <w:t>c) pri registrácii podzáložného práva, či je záložné právo, ktorým je zabezpečená založená pohľadávka, registrované v registri záložných práv.“.“.</w:t>
              <w:br/>
            </w:r>
            <w:r>
              <w:rPr>
                <w:b w:val="off"/>
                <w:color w:val="000000"/>
                <w:rFonts w:ascii="Times New Roman" w:hAnsi="Times New Roman" w:cs="Times New Roman" w:eastAsia="Times New Roman"/>
                <w:sz w:val="24"/>
              </w:rPr>
              <w:t>g) „V § 73i ods. 1 sa na konci pripájajú tieto vety: „Výpis z registra záložných práv obsahuje aj údaje o podzáložných právach registrovaných k záložnému právu, ktorého sa výpis týka. Výpis o registrácii podzáložného práva obsahuje aj údaje o záložnom práve, ktorým je zabezpečená založená pohľadávka.“.“.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Notárskeho poriadku o registri záložných práv (§ 73d až 73i) návrh nemení, hoci nový Občiansky zákonník úpravu záložného práva podstatne mení.</w:t>
              <w:br/>
            </w:r>
            <w:r>
              <w:rPr>
                <w:b w:val="off"/>
                <w:color w:val="000000"/>
                <w:rFonts w:ascii="Times New Roman" w:hAnsi="Times New Roman" w:cs="Times New Roman" w:eastAsia="Times New Roman"/>
                <w:sz w:val="24"/>
              </w:rPr>
              <w:t>K písmenám a) a d): Občiansky zákonník upravuje podzáložné právo (§ 1661 až 1664 OZ). Ak je založená pohľadávka zabezpečená registrovaným záložným právom, musí byť v registri možné zaregistrovať aj podzáložné právo a pri výkone záložného práva oznámiť uloženie výťažku do úschovy aj podzáložným veriteľom. Podzáložné právo sa navrhuje registrovať v rámci existujúceho registra s odkazom na registráciu záložného práva, aby nebolo potrebné vytvárať osobitný register; na postup sa primerane použijú § 73e až 73h.</w:t>
              <w:br/>
            </w:r>
            <w:r>
              <w:rPr>
                <w:b w:val="off"/>
                <w:color w:val="000000"/>
                <w:rFonts w:ascii="Times New Roman" w:hAnsi="Times New Roman" w:cs="Times New Roman" w:eastAsia="Times New Roman"/>
                <w:sz w:val="24"/>
              </w:rPr>
              <w:t>K písmenu b): Občiansky zákonník zavádza správcu zabezpečenia (§ 438 ods. 1 a § 440 ods. 3 OZ); register musí umožniť jeho zápis a vyznačenie tohto postavenia.</w:t>
              <w:br/>
            </w:r>
            <w:r>
              <w:rPr>
                <w:b w:val="off"/>
                <w:color w:val="000000"/>
                <w:rFonts w:ascii="Times New Roman" w:hAnsi="Times New Roman" w:cs="Times New Roman" w:eastAsia="Times New Roman"/>
                <w:sz w:val="24"/>
              </w:rPr>
              <w:t>K písmenu c): Pri záložných právach, ktoré vznikajú bez registrácie alebo pred ňou (napr. § 1604 ods. 1 a § 1644 ods. 2 OZ), má deň vzniku význam pre posúdenie ich trvania a poradia mimo registrácie. Navrhuje sa zapisovať len deň vzniku, nie presný čas, ktorý z predložených listín často nemožno zistiť ani preukázať (napr. pri vzniku záložného práva odovzdaním veci); pre poradie podľa § 1598 OZ je rozhodujúce poradie registrácie, ktorej deň a čas register eviduje osobitne.</w:t>
              <w:br/>
            </w:r>
            <w:r>
              <w:rPr>
                <w:b w:val="off"/>
                <w:color w:val="000000"/>
                <w:rFonts w:ascii="Times New Roman" w:hAnsi="Times New Roman" w:cs="Times New Roman" w:eastAsia="Times New Roman"/>
                <w:sz w:val="24"/>
              </w:rPr>
              <w:t>K písmenám e) a f): Občiansky zákonník hovorí o „návrhu“ na registráciu (§ 1607 ods. 1 OZ) a o záložnom práve zriadenom rozhodnutím súdu alebo „iného orgánu verejnej moci“ (§ 1600 ods. 1, § 1607 ods. 2 a § 1659 ods. 2 OZ); terminológia Notárskeho poriadku sa zosúlaďuje.</w:t>
              <w:br/>
            </w:r>
            <w:r>
              <w:rPr>
                <w:b w:val="off"/>
                <w:color w:val="000000"/>
                <w:rFonts w:ascii="Times New Roman" w:hAnsi="Times New Roman" w:cs="Times New Roman" w:eastAsia="Times New Roman"/>
                <w:sz w:val="24"/>
              </w:rPr>
              <w:t>K písmenám g) a h): Pri registrácii podzáložného práva notár overuje totožnosť navrhovateľa, úplnosť údajov a existenciu registrácie záložného práva, ku ktorému sa podzáložné právo viaže. Výpis zobrazuje väzbu medzi záložným a podzáložným právom obojsmerne, čo je významné najmä pri výmaze záložného práva, ku ktorému je registrované podzáložné právo.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73d ods. 1 písm. d) NP (identifikácia motorového vozidla v registri záložných práv podľa VIN)</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„V § 73d ods. 1 písm. d) sa na konci čiarka nahrádza bodkočiarkou a pripájajú sa tieto slová: „určenie, že zálohom je motorové vozidlo, ak je záložné právo zriadené na motorové vozidlo, s uvedením jeho identifikačného čísla VIN, ak bolo pridelené,“.</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73d ods. 1 písm. d) NP sa záloh v registri záložných práv určuje tak, aby kedykoľvek počas trvania záložného práva bolo možné určiť vec, na ktorú sa záložné právo vzťahuje. Pri motorových vozidlách, ktoré sú najčastejším hnuteľným zálohom, dnes register nemá jednotný identifikátor: vozidlo sa opisuje rôzne (evidenčné číslo, výrobné číslo, typ, farba), pričom evidenčné číslo sa počas existencie vozidla mení a nie je spôsobilé vozidlo jednoznačne určiť. Následkom je, že vyhľadanie záložného práva k vozidlu podľa identifikátora nie je spoľahlivé a nadobúdateľ vozidla ani orgán vedúci evidenciu vozidiel nemôže s istotou zistiť, či je vozidlo zaťažené.</w:t>
              <w:br/>
            </w:r>
            <w:r>
              <w:rPr>
                <w:b w:val="off"/>
                <w:color w:val="000000"/>
                <w:rFonts w:ascii="Times New Roman" w:hAnsi="Times New Roman" w:cs="Times New Roman" w:eastAsia="Times New Roman"/>
                <w:sz w:val="24"/>
              </w:rPr>
              <w:t xml:space="preserve">Identifikačné číslo vozidla (VIN) je jedinečný a nemenný identifikátor, ktorý sa zapisuje v evidencii vozidiel aj v osvedčení o evidencii. Jeho povinným zápisom sa umožní jednoznačná identifikácia zálohu, spoľahlivé vyhľadávanie v registri záložných práv a jeho prepojenie s evidenciou vozidiel, s ktorou je komora integrovaná (porovnaj aj § 82 poslednú vetu daňového poriadku, podľa ktorej sa záložné právo k motorovému vozidlu vyznačuje a ruší v evidencii vozidiel). Nový Občiansky zákonník zároveň posilňuje publicitu záložných práv a spája s registráciou vznik záložného práva (§ 1598 a nasl. OZ); spoľahlivá identifikácia zálohu je preto predpokladom ochrany dobromyseľných nadobúdateľov. Formulácia nadväzuje na existujúcu druhú časť písmena d) („určenie, že zálohom je podnik alebo jeho časť …“), takže štruktúra ustanovenia zostáva jednotná. Slová „ak bolo pridelené“ zohľadňujú vozidlá, ktorým VIN pridelené nebolo. </w:t>
              <w:br/>
            </w:r>
            <w:r>
              <w:rPr>
                <w:b w:val="off"/>
                <w:color w:val="000000"/>
                <w:rFonts w:ascii="Times New Roman" w:hAnsi="Times New Roman" w:cs="Times New Roman" w:eastAsia="Times New Roman"/>
                <w:sz w:val="24"/>
              </w:rPr>
              <w:t>Uvedené nadväzuje na ustanovenie § 1610 Občianskeho zákonníka, podľa ktorého ak je záloh individuálne určený, záložné právo pôsobí aj voči nadobúdateľovi zálohu, ak záložca previedol záloh v bežnom obchodnom styku v rámci výkonu predmetu podnikania.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14 § 73m ods. 2 písm. f) NP</w:t>
              <w:br/>
            </w:r>
            <w:r>
              <w:rPr>
                <w:b w:val="off"/>
                <w:color w:val="000000"/>
                <w:rFonts w:ascii="Times New Roman" w:hAnsi="Times New Roman" w:cs="Times New Roman" w:eastAsia="Times New Roman"/>
                <w:sz w:val="24"/>
              </w:rPr>
              <w:t>Navrhujeme v čl. XXI bode 14 v § 73m ods. 2 písmeno f) formulovať takto:</w:t>
              <w:br/>
            </w:r>
            <w:r>
              <w:rPr>
                <w:b w:val="off"/>
                <w:color w:val="000000"/>
                <w:rFonts w:ascii="Times New Roman" w:hAnsi="Times New Roman" w:cs="Times New Roman" w:eastAsia="Times New Roman"/>
                <w:sz w:val="24"/>
              </w:rPr>
              <w:t>„f) označenie notárskej zápisnice, ktorá je predmetom registrácie, dátum jej podpísania a údaj o jej uložení v registri listín, alebo označenie inej listiny, ktorá je podkladom registrácie, a dátum jej vyhotovenia,“.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73m ods. 4 a 5 v znení návrhu môže byť podkladom registrácie aj iná listina než notárska zápisnica, najmä rozhodnutie súdu o zrušení predbežného prehlásenia alebo listina preukazujúca zánik zmluvy o podporovanom rozhodovaní (smrť, uplynutie času, odstúpenie). Písmeno f) však umožňuje zapísať len údaje o notárskej zápisnici, takže tieto registrácie by nemali v registri oporu a nebolo by zrejmé, na základe čoho sa vykonali.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14 § 73m NP (výmaz zmluvy o podporovanom rozhodovaní podľa § 206 ods. 2 OZ)</w:t>
              <w:br/>
            </w:r>
            <w:r>
              <w:rPr>
                <w:b w:val="off"/>
                <w:color w:val="000000"/>
                <w:rFonts w:ascii="Times New Roman" w:hAnsi="Times New Roman" w:cs="Times New Roman" w:eastAsia="Times New Roman"/>
                <w:sz w:val="24"/>
              </w:rPr>
              <w:t>Navrhujeme v čl. XXI bode 14 doplniť § 73m odsekom 8, ktorý znie:</w:t>
              <w:br/>
            </w:r>
            <w:r>
              <w:rPr>
                <w:b w:val="off"/>
                <w:color w:val="000000"/>
                <w:rFonts w:ascii="Times New Roman" w:hAnsi="Times New Roman" w:cs="Times New Roman" w:eastAsia="Times New Roman"/>
                <w:sz w:val="24"/>
              </w:rPr>
              <w:t>„(8) Registráciou zániku zmluvy o podporovanom rozhodovaní, odvolania predbežného prehlásenia alebo zrušenia predbežného prehlásenia súdom notár vykoná výmaz podporného opatrenia z registra podporných opatrení; účinky výmazu podľa osobitného predpisu4d) nastávajú dňom tejto registrácie. Údaje o vymazanom podpornom opatrení sa v registri podporných opatrení uchovávajú; v údajoch sprístupňovaných podľa odseku 6 sa uvedie, že podporné opatrenie bolo vymazané.“.</w:t>
              <w:br/>
            </w:r>
            <w:r>
              <w:rPr>
                <w:b w:val="off"/>
                <w:color w:val="000000"/>
                <w:rFonts w:ascii="Times New Roman" w:hAnsi="Times New Roman" w:cs="Times New Roman" w:eastAsia="Times New Roman"/>
                <w:sz w:val="24"/>
              </w:rPr>
              <w:t>Poznámka pod čiarou k odkazu 4d znie:</w:t>
              <w:br/>
            </w:r>
            <w:r>
              <w:rPr>
                <w:b w:val="off"/>
                <w:color w:val="000000"/>
                <w:rFonts w:ascii="Times New Roman" w:hAnsi="Times New Roman" w:cs="Times New Roman" w:eastAsia="Times New Roman"/>
                <w:sz w:val="24"/>
              </w:rPr>
              <w:t>„4d) § 206 ods. 2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206 ods. 2 OZ nastáva účinnosť zániku zmluvy o podporovanom rozhodovaní „výmazom z notárskeho centrálneho registra podporných opatrení“. Navrhovaný § 73m však hovorí len o „registrácii“ zániku (ods. 5) a pojem výmaz nepozná. Nie je teda zrejmé, či registrácia zániku je výmazom podľa Občianskeho zákonníka, odkedy nastávajú účinky zániku a či pôvodný zápis zostáva zachovaný. Ak by sa zápis fyzicky vymazal, stratila by sa historická informácia potrebná pri spätnom posudzovaní platnosti úkonov uskutočnených s podporou; ak by sa nevymazal, nebolo by splnené znenie § 206 ods. 2 OZ.</w:t>
              <w:br/>
            </w:r>
            <w:r>
              <w:rPr>
                <w:b w:val="off"/>
                <w:color w:val="000000"/>
                <w:rFonts w:ascii="Times New Roman" w:hAnsi="Times New Roman" w:cs="Times New Roman" w:eastAsia="Times New Roman"/>
                <w:sz w:val="24"/>
              </w:rPr>
              <w:t>Navrhované znenie ustanovuje, že registrácia zániku je výmazom s účinkami podľa Občianskeho zákonníka, a zachováva historické údaje. Rovnaký režim sa uplatní aj pri odvolaní a zrušení predbežného prehlásenia, aby register podporných opatrení postupoval jednotne. Ide o register vedený komorou,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89 NP a poznámka pod čiarou k odkazu 6ca (dohľad)</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 89 znie:</w:t>
              <w:br/>
            </w:r>
            <w:r>
              <w:rPr>
                <w:b w:val="off"/>
                <w:color w:val="000000"/>
                <w:rFonts w:ascii="Times New Roman" w:hAnsi="Times New Roman" w:cs="Times New Roman" w:eastAsia="Times New Roman"/>
                <w:sz w:val="24"/>
              </w:rPr>
              <w:t>„§ 89</w:t>
              <w:br/>
            </w:r>
            <w:r>
              <w:rPr>
                <w:b w:val="off"/>
                <w:color w:val="000000"/>
                <w:rFonts w:ascii="Times New Roman" w:hAnsi="Times New Roman" w:cs="Times New Roman" w:eastAsia="Times New Roman"/>
                <w:sz w:val="24"/>
              </w:rPr>
              <w:t>(1) Štátny dohľad nad činnosťou notárov podľa § 3 a nad činnosťou komory vykonáva ministerstvo.</w:t>
              <w:br/>
            </w:r>
            <w:r>
              <w:rPr>
                <w:b w:val="off"/>
                <w:color w:val="000000"/>
                <w:rFonts w:ascii="Times New Roman" w:hAnsi="Times New Roman" w:cs="Times New Roman" w:eastAsia="Times New Roman"/>
                <w:sz w:val="24"/>
              </w:rPr>
              <w:t>(2) Komora vykonáva dohľad nad činnosťou notárov podľa § 3 a nad vedením notárskych úradov. Dohľad sa vykonáva najmä vybavovaním sťažností podľa osobitného predpisu6c) a kontrolou spisov, listín, evidenčných pomôcok, predmetu úschov a registrov. Príslušný orgán komory uloží notárovi povinnosť v primeranej lehote odstrániť zistené nedostatky.</w:t>
              <w:br/>
            </w:r>
            <w:r>
              <w:rPr>
                <w:b w:val="off"/>
                <w:color w:val="000000"/>
                <w:rFonts w:ascii="Times New Roman" w:hAnsi="Times New Roman" w:cs="Times New Roman" w:eastAsia="Times New Roman"/>
                <w:sz w:val="24"/>
              </w:rPr>
              <w:t>(3) Sťažnosti na notárov vybavuje komora. Sťažnosti na komoru vybavuje ministerstvo. Na vybavovanie sťažností sa osobitný predpis6c) použije primerane.</w:t>
              <w:br/>
            </w:r>
            <w:r>
              <w:rPr>
                <w:b w:val="off"/>
                <w:color w:val="000000"/>
                <w:rFonts w:ascii="Times New Roman" w:hAnsi="Times New Roman" w:cs="Times New Roman" w:eastAsia="Times New Roman"/>
                <w:sz w:val="24"/>
              </w:rPr>
              <w:t>(4) Pri výkone štátneho dohľadu podľa odseku 1 a dohľadu podľa odseku 2 je notár povinný umožniť vstup do priestorov notárskeho úradu na účel vykonania kontroly a poskytnúť potrebné informácie a podklady.</w:t>
              <w:br/>
            </w:r>
            <w:r>
              <w:rPr>
                <w:b w:val="off"/>
                <w:color w:val="000000"/>
                <w:rFonts w:ascii="Times New Roman" w:hAnsi="Times New Roman" w:cs="Times New Roman" w:eastAsia="Times New Roman"/>
                <w:sz w:val="24"/>
              </w:rPr>
              <w:t>(5) Ak to povaha veci nevylučuje, na výkon dohľadu sa primerane použijú ustanovenia osobitného predpisu o základných pravidlách kontrolnej činnosti.6ca)“.</w:t>
              <w:br/>
            </w:r>
            <w:r>
              <w:rPr>
                <w:b w:val="off"/>
                <w:color w:val="000000"/>
                <w:rFonts w:ascii="Times New Roman" w:hAnsi="Times New Roman" w:cs="Times New Roman" w:eastAsia="Times New Roman"/>
                <w:sz w:val="24"/>
              </w:rPr>
              <w:t>Poznámka pod čiarou k odkazu 6ca znie:</w:t>
              <w:br/>
            </w:r>
            <w:r>
              <w:rPr>
                <w:b w:val="off"/>
                <w:color w:val="000000"/>
                <w:rFonts w:ascii="Times New Roman" w:hAnsi="Times New Roman" w:cs="Times New Roman" w:eastAsia="Times New Roman"/>
                <w:sz w:val="24"/>
              </w:rPr>
              <w:t>„6ca) § 8 až 13 zákona Národnej rady Slovenskej republiky č. 10/1996 Z. z. o kontrole v štátnej správe v znení neskorších predpisov.“.“.</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Notársky poriadok neumožňuje vykonávať dohľad nad činnosťou notára ako súdneho komisára ministerstvu ani komore, a to napriek tomu, že minister aj prezident komory majú možnosť podať disciplinárny návrh voči notárovi aj za výkon tejto činnosti. Nový Občiansky zákonník a návrh zákona podstatne rozširujú úlohy notárov: notári registrujú zmluvy o spoločnom imaní manželov, podporné opatrenia a ďalšie právne úkony, ktorých účinnosť od registrácie priamo závisí, a ako súdni komisári vykonávajú nové úkony v konaní o dedičstve (správca dedičstva, vykonávateľ poslednej vôle, konvokácia, likvidácia, rozvrh výťažku). S rozšírením úloh musí zodpovedať aj jasný rozsah a postup dohľadu. Platný § 89 NP neupravuje rozsah kontroly komory (spisy, listiny, evidenčné pomôcky, úschovy, registre), povinnosť notára umožniť vstup a poskytnúť súčinnosť ani procesné pravidlá kontroly. Navrhovaná úprava tieto otázky rieši, rozširuje dohľad aj nad ďalšou činnosťou notára a odkazuje na primerané použitie pravidiel kontrolnej činnosti. Ide o postavenie Notárskej komory SR a o dohľad nad výkonom notárskej činnosti, teda o jej vecnú pôsobnosť a postavenie.</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 bod 35 § 42 ods. 4 katastrálneho zákona</w:t>
              <w:br/>
            </w:r>
            <w:r>
              <w:rPr>
                <w:b w:val="off"/>
                <w:color w:val="000000"/>
                <w:rFonts w:ascii="Times New Roman" w:hAnsi="Times New Roman" w:cs="Times New Roman" w:eastAsia="Times New Roman"/>
                <w:sz w:val="24"/>
              </w:rPr>
              <w:t>Navrhujeme v čl. XXXI bode 35 v § 42 ods. 4 nahradiť slová „zmluvu vyhotovenú vo forme notárskej zápisnice“ slovami „právny úkon spísaný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42 ods. 3 vyžaduje úradne osvedčený podpis nielen na zmluvách, ale aj na jednostranných právnych úkonoch a vyhláseniach (napr. vyhlásenie vlastníka nehnuteľnosti o zriadení služobnosti v prospech inej svojej nehnuteľnosti, vyhlásenie vlastníka domu o rozdelení domu na byty a nebytové priestory, vyhlásenie o pridruženom spoluvlastníctve). Výnimka v odseku 4 je však formulovaná len pre „zmluvu vyhotovenú vo forme notárskej zápisnice“. Notárska zápisnica môže obsahovať aj jednostranný právny úkon; notár pri jej spísaní zisťuje totožnosť účastníkov a zabezpečuje splnenie náležitostí. Ide o účinky notárskej zápisnice ako verejnej listiny,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bod 6 § 38 ods. 1 a 2 Exekučného poriadku</w:t>
              <w:br/>
            </w:r>
            <w:r>
              <w:rPr>
                <w:b w:val="off"/>
                <w:color w:val="000000"/>
                <w:rFonts w:ascii="Times New Roman" w:hAnsi="Times New Roman" w:cs="Times New Roman" w:eastAsia="Times New Roman"/>
                <w:sz w:val="24"/>
              </w:rPr>
              <w:t>Navrhujeme v čl. XXXIII bode 6 v § 38 ods. 2 nahradiť slová „Po potvrdení dedičstva“ slovami „Po právoplatnom skončení konania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Konanie o dedičstve sa nemusí skončiť potvrdením dedičstva (napr. zastavenie konania, schválenie dohody o prenechaní predlženého dedičstva na úhradu dlhov, nariadenie likvidácie, odúmrť); viazanie postupu exekútora na „potvrdenie dedičstva“ by v týchto prípadoch nedávalo jednoznačnú odpoveď, s kým a dokedy sa koná. Navrhujeme preto viazať postup na právoplatné skončenie konania o dedičstve a spresniť, že ide o osvedčenie o správcovi dedičstva vydané súdom v konaní o dedičstve (§ 1860 OZ, § 182 ods. 2 a § 183 ods. 3 CMP v znení návrhu).</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bod 6 § 38 Exekučného poriadku (exekúcia po smrti povinného a likvidácia dedičstva) a bod 44 – § 243r</w:t>
              <w:br/>
            </w:r>
            <w:r>
              <w:rPr>
                <w:b w:val="off"/>
                <w:color w:val="000000"/>
                <w:rFonts w:ascii="Times New Roman" w:hAnsi="Times New Roman" w:cs="Times New Roman" w:eastAsia="Times New Roman"/>
                <w:sz w:val="24"/>
              </w:rPr>
              <w:t>Navrhujeme v čl. XXXIII bode 6 doplniť § 38 odsekmi 7 a 8 a v bode 44 doplniť § 243r odsekom 6, ktoré znejú:</w:t>
              <w:br/>
            </w:r>
            <w:r>
              <w:rPr>
                <w:b w:val="off"/>
                <w:color w:val="000000"/>
                <w:rFonts w:ascii="Times New Roman" w:hAnsi="Times New Roman" w:cs="Times New Roman" w:eastAsia="Times New Roman"/>
                <w:sz w:val="24"/>
              </w:rPr>
              <w:t>§ 38 ods. 7 a 8:</w:t>
              <w:br/>
            </w:r>
            <w:r>
              <w:rPr>
                <w:b w:val="off"/>
                <w:color w:val="000000"/>
                <w:rFonts w:ascii="Times New Roman" w:hAnsi="Times New Roman" w:cs="Times New Roman" w:eastAsia="Times New Roman"/>
                <w:sz w:val="24"/>
              </w:rPr>
              <w:t>„(7) Exekútor bez zbytočného odkladu po tom, čo sa dozvie o smrti povinného, oznámi súdu, ktorý vedie konanie o dedičstve po povinnom, že vedie exekúciu, a výšku vymáhaného nároku; rovnako mu oznámi vymoženie plnenia z majetku patriaceho do dedičstva.</w:t>
              <w:br/>
            </w:r>
            <w:r>
              <w:rPr>
                <w:b w:val="off"/>
                <w:color w:val="000000"/>
                <w:rFonts w:ascii="Times New Roman" w:hAnsi="Times New Roman" w:cs="Times New Roman" w:eastAsia="Times New Roman"/>
                <w:sz w:val="24"/>
              </w:rPr>
              <w:t>(8) Ak súd v konaní o dedičstve po povinnom nariadil likvidáciu dedičstva, exekútor exekúciu postihujúcu majetok patriaci do dedičstva odloží; po právoplatnosti uznesenia o nariadení likvidácie dedičstva exekúciu v tomto rozsahu zastaví. Oprávnený uplatňuje svoju pohľadávku v likvidácii dedičstva.“.</w:t>
              <w:br/>
            </w:r>
            <w:r>
              <w:rPr>
                <w:b w:val="off"/>
                <w:color w:val="000000"/>
                <w:rFonts w:ascii="Times New Roman" w:hAnsi="Times New Roman" w:cs="Times New Roman" w:eastAsia="Times New Roman"/>
                <w:sz w:val="24"/>
              </w:rPr>
              <w:t>§ 243r ods. 6:</w:t>
              <w:br/>
            </w:r>
            <w:r>
              <w:rPr>
                <w:b w:val="off"/>
                <w:color w:val="000000"/>
                <w:rFonts w:ascii="Times New Roman" w:hAnsi="Times New Roman" w:cs="Times New Roman" w:eastAsia="Times New Roman"/>
                <w:sz w:val="24"/>
              </w:rPr>
              <w:t>„(6) Exekúcia, v ktorej povinný zomrel pred 1. júlom 2027, sa do skončenia konania o dedičstve spravuje § 38 a § 61h ods. 1 písm. a) v znení účinnom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súlade s § 1868 ods. 1 OZ umožňuje pokračovať v exekúcii na vymoženie pozostalostnej pohľadávky aj pred potvrdením dedičstva. Neupravuje však vzťah tejto exekúcie ku konaniu o dedičstve, ktoré vedie notár ako súdny komisár. Ak je dedičstvo predlžené, pozostalostné dlhy sa uspokojujú v pomere a postupnosti ustanovených pre likvidáciu dedičstva (§ 1880 ods. 1 OZ) a výťažok likvidácie sa rozdeľuje primerane podľa predpisov o konkurze na všeobecnú a oddelené podstaty (§ 1886 OZ). Ak by exekútor po nariadení likvidácie pokračoval v speňažovaní majetku z dedičstva v prospech jedného veriteľa, porušila by sa rovnomernosť uspokojenia veriteľov, ktorú Občiansky zákonník likvidáciou sleduje, a súdny komisár by nemal prehľad o majetku, ktorý z dedičstva odišiel. Obdobne ako pri konkurze je preto potrebné, aby sa exekúcia na majetok z dedičstva po nariadení likvidácie odložila a zastavila a veriteľ uplatnil pohľadávku v likvidácii.</w:t>
              <w:br/>
            </w:r>
            <w:r>
              <w:rPr>
                <w:b w:val="off"/>
                <w:color w:val="000000"/>
                <w:rFonts w:ascii="Times New Roman" w:hAnsi="Times New Roman" w:cs="Times New Roman" w:eastAsia="Times New Roman"/>
                <w:sz w:val="24"/>
              </w:rPr>
              <w:t>Oznamovacia povinnosť exekútora (ods. 7) zabezpečí, aby súdny komisár mohol exekúciu zohľadniť pri súpise majetku a pozostalostných dlhov a pri posúdení predlženia. Prechodné ustanovenie zohľadňuje § 1915 OZ: po poručiteľoch zomrelých pred 1. júlom 2027 sa dedí podľa doterajšieho práva, ktoré pozostalostnú pohľadávku v tomto zmysle nepozná, preto sa má v doterajších exekúciách naďalej postupovať podľa doterajšej úpravy (odklad do skončenia dedičského konania). Bez prechodného ustanovenia by v okamihu účinnosti zákona mohlo dôjsť k pokračovaniu tisícov odložených exekúcií. Ide o úkony notára ako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LXII bod 2 § 1 ods. 3 písm. b) zákona o účtovníctve</w:t>
              <w:br/>
            </w:r>
            <w:r>
              <w:rPr>
                <w:b w:val="off"/>
                <w:color w:val="000000"/>
                <w:rFonts w:ascii="Times New Roman" w:hAnsi="Times New Roman" w:cs="Times New Roman" w:eastAsia="Times New Roman"/>
                <w:sz w:val="24"/>
              </w:rPr>
              <w:t>Navrhujeme v čl. LXII bode 2 v § 1 ods. 3 písm. b) vypustiť slová „alebo notára ako súdneho komisára“.</w:t>
              <w:br/>
            </w:r>
            <w:r>
              <w:rPr>
                <w:b w:val="off"/>
                <w:color w:val="000000"/>
                <w:rFonts w:ascii="Times New Roman" w:hAnsi="Times New Roman" w:cs="Times New Roman" w:eastAsia="Times New Roman"/>
                <w:sz w:val="24"/>
              </w:rPr>
              <w:t>„b) správcu dedičstva podľa § 1855 a 1856 Občianskeho zákonníka, dediča alebo dedičov vykonávajúcich správu dedičstva podľa § 1858 Občianskeho zákonníka (ďalej len „správca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Správa dedičstva je vždy zabezpečená: vykonáva ju správca ustanovený poručiteľom alebo súdom (§ 1855 a 1856 OZ), a ak nie je ustanovený, dedičia (§ 1858 OZ). Zaradenie notára ako súdneho komisára medzi osoby, ktoré sú na účely zákona o účtovníctve „správcom dedičstva“, je preto nadbytočné a navyše by na neho prenieslo povinnosť uložiť účtovnú závierku za zomrelého podnikateľa a za spoločnosť, ktorej jediný spoločník a konateľ zomrel (§ 23a ods. 10 v znení bodu 6), so sankciou za správny delikt (§ 38 ods. 3 v znení bodu 13). Notár ako súdny komisár vykonáva úkony súdu, nemá prístup k účtovníctvu poručiteľa ani dispozičné oprávnenie k jeho majetku a takéto povinnosti sú s jeho postavením nezlučiteľné (bližšie bod 1 a 5). Ide o postavenie notára ako súdneho komisára,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bod 7 § 51 ods. 7 zákona o obchodnom registri</w:t>
              <w:br/>
            </w:r>
            <w:r>
              <w:rPr>
                <w:b w:val="off"/>
                <w:color w:val="000000"/>
                <w:rFonts w:ascii="Times New Roman" w:hAnsi="Times New Roman" w:cs="Times New Roman" w:eastAsia="Times New Roman"/>
                <w:sz w:val="24"/>
              </w:rPr>
              <w:t>Navrhujeme v čl. CCXXIX bode 7 v § 51 ods. 7 na konci pripojiť tieto vety:</w:t>
              <w:br/>
            </w:r>
            <w:r>
              <w:rPr>
                <w:b w:val="off"/>
                <w:color w:val="000000"/>
                <w:rFonts w:ascii="Times New Roman" w:hAnsi="Times New Roman" w:cs="Times New Roman" w:eastAsia="Times New Roman"/>
                <w:sz w:val="24"/>
              </w:rPr>
              <w:t>„Registrový súd alebo registrátor preskúmava existenciu a formálne náležitosti listín preukazujúcich právny titul na užívanie nehnuteľnosti alebo jej časti ako sídla; nie je povinný vykonávať dokazovanie nad rámec predložených listín a údajov dostupných z verejných registrov. Zabezpečenie súhlasu vlastníka alebo spoluvlastníkov nehnuteľnosti alebo jej časti je povinnosťou navrhovateľa. Ak je nehnuteľnosť alebo jej časť v spoločnom imaní manželov, vyžaduje sa písomný súhlas oboch manželov s úradne osvedčenou pravosťou ich podpisov.“.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registrovému súdu a registrátorovi, ktorým je notár, preskúmať právny titul k nehnuteľnosti, ktorej adresa sa má zapísať ako sídlo, ale nevymedzuje rozsah tohto preskúmania. Nie je zrejmé, či ide len o kontrolu existencie a formálnych náležitostí predložených listín, alebo o materiálne posúdenie existencie a rozsahu užívacieho práva. Neurčitosť by prenášala na notára ako registrátora neprimerané dôkazné bremeno a riziko zodpovednosti. Návrh zároveň nerieši, kto zabezpečuje súhlas spoluvlastníkov, a nerieši nehnuteľnosť v spoločnom imaní manželov. Nové znenie tieto otázky jednoznačne upravuje; terminológia sa zosúlaďuje s novým Občianskym zákonníkom (spoločné imanie manželov). Ide o činnosť notára ako registrátora, a teda o vecnú pôsobnosť Notárskej komory SR.</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 § 4a ods. 1 daňového poriadku</w:t>
              <w:br/>
            </w:r>
            <w:r>
              <w:rPr>
                <w:b w:val="off"/>
                <w:color w:val="000000"/>
                <w:rFonts w:ascii="Times New Roman" w:hAnsi="Times New Roman" w:cs="Times New Roman" w:eastAsia="Times New Roman"/>
                <w:sz w:val="24"/>
              </w:rPr>
              <w:t>Navrhujeme v čl. IV bode 5 v § 4a ods. 1 nahradiť slová „§ 1851 a 1852“ slovami „§ 1855 a 1856“.</w:t>
              <w:br/>
            </w:r>
            <w:r>
              <w:rPr>
                <w:b w:val="off"/>
                <w:color w:val="000000"/>
                <w:rFonts w:ascii="Times New Roman" w:hAnsi="Times New Roman" w:cs="Times New Roman" w:eastAsia="Times New Roman"/>
                <w:sz w:val="24"/>
              </w:rPr>
              <w:t>„(1) Správcom dedičstva na účely správy daní je správca dedičstva ustanovený podľa § 1855 a 1856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o správcovi dedičstva ustanovenom poručiteľom a súdom sú v schválenom znení Občianskeho zákonníka v § 1855 a 1856; § 1851 a 1852 upravujú iné inštitúty. Návrh sám v § 4a ods. 2 a 3 odkazuje na § 1855 a 1856, preto ide o zjavný nesúlad odkazov (rovnaká chyba je aj v dôvodovej správe k bodu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12 § 93a ods. 3 CSP</w:t>
              <w:br/>
            </w:r>
            <w:r>
              <w:rPr>
                <w:b w:val="off"/>
                <w:color w:val="000000"/>
                <w:rFonts w:ascii="Times New Roman" w:hAnsi="Times New Roman" w:cs="Times New Roman" w:eastAsia="Times New Roman"/>
                <w:sz w:val="24"/>
              </w:rPr>
              <w:t>Navrhujeme v čl. V bode 12 v § 93a ods. 3 nahradiť slová „Ak nejde o spor podľa odseku 2“ slovami „Ak nie sú splnené podmienky podľa odseku 2“.</w:t>
              <w:br/>
            </w:r>
            <w:r>
              <w:rPr>
                <w:b w:val="off"/>
                <w:color w:val="000000"/>
                <w:rFonts w:ascii="Times New Roman" w:hAnsi="Times New Roman" w:cs="Times New Roman" w:eastAsia="Times New Roman"/>
                <w:sz w:val="24"/>
              </w:rPr>
              <w:t>„(3) Ak nie sú splnené podmienky podľa odseku 2, súd aj bez návrhu rozhodne, že vstup vykonávateľa poslednej vôle nie je prípustný.“.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2 nevymedzuje druh sporu, ale podmienky vstupu vykonávateľa poslednej vôle do konania: musí ísť o konanie, ktorého stranou je dedič, odkazovník alebo veriteľ pozostalostnej pohľadávky, a vstup musí byť potrebný na hájenie záujmov poručiteľa. Odkaz na „spor podľa odseku 2“ je nepresný a mohol by viesť k výkladu, že súd skúma len okruh strán, a nie aj to, či je vstup potrebný na hájenie záujmov poručiteľa.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4, 7, 10 a 11 § 72 ods. 1, § 114, § 161 ods. 2, § 170 CMP (legislatívno-technické)</w:t>
              <w:br/>
            </w:r>
            <w:r>
              <w:rPr>
                <w:b w:val="off"/>
                <w:color w:val="000000"/>
                <w:rFonts w:ascii="Times New Roman" w:hAnsi="Times New Roman" w:cs="Times New Roman" w:eastAsia="Times New Roman"/>
                <w:sz w:val="24"/>
              </w:rPr>
              <w:t>Navrhujeme v čl. VI vykonať tieto legislatívno-technické úpravy:</w:t>
              <w:br/>
            </w:r>
            <w:r>
              <w:rPr>
                <w:b w:val="off"/>
                <w:color w:val="000000"/>
                <w:rFonts w:ascii="Times New Roman" w:hAnsi="Times New Roman" w:cs="Times New Roman" w:eastAsia="Times New Roman"/>
                <w:sz w:val="24"/>
              </w:rPr>
              <w:t>a) Bod 4 znie:</w:t>
              <w:br/>
            </w:r>
            <w:r>
              <w:rPr>
                <w:b w:val="off"/>
                <w:color w:val="000000"/>
                <w:rFonts w:ascii="Times New Roman" w:hAnsi="Times New Roman" w:cs="Times New Roman" w:eastAsia="Times New Roman"/>
                <w:sz w:val="24"/>
              </w:rPr>
              <w:t>„4. V § 72 ods. 1 sa za písmeno d) vkladá nové písmeno e), ktoré znie:</w:t>
              <w:br/>
            </w:r>
            <w:r>
              <w:rPr>
                <w:b w:val="off"/>
                <w:color w:val="000000"/>
                <w:rFonts w:ascii="Times New Roman" w:hAnsi="Times New Roman" w:cs="Times New Roman" w:eastAsia="Times New Roman"/>
                <w:sz w:val="24"/>
              </w:rPr>
              <w:t>„e) o rozvrhu výťažku z likvidácie dedičstva podľa § 208 ods. 3,“.</w:t>
              <w:br/>
            </w:r>
            <w:r>
              <w:rPr>
                <w:b w:val="off"/>
                <w:color w:val="000000"/>
                <w:rFonts w:ascii="Times New Roman" w:hAnsi="Times New Roman" w:cs="Times New Roman" w:eastAsia="Times New Roman"/>
                <w:sz w:val="24"/>
              </w:rPr>
              <w:t>Doterajšie písmená e) až g) sa označujú ako písmená f) až h).“.</w:t>
              <w:br/>
            </w:r>
            <w:r>
              <w:rPr>
                <w:b w:val="off"/>
                <w:color w:val="000000"/>
                <w:rFonts w:ascii="Times New Roman" w:hAnsi="Times New Roman" w:cs="Times New Roman" w:eastAsia="Times New Roman"/>
                <w:sz w:val="24"/>
              </w:rPr>
              <w:t>b) V bode 7 sa odsek 3 § 114 zaradí pred zatváracie úvodzovky a bodku, t. j. § 114 v bode 7 obsahuje odseky 1 až 3.</w:t>
              <w:br/>
            </w:r>
            <w:r>
              <w:rPr>
                <w:b w:val="off"/>
                <w:color w:val="000000"/>
                <w:rFonts w:ascii="Times New Roman" w:hAnsi="Times New Roman" w:cs="Times New Roman" w:eastAsia="Times New Roman"/>
                <w:sz w:val="24"/>
              </w:rPr>
              <w:t>c) V bode 10 sa slová „V § 161 ods. 2 sa dopĺňa“ nahrádzajú slovami „§ 161 ods. 2 sa dopĺňa“.</w:t>
              <w:br/>
            </w:r>
            <w:r>
              <w:rPr>
                <w:b w:val="off"/>
                <w:color w:val="000000"/>
                <w:rFonts w:ascii="Times New Roman" w:hAnsi="Times New Roman" w:cs="Times New Roman" w:eastAsia="Times New Roman"/>
                <w:sz w:val="24"/>
              </w:rPr>
              <w:t>d) V bode 11 sa slová „a dopĺňa sa odsek 2“ nahrádzajú slovami „a dopĺňa sa odsekom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72 má tri odseky a písmená sú len v odseku 1; v novom písmene e) chýba slovo „podľa“. V bode 7 je odsek 3 § 114 umiestnený za zatváracími úvodzovkami, takže by nebol súčasťou novelizovaného textu. V bodoch 10 a 11 je nesprávne použitá novelizačná formulácia (legislatívnotechnické pokyny, príloha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 § 111 CMP</w:t>
              <w:br/>
            </w:r>
            <w:r>
              <w:rPr>
                <w:b w:val="off"/>
                <w:color w:val="000000"/>
                <w:rFonts w:ascii="Times New Roman" w:hAnsi="Times New Roman" w:cs="Times New Roman" w:eastAsia="Times New Roman"/>
                <w:sz w:val="24"/>
              </w:rPr>
              <w:t>Navrhujeme v čl. VI bode 5 v poslednej vete nahradiť slová „n) až s)“ slovami „n) až t)“.</w:t>
              <w:br/>
            </w:r>
            <w:r>
              <w:rPr>
                <w:b w:val="off"/>
                <w:color w:val="000000"/>
                <w:rFonts w:ascii="Times New Roman" w:hAnsi="Times New Roman" w:cs="Times New Roman" w:eastAsia="Times New Roman"/>
                <w:sz w:val="24"/>
              </w:rPr>
              <w:t>„Doterajšie písmená l) až r) sa označujú ako písmená n) až 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111 obsahuje písmená l), m), n), o), p) a r) (bez písmena q). Po vložení dvoch nových písmen l) a m) sa doterajších šesť písmen označí ako n), o), p), r), s) a t). Nadväzujúci odkaz v § 112 ods. 2 (bod 6) je správny.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14 § 183 ods. 1 CMP</w:t>
              <w:br/>
            </w:r>
            <w:r>
              <w:rPr>
                <w:b w:val="off"/>
                <w:color w:val="000000"/>
                <w:rFonts w:ascii="Times New Roman" w:hAnsi="Times New Roman" w:cs="Times New Roman" w:eastAsia="Times New Roman"/>
                <w:sz w:val="24"/>
              </w:rPr>
              <w:t>Navrhujeme v čl. VI bode 14 v § 183 ods. 1 nahradiť slovo „správa“ slovom „správca“.</w:t>
              <w:br/>
            </w:r>
            <w:r>
              <w:rPr>
                <w:b w:val="off"/>
                <w:color w:val="000000"/>
                <w:rFonts w:ascii="Times New Roman" w:hAnsi="Times New Roman" w:cs="Times New Roman" w:eastAsia="Times New Roman"/>
                <w:sz w:val="24"/>
              </w:rPr>
              <w:t>„(1) Ak správca dedičstva nebol ustanovený poručiteľom podľa § 182,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zjavnú chybu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15 § 186b ods. 2 CMP</w:t>
              <w:br/>
            </w:r>
            <w:r>
              <w:rPr>
                <w:b w:val="off"/>
                <w:color w:val="000000"/>
                <w:rFonts w:ascii="Times New Roman" w:hAnsi="Times New Roman" w:cs="Times New Roman" w:eastAsia="Times New Roman"/>
                <w:sz w:val="24"/>
              </w:rPr>
              <w:t>Navrhujeme v čl. VI bode 15 v § 186b ods. 2 za slová „vykonávateľovi poslednej vôle“ vložiť slová „a účastníkom konania“ a zosúladiť tak postup s § 182 ods. 2.</w:t>
              <w:br/>
            </w:r>
            <w:r>
              <w:rPr>
                <w:b w:val="off"/>
                <w:color w:val="000000"/>
                <w:rFonts w:ascii="Times New Roman" w:hAnsi="Times New Roman" w:cs="Times New Roman" w:eastAsia="Times New Roman"/>
                <w:sz w:val="24"/>
              </w:rPr>
              <w:t>„(2) Súd bez zbytočného odkladu po oznámení súhlasu s ustanovením do funkcie vykonávateľa poslednej vôle podľa odseku 1 vydá osvedčenie o vykonávateľovi; osvedčenie o vykonávateľovi sa doručí vykonávateľovi poslednej vôle a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Osvedčenie o správcovi dedičstva sa doručuje správcovi aj účastníkom konania (§ 182 ods. 2, § 183 ods. 3), osvedčenie o vykonávateľovi poslednej vôle len vykonávateľovi. Dedičia sa tak nemusia dozvedieť, že bol ustanovený vykonávateľ, hoci voči nim uplatňuje oprávnenia podľa § 1829 OZ a môžu proti jeho ustanoveniu vzniesť námietku (§ 1833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19 § 203 nový ods. 4 CMP</w:t>
              <w:br/>
            </w:r>
            <w:r>
              <w:rPr>
                <w:b w:val="off"/>
                <w:color w:val="000000"/>
                <w:rFonts w:ascii="Times New Roman" w:hAnsi="Times New Roman" w:cs="Times New Roman" w:eastAsia="Times New Roman"/>
                <w:sz w:val="24"/>
              </w:rPr>
              <w:t>Navrhujeme v čl. VI bode 19 v § 203 doplniť odsek 4, ktorý znie:</w:t>
              <w:br/>
            </w:r>
            <w:r>
              <w:rPr>
                <w:b w:val="off"/>
                <w:color w:val="000000"/>
                <w:rFonts w:ascii="Times New Roman" w:hAnsi="Times New Roman" w:cs="Times New Roman" w:eastAsia="Times New Roman"/>
                <w:sz w:val="24"/>
              </w:rPr>
              <w:t>„(4) Ak súd v uznesení podľa odseku 1 zriadi záložné právo na zabezpečenie vyrovnacieho doplatku podľa osobitného predpisu,xx) zabezpečí po nadobudnutí právoplatnosti uznesenia registráciu záložného práva v Notárskom centrálnom registri záložných práv, alebo doručí uznesenie orgánu, ktorý vedie osobitný register.“.</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1875 ods. 3 a 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odseku 4: Podľa § 1875 ods. 3 a 4 OZ môže súd na zabezpečenie vyrovnacieho doplatku zriadiť záložné právo vydaním rozhodnutia o potvrdení dedičstva; záložné právo vzniká až zápisom do registra záložných práv alebo do osobitného registra. Podľa § 73f ods. 3 NP notár registruje záložné právo zriadené rozhodnutím súdu „na základe doručenia rozhodnutia“. Civilný mimosporový poriadok neupravuje, kto a kedy rozhodnutie na registráciu doručí; bez toho by záložné právo nemuselo vôbec vzniknúť.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21 § 208 ods. 2 a 3 CMP</w:t>
              <w:br/>
            </w:r>
            <w:r>
              <w:rPr>
                <w:b w:val="off"/>
                <w:color w:val="000000"/>
                <w:rFonts w:ascii="Times New Roman" w:hAnsi="Times New Roman" w:cs="Times New Roman" w:eastAsia="Times New Roman"/>
                <w:sz w:val="24"/>
              </w:rPr>
              <w:t>Navrhujeme v čl. VI bode 21 v § 208 ods. 2 za slovo „dní“ vložiť slová „od doručenia návrhu rozvrhu výťažku“ a v odseku 3 za slová „v lehote siedmich dní“ vložiť slová „od doručenia uznesenia o rozvrhu výťažku“.</w:t>
              <w:br/>
            </w:r>
            <w:r>
              <w:rPr>
                <w:b w:val="off"/>
                <w:color w:val="000000"/>
                <w:rFonts w:ascii="Times New Roman" w:hAnsi="Times New Roman" w:cs="Times New Roman" w:eastAsia="Times New Roman"/>
                <w:sz w:val="24"/>
              </w:rPr>
              <w:t>„(2) Účastník môže v lehote siedmich dní od doručenia návrhu rozvrhu výťažku podať odôvodnené námietky …“.</w:t>
              <w:br/>
            </w:r>
            <w:r>
              <w:rPr>
                <w:b w:val="off"/>
                <w:color w:val="000000"/>
                <w:rFonts w:ascii="Times New Roman" w:hAnsi="Times New Roman" w:cs="Times New Roman" w:eastAsia="Times New Roman"/>
                <w:sz w:val="24"/>
              </w:rPr>
              <w:t>„(3) … aby v lehote siedmich dní od doručenia uznesenia o rozvrhu výťažku preukázal, že popretie pohľadávky uplatnil žalobou.“.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oboch odsekoch chýba začiatok plynutia lehoty. Pri lehote na podanie námietok je prirodzeným okamihom doručenie návrhu rozvrhu výťažku účastníkom (ods. 1). Pri lehote na preukázanie podania žaloby (ods. 3) navrhujeme doručenie uznesenia o rozvrhu výťažku, v ktorom súd popierateľa odkazuje na žalobu. Neurčitosť lehôt by viedla k sporom o zmeškanie a k nejednotnému postupu súdnych komisárov.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21 § 208 ods. 4 CMP (čiastočné popretie)</w:t>
              <w:br/>
            </w:r>
            <w:r>
              <w:rPr>
                <w:b w:val="off"/>
                <w:color w:val="000000"/>
                <w:rFonts w:ascii="Times New Roman" w:hAnsi="Times New Roman" w:cs="Times New Roman" w:eastAsia="Times New Roman"/>
                <w:sz w:val="24"/>
              </w:rPr>
              <w:t>Navrhujeme v čl. VI bode 21 v § 208 ods. 4 na konci pripojiť tieto slová:</w:t>
              <w:br/>
            </w:r>
            <w:r>
              <w:rPr>
                <w:b w:val="off"/>
                <w:color w:val="000000"/>
                <w:rFonts w:ascii="Times New Roman" w:hAnsi="Times New Roman" w:cs="Times New Roman" w:eastAsia="Times New Roman"/>
                <w:sz w:val="24"/>
              </w:rPr>
              <w:t>„; ak bola pohľadávka popretá len sčasti, súd poukáže sumu pripadajúcu na jej nepopretú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208 ods. 2 možno pohľadávku poprieť aj čo do výšky, teda len sčasti. Odsek 4 však zadržiava celé plnenie na pohľadávku, ktorej popretie bolo uplatnené žalobou. Veriteľ by tak bezdôvodne nedostal ani tú časť, ktorú nikto nespochybnil, a to až do skončenia sporu.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6 § 53a ods. 3 NP (adresa na doručenie)</w:t>
              <w:br/>
            </w:r>
            <w:r>
              <w:rPr>
                <w:b w:val="off"/>
                <w:color w:val="000000"/>
                <w:rFonts w:ascii="Times New Roman" w:hAnsi="Times New Roman" w:cs="Times New Roman" w:eastAsia="Times New Roman"/>
                <w:sz w:val="24"/>
              </w:rPr>
              <w:t>Navrhujeme v čl. XXI bode 6 v § 53a ods. 3 za slová „trvalého pobytu alebo sídla“ vložiť slová „zistenú z registra fyzických osôb alebo z registra právnických osôb, podnikateľov a orgánov verejnej moci“.</w:t>
              <w:br/>
            </w:r>
            <w:r>
              <w:rPr>
                <w:b w:val="off"/>
                <w:color w:val="000000"/>
                <w:rFonts w:ascii="Times New Roman" w:hAnsi="Times New Roman" w:cs="Times New Roman" w:eastAsia="Times New Roman"/>
                <w:sz w:val="24"/>
              </w:rPr>
              <w:t>„… inak na adresu jej trvalého pobytu alebo sídla zistenú z registra fyzických osôb alebo z registra právnických osôb, podnikateľov a orgánov verejnej 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Notár musí vedieť, z ktorého zdroja adresu na doručenie zisťuje, ak si ju zmluvné strany nedohodli; adresa uvedená v dedičskej zmluve môže byť v čase odstúpenia neaktuálna. Odkaz na referenčné registre, s ktorými je komora integrovaná, zabezpečí, že sa doručuje na aktuálnu adresu, a notár sa tým zbaví pochybností o správnosti postupu.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10 poznámka pod čiarou k odkazu 6ba NP</w:t>
              <w:br/>
            </w:r>
            <w:r>
              <w:rPr>
                <w:b w:val="off"/>
                <w:color w:val="000000"/>
                <w:rFonts w:ascii="Times New Roman" w:hAnsi="Times New Roman" w:cs="Times New Roman" w:eastAsia="Times New Roman"/>
                <w:sz w:val="24"/>
              </w:rPr>
              <w:t>Navrhujeme čl. XXI bod 10 nahradiť týmto znením:</w:t>
              <w:br/>
            </w:r>
            <w:r>
              <w:rPr>
                <w:b w:val="off"/>
                <w:color w:val="000000"/>
                <w:rFonts w:ascii="Times New Roman" w:hAnsi="Times New Roman" w:cs="Times New Roman" w:eastAsia="Times New Roman"/>
                <w:sz w:val="24"/>
              </w:rPr>
              <w:t>„10. Poznámka pod čiarou k odkazu 6ba znie:</w:t>
              <w:br/>
            </w:r>
            <w:r>
              <w:rPr>
                <w:b w:val="off"/>
                <w:color w:val="000000"/>
                <w:rFonts w:ascii="Times New Roman" w:hAnsi="Times New Roman" w:cs="Times New Roman" w:eastAsia="Times New Roman"/>
                <w:sz w:val="24"/>
              </w:rPr>
              <w:t>„6ba) Napríklad § 1630 ods. 3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nahrádza odkaz „§ 151ma ods. 5“ odkazom „§ 1630 ods. 5“ Občianskeho zákonníka. Schválený § 1630 OZ má len tri odseky. Ustanovenie § 14 a 32 zákona č. 527/2002 Z. z. o dobrovoľných dražbách a o doplnení zákona Slovenskej národnej rady č. 323/1992 Zb. o notároch a notárskej činnosti (Notársky poriadok) v znení neskorších predpisov navrhujeme vypustiť z dôvodu, že tu nejde o notársku úschovu podľa osobitného predpisu, keďže citované ustanovenia neupravujú podmienky vydania notárskej úschovy ale tieto podmienky musí notárovi prikázať zložiteľ, teda ide o notársku úschovu podľa príkazu zložiteľa podľa § 65 ods. 3 písm. a) NP.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11 § 66 ods. 1 písm. e) a ods. 4 NP</w:t>
              <w:br/>
            </w:r>
            <w:r>
              <w:rPr>
                <w:b w:val="off"/>
                <w:color w:val="000000"/>
                <w:rFonts w:ascii="Times New Roman" w:hAnsi="Times New Roman" w:cs="Times New Roman" w:eastAsia="Times New Roman"/>
                <w:sz w:val="24"/>
              </w:rPr>
              <w:t>Navrhujeme v čl. XXI bode 11 v § 66 ods. 1 písm. e) za slová „rodné číslo“ vložiť slová „, ak bolo pridelené,“ a v § 66 ods. 4 nahradiť slovo „poručiteľov“ slovom „poručiteľovi“.</w:t>
              <w:br/>
            </w:r>
            <w:r>
              <w:rPr>
                <w:b w:val="off"/>
                <w:color w:val="000000"/>
                <w:rFonts w:ascii="Times New Roman" w:hAnsi="Times New Roman" w:cs="Times New Roman" w:eastAsia="Times New Roman"/>
                <w:sz w:val="24"/>
              </w:rPr>
              <w:t>„e) meno, priezvisko, dátum narodenia, rodné číslo, ak bolo pridelené, a trvalé bydlisko poručiteľa, miesto a dátum podpísania listiny pre prípad smrti.“.</w:t>
              <w:br/>
            </w:r>
            <w:r>
              <w:rPr>
                <w:b w:val="off"/>
                <w:color w:val="000000"/>
                <w:rFonts w:ascii="Times New Roman" w:hAnsi="Times New Roman" w:cs="Times New Roman" w:eastAsia="Times New Roman"/>
                <w:sz w:val="24"/>
              </w:rPr>
              <w:t>„(4) Notár vráti listinu pre prípad smrti z úschovy len poručiteľovi alebo splnomocnenému zástupcovi poručiteľa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Rodné číslo nemusí byť pridelené (napr. cudzincom); obdobne to návrh zohľadňuje v § 73c ods. 2, 73l a 73m. V odseku 4 ide o chybu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73a NP (verejnosť notárskych centrálnych registrov)</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 73a sa dopĺňa odsekom 4, ktorý znie:</w:t>
              <w:br/>
            </w:r>
            <w:r>
              <w:rPr>
                <w:b w:val="off"/>
                <w:color w:val="000000"/>
                <w:rFonts w:ascii="Times New Roman" w:hAnsi="Times New Roman" w:cs="Times New Roman" w:eastAsia="Times New Roman"/>
                <w:sz w:val="24"/>
              </w:rPr>
              <w:t>„(4) Údaje zapísané v registri pre prípad smrti, v registri modifikácií, v registri podporných opatrení a v registri plnomocenstiev sa sprístupňujú len v rozsahu a za podmienok ustanovených v § 73c, 73l, 73m a 73n.“.</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73a ods. 1 NP sú notárske centrálne registre „verejnými zoznamami“. Navrhované § 73l ods. 5, § 73m ods. 6 a § 73n ods. 9 však sprístupnenie údajov z nových registrov zámerne obmedzujú (napr. „Iné údaje zapísané v registri podporných opatrení komora nesprístupňuje ani nezverejňuje“) a register pre prípad smrti nie je verejný vôbec. Bez výslovnej úpravy by vznikol rozpor medzi všeobecným pravidlom o verejnosti registrov a osobitnými pravidlami, ktorý by mohol byť vykladaný v neprospech ochrany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bod 14 § 73l NP (výpis z registra modifikácií pre orgány verejnej moci)</w:t>
              <w:br/>
            </w:r>
            <w:r>
              <w:rPr>
                <w:b w:val="off"/>
                <w:color w:val="000000"/>
                <w:rFonts w:ascii="Times New Roman" w:hAnsi="Times New Roman" w:cs="Times New Roman" w:eastAsia="Times New Roman"/>
                <w:sz w:val="24"/>
              </w:rPr>
              <w:t>Navrhujeme v čl. XXI bode 14 doplniť § 73l odsekom 7, ktorý znie:</w:t>
              <w:br/>
            </w:r>
            <w:r>
              <w:rPr>
                <w:b w:val="off"/>
                <w:color w:val="000000"/>
                <w:rFonts w:ascii="Times New Roman" w:hAnsi="Times New Roman" w:cs="Times New Roman" w:eastAsia="Times New Roman"/>
                <w:sz w:val="24"/>
              </w:rPr>
              <w:t>„(7) Notár vydá na žiadosť súdu, súdneho exekútora alebo iného orgánu verejnej moci výpis z registra modifikácií o úkonoch manžela, ktorý je účastníkom konania vedeného týmto orgánom. Ak sa taký zápis v registri modifikácií nenachádza, notár vydá potvrdenie o tom, že vo vzťahu k manželovi nie je v registri modifikácií vykonaný zápis.“.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Zmluvné modifikácie spoločného imania manželov majú účinky voči tretím osobám (§ 298 ods. 5 OZ) a návrh na ne nadväzuje aj v exekučnom konaní (čl. XXXIII bod 4 – § 35 ods. 5 a bod 11 – § 42 ods. 16 Exekučného poriadku), v konaní o dedičstve a v konkurznom konaní. Navrhovaný § 73l však umožňuje vydať výpis len účastníkovi úkonu a verejne sprístupňuje len údaj o existencii zápisu. Súd, súdny exekútor alebo iný orgán verejnej moci by tak obsah registrovanej modifikácie nevedel zistiť, hoci od neho závisí, aký majetok patrí do spoločného imania.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94 ods. 3 NP</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„V § 94 ods. 3 sa vypúšťa slovo „notársku“ a za slovo „činnosť“ sa vkladá slovo „notára“.“.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terminologické zosúladenie: notár vykonáva aj činnosti, ktoré nie sú notárskou činnosťou v užšom zmysle (§ 3 NP), najmä úkony súdneho komisára a registrácie do notárskych centrálnych registrov, ktoré nový Občiansky zákonník a návrh zákona podstatne rozširujú.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94 ods. 4 NP</w:t>
              <w:br/>
            </w:r>
            <w:r>
              <w:rPr>
                <w:b w:val="off"/>
                <w:color w:val="000000"/>
                <w:rFonts w:ascii="Times New Roman" w:hAnsi="Times New Roman" w:cs="Times New Roman" w:eastAsia="Times New Roman"/>
                <w:sz w:val="24"/>
              </w:rPr>
              <w:t>Navrhujeme do čl. XXI vložiť nový bod, ktorý znie:</w:t>
              <w:br/>
            </w:r>
            <w:r>
              <w:rPr>
                <w:b w:val="off"/>
                <w:color w:val="000000"/>
                <w:rFonts w:ascii="Times New Roman" w:hAnsi="Times New Roman" w:cs="Times New Roman" w:eastAsia="Times New Roman"/>
                <w:sz w:val="24"/>
              </w:rPr>
              <w:t>„§ 94 sa dopĺňa odsekom 4, ktorý znie:</w:t>
              <w:br/>
            </w:r>
            <w:r>
              <w:rPr>
                <w:b w:val="off"/>
                <w:color w:val="000000"/>
                <w:rFonts w:ascii="Times New Roman" w:hAnsi="Times New Roman" w:cs="Times New Roman" w:eastAsia="Times New Roman"/>
                <w:sz w:val="24"/>
              </w:rPr>
              <w:t>„(4) Orgány činné v trestnom konaní sú povinné oznámiť ministerstvu a komore, že voči notárovi bolo vznesené obvinenie alebo že bola voči notárovi podaná obžaloba za úmyselný trestný čin alebo za trestný čin súvisiaci s notárskou činnosťou.“.</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Notárska komora SR navrhla toto doplnenie v predbežných pripomienkach; predkladateľ ho neakceptoval ako „mimo rámca“ Občianskeho zákonníka. S rozšírením úloh notárov pri registrácii právnych úkonov, ktorých účinnosť od registrácie závisí, a pri výkone úkonov súdneho komisára rastie význam včasnej informácie o trestnom stíhaní notára pre výkon dohľadu (§ 89 NP) a pre prípadné dočasné pozbavenie výkonu notárskeho úradu. Bez oznamovacej povinnosti sa komora a ministerstvo o obvinení dozvedajú len náhodne.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 bod 34 § 42 ods. 3 katastrálneho zákona a poznámka pod čiarou k odkazu 10ee</w:t>
              <w:br/>
            </w:r>
            <w:r>
              <w:rPr>
                <w:b w:val="off"/>
                <w:color w:val="000000"/>
                <w:rFonts w:ascii="Times New Roman" w:hAnsi="Times New Roman" w:cs="Times New Roman" w:eastAsia="Times New Roman"/>
                <w:sz w:val="24"/>
              </w:rPr>
              <w:t>Navrhujeme v čl. XXXI bode 34 v § 42 ods. 3 upraviť úvodnú vetu, v písmene r) nahradiť slová „a) až l)“ slovami „a) až q)“ a poznámku pod čiarou k odkazu 10ee nahradiť platným predpisom:</w:t>
              <w:br/>
            </w:r>
            <w:r>
              <w:rPr>
                <w:b w:val="off"/>
                <w:color w:val="000000"/>
                <w:rFonts w:ascii="Times New Roman" w:hAnsi="Times New Roman" w:cs="Times New Roman" w:eastAsia="Times New Roman"/>
                <w:sz w:val="24"/>
              </w:rPr>
              <w:t>Úvodná veta: „(3) Úradne osvedčená10ee) musí byť pravosť podpisu“.</w:t>
              <w:br/>
            </w:r>
            <w:r>
              <w:rPr>
                <w:b w:val="off"/>
                <w:color w:val="000000"/>
                <w:rFonts w:ascii="Times New Roman" w:hAnsi="Times New Roman" w:cs="Times New Roman" w:eastAsia="Times New Roman"/>
                <w:sz w:val="24"/>
              </w:rPr>
              <w:t>Písmeno r): „r) osôb uvedených v písmenách a) až q) v plnomocenstve, ak sú tieto osoby zastúpené.“.</w:t>
              <w:br/>
            </w:r>
            <w:r>
              <w:rPr>
                <w:b w:val="off"/>
                <w:color w:val="000000"/>
                <w:rFonts w:ascii="Times New Roman" w:hAnsi="Times New Roman" w:cs="Times New Roman" w:eastAsia="Times New Roman"/>
                <w:sz w:val="24"/>
              </w:rPr>
              <w:t>Poznámka pod čiarou k odkazu 10ee: „10ee) Zákon č. 78/2026 Z. z. o osvedčovaní listín a podpisov na listinách a zákon Slovenskej národnej rady č. 323/1992 Zb. o notároch a notárskej činnosti (Notársky poriadok)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Úradne sa osvedčuje pravosť podpisu, nie „podpis“; navrhované znenie zodpovedá terminológii Notárskeho poriadku a predpisov o osvedčovaní. Písmeno r) vyžaduje osvedčený podpis na plnomocenstve len pri zastúpení osôb podľa písmen a) až l), hoci aj pri úkonoch podľa písmen m) až q) (vyhlásenie o zániku pridruženého spoluvlastníctva, vyporiadanie spoločného imania manželov, zmluva o zriadení záložného práva, späťvzatie návrhu, listina o zániku záložného práva) sa vyžaduje osvedčený podpis zastúpeného; rozlišovanie je neodôvodnené a otvára priestor na obchádzanie požiadavky cez zastúpenie. </w:t>
              <w:br/>
            </w:r>
            <w:r>
              <w:rPr>
                <w:b w:val="off"/>
                <w:color w:val="000000"/>
                <w:rFonts w:ascii="Times New Roman" w:hAnsi="Times New Roman" w:cs="Times New Roman" w:eastAsia="Times New Roman"/>
                <w:sz w:val="24"/>
              </w:rPr>
              <w:t>Zákon č. 599/2001 Z. z., na ktorý odkazuje poznámka 10ee, bol zrušený zákonom č. 78/2026 Z. z. o osvedčovaní listín a podpisov na listinách (§ 16) s účinnosťou od 1. septembra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bod 5 – § 36a a bod 44 – § 243r Exekučného poriadku (legislatívno-technické)</w:t>
              <w:br/>
            </w:r>
            <w:r>
              <w:rPr>
                <w:b w:val="off"/>
                <w:color w:val="000000"/>
                <w:rFonts w:ascii="Times New Roman" w:hAnsi="Times New Roman" w:cs="Times New Roman" w:eastAsia="Times New Roman"/>
                <w:sz w:val="24"/>
              </w:rPr>
              <w:t>Navrhujeme v čl. XXXIII vykonať tieto úpravy:</w:t>
              <w:br/>
            </w:r>
            <w:r>
              <w:rPr>
                <w:b w:val="off"/>
                <w:color w:val="000000"/>
                <w:rFonts w:ascii="Times New Roman" w:hAnsi="Times New Roman" w:cs="Times New Roman" w:eastAsia="Times New Roman"/>
                <w:sz w:val="24"/>
              </w:rPr>
              <w:t>a) V bode 5 v § 36a ods. 2 sa písmená d) a e) označujú ako písmená c) a d).</w:t>
              <w:br/>
            </w:r>
            <w:r>
              <w:rPr>
                <w:b w:val="off"/>
                <w:color w:val="000000"/>
                <w:rFonts w:ascii="Times New Roman" w:hAnsi="Times New Roman" w:cs="Times New Roman" w:eastAsia="Times New Roman"/>
                <w:sz w:val="24"/>
              </w:rPr>
              <w:t>b) V bode 5 v § 36a ods. 3 sa slová „podľa odseku 3“ nahrádzajú slovami „podľa odseku 2“.</w:t>
              <w:br/>
            </w:r>
            <w:r>
              <w:rPr>
                <w:b w:val="off"/>
                <w:color w:val="000000"/>
                <w:rFonts w:ascii="Times New Roman" w:hAnsi="Times New Roman" w:cs="Times New Roman" w:eastAsia="Times New Roman"/>
                <w:sz w:val="24"/>
              </w:rPr>
              <w:t>c) V bode 5 sa úvodná veta poznámok pod čiarou nahrádza slovami „Poznámka pod čiarou k odkazu 7ac znie:“.</w:t>
              <w:br/>
            </w:r>
            <w:r>
              <w:rPr>
                <w:b w:val="off"/>
                <w:color w:val="000000"/>
                <w:rFonts w:ascii="Times New Roman" w:hAnsi="Times New Roman" w:cs="Times New Roman" w:eastAsia="Times New Roman"/>
                <w:sz w:val="24"/>
              </w:rPr>
              <w:t>d) V bode 44 v § 243r ods. 2 sa vypúšťajú zatváracie úvodzovky a bodka za slovom „zachované“ a v ods. 3 sa slová „30. júna 20,“ nahrádzajú slovami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36a ods. 2 chýba písmeno c); odsek 3 odkazuje sám na seba namiesto na náležitosti podľa odseku 2; bod 5 ohlasuje poznámky 7ac a 7ad, hoci obsahuje len poznámku 7ac (poznámka 7ad je upravená v bode 10). V § 243r sú zatváracie úvodzovky za odsekom 2, takže odseky 3 až 5 by neboli súčasťou novelizovaného textu, a v odseku 3 je neúplný dátum.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LII body 2 a 3 – § 28 ods. 3 písm. m) a ods. 14 zákona o cenných papieroch</w:t>
              <w:br/>
            </w:r>
            <w:r>
              <w:rPr>
                <w:b w:val="off"/>
                <w:color w:val="000000"/>
                <w:rFonts w:ascii="Times New Roman" w:hAnsi="Times New Roman" w:cs="Times New Roman" w:eastAsia="Times New Roman"/>
                <w:sz w:val="24"/>
              </w:rPr>
              <w:t>Navrhujeme v čl. LII bode 2 § 28 ods. 3 písm. m) formulovať takto a v bode 3 doplniť § 28 ods. 14 druhou vetou:</w:t>
              <w:br/>
            </w:r>
            <w:r>
              <w:rPr>
                <w:b w:val="off"/>
                <w:color w:val="000000"/>
                <w:rFonts w:ascii="Times New Roman" w:hAnsi="Times New Roman" w:cs="Times New Roman" w:eastAsia="Times New Roman"/>
                <w:sz w:val="24"/>
              </w:rPr>
              <w:t>„m) druhá zmluvná strana dedičskej zmluvy, dedič, správca dedičstva alebo vykonávateľ poslednej vôle, ak ide o registráciu pozastavenia práva nakladať so zaknihovanými cennými papiermi na základe obmedzenia dohodnutého v dedičskej zmluve podľa Občianskeho zákonníka; existencia a rozsah obmedzenia sa preukazujú dedičskou zmluvou alebo výpisom z nej, z ktorého vyplýva označenie zaknihovaných cenných papierov a obsah dohodnutého obmedzenia.“.</w:t>
              <w:br/>
            </w:r>
            <w:r>
              <w:rPr>
                <w:b w:val="off"/>
                <w:color w:val="000000"/>
                <w:rFonts w:ascii="Times New Roman" w:hAnsi="Times New Roman" w:cs="Times New Roman" w:eastAsia="Times New Roman"/>
                <w:sz w:val="24"/>
              </w:rPr>
              <w:t>§ 28 ods. 14 druhá veta: „Zápis zániku pozastavenia práva nakladať podľa odseku 3 písm. m) vykoná centrálny depozitár alebo člen aj na príkaz majiteľa, ktorý predloží listinu preukazujúcu zánik dedičskej zmluvy alebo zánik dohodnutého obmedzenia, najmä osvedčený odpis notárskej zápisnice o zrušení dedičskej zmluvy alebo o odstúpení od 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písmenu m): Poručiteľ ako majiteľ zaknihovaného cenného papiera je oprávnený podať príkaz už podľa § 28 ods. 3 písm. a); jeho uvedenie v písmene m) je nadbytočné. Naopak, chýbajú osoby, ktoré po smrti poručiteľa hája jeho vôľu a spravujú dedičstvo – vykonávateľ poslednej vôle (§ 1829 OZ) a správca dedičstva (§ 1854 ods. 2 OZ). Keďže dedičská zmluva musí byť spísaná vo forme notárskej zápisnice (§ 1742 OZ), navrhujeme výslovne určiť listinu, ktorou sa obmedzenie podľa § 1744 ods. 2 OZ preukazuje.</w:t>
              <w:br/>
            </w:r>
            <w:r>
              <w:rPr>
                <w:b w:val="off"/>
                <w:color w:val="000000"/>
                <w:rFonts w:ascii="Times New Roman" w:hAnsi="Times New Roman" w:cs="Times New Roman" w:eastAsia="Times New Roman"/>
                <w:sz w:val="24"/>
              </w:rPr>
              <w:t>K odseku 14: Navrhovaný odsek 14 upravuje zápis zániku obmedzenia len pri prechode cenného papiera na základe rozhodnutia o dedičstve. Obmedzenie podľa § 1744 ods. 2 OZ však môže zaniknúť aj za života poručiteľa – zrušením dedičskej zmluvy, odstúpením od nej alebo jej zánikom (§ 1745 až 1749 OZ). Pre tieto prípady návrh neurčuje podklad zápisu; navrhujeme ho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LIII bod 1 § 13a ods. 4 a 7 zákona o nadáciách</w:t>
              <w:br/>
            </w:r>
            <w:r>
              <w:rPr>
                <w:b w:val="off"/>
                <w:color w:val="000000"/>
                <w:rFonts w:ascii="Times New Roman" w:hAnsi="Times New Roman" w:cs="Times New Roman" w:eastAsia="Times New Roman"/>
                <w:sz w:val="24"/>
              </w:rPr>
              <w:t>Navrhujeme v čl. LIII bode 1 v § 13a ods. 4 na konci pripojiť vetu a § 13a ods. 7 formulovať takto:</w:t>
              <w:br/>
            </w:r>
            <w:r>
              <w:rPr>
                <w:b w:val="off"/>
                <w:color w:val="000000"/>
                <w:rFonts w:ascii="Times New Roman" w:hAnsi="Times New Roman" w:cs="Times New Roman" w:eastAsia="Times New Roman"/>
                <w:sz w:val="24"/>
              </w:rPr>
              <w:t>§ 13a ods. 4 – nová veta: „Prvý správca nadácie ustanovený poručiteľom je oprávnený po smrti poručiteľa požiadať notára o vydanie osvedčeného odpisu notárskej zápisnice, do ktorej bola spísaná dedičská zmluva alebo závet, na účely zápisu nadácie do registra, a to aj pred vznikom nadácie.“.</w:t>
              <w:br/>
            </w:r>
            <w:r>
              <w:rPr>
                <w:b w:val="off"/>
                <w:color w:val="000000"/>
                <w:rFonts w:ascii="Times New Roman" w:hAnsi="Times New Roman" w:cs="Times New Roman" w:eastAsia="Times New Roman"/>
                <w:sz w:val="24"/>
              </w:rPr>
              <w:t>„(7) Po vzniku nadácie správca nadácie vyzve osoby, ktoré poručiteľ určil za členov orgánov nadácie, či súhlasia so svojím ustanovením. Ak niektorá z týchto osôb nesúhlasí s ustanovením, zomrela alebo bola vyhlásená za mŕtvu, správca nadácie postupuje pri ustanovení náhradného člena orgánu nadácie podľa pokynov poručiteľa uvedených v nadačnej listine. Ak nadačná listina takýto postup neupravuje, správca nadácie určí nového člena príslušného orgánu nadácie.“.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odseku 4: Podľa § 74 ods. 1 NP v znení čl. XXI bodu 15 sa z notárskych zápisníc o právnych úkonoch pre prípad smrti vydávajú osvedčené odpisy až po smrti poručiteľa a podľa § 74 ods. 2 NP účastníkom alebo osobám s právnym záujmom. Prvý správca nadácie nie je účastníkom dedičskej zmluvy ani závetu a nadácia pred zápisom do registra neexistuje; aby notár mohol odpis vydať bez pochybností, navrhujeme oprávnenie prvého správcu výslovne ustanoviť.</w:t>
              <w:br/>
            </w:r>
            <w:r>
              <w:rPr>
                <w:b w:val="off"/>
                <w:color w:val="000000"/>
                <w:rFonts w:ascii="Times New Roman" w:hAnsi="Times New Roman" w:cs="Times New Roman" w:eastAsia="Times New Roman"/>
                <w:sz w:val="24"/>
              </w:rPr>
              <w:t>K odseku 7: Navrhovaná úprava rešpektuje vôľu poručiteľa pri obsadzovaní orgánov nadácie; správca nadácie určí nového člena samostatne len vtedy, ak poručiteľ v nadačnej listine neurčil náhradnú osobu alebo postup.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LXXVI body 42 a 43 (§ 49 ZDP), čl. LXXXV bod 9 (§ 83 ods. 3 zákona o DPH), čl. CXXXIX body 5, 6 a 8 až 13 (zákon č. 530/2011 Z. z.), čl. CLV bod 2 (§ 9 ods. 7 zákona o dani z motorových vozidiel), čl. CCXIII bod 1 (§ 13 ods. 10 zákona o dani zo sladených nápojov): V nadväznosti na body 1 a 5 navrhujeme v uvedených ustanoveniach, ak predkladateľ nevypustí § 4a ods. 3 daňového poriadku, nahradiť slová</w:t>
              <w:br/>
            </w:r>
            <w:r>
              <w:rPr>
                <w:b w:val="off"/>
                <w:color w:val="000000"/>
                <w:rFonts w:ascii="Times New Roman" w:hAnsi="Times New Roman" w:cs="Times New Roman" w:eastAsia="Times New Roman"/>
                <w:sz w:val="24"/>
              </w:rPr>
              <w:t>„podľa § 4a Daňového poriadku“ slovami „podľa § 4a ods. 1 alebo ods. 2 Daňového poriadku“.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ustanovenia prenášajú povinnosti dediča alebo súdom ustanoveného správcu dedičstva (podanie daňového priznania, žiadosť o predĺženie lehoty, povinnosti súvisiace s daňovými skladmi, povoleniami a nakladaním s alkoholickými nápojmi) na „správcu dedičstva na účely správy daní podľa § 4a Daňového poriadku“. V spojení s § 4a ods. 3 by tieto povinnosti plnil notár ako súdny komisár, čo je s jeho postavením nezlučiteľné (bližšie body 1 a 5); sám návrh v § 183 ods. 1 CMP vylučuje, aby bol notár v tom istom konaní správcom dedičstva. Ak predkladateľ § 4a ods. 3 vypustí,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XCIII bod 2 § 18 ods. 2 zákona o miestnych daniach</w:t>
              <w:br/>
            </w:r>
            <w:r>
              <w:rPr>
                <w:b w:val="off"/>
                <w:color w:val="000000"/>
                <w:rFonts w:ascii="Times New Roman" w:hAnsi="Times New Roman" w:cs="Times New Roman" w:eastAsia="Times New Roman"/>
                <w:sz w:val="24"/>
              </w:rPr>
              <w:t>Navrhujeme v čl. XCIII bode 2 v § 18 ods. 2 poslednej vete vypustiť slová „osvedčenie o dedičstve alebo“.</w:t>
              <w:br/>
            </w:r>
            <w:r>
              <w:rPr>
                <w:b w:val="off"/>
                <w:color w:val="000000"/>
                <w:rFonts w:ascii="Times New Roman" w:hAnsi="Times New Roman" w:cs="Times New Roman" w:eastAsia="Times New Roman"/>
                <w:sz w:val="24"/>
              </w:rPr>
              <w:t>„Pri nadobudnutí nehnuteľnosti dedením vzniká dedičovi daňová povinnosť prvým dňom mesiaca nasledujúceho po dni, v ktorom nadobudlo právoplatnosť rozhodnutie o dedičstve.“.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„osvedčenie o dedičstve“ nezodpovedá procesnej úprave konania o dedičstve; konanie sa končí uznesením o dedičstve (§ 203 CMP), ktoré vydáva notár ako súdny komisár. Pojem „rozhodnutie o dedičstve“ je strešný pojem, ktorý zahŕňa všetky formy rozhodnutí o dedičstve a teda aj formu „osvedčenia o dedičstve“, ktoré je možné aj v súčasnosti vydať v dedičských konaniach, kde poručiteľ zomrel počas účinnosti Občianskeho súdneho poriadku. Navrhujeme používať jednotný pojem „rozhodnutie o dedičstve“ aj z dôvodu, aby nevznikali pochybnosti, či má daňovú povinnosť založiť aj iná listina (napr. európske osvedčenie o dedičstve).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bod 5 § 46 zákona o obchodnom registri (obmedzenie nakladať s obchodným podielom z dedičskej zmluvy)</w:t>
              <w:br/>
            </w:r>
            <w:r>
              <w:rPr>
                <w:b w:val="off"/>
                <w:color w:val="000000"/>
                <w:rFonts w:ascii="Times New Roman" w:hAnsi="Times New Roman" w:cs="Times New Roman" w:eastAsia="Times New Roman"/>
                <w:sz w:val="24"/>
              </w:rPr>
              <w:t>Navrhujeme v čl. CCXXIX bode 5 za nový odsek 10 vložiť nový odsek 11, ktorý znie, a poslednú vetu bodu 5 nahradiť vetou „Doterajšie odseky 10 až 13 sa označujú ako odseky 12 až 15.“:</w:t>
              <w:br/>
            </w:r>
            <w:r>
              <w:rPr>
                <w:b w:val="off"/>
                <w:color w:val="000000"/>
                <w:rFonts w:ascii="Times New Roman" w:hAnsi="Times New Roman" w:cs="Times New Roman" w:eastAsia="Times New Roman"/>
                <w:sz w:val="24"/>
              </w:rPr>
              <w:t>„(11) Návrh na registráciu obmedzenia nakladať s obchodným podielom dohodnutého v dedičskej zmluve, jeho zmeny alebo výmazu je oprávnená podať ktorákoľvek zo zmluvných strán dedičskej zmluvy; po smrti poručiteľa aj dedič, ktorého sa obmedzenie týka. K návrhu sa prikladá listina preukazujúca vznik, zmenu alebo zánik obmedzenia.“.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11 písm. j) umožňuje zapísať obmedzenie nakladať s obchodným podielom dohodnuté v dedičskej zmluve, neurčuje však, kto podáva návrh na jeho zápis, zmenu alebo výmaz. Obchodná spoločnosť nemusí byť účastníkom dedičskej zmluvy ani o obmedzení vedieť. Z dôvodu právnej istoty a pre postup registrového súdu a registrátora, ktorým je notár, je potrebné upraviť aktívnu legitimáciu a listiny preukazujúce zapisovanú skutočnosť, obdobne ako návrh upravuje predkupné právo v § 46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bod 7 § 51 ods. 7 zákona o obchodnom registri</w:t>
              <w:br/>
            </w:r>
            <w:r>
              <w:rPr>
                <w:b w:val="off"/>
                <w:color w:val="000000"/>
                <w:rFonts w:ascii="Times New Roman" w:hAnsi="Times New Roman" w:cs="Times New Roman" w:eastAsia="Times New Roman"/>
                <w:sz w:val="24"/>
              </w:rPr>
              <w:t>Navrhujeme v čl. CCXXIX bode 7 v § 51 ods. 7 nahradiť slová „osvedčeným podpisom“ slovami „osvedčenou pravosťou podpisu“ a slová „osvedčenými podpismi“ slovami „osvedčenou pravosťou podpisov“.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s terminológiou používanou v Notárskom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2 (§ 2): V § 2 ods. 1 v navrhovanom znení vypadla predložka „v“ v slovnom spojení: „zapísaná v živnostenskom registri...“</w:t>
              <w:br/>
            </w:r>
            <w:r>
              <w:rPr>
                <w:b w:val="off"/>
                <w:color w:val="000000"/>
                <w:rFonts w:ascii="Times New Roman" w:hAnsi="Times New Roman" w:cs="Times New Roman" w:eastAsia="Times New Roman"/>
                <w:sz w:val="24"/>
              </w:rPr>
              <w:t>Zároveň je potrebné posúdiť systematiku pokiaľ sa v bode 3 vypúšťajú § 3 až § 4 (definícia podnikateľa a hospodárskej činnosti) s odôvodnením, že definícia podnikateľa a sídla právnickej osoby prechádza do nového Občianskeho zákonníka, je nesystémové ponechávať osobitnú definíciu „bydliska fyzickej osoby“ a „adresy“ (§ 2 ods. 2 a 3) v Obchodnom zákonníku. Tento inštitút by mal byť jednotne upravený vo všeobecnej časti Občianskeho zákonníka, aby sa predišlo duplicite alebo odchýlkam pri výklade pojmov adresa a bydlisko.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bodom 8 a 10 (§ 14 až 20 a § 22 až 23): V bode 8 sa navrhujeme úplné vypustenie § 14 až § 20 (prokúra, konanie podnikateľa) a v bode 10 vypustenie § 22 a § 23 (konanie pri predaji podniku, zodpovednosť).</w:t>
              <w:br/>
            </w:r>
            <w:r>
              <w:rPr>
                <w:b w:val="off"/>
                <w:color w:val="000000"/>
                <w:rFonts w:ascii="Times New Roman" w:hAnsi="Times New Roman" w:cs="Times New Roman" w:eastAsia="Times New Roman"/>
                <w:sz w:val="24"/>
              </w:rPr>
              <w:t>V bode 36 sa v § 139 ods. 2 navrhuje doplniť: „ani prokurista“. Ak sa inštitút prokúry z Obchodného zákonníka kompletne vypúšťa a presúva do Občianskeho zákonníka, je nevyhnutné zabezpečiť terminologickú a vecnú prepojenosť tak, aby bolo zrejmé, či pojem „prokurista“ v § 139 ods. 2 odkazuje na príslušné ustanovenie Občianskeho zákonníka, alebo či má byť celá úprava obmedzení členov dozornej rady a prokuristov zosúladená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17 a súvisiacim bodom (§ 66 ods. 7, § 74, § 135a, § 194, § 243a): Návrh plošne nahrádza pojem „odborná starostlivosť“ pojmom „náležitá starostlivosť“ (pri konateľoch, likvidátoroch, členoch predstavenstva a predstavenstve družstva). V bode 43 sa pritom v § 194 ods. 5 pri akciovej spoločnosti vypúšťa text: „ktorá zahŕňa povinnosť vykonávať ju s odbornou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Slovenská judikatúra a právna prax majú desaťročia ustálený štandard tzv. starostlivosti riadneho hospodára / odbornej starostlivosti (analógia business judgment rule). V dôvodovej správe musí byť jednoznačne vyložené, či nahradenie pojmu „náležitá starostlivosť“ znamená zníženie, sprísnenie alebo len terminologické zosúladenie s novým Občianskym zákonníkom, aby zmena terminológie nevyvolala vlnu aplikačných sporov o rozsahu zodpovednosti členov štatutárnych orgánov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18 a bodu 28 (§ 66 ods. 9 a § 70 ods. 5): Navrhujeme nasledovné znenia ustanovení:</w:t>
              <w:br/>
            </w:r>
            <w:r>
              <w:rPr>
                <w:b w:val="off"/>
                <w:color w:val="000000"/>
                <w:rFonts w:ascii="Times New Roman" w:hAnsi="Times New Roman" w:cs="Times New Roman" w:eastAsia="Times New Roman"/>
                <w:sz w:val="24"/>
              </w:rPr>
              <w:t>§ 66 ods. 9: „Ustanovenia Občianskeho zákonníka o nedostatkoch rozhodnutí orgánov právnickej osoby sa nepoužijú na obchodné spoločnosti a družstvo.“</w:t>
              <w:br/>
            </w:r>
            <w:r>
              <w:rPr>
                <w:b w:val="off"/>
                <w:color w:val="000000"/>
                <w:rFonts w:ascii="Times New Roman" w:hAnsi="Times New Roman" w:cs="Times New Roman" w:eastAsia="Times New Roman"/>
                <w:sz w:val="24"/>
              </w:rPr>
              <w:t>§ 70 ods. 5: „Ustanovenia Občianskeho zákonníka o likvidácii právnickej osoby sa nepoužijú na obchodné spoločnosti a družstvo.“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hľadiska legislatívnej techniky je takéto negatívne vymedzenie správne, pretože Obchodný zákonník má pre neplatnosť rozhodnutí orgánov (napr. § 131 pri s.r.o., § 183 pri a.s.) a likvidáciu (§ 70 až § 75l) vlastnú komplexnú úpravu. Považujeme za nevyhnutné precizovať, či sa vylúčenie týka aj všeobecných procesných následkov neplatnosti (napr. absolútna vs. relatívna neplatnosť, zdanlivé právne úkony / ničotnosť – non-negotium), ktoré osobitná úprava Obchodného zákonníka výslovne nerieši a doteraz sa subsidiárne odvodzovali z občianskoprávneho základu.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bodom 20 a 24  a k bodu 50 (§ 67c ods. 2 písm. b) a § 67j ods. 4 písm. a): V inštitúte spoločnosti v kríze sa pomer vlastného imania a záväzkov (krytie) mení zo „stotožnenia s pomerom 5“ (resp. 8) na „10“ (bod 20 a bod 24). Rovnako v bode 50 pri jednoduchej spoločnosti na akcie (§ 220ga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predstavuje výrazné sprísnenie/zmenu kritérií pre posudzovanie, kedy sa obchodná spoločnosť nachádza v kríze, a preto žiadame v osobitnej časti dôvodovej správy detailne zdôvodniť zmenu tohto finančného ukazovateľa- máme za to, že k tejto zmene absentuje hlbšia ekonomická analýza dopadov na podnikateľské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bodom 31, 32, 39 a 52 (§ 113 ods. 6, § 119, § 120 ods. 4, § 161b ods. 2, § 161c ods. 2 a § 220i ods. 6): Návrh v ustanoveniach § 113 ods. 6, § 119, § 120 ods. 4, § 161b ods. 2, § 161c ods. 2 a § 220i ods. 6 vypúšťa slová: „a nariadiť jej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zmena bezprostredne súvisí s procesmi na registrovom súde. Pokiaľ súd zrušuje spoločnosť rozhodnutím, musí byť z procesného hľadiska (v nadväznosti na zákon o obchodnom registri č. 29/2026 Z. z. a ZKR) jednoznačne určené, či zrušenie bez nariadenia likvidácie automaticky zakladá postup preverovania majetku súdom (dodatočná likvidácia / osvedčenie o neexistencii majetku), alebo či spoločnosť vstupuje do likvidácie priamo zo zákona dňom právoplatnosti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37 (§ 153 ods. 1): Navrhujeme ponechať § 153 ods. 1 v platnom znení, resp.  jeho preformulovanie. V bode 37 sa navrhuje: „V § 153 sa vypúšťa odsek 1. Súčasne sa zrušuje označenie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153 ods. 1 Obchodného zákonníka upravuje základné majetkové právo spoločníka na podiel zo zisku (dividendu): („Spoločníci majú nárok na podiel zo zisku v pomere zodpovedajúcom ich splateným vkladom...“).Odsek 2 pritom upravuje nárok na likvidačný zostatok. Vypustenie odseku 1 by znamenalo, že Obchodný zákonník by pri spoločnosti s ručením obmedzeným úplne stratil výslovné zákonné pravidlo o práve na podiel na zisku a spôsobe jeho určenia. Ak táto úprava nemá prejsť do iného ustanovenia (§ 123 ObZ), ide o závažnú koncepčnú chybu, ktorá by v praxi spôsobila právny chaos pri rozdeľovaní zisku v s.r.o.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57 (Vypustenie celej Tretej časti ObZ – Obchodné záväzkové vzťahy, § 261 až § 755 ObZ): Žiadame doplniť návrh zákona o prechodné ustanovenia k vypusteniu Tretej časti Obchodného zákonníka (§ 261 až § 755 ObZ). V návrhu zákona v tejto časti úplne absentuje úprava právneho režimu, ktorým sa budú spravovať zmluvné vzťahy, práva, povinnosti a právne nároky vzniknuté pred dňom nadobudnutia účinnosti predloženého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Novelizačný bod 57 znie: „Tretia časť sa vypúšťajú.“, čím sa bezohľadne a bez adekvátnych prechodných ustanovení ruší celá zmluvná a záväzková časť Obchodného zákonníka (§ 261 až § 755 ObZ). V predloženom materiáli úplne chýba intertemporálna úprava, ktorá by jednoznačne určovala, podľa akého právneho predpisu sa budú po nadobudnutí účinnosti zákona posudzovať:</w:t>
              <w:br/>
            </w:r>
            <w:r>
              <w:rPr>
                <w:b w:val="off"/>
                <w:color w:val="000000"/>
                <w:rFonts w:ascii="Times New Roman" w:hAnsi="Times New Roman" w:cs="Times New Roman" w:eastAsia="Times New Roman"/>
                <w:sz w:val="24"/>
              </w:rPr>
              <w:t xml:space="preserve">- existujúce obchodné zmluvy uzavreté pred dňom účinnosti tohto zákona (napr. kúpne zmluvy, zmluvy o dielo pri veľkých stavbách, bankové záruky, úverové a lízingové zmluvy či zmluvy o obchodnom zastúpení), </w:t>
              <w:br/>
            </w:r>
            <w:r>
              <w:rPr>
                <w:b w:val="off"/>
                <w:color w:val="000000"/>
                <w:rFonts w:ascii="Times New Roman" w:hAnsi="Times New Roman" w:cs="Times New Roman" w:eastAsia="Times New Roman"/>
                <w:sz w:val="24"/>
              </w:rPr>
              <w:t xml:space="preserve">- plynutie premlčacích lehôt začatých podľa doterajšieho § 397 ObZ (všeobecná 4-ročná premlčacia doba v obchodných vzťahoch na rozdiel od 3-ročnej v civilnom práve), </w:t>
              <w:br/>
            </w:r>
            <w:r>
              <w:rPr>
                <w:b w:val="off"/>
                <w:color w:val="000000"/>
                <w:rFonts w:ascii="Times New Roman" w:hAnsi="Times New Roman" w:cs="Times New Roman" w:eastAsia="Times New Roman"/>
                <w:sz w:val="24"/>
              </w:rPr>
              <w:t>- zodpovednosť za škodu, zmluvné pokuty a úroky z omeškania dohodnuté alebo vzniknuté podľa doterajšej úpravy Obchodného zákonníka.</w:t>
              <w:br/>
            </w:r>
            <w:r>
              <w:rPr>
                <w:b w:val="off"/>
                <w:color w:val="000000"/>
                <w:rFonts w:ascii="Times New Roman" w:hAnsi="Times New Roman" w:cs="Times New Roman" w:eastAsia="Times New Roman"/>
                <w:sz w:val="24"/>
              </w:rPr>
              <w:t>Bez detailných a nespochybniteľných prechodných ustanovení, ktoré explicitne potvrdia zachovanie doterajšieho hmotnoprávneho režimu pre existujúce záväzky, by takáto plošná derogácia vyvolala zásadnú právnu neistotu v podnikateľskom prostredí. Takýto legislatívny postup by spôsobil masívnu protiústavnosť pre porušenie princípu právnej istoty, ochrany nadobudnutých práv a zákazu pravej retroaktivity (Čl. 1 ods. 1 Ústavy SR).</w:t>
              <w:br/>
            </w:r>
            <w:r>
              <w:rPr>
                <w:b w:val="off"/>
                <w:color w:val="000000"/>
                <w:rFonts w:ascii="Times New Roman" w:hAnsi="Times New Roman" w:cs="Times New Roman" w:eastAsia="Times New Roman"/>
                <w:sz w:val="24"/>
              </w:rPr>
              <w:t>Taktiež upozorňujeme na legislatívne opomenutie v Obchodnom zákonníku v súvislosti so zákonom č. 29/2026 Z. z. o obchodnom registri, kedy pri zmene formy právnych úkonov v Obchodnom zákonníku zákonodarca neuviedol prechodné ustanovenia pre nové formy listín vyžadujúce notársku zápisnicu alebo autorizáciu advokátom, čo v aplikačnej a registrovej praxi vyvolalo značný aplikačný chaos a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(Príloha – Zoznam preberaných právne záväzných aktov Európskej únie): V zozname preberaných právne záväzných aktov Európskej únie v bode 63 návrhu (príloha k Obchodnému zákonníku) navrhujeme doplniť najnovšie novelizácie smernice Európskeho parlamentu a Rady (EÚ) 2017/1132 zo 14. júna 2017 týkajúce sa cezhraničných premien a digitálnych nástrojov, ak boli transponované osobitnými zákonmi (napr. zákonom o premenách obchodných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Doplnením príslušných smerníc k smernici (EÚ) 2017/1132 sa zabezpečí úplnosť, presnosť a legislatívna čistota transpozičnej prílohy Obchodného zákonníka vo vzťahu k právu EÚ v oblasti práva obchodných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2 v spojení s Čl. CLXXVII bod 37 (§ 1 ods. 4): V § 1 ods. 4 navrhujeme vypustiť slová „ochranou zamestnanca ako slabšej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dôvodovej správy nevyplýva, prečo je pri uvedenej úprave priamo definovaný zamestnanec „ako slabšia strana“. Obsahuje len všeobecné konštatovanie s odkazom na nový Občiansky zákonník. Zároveň je ale v nasledujúcom texte dôvodovej správy (k inému novelizačnému bodu) použité odôvodnenie použitia slov „ako slabšej strany“ s odkazom, cit.: „Zakázané sú predovšetkým také autonómne dojednania, ktoré sú v rozpore dobrými mravmi alebo s verejným poriadkom.“. Uvedený princíp však ani v právnych vzťahoch regulovaných Občianskym zákonníkom neplatí absolútne, pretože musí reflektovať napr. na osobitnú ochranu spotrebiteľa vyplývajúcu aj zo smerníc Európskej únie. V tomto ohľade je pracovnoprávny vzťah považovaný za právny vzťah so slabšou stranou zamestnanca (takéto vymedzenie je priamo použité v nadpise druhej hlavy zákona č. 160/2015 Z. z. Civilný sporový poriadok - „spory so slabšou stranou“, pričom podľa tretieho dielu −  § 316 a nasl. sem spadajú individuálne pracovnoprávne spory).“. Dôvodová správa používa ako príklad pre definovanie zamestnanca ako slabšej strany ochranu spotrebiteľa a následne s prepojením na Civilný sporový poriadok (ďalej len „CSP“), dôvodová správa uvádza, že v zmysle CSP pod pojem „spory so slabšou stranou“ spadajú individuálne pracovnoprávne spory. Uvedený princíp CSP nespochybňujeme, avšak zdôrazňujeme, že na účely § 1 ods. 4 navrhovaného znenia Zákonníka práce ide o vymedzenie pôsobnosti Zákonníka práce (viď nadpis) a nejde o úpravu priamo súvisiacu s individuálnymi pracovnoprávnymi spormi ako odkazuje dôvodová správa. V tejto súvislosti tiež poukazujeme na princíp subordinácie v pracovnoprávnych vzťahoch, t. j. vzťah nadriadenosti zamestnávateľa a podriadenosti zamestnanca, ktorý je premietnutý v § 1 ods. 2 Zákonníka práce. Dôvodová správa však spory so slabšou stranou podľa CSP a teda individuálne pracovnoprávne spory priamo spája s definíciou závislej práce a subordináciou medzi zamestnávateľom a zamestnancom, cit.: „V Zákonníku práce sa uvedené vyjadruje popisom práce, ktorá sa vykonáva – tzv. závislá práca, ktorú zamestnanec vykonáva v podriadenosti voči zamestnávateľovi. V nadväznosti na to je právna úprava postavená na ochrane slabšej strany zamestnanca, pričom podstatná časť regulácie má kogentný, resp. relatívne kogentný charakter (dohoda môže byť len v prospech zamestnanca)“. Nepopierame zavedenie kogentných, resp. relatívne kogentných ustanovení v Zákonníku práce, avšak uplatnenie priamej úmery medzi princípom subordinácie s princípom definovania slabšej strany v pracovnoprávnych sporoch nie je v súlade definíciou pracovnoprávnych vzťahov a pôsobnosťou Zákonníka práce a domnievame sa, že princíp subordinácie je v tomto prípade širším pojmom a preto paušalizáciu slabšej strany (zamestnanca) vo vzťahu nadriadenosti zamestnávateľa a podriadenosti zamestnanca Zákonník práce vo svojich ustanoveniach nepredpokladá. Podriadené postavenie (subordinácia) zamestnanca znamená zmluvné zaviazanie sa zamestnanca k rešpektovaniu nadriadeného postavenia zamestnávateľa a práv s týmto postavením spojených (napr. pokyny zamestnávateľa). Pokiaľ sa zamestnanec domnieva, že jeho práva alebo právom chránené záujmy vyplývajúce z pracovnoprávnych vzťahov boli porušené, má právo domáhať sa ochrany na súde. A práve pre tento prípad upravuje CSP zásadu (princíp) ochrany slabšej strany, ktorá spočíva v tom, že v prípade prirodzeného nerovnovážneho postavenia strán je potrebné túto nerovnosť vyvážiť a priznáva zvýšenú ochranu strane sporu s cieľom vyvažovať prirodzené nerovnovážne postavenie strán sporu. Z uvedených dôvodov považujeme definovanie zamestnanca ako slabšej strany v Zákonníku práce, t. j. v hmotnoprávnom predpise z dôvodu, že mu toto postavenie priznáva procesnoprávny predpis (CSP), za nedôvodné.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57 v spojení s bodmi 67 a 68 ako aj v spojení s Čl. CLXXVII body 36 a 37 (§ 81 písm. g)): Navrhujeme slová „alebo v pobočke zahraničnej banky“ v Zákonníku práce ponechať a z toho dôvodu navrhujeme znenie novelizačného bodu v tomto znení: „V § 81 písm. g) sa slová „pobytu alebo prechodného pobytu“ nahrádzajú slovami „pobytu, prechodného pobytu alebo bydliska“.“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zákona č. 483/2001 Z. z. o bankách a o zmene a doplnení niektorých zákonov v znení neskorších predpisov sa bankou rozumie právnická osoba so sídlom na území Slovenskej republiky založená ako akciová spoločnosť, ktorá je úverovou inštitúciou podľa osobitného predpisu, zahraničnou bankou úverová inštitúcia, ktorá je právnickou osobou so sídlom mimo územia Slovenskej republiky, ktorá vykonáva bankové činnosti a ktorá má oprávnenie na výkon týchto činností udelené v členskom štáte Európskej únie alebo inom štáte, ktorý je zmluvnou stranou Dohody o Európskom hospodárskom priestore , v ktorom má sídlo a úverová inštitúcia, ktorá je právnickou osobou so sídlom mimo územia členského štátu, ktorá vykonáva bankové činnosti a ktorá má oprávnenie na výkon týchto činností udelené v štáte, v ktorom má sídlo a pobočkou zahraničnej banky pobočka podľa osobitného predpisu, ktorá je organizačnou zložkou zahraničnej banky umiestnenou na území Slovenskej republiky, ktorá priamo vykonáva najmä prijímanie vkladov a poskytovanie úverov, pričom všetky pobočky zahraničnej banky zriadené v Slovenskej republike touto zahraničnou bankou so sídlom v členskom štáte sa považujú z hľadiska oprávnenia vykonávať bankové činnosti za jednu jej pobočku, ako aj pobočka, ktorá je organizačnou zložkou zahraničnej banky so sídlom mimo územia členského štátu umiestnenou na území Slovenskej republiky a ktorá priamo vykonáva bankové činnosti. V dôvodovej správe k predmetnému novelizačnému bodu absentuje odôvodnenie vypustenia slov „alebo v pobočke zahraničnej banky“, takže nie je zrejmý dôvod uvedeného návrhu v tejto časti, avšak v dôvodovej správe k bodom 58 až 90 odôvodnenie uvedené je.</w:t>
              <w:br/>
            </w:r>
            <w:r>
              <w:rPr>
                <w:b w:val="off"/>
                <w:color w:val="000000"/>
                <w:rFonts w:ascii="Times New Roman" w:hAnsi="Times New Roman" w:cs="Times New Roman" w:eastAsia="Times New Roman"/>
                <w:sz w:val="24"/>
              </w:rPr>
              <w:t>Zároveň dávame do pozornosti Čl. CLXXVII, ktorým sa novelizuje zákon č. 55/2017 Z. z., podľa ktorého sa z predmetného zákona slová „alebo v pobočke zahraničnej banky“ nevypúšťajú / pozn. § 111 ods. 2 písm. d) sa v tejto časti nemení/. Taktiež je potrebné zdôrazniť, že navrhovaný § 172 ods. 1 zákona č. 55/2017 Z. z. uvádza, že siedma časť Občianskeho zákonníka, v ktorom je ustanovenie § 1892 (výklad pojmov) sa na štátnozamestnanecké vzťahy nevzťahuje.</w:t>
              <w:br/>
            </w:r>
            <w:r>
              <w:rPr>
                <w:b w:val="off"/>
                <w:color w:val="000000"/>
                <w:rFonts w:ascii="Times New Roman" w:hAnsi="Times New Roman" w:cs="Times New Roman" w:eastAsia="Times New Roman"/>
                <w:sz w:val="24"/>
              </w:rPr>
              <w:t>Uvedenú zásadnú pripomienku týkajúcu sa ponechania slov „alebo v pobočke zahraničnej banky“ primerane uplatňujeme aj k bodom 67 a 68.</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121 (§ 226): Navrhujeme precizovať ustanovenie, nakoľko podľa dôvodovej správy ide o legislatívno-technickú zmenu a zjednotenie terminológie s novým Občianskym zákonníkom – ak majú nastať účinky určitého úkonu od začiatku (spätne) a nie až okamihom jeho dôjdenia (doručenia), musí ísť o inštitút zrušenie právneho úkonu, nie o odstúpenie od právneho úkonu. Navrhuje sa teda použiť spojenie „dohodu zrušiť“, čo vyjadruje pôvodný zámer zákonodarcu spôsobiť právne následky od začiatku. Keďže však podľa odseku 4 je možné dohodnúť splatnosť časti odmeny za vykonanie časti pracovnej úlohy, v praxi môže nastať situácia, že časť pracovnej úlohy bude vykonaná a ak následne nedôjde k vykonaniu zvyšku pracovnej úlohy, čím nedôjde k vykonaniu celej pracovnej úlohy, nemal by sa uplatňovať inštitút zrušenia dohody s účinkami spôsobujúcimi právne následky od začiatku. V tomto prípade v zmysle výkladu uvedeného v dôvodovej správe by sa mal uplatňovať inštitút odstúpenia, ktorý spôsobí právne účinky do budúcnosti. Obdobne to platí aj v prípade, že zamestnanec mal na časť vykonania pracovnej úlohy vytvorené podmienky (a stala sa po vykonaní tejto časti pracovnej úlohy splatná aj časť odmeny) avšak pre ďalšiu časť pracovnej úlohy podmienky napríklad vytvorené neboli. Navrhujeme preto doplniť ustanovenie a za druhú vetu vložiť vetu napríklad v tomto znení: „Ak medzi stranami došlo k dohode podľa odseku 4 druhej vety, môže zamestnávateľ a zamestnanec z dôvodov uvedených v tomto odseku od dohody odstúpiť.“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bodu 2 (Vypustenie § 22 CSP – Kauzálna príslušnosť) a súvisiacim bodom 3 až 5 (§ 34 ods. 2, § 40 CSP): Navrhujeme vypustiť bod 2, ktorým sa vypúšťa § 22. Namiesto toho navrhujeme znenie § 22 nasledovne:</w:t>
              <w:br/>
            </w:r>
            <w:r>
              <w:rPr>
                <w:b w:val="off"/>
                <w:color w:val="000000"/>
                <w:rFonts w:ascii="Times New Roman" w:hAnsi="Times New Roman" w:cs="Times New Roman" w:eastAsia="Times New Roman"/>
                <w:sz w:val="24"/>
              </w:rPr>
              <w:t xml:space="preserve">                                                           „§ 22  </w:t>
              <w:br/>
            </w:r>
            <w:r>
              <w:rPr>
                <w:b w:val="off"/>
                <w:color w:val="000000"/>
                <w:rFonts w:ascii="Times New Roman" w:hAnsi="Times New Roman" w:cs="Times New Roman" w:eastAsia="Times New Roman"/>
                <w:sz w:val="24"/>
              </w:rPr>
              <w:t>Korporátne (firemné) spory a spory z podnikania</w:t>
              <w:br/>
            </w:r>
            <w:r>
              <w:rPr>
                <w:b w:val="off"/>
                <w:color w:val="000000"/>
                <w:rFonts w:ascii="Times New Roman" w:hAnsi="Times New Roman" w:cs="Times New Roman" w:eastAsia="Times New Roman"/>
                <w:sz w:val="24"/>
              </w:rPr>
              <w:t xml:space="preserve"> V sporoch  </w:t>
              <w:br/>
            </w:r>
            <w:r>
              <w:rPr>
                <w:b w:val="off"/>
                <w:color w:val="000000"/>
                <w:rFonts w:ascii="Times New Roman" w:hAnsi="Times New Roman" w:cs="Times New Roman" w:eastAsia="Times New Roman"/>
                <w:sz w:val="24"/>
              </w:rPr>
              <w:t>1.	zo vzťahov medzi zakladateľmi obchodných spoločností, medzi spoločníkom a obchodnou spoločnosťou, ako aj medzi spoločníkmi navzájom, pokiaľ ide o vzťahy týkajúce sa účasti na spoločnosti, ako aj vzťahy zo zmlúv, ktorými sa prevádza podiel spoločníka, medzi štatutárnym orgánom alebo členom štatutárnych a dozorných orgánov spoločnosti a obchodnou spoločnosťou, ako aj vzťahy medzi spoločníkom a obchodnou spoločnosťou pri zariaďovaní záležitostí spoločnosti a záväzkové vzťahy medzi prokuristom a spoločnosťou pri výkone jeho poverenia</w:t>
              <w:br/>
            </w:r>
            <w:r>
              <w:rPr>
                <w:b w:val="off"/>
                <w:color w:val="000000"/>
                <w:rFonts w:ascii="Times New Roman" w:hAnsi="Times New Roman" w:cs="Times New Roman" w:eastAsia="Times New Roman"/>
                <w:sz w:val="24"/>
              </w:rPr>
              <w:t>2.	zo vzťahov medzi zakladateľmi družstva a medzi členom a družstvom, pokiaľ vyplývajú z členského vzťahu v družstve, ako aj zo zmlúv o prevode členských práv a povinností, záväzkové vzťahy medzi členom štatutárneho orgánu a kontrolným orgánom družstva a záväzkové vzťahy medzi prokuristom a družstvom pri výkone jeho poverenia</w:t>
              <w:br/>
            </w:r>
            <w:r>
              <w:rPr>
                <w:b w:val="off"/>
                <w:color w:val="000000"/>
                <w:rFonts w:ascii="Times New Roman" w:hAnsi="Times New Roman" w:cs="Times New Roman" w:eastAsia="Times New Roman"/>
                <w:sz w:val="24"/>
              </w:rPr>
              <w:t>3.	z premien obchodných spoločností a družstiev</w:t>
              <w:br/>
            </w:r>
            <w:r>
              <w:rPr>
                <w:b w:val="off"/>
                <w:color w:val="000000"/>
                <w:rFonts w:ascii="Times New Roman" w:hAnsi="Times New Roman" w:cs="Times New Roman" w:eastAsia="Times New Roman"/>
                <w:sz w:val="24"/>
              </w:rPr>
              <w:t>4.	z predaja a prenájmu podniku,</w:t>
              <w:br/>
            </w:r>
            <w:r>
              <w:rPr>
                <w:b w:val="off"/>
                <w:color w:val="000000"/>
                <w:rFonts w:ascii="Times New Roman" w:hAnsi="Times New Roman" w:cs="Times New Roman" w:eastAsia="Times New Roman"/>
                <w:sz w:val="24"/>
              </w:rPr>
              <w:t>5.	medzi podnikateľmi pri ich podnikateľskej činnosti a v sporoch medzi subjektami verejného práva pri zabezpečovaní verejných potrieb alebo vlastnej prevádzky a podnikateľmi pri ich podnikateľskej činnosti</w:t>
              <w:br/>
            </w:r>
            <w:r>
              <w:rPr>
                <w:b w:val="off"/>
                <w:color w:val="000000"/>
                <w:rFonts w:ascii="Times New Roman" w:hAnsi="Times New Roman" w:cs="Times New Roman" w:eastAsia="Times New Roman"/>
                <w:sz w:val="24"/>
              </w:rPr>
              <w:t xml:space="preserve">6.	z ochrany obchodného mena podnikateľa a obchodného tajomstva, ak nejde o spor z nekalosúťažného konania, kde je daná kauzálna  príslušnosť podľa § 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 na konanie príslušné</w:t>
              <w:br/>
            </w:r>
            <w:r>
              <w:rPr>
                <w:b w:val="off"/>
                <w:color w:val="000000"/>
                <w:rFonts w:ascii="Times New Roman" w:hAnsi="Times New Roman" w:cs="Times New Roman" w:eastAsia="Times New Roman"/>
                <w:sz w:val="24"/>
              </w:rPr>
              <w:t xml:space="preserve">a) Mestský súd Bratislava III pre obvod Krajského súdu v Bratislave, </w:t>
              <w:br/>
            </w:r>
            <w:r>
              <w:rPr>
                <w:b w:val="off"/>
                <w:color w:val="000000"/>
                <w:rFonts w:ascii="Times New Roman" w:hAnsi="Times New Roman" w:cs="Times New Roman" w:eastAsia="Times New Roman"/>
                <w:sz w:val="24"/>
              </w:rPr>
              <w:t xml:space="preserve">b) Mestský súd Košice pre obvod Krajského súdu v Košiciach, </w:t>
              <w:br/>
            </w:r>
            <w:r>
              <w:rPr>
                <w:b w:val="off"/>
                <w:color w:val="000000"/>
                <w:rFonts w:ascii="Times New Roman" w:hAnsi="Times New Roman" w:cs="Times New Roman" w:eastAsia="Times New Roman"/>
                <w:sz w:val="24"/>
              </w:rPr>
              <w:t xml:space="preserve">c) Okresný súd Banská Bystrica pre obvod Krajského súdu v Banskej Bystrici, </w:t>
              <w:br/>
            </w:r>
            <w:r>
              <w:rPr>
                <w:b w:val="off"/>
                <w:color w:val="000000"/>
                <w:rFonts w:ascii="Times New Roman" w:hAnsi="Times New Roman" w:cs="Times New Roman" w:eastAsia="Times New Roman"/>
                <w:sz w:val="24"/>
              </w:rPr>
              <w:t xml:space="preserve">d) Okresný súd Nitra pre obvod Krajského súdu v Nitre, </w:t>
              <w:br/>
            </w:r>
            <w:r>
              <w:rPr>
                <w:b w:val="off"/>
                <w:color w:val="000000"/>
                <w:rFonts w:ascii="Times New Roman" w:hAnsi="Times New Roman" w:cs="Times New Roman" w:eastAsia="Times New Roman"/>
                <w:sz w:val="24"/>
              </w:rPr>
              <w:t xml:space="preserve">e) Okresný súd Prešov pre obvod Krajského súdu v Prešove, </w:t>
              <w:br/>
            </w:r>
            <w:r>
              <w:rPr>
                <w:b w:val="off"/>
                <w:color w:val="000000"/>
                <w:rFonts w:ascii="Times New Roman" w:hAnsi="Times New Roman" w:cs="Times New Roman" w:eastAsia="Times New Roman"/>
                <w:sz w:val="24"/>
              </w:rPr>
              <w:t xml:space="preserve">f) Okresný súd Trenčín pre obvod Krajského súdu v Trenčíne, </w:t>
              <w:br/>
            </w:r>
            <w:r>
              <w:rPr>
                <w:b w:val="off"/>
                <w:color w:val="000000"/>
                <w:rFonts w:ascii="Times New Roman" w:hAnsi="Times New Roman" w:cs="Times New Roman" w:eastAsia="Times New Roman"/>
                <w:sz w:val="24"/>
              </w:rPr>
              <w:t xml:space="preserve">g) Okresný súd Trnava pre obvod Krajského súdu v Trnave, </w:t>
              <w:br/>
            </w:r>
            <w:r>
              <w:rPr>
                <w:b w:val="off"/>
                <w:color w:val="000000"/>
                <w:rFonts w:ascii="Times New Roman" w:hAnsi="Times New Roman" w:cs="Times New Roman" w:eastAsia="Times New Roman"/>
                <w:sz w:val="24"/>
              </w:rPr>
              <w:t>h) Okresný súd Žilina pre obvod Krajského súdu v Žiline.“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žiadame vypustiť z návrhu zákona uvedené novelizačné body (bod 2 aj súvisiace body 3 až 5) a zachovať kauzálnu príslušnosť ôsmich doterajších okresných, resp. mestských súdov a troch krajských súdov v korporátnych sporoch a sporoch z podnikania podľa § 22 CSP, ako aj ustanovenia § 34 ods. 2 a § 40 CSP. Súčasne navrhujeme vypustiť novelizačné body 3 až 5 a ponechať všetky ustanovenia CSP, ktoré na kauzálnu príslušnosť v obchodnoprávnych sporoch nadväzujú (najmä § 34 ods. 2 o odvolacej príslušnosti a § 40 o skúmaní kauzálnej príslušnosti).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Prijatím nového Občianskeho zákonníka nebola dotknutá hmotnoprávna úprava obchodných spoločností a družstiev v Obchodnom zákonníku a nebola zrušená ani úprava o premenách obchodných spoločností a družstiev. Spory vznikajúce z týchto právnych vzťahov (spory medzi spoločnosťami, ich členmi a štatutárnymi orgánmi, spory z premien, ako aj spory z predaja a nájmu podniku) vyžadujú osobitnú odbornosť. Prijatie nového civilného kódexu nezakladá rozumný ekonomický ani procesný dôvod na to, aby takto vybudovaná špecializácia súdov v rámci firemných (korporátnych) vzťahov nebola kontinuálne využitá. Osobitne poukazujeme na to, že aj v zmysle § 9 českého OSŘ (zákon č. 99/1963 Sb.) zostala zachovaná osobitná vecná/kauzálna príslušnosť v korporátnych veciach, a to napriek tomu, že aj v Českej republike nový Občiansky zákonník nahradil predchádzajúci Obchodný zákonník.</w:t>
              <w:br/>
            </w:r>
            <w:r>
              <w:rPr>
                <w:b w:val="off"/>
                <w:color w:val="000000"/>
                <w:rFonts w:ascii="Times New Roman" w:hAnsi="Times New Roman" w:cs="Times New Roman" w:eastAsia="Times New Roman"/>
                <w:sz w:val="24"/>
              </w:rPr>
              <w:t>Nedostatočnosť garancie špecializácie cez súdne registre C a Cb: Samotné zachovanie súdnych registrov C a Cb, upravených v predpisoch o správe a organizácii súdnictva nemožno považovať za dostatočnú záruku zachovania odbornej špecializácie sudcov. Evidenčné a organizačné rozlišovanie agend nie je totožné s legislatívne garantovanou kauzálnou príslušnosťou súdu. Ak právna úprava výslovne nezachová špecializovanú príslušnosť podľa § 22 CSP, zachovanie registrov nezaručuje, že sudca bude dlhodobo rozhodovať tento druh sporov, keďže pravidlá vedenia registrov a rozvrhy práce nemôžu plnohodnotne nahradiť zákonnú úpravu kauzálnej príslušnosti a podliehajú aktuálnym personálnym či organizačným potrebám súdu.</w:t>
              <w:br/>
            </w:r>
            <w:r>
              <w:rPr>
                <w:b w:val="off"/>
                <w:color w:val="000000"/>
                <w:rFonts w:ascii="Times New Roman" w:hAnsi="Times New Roman" w:cs="Times New Roman" w:eastAsia="Times New Roman"/>
                <w:sz w:val="24"/>
              </w:rPr>
              <w:t>Zachovanie systému odvolacieho rozhodovania na krajských súdoch (§ 34 ods. 2 CSP): Vypustením novelizačných bodov 3 až 5 ostane v celom rozsahu zachovaný existujúci systém odvolacieho rozhodovania obchodnoprávnych sporov koncentrovaný na troch odvolacích súdoch – Krajskom súde v Bratislave, Krajskom súde v Banskej Bystrici a Krajskom súde v Košiciach (§ 34 ods. 2 CSP). Zjednotenie hmotnoprávnej úpravy záväzkov v novom Občianskom zákonníku nevyžaduje a ani neodôvodňuje zmenu odvolacej súdnej mapy. Navrhovaná autonómna definícia obchodnoprávneho sporu v § 22 ods. 2 CSP nevyvoláva potrebu prečíslovať ani meniť odkazovacie ustanovenia v § 34. Sústredenie odvolacej agendy na tri krajské súdy zaručuje, že zložité obchodné kauzy budú rozhodovať špecializované odvolacie senáty s dlhoročnou praxou v danom odvetví.</w:t>
              <w:br/>
            </w:r>
            <w:r>
              <w:rPr>
                <w:b w:val="off"/>
                <w:color w:val="000000"/>
                <w:rFonts w:ascii="Times New Roman" w:hAnsi="Times New Roman" w:cs="Times New Roman" w:eastAsia="Times New Roman"/>
                <w:sz w:val="24"/>
              </w:rPr>
              <w:t xml:space="preserve">Dualizmus záväzkového práva a autonómia procesného inštitútu: Hlavným koncepčným cieľom rekodifikácie súkromného práva je odstránenie doterajšieho dualizmu záväzkového práva. Zrušenie dualizmu novým Občianskym zákonníkom ale nie je zrušením obchodného práva. Nový Občiansky zákonník preberá definíciu pojmov podnikateľ a podnikanie, právnu úpravu hospodárskej súťaže a úpravu obchodných záväzkových vzťahov, teda sa stáva všeobecnou úpravou záväzkov aj pre vzťahy medzi podnikateľmi. Obchodný zákonník naďalej upravuje obchodné spoločnosti, družstvo a ďalšie otázky korporátneho práva, pri ktorých sa osobitná obchodnoprávna úprava zachováva. Kauzálna príslušnosť je procesný inštitút, ktorý možno vymedziť autonómne v CSP bez ohľadu na to, v ktorom hmotnoprávnom kódexe je úprava záväzkov obsiahnutá. </w:t>
              <w:br/>
            </w:r>
            <w:r>
              <w:rPr>
                <w:b w:val="off"/>
                <w:color w:val="000000"/>
                <w:rFonts w:ascii="Times New Roman" w:hAnsi="Times New Roman" w:cs="Times New Roman" w:eastAsia="Times New Roman"/>
                <w:sz w:val="24"/>
              </w:rPr>
              <w:t xml:space="preserve">Odborná náročnosť agendy: Obchodnoprávne spory patria k najzložitejším civilným veciam. Popri hmotnom práve vyžadujú znalosť účtovníctva, daňových súvislostí, oceňovania, európskeho práva obchodných spoločností, ale aj práva správneho. Nový Občiansky zákonník navyše zavádza nové inštitúty a na viacerých miestach obsahuje špeciálnu právnu úpravu výhradne pre podnikateľov (splatnosť peňažných dlhov, paušálna náhrada nákladov na vymáhanie, prekvapivé ustanovenia v zmluvách, zodpovednosť za škodu pri prevádzkovaní podniku, odčerpanie nepoctivého prospechu, zmluva o predaji podniku, nájom a podnájom priestoru na podnikanie a pod.). Pri rozhodovaní týchto sporov bude potrebné osobitne posúdiť podnikateľský charakter sporu, čo vyžaduje skúsených sudcov rozhodujúcich obchodnoprávne spory. </w:t>
              <w:br/>
            </w:r>
            <w:r>
              <w:rPr>
                <w:b w:val="off"/>
                <w:color w:val="000000"/>
                <w:rFonts w:ascii="Times New Roman" w:hAnsi="Times New Roman" w:cs="Times New Roman" w:eastAsia="Times New Roman"/>
                <w:sz w:val="24"/>
              </w:rPr>
              <w:t xml:space="preserve">Prechodné obdobie (§ 1889 ods. 3 OZ): Podľa prechodných ustanovení k novému Občianskemu zákonníku platí, že obchodné záväzkové vzťahy založené do dňa účinnosti nového Občianskeho zákonníka sa budú naďalej spravovať treťou časťou Obchodného zákonníka. To vyžaduje skúsených sudcov, keďže súdy budú paralelne rozhodovať spory v dvoch právnych režimoch, pretože právne vzťahy majúce svoj základ v Obchodnom zákonníku budú „dobiehať“. </w:t>
              <w:br/>
            </w:r>
            <w:r>
              <w:rPr>
                <w:b w:val="off"/>
                <w:color w:val="000000"/>
                <w:rFonts w:ascii="Times New Roman" w:hAnsi="Times New Roman" w:cs="Times New Roman" w:eastAsia="Times New Roman"/>
                <w:sz w:val="24"/>
              </w:rPr>
              <w:t>Rýchlosť a kvalita konania: Máme za to, že špecializovaný sudca rozhoduje zložité veci rýchlejšie, s menším počtom zrušených rozhodnutí a s vyššou predvídateľnosťou. Zrušenie kauzálnej príslušnosti obchodnoprávnych súdov a rozptýlenie ich agendy medzi všetky okresné, resp. mestské a krajské súdy by znamenalo, že obchodné spory budú prideľované sudcom bez skúseností s touto agendou, často v kombinácii s inými agendami. To povedie k predĺženiu konaní, väčšiemu počtu odvolaní a zrušovacích rozhodnutí, čo je v rozpore s právom na prerokovanie veci bez zbytočných prieťahov (čl. 48 ods. 2 Ústavy SR, čl. 6 ods. 1 Dohovoru). Rýchlosť vymáhania nárokov medzi podnikateľmi je pritom priamym faktorom podnikateľského prostredia a hodnotení investičnej atraktivity Slovenska.</w:t>
              <w:br/>
            </w:r>
            <w:r>
              <w:rPr>
                <w:b w:val="off"/>
                <w:color w:val="000000"/>
                <w:rFonts w:ascii="Times New Roman" w:hAnsi="Times New Roman" w:cs="Times New Roman" w:eastAsia="Times New Roman"/>
                <w:sz w:val="24"/>
              </w:rPr>
              <w:t>Organizačné dôsledky a nepodložený presun nápadu medzi Mestským súdom Bratislava III a Mestským súdom Bratislava IV: Navrhovaná zmena vyvoláva vážne otázky týkajúce sa rozdelenia súdneho nápadu medzi Mestský súd Bratislava III a Mestský súd Bratislava IV. Zmena sa realizuje bez transparentného vyhodnotenia a preukázania jej dopadov predkladateľom – chýba konkrétna analýza očakávaného nárastu nápadu, jeho predpokladanej štruktúry, personálneho zabezpečenia a dôsledkov na zaťaženosť sudcov a dĺžku konaní. Presun významnej časti doterajšej obchodnej agendy na Mestský súd Bratislava IV bez zodpovedajúceho personálneho a kapacitného zabezpečenia (či bez systémového spojenia dotknutých súdov) by viedol k neprimeranému zaťaženiu sudcov, predlžovaniu konaní, vzniku prieťahov a k zásadnému oslabeniu súdnej špecializácie.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Zjednocovanie judikatúry. Obchodnoprávne kolégiá krajských súdov a Najvyššieho súdu SR a obchodnoprávne grémiá okresných súdov sú nástrojom zjednocovania rozhodovacej praxe v rámci špecializovaných senátov. Po účinnosti nového Občianskeho zákonníka bude potreba zjednocovať výklad nových pravidiel v podnikateľských vzťahoch mimoriadne vysoká. Zlúčenie s občianskoprávnymi kolégiami by zjednocovanie v tejto agende oslabilo práve v čase, keď bude najviac potrebné. Ak by sa zachovala kauzálna príslušnosť, no zrušili kolégiá a grémiá, chýbal by orgán, ktorý by judikatúru špecializovaných súdov zjednocoval.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bodu 6. (§ 40): V Čl. V navrhujeme bod 6 upraviť tak, že v § 40 vo vete za bodkočiarkou sa slová „v obchodnoprávnych sporoch“ nahrádzajú slovami „vo firemných sporoch a v sporoch z podnikania“.</w:t>
              <w:br/>
            </w:r>
            <w:r>
              <w:rPr>
                <w:b w:val="off"/>
                <w:color w:val="000000"/>
                <w:rFonts w:ascii="Times New Roman" w:hAnsi="Times New Roman" w:cs="Times New Roman" w:eastAsia="Times New Roman"/>
                <w:sz w:val="24"/>
              </w:rPr>
              <w:t>Odôvodnenie: Navrhovaná zmena priamo nadväzuje na zásadnú pripomienku k Čl. V bodom 2 až 5 (§ 22 a § 34 ods. 2 CSP) a požiadavku na zachovanie kauzálnej príslušnosti súdov v tejto agende.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bodu 30 (Doplnenie § 471f CSP o nový ods. 2): V Čl. V sa bod 30 mení tak, že navrhované znenie § 471f sa čísluje ako „ods. 1“, za ktorý sa vkladá ods. 2, ktorý znie: „2. V obchodnoprávnych sporoch vzniknutých podľa Obchodného zákonníka sa príslušnosť súdov riadi podľa doterajších predpisov.“. Odsek 1 rieši dokončenie už začatých sporov. Odsek 2 rieši príslušnosť v obchodnoprávnych sporoch, ku vzniku ktorých dôjde podaním žaloby po strate účinnosti Obchodného zákonníka, avšak zo vzťahov vzniknutých podľa Obchodného zákonníka. Vzhľadom na existenciu tisícov vzťahov nie je žiaden racionálny, ekonomický ani procesný dôvod na to, aby tieto spory neprejednávali (nedokončili) súdy špecializované na vybavenie obchodnoprávnej agendy.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bodu 30 (§ 471f – Prechodné ustanovenia): V Čl. V navrhujeme bod 30 upraviť tak, že navrhovaný text § 471f sa označuje ako odsek 1 a dopĺňa sa nový odsek 2, ktorý znie:</w:t>
              <w:br/>
            </w:r>
            <w:r>
              <w:rPr>
                <w:b w:val="off"/>
                <w:color w:val="000000"/>
                <w:rFonts w:ascii="Times New Roman" w:hAnsi="Times New Roman" w:cs="Times New Roman" w:eastAsia="Times New Roman"/>
                <w:sz w:val="24"/>
              </w:rPr>
              <w:t>„(2) V sporoch z právnych vzťahov vzniknutých do 30. júna 2027 a o právach a povinnostiach z nich vyplývajúcich, vrátane práv a povinností z porušenia zmlúv uzavretých do 30. júna 2027, ktoré sa spravujú Obchodným zákonníkom v znení účinnom do 30. júna 2027 (obchodné spory), sa príslušnosť súdov riadi podľa predpisov účinných do 30. júna 2027.“</w:t>
              <w:br/>
            </w:r>
            <w:r>
              <w:rPr>
                <w:b w:val="off"/>
                <w:color w:val="000000"/>
                <w:rFonts w:ascii="Times New Roman" w:hAnsi="Times New Roman" w:cs="Times New Roman" w:eastAsia="Times New Roman"/>
                <w:sz w:val="24"/>
              </w:rPr>
              <w:t>Odôvodnenie: Kým odsek 1 navrhovaného § 471f CSP rieši výlučne dokončenie konaní v už začatých obchodnoprávnych sporoch, navrhovaný odsek 2 systémovo upravuje príslušnosť súdov pre spory, ktoré budú iniciované podaním žaloby až po nadobudnutí účinnosti zákona (t. j. po 30. júni 2027), avšak pramenili z hmotnoprávnych vzťahov založených podľa Obchodného zákonníka. Podľa prechodných ustanovení k novému Občianskemu zákonníku (§ 1889 ods. 3 OZ) platí, že obchodné záväzkové vzťahy založené pred účinnosťou nového kódexu, ako aj práva a povinnosti z nich vyplývajúce (vrátane porušení zmlúv), sa spravujú doterajšími predpismi (t. j. Tretou časťou Obchodného zákonníka). Vzhľadom na existenciu desiatok tisícov dlhodobých obchodných zmlúv je jasné, že spory z nich budú na súdoch vznikať ešte mnoho rokov po roku 2027.Navrhovaná úprava zabezpečuje kontinuitu vybavovania tejto špecializovanej agendy na súdoch, ktoré sú na ňu personálne, materiálne aj odborne dlhodobo budované. Nie je žiaden racionálny, ekonomický ani procesný dôvod na to, aby aplikáciu dobiehajúcej úpravy Obchodného zákonníka riešili súdy a sudcovia bez doterajšej obchodnoprávnej špecializácie. Doplnenie odseku 2 garantuje plynulosť konaní a zamedzí zbytočnému zaťažovaniu nešpecializovaných súdnych úsekov.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K bodu 45 (Zmena § 305 ods. 1 a 2 CMP): Navrhujeme zachovať aktuálnu úpravu kauzálnej príslušnosti registrových súdov vo veciach podľa piatej hlavy druhej časti CMP a novelizačný bod 45 vypustiť. Alternatívne, žiadame novelizačný bodu 45 upraviť tak, že sa:</w:t>
              <w:br/>
            </w:r>
            <w:r>
              <w:rPr>
                <w:b w:val="off"/>
                <w:color w:val="000000"/>
                <w:rFonts w:ascii="Times New Roman" w:hAnsi="Times New Roman" w:cs="Times New Roman" w:eastAsia="Times New Roman"/>
                <w:sz w:val="24"/>
              </w:rPr>
              <w:t>Terminologicky a vecne zosúladí § 305 ods. 1 CMP s novou právnou úpravou obchodného registra (nahradením nepresného pojmu „okresný súd v sídle krajského súdu“ presným označením registrového súdu).</w:t>
              <w:br/>
            </w:r>
            <w:r>
              <w:rPr>
                <w:b w:val="off"/>
                <w:color w:val="000000"/>
                <w:rFonts w:ascii="Times New Roman" w:hAnsi="Times New Roman" w:cs="Times New Roman" w:eastAsia="Times New Roman"/>
                <w:sz w:val="24"/>
              </w:rPr>
              <w:t xml:space="preserve">Doplní nový odsek 2 v § 305 CMP upravujúci funkčnú odvolaciu príslušnosť troch krajských súdov v tomto znení: </w:t>
              <w:br/>
            </w:r>
            <w:r>
              <w:rPr>
                <w:b w:val="off"/>
                <w:color w:val="000000"/>
                <w:rFonts w:ascii="Times New Roman" w:hAnsi="Times New Roman" w:cs="Times New Roman" w:eastAsia="Times New Roman"/>
                <w:sz w:val="24"/>
              </w:rPr>
              <w:t xml:space="preserve">„(2) Na konanie o odvolaní v konaniach o niektorých otázkach právnických osôb je príslušný: </w:t>
              <w:br/>
            </w:r>
            <w:r>
              <w:rPr>
                <w:b w:val="off"/>
                <w:color w:val="000000"/>
                <w:rFonts w:ascii="Times New Roman" w:hAnsi="Times New Roman" w:cs="Times New Roman" w:eastAsia="Times New Roman"/>
                <w:sz w:val="24"/>
              </w:rPr>
              <w:t xml:space="preserve">a) Krajský súd v Bratislave, ak odvolanie smeruje proti rozhodnutiu Mestského súdu Bratislava III, Okresného súdu Trnava a Okresného súdu Nitra, </w:t>
              <w:br/>
            </w:r>
            <w:r>
              <w:rPr>
                <w:b w:val="off"/>
                <w:color w:val="000000"/>
                <w:rFonts w:ascii="Times New Roman" w:hAnsi="Times New Roman" w:cs="Times New Roman" w:eastAsia="Times New Roman"/>
                <w:sz w:val="24"/>
              </w:rPr>
              <w:t xml:space="preserve">b) Krajský súd v Banskej Bystrici, ak odvolanie smeruje proti rozhodnutiu Okresného súdu Banská Bystrica, Okresného súdu Trenčín a Okresného súdu Žilina, </w:t>
              <w:br/>
            </w:r>
            <w:r>
              <w:rPr>
                <w:b w:val="off"/>
                <w:color w:val="000000"/>
                <w:rFonts w:ascii="Times New Roman" w:hAnsi="Times New Roman" w:cs="Times New Roman" w:eastAsia="Times New Roman"/>
                <w:sz w:val="24"/>
              </w:rPr>
              <w:t>c) Krajský súd v Košiciach, ak odvolanie smeruje proti rozhodnutiu Mestského súdu Košice.“ (Doteraz navrhovaný odsek 2 sa prečísluje na odsek 3).</w:t>
              <w:br/>
            </w:r>
            <w:r>
              <w:rPr>
                <w:b w:val="off"/>
                <w:color w:val="000000"/>
                <w:rFonts w:ascii="Times New Roman" w:hAnsi="Times New Roman" w:cs="Times New Roman" w:eastAsia="Times New Roman"/>
                <w:sz w:val="24"/>
              </w:rPr>
              <w:t>Odôvodnenie: Navrhovaná zmena kauzálnej príslušnosti v predloženom bode 45 nemá žiadne vecné opodstatnenie a predkladateľ v dôvodovej správe neuviedol žiadne dôvody, pre ktoré by malo prísť k zmene (v dôvodovej správe len stroho s chybou v písaní uvádza, že „Predmetným ustanovení dochádza k definovaniu kauzálnej príslušnosti pre tieto osobitné typy konaní.“).</w:t>
              <w:br/>
            </w:r>
            <w:r>
              <w:rPr>
                <w:b w:val="off"/>
                <w:color w:val="000000"/>
                <w:rFonts w:ascii="Times New Roman" w:hAnsi="Times New Roman" w:cs="Times New Roman" w:eastAsia="Times New Roman"/>
                <w:sz w:val="24"/>
              </w:rPr>
              <w:t>Pokiaľ predkladateľ neakceptuje vypustenie novelizačného bodu 45, je nevyhnutné ustanovenie § 305 CMP precizovať. Používanie prekonaných pojmov ako „okresný súd v sídle krajského súdu“ v navrhovanom odseku 1 vyvoláva výkladové pochybnosti v kontexte aktuálnej organizácie súdnictva. Zároveň v predloženej novele úplne absentuje explicitná úprava funkčnej príslušnosti odvolacích súdov pre konania v niektorých veciach právnických osôb. V záujme zachovania špecializácie odvolacích senátov vybudovanej Súdnou mapou a zamedzenia prieťahom v konaní je potrebné v § 305 ods. 2 CMP výslovne určiť odvolaciu príslušnosť dôležitých troch krajských súdov. Terminologicky tiež žiadame vecne zosúladiť § 305 ods. 1 CMP s právnou úpravou obchodného registra tak, aby bola príslušnosť súdu jednoznačná a nevznikali pochybnosti o rozdelení kompetencií.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K bodu 45  (§ 309f CMP – automatizované začatie konania o zrušení obchodnej spoločnosti): V Čl. VI v bode 45 navrhujeme ustanovenie § 309f CMP doplniť o explicitnú právnu úpravu mechanizmu nápravy nesprávneho zápisu poznámky o začatí konania v obchodnom registri. Žiadame výslovne zakotviť oprávnenie registrového súdu bezodkladne aj bez návrhu (z úradnej moci) odstrániť nesprávne zapísanú poznámku a upraviť jednoznačný procesný postup pri náprave takéhoto pochybenia.</w:t>
              <w:br/>
            </w:r>
            <w:r>
              <w:rPr>
                <w:b w:val="off"/>
                <w:color w:val="000000"/>
                <w:rFonts w:ascii="Times New Roman" w:hAnsi="Times New Roman" w:cs="Times New Roman" w:eastAsia="Times New Roman"/>
                <w:sz w:val="24"/>
              </w:rPr>
              <w:t>Odôvodnenie: Automatizované spracúvanie údajov z obchodného registra a ďalších referenčných registrov môže viesť k nesprávnemu vyhodnoteniu zákonných dôvodov na začatie konania, najmä v dôsledku neaktuálnych, neúplných alebo chybných údajov. Navrhovaná úprava by preto mala výslovne upraviť postup pri zistení, že poznámka o začatí konania bola zapísaná v dôsledku technickej alebo dátovej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K bodu 45  (§ 309h ods. 5 CMP – výmaz obchodnej spoločnosti z úradnej moci): Navrhujeme doplniť právnu úpravu doručovania rozhodnutia o výmaze obchodnej spoločnosti tak, aby bol jednoznačne určený okamih jeho účinkov vo vzťahu k výmazu spoločnosti z obchodného registra a aby bola zabezpečená informovanosť tretích osôb. Taktiež navrhujeme doplniť povinnosť zverejniť oznámenie o právoplatnosti rozhodnutia v Obchodnom vestníku alebo jednoznačne naviazať účinky zániku spoločnosti na vykonanie výmazu z obchodného registra.</w:t>
              <w:br/>
            </w:r>
            <w:r>
              <w:rPr>
                <w:b w:val="off"/>
                <w:color w:val="000000"/>
                <w:rFonts w:ascii="Times New Roman" w:hAnsi="Times New Roman" w:cs="Times New Roman" w:eastAsia="Times New Roman"/>
                <w:sz w:val="24"/>
              </w:rPr>
              <w:t>Odôvodnenie: Navrhovaná úprava, podľa ktorej sa rozhodnutie doručuje iba uložením v spise a nie je proti nemu prípustné odvolanie, nerieši dostatočne informovanie veriteľov, spoločníkov a ďalších dotknutých osôb o výmaze spoločnosti. Zároveň je potrebné jednoznačne upraviť nadväznosť rozhodnutia súdu na technické vykonanie výmazu v obchodnom registri a určiť okamih, ku ktorému nastávajú účinky zániku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K bodu 45 (§ 304 písm. g) CMP - poverenie na zvolanie valného zhromaždenia): V bode 45 navrhujeme ustanovenie § 304 písm. g) CMP upraviť a rozšíriť tak, aby zahŕňalo aj konania týkajúce sa poverenia spoločníkov na zvolanie valného zhromaždenia v spoločnosti s ručením obmedzeným. </w:t>
              <w:br/>
            </w:r>
            <w:r>
              <w:rPr>
                <w:b w:val="off"/>
                <w:color w:val="000000"/>
                <w:rFonts w:ascii="Times New Roman" w:hAnsi="Times New Roman" w:cs="Times New Roman" w:eastAsia="Times New Roman"/>
                <w:sz w:val="24"/>
              </w:rPr>
              <w:t>Odôvodnenie: obchodný zákonník priznáva za zákonom ustanovených podmienok spoločníkom spoločnosti s ručením obmedzeným právo domáhať sa poverenia na zvolanie valného zhromaždenia. Ak § 304 písm. g) CMP výslovne upravuje iba poverenie na zvolanie mimoriadneho valného zhromaždenia akciovej spoločnosti, vzniká pochybnosť o procesnom režime uplatnenia uvedeného práva spoločníkov spoločnosti s ručením obmedzeným.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K bodu 45 (§ 309m CMP – rozhodnutie o neplatnosti obchodnej spoločnosti): Navrhujeme precizovať a doplniť ustanovenie § 309m CMP tak, aby výslovne upravovalo procesnú nadväznosť zápisu rozhodnutia súdu o neplatnosti obchodnej spoločnosti na vykonanie zápisu súvisiacich právnych skutočností, najmä vstup spoločnosti do likvidácie a ustanovenia likvidátora súdom, v plnom súlade s právnou úpravou obchodného registra.</w:t>
              <w:br/>
            </w:r>
            <w:r>
              <w:rPr>
                <w:b w:val="off"/>
                <w:color w:val="000000"/>
                <w:rFonts w:ascii="Times New Roman" w:hAnsi="Times New Roman" w:cs="Times New Roman" w:eastAsia="Times New Roman"/>
                <w:sz w:val="24"/>
              </w:rPr>
              <w:t>Odôvodnenie: Rozhodnutie o neplatnosti obchodnej spoločnosti má podľa príslušnej hmotnoprávnej úpravy dôsledky, ktoré treba premietnuť do údajov zapisovaných v obchodnom registri. Ak procesná úprava ukladá súdu povinnosť bezodkladne zapísať rozhodnutie o neplatnosti spoločnosti, je potrebné jednoznačne určiť, akým spôsobom sa táto skutočnosť premietne do registrových údajov a ako sa zabezpečí súlad s právnym režimom likvidácie.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K bodu 45 (§ 309s CMP - dodatočná likvidácia a preddavok na likvidáciu): V bode 45 navrhujeme prehodnotiť a doplniť právnu úpravu následkov nezloženia preddavku na dodatočnú likvidáciu v § 309s CMP. Žiadame výslovne upraviť jednoznačný procesný postup pri nakladaní s dodatočne zisteným majetkom v prípadoch, keď sa dodatočná likvidácia z dôvodu nezloženia preddavku nevykoná a konanie sa zastaví, a zosúladiť túto úpravu s režimom prechodu majetku zaniknutej právnickej osoby na štát.</w:t>
              <w:br/>
            </w:r>
            <w:r>
              <w:rPr>
                <w:b w:val="off"/>
                <w:color w:val="000000"/>
                <w:rFonts w:ascii="Times New Roman" w:hAnsi="Times New Roman" w:cs="Times New Roman" w:eastAsia="Times New Roman"/>
                <w:sz w:val="24"/>
              </w:rPr>
              <w:t>Odôvodnenie: V praxi môže dôjsť k zisteniu majetku obchodnej spoločnosti až po jej výmaze z obchodného registra, pričom hodnota dodatočne zisteného majetku nemusí dosahovať výšku požadovaného preddavku na dodatočnú likvidáciu. Zastavenie konania z dôvodu nezloženia preddavku však samo osebe nerieši právny osud takéhoto majetku, napríklad nehnuteľností naďalej evidovaných v katastri nehnuteľností na zaniknutú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LXXIII</w:t>
              <w:br/>
            </w:r>
            <w:r>
              <w:rPr>
                <w:b w:val="off"/>
                <w:color w:val="000000"/>
                <w:rFonts w:ascii="Times New Roman" w:hAnsi="Times New Roman" w:cs="Times New Roman" w:eastAsia="Times New Roman"/>
                <w:sz w:val="24"/>
              </w:rPr>
              <w:t>K bodu 7 (§ 8 ods. 1 písm. h)): Navrhujeme znenie novelizačného bodu takto: „V § 8 ods. 1 písm. h) sa vypúšťajú slová „alebo že bol pozbavený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k tomuto bodu predkladateľ uvádza, že ide o legislatívno-technické zmeny vychádzajúce zo zmien v terminológii v novom Občianskom zákonníku. Terminológia obmedzenia spôsobilosti na právne úkony však nie je nová – nový Občiansky zákonník zaviedol rozlišovanie spôsobilosti na právne úkony (rozlišuje plnú, čiastočnú a obmedzenú spôsobnosť). Navrhované znenie § 8 ods. 1 písm. h) zákona č. 552/2003 Z. z. podľa predkladateľa, podľa ktorého je zamestnanec povinný „oznámiť zamestnávateľovi, že bol právoplatne odsúdený za úmyselný trestný čin alebo že bol obmedzený spôsobilosti na právne úkony“, vyjadruje gramatický tvar, že „bol obmedzený zamestnanec“, čo nie je spisovne a jazykovo správne. Nový Občiansky zákonník výslovne upravuje, že fyzickej osobe môže byť obmedzená spôsobilosť na právne úkony. V tejto súvislosti poukazujeme na ustanovenie § 111 ods. 2 písm. a) zákona č. 55/2017 Z. z. o štátnej službe, podľa ktorého je štátny zamestnanec povinný oznámiť služobnému úradu sám alebo prostredníctvom súdom ustanoveného opatrovníka, že „jeho spôsobilosť na právne úkony bola právoplatným rozhodnutím súdu obmedzená“. Ide o obdobné povinnosti zamestnanca pri výkone práce vo verejnom záujme a štátneho zamestnanca. Rovnako poukazujeme na ustanovenie § 82 ods. 1 písm. d) zákona č. 55/2017 Z. z., ktorého znenie upravuje obmedzenie spôsobilosti formuláciou: „právoplatného rozhodnutia súdu, ktorým bola jeho spôsobilosť na právne úkony obmedzená“. Keďže tieto ustanovenia v zákone o štátnej službe nie sú novelou dotknuté, navrhujeme obmedzenie spôsobilosti na právne úkony v zákone č. 552/2003 Z. z. upraviť vypustením prekonaného inštitútu pozbavenia spôsobilosti tak, ako je uvedené vyššie. Takéto znenie neodporuje novému Občianskemu zákonníku, je spisovne a jazykovo správne a je v plnom súlade s ostatnými pracovnoprávnymi a štátnozamestnaneckými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XCV</w:t>
              <w:br/>
            </w:r>
            <w:r>
              <w:rPr>
                <w:b w:val="off"/>
                <w:color w:val="000000"/>
                <w:rFonts w:ascii="Times New Roman" w:hAnsi="Times New Roman" w:cs="Times New Roman" w:eastAsia="Times New Roman"/>
                <w:sz w:val="24"/>
              </w:rPr>
              <w:t>K bodom 1 a 2 (§ 15 ods. 1 a § 17 ods. 1 – Zrušenie obchodnoprávnych grémií a kolégií): Žiadame vypustiť z návrhu zákona body 1 a 2 a zachovať obchodnoprávne grémiá na súdoch prvej inštancie a obchodnoprávne kolégiá na krajských súdoch. Ak predkladateľ trvá na terminologickej zmene, žiadame ako alternatívu zachovať samostatné kolégium a grémium pre obchodnú agendu pod názvom nadväzujúcim na § 22 CSP.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Systematická nekonzistentnosť: Dôvodová správa k bodom 1 a 2 novely zákona o súdoch predpokladá zánik obchodnoprávneho grémia na súdoch prvej inštancie a obchodnoprávneho kolégia na krajských súdoch a dôvodí premietnutím zjednotenia záväzkového práva do vnútornej organizácie súdnictva. Pokiaľ však predkladateľ považuje za dôvodné a účelné zachovanie existencie samostatného obchodnoprávneho kolégia na Najvyššom súde Slovenskej republiky podľa § 21 ods. 1 vety prvej zákona o súdoch (ktoré návrh zákona ponecháva bez zmeny a obchodná agenda zostáva aj v jeho názve), nie je vôbec odôvodnené, z akých príčin dospel k záveru, že existencia obchodnoprávneho kolégia na krajských súdoch či grémia na súdoch prvej inštancie je neúčelná. Rušiť špecializované kolégiá na prvom a druhom stupni sústavy súdov a ponechať ich výlučne na vrcholnom súde postráda akúkoľvek systémovú a organizátorskú logiku.  Ďalej v § 17 ods. 1 sa slová „obchodnoprávne kolégium“ nenachádzajú. Po novele č. 150/2022 Z. z. veta prvá znie: „Na krajskom súde sa zriaďuje občianskoprávne kolégium a trestnoprávne kolégium.“ Novelizačný bod je v navrhovanej podobe legislatívne nevykonateľný.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stotožnenie hmotnoprávnej kodifikácie s procesným kódexom a organizačnou špecializáciou: Predkladateľ nesprávne stotožňuje hmotnoprávny pojem „obchodnozáväzkový vzťah“ s pojmom „obchodná vec“ (obchodnoprávny spor), ktorý je terminologicky inštitútom procesného práva. Odstránenie dualizmu v zmluvnom práve (t. j. zjednotenie úpravy zmlúv a záväzkov v novom Občianskom zákonníku namiesto doterajšej paralelnej úpravy v Občianskom a Obchodnom zákonníku) nepredstavuje zrušenie obchodného práva ako samostatného právneho odvetvia. Obchodné právo totiž netvoria len zmluvy, ale ide o komplexné odvetvie so samostatným statusovým, korporátnym a hospodárskym rozmerom. Aj v prípade úplného presunu zmluvného práva do civilného kódexu zostáva zachovaná takmer celá oblasť korporátneho práva (právo obchodných spoločností a družstiev vrátane zakladania, zrušenia, zodpovednosti členov orgánov, sporov o neplatnosť uznesení valných zhromaždení a dispozícií s podielmi), ako aj konkurzné a reštrukturalizačné právo, preventívne reštrukturalizácie, zmenkové právo, právo cenných papierov a finančných trhov, právo priemyselného vlastníctva a agenda obchodného registra. Všetky tieto oblasti si naďalej vyžadujú osobitnú súdnu špecializáciu a osobitnú súdnu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Zjednocovanie judikatúry a garancia cez súdne registre „Cb“ a „Cob“: Obchodnoprávne kolégiá krajských súdov a Najvyššieho súdu SR a obchodnoprávne grémiá okresných/mestských súdov sú kľúčovým inštitucionálnym nástrojom na zjednocovanie rozhodovacej praxe a judikatúry v rámci špecializovaných senátov. Po nadobudnutí účinnosti nového Občianskeho zákonníka a súvisiacich zákonov bude potreba zjednocovať výklad nových právnych pravidiel v podnikateľských a korporátnych vzťahoch mimoriadne vysoká. Zlúčenie obchodnoprávnych kolégií s občianskoprávnymi kolégiami by zjednocovanie rozhodovacej praxe v tejto špecifickej agende zásadne oslabilo a paralyzovalo práve v čase, kedy bude najviac potrebné. Ponechanie obchodnoprávnych kolégií a grémií zaručuje, že výklad špecifických obchodnoprávnych inštitútov bude zjednocovaný odbornými panelmi so znalosťou zvyklostí a medzinárodného obchodného styku. V tejto súvislosti zdôrazňujeme, že zachovanie samostatných súdnych registrov „Cb“ a „Cob“ je nevyhnutným predpokladom na zachovanie prehľadnosti, špecializácie a správneho prideľovania obchodnoprávnej agendy aj po zmenách v hmotnom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Historická kontinuita a Súdna mapa: Sústredenie obchodnej agendy na vybrané súdy je na Slovensku ustálené od roku 1991. Civilný sporový poriadok túto koncepciu prevzal a reforma súdnej mapy ju s účinnosťou od 1. júna 2023 potvrdila. Nosnými piliermi reformy súdnej mapy bolo zabezpečenie špecializácie sudcov, s cieľom zvýšiť kvalitu a rýchlosť rozhodovacej činnosti, pričom prišlo k zriadeniu Mestského súdu Bratislava III popri Mestskom súde Bratislava IV a na Mestskom súde Košice bol vytvorený samostatný obchodnoprávny úsek, na čo nadväzovala koncentrácia odvolacej obchodnej agendy na tri krajské súdy. Zámer a ciele reformy nezachovaním doterajšieho stavu „padajú“, keď zložité obchodnoprávne spory nebudú posudzované senátmi s dlhoročnou orientáciou na danú oblasť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K bodu 4 (§ 32 ods. 1 písm. g)): S poukazom na ustanovenie § 174 ods. 1 navrhujeme v § 32 ods. 1 písm. g) slová „odstúpenia od služobnej zmluvy“ nahradiť slovami „zrušenia právneho úkonu“.</w:t>
              <w:br/>
            </w:r>
            <w:r>
              <w:rPr>
                <w:b w:val="off"/>
                <w:color w:val="000000"/>
                <w:rFonts w:ascii="Times New Roman" w:hAnsi="Times New Roman" w:cs="Times New Roman" w:eastAsia="Times New Roman"/>
                <w:sz w:val="24"/>
              </w:rPr>
              <w:t>Odôvodnenie: Podľa dôvodovej správy k predloženému novelizačnému bodu k § 174 sa doterajšia možnosť odstúpiť od služobnej zmluvy nahrádza možnosťou zrušiť právny úkon súvisiaci s obsadením štátnozamestnaneckého miesta na základe výberového konania. V služobnej a aplikačnej praxi, ako aj v kontexte súvisiacej hmotnoprávnej úpravy (najmä § 42 ods. 2 zákona č. 55/2017 Z. z. o štátnej službe), však nemusí ísť výlučne len o otázku zrušenia samotnej služobnej zmluvy (napríklad pri prijatí uchádzača, ktorý nie je štátnym zamestnancom). V praxi môže rovnako ísť aj o otázku zrušenia právneho úkonu, ktorým sa realizuje zmena štátnozamestnaneckého pomeru (napríklad pri preložení alebo preložení na inú štátnozamestnaneckú pozíciu doterajšieho štátneho zamestnanca). V aplikačnej praxi služobných úradov teda nastávajú situácie, kedy dochádza k zrušeniu nielen samotnej služobnej zmluvy, ale aj k zrušeniu „dodatku k služobnej zmluve“. Navrhované ustanovenie § 32 ods. 1 písm. g) zákona o štátnej službe by malo preto vo svojej dikcii explicitne zahŕňať aj túto možnosť, nakoľko pri zrušení dodatku nedôjde k zmene štátnozamestnaneckého pomeru a takéto zrušenie nie je možné právne subsumovať pod ustanovenie § 32 ods. 1 písm. a) zákona č. 55/2017 Z. z. Keďže v prípade zrušenia služobnej zmluvy ide o písomnosť, ktorá sa v zmysle zákona o štátnej službe musí doručovať do vlastných rúk, malo by byť aj doručenie zrušenia dodatku k služobnej zmluve upravené v ustanovení § 32 ods. 1 písm. g) rovnako ako povinné doručenie do vlastných rúk. Navrhovaná úprava tak zabezpečí terminologickú aj vecnú nadväznosť na § 174 ods. 1 a odstráni aplikačné medzery pri úkonoch spojených so zmenou štátnozamestnaneckého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K bodom 36 a 37 v spojení s Čl. III body 67 a 68: S poukazom na zásadné pripomienky k Čl. III bodom 57, 67 a 68, pri ktorých dochádza k vypusteniu slov „alebo v pobočke zahraničnej banky“ z ustanovení Zákonníka práce, ktoré sa delegovane uplatňujú aj na štátnozamestnanecké vzťahy, je navrhované znenie ustanovení Zákonníka práce v rozpore s ustanoveniami zákona č. 55/2017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poukazom na dôvodovú správu, že k vypusteniu slov „alebo v pobočke zahraničnej banky“ dochádza z dôvodu zjednotenia terminológie s novým Občianskym zákonníkom, podľa ktorého (§ 1892 ods. 1) „Bankou podľa tohto zákona je aj zahraničná banka a pobočka zahraničnej banky podľa osobitného predpisu.“ si dovoľujeme uviesť, že v dôvodovej správe k Občianskemu zákonníku sa uvádza, že ide o interpretačné pravidlo na účely OZ, ktoré sa týka terminológie vyplývajúcej osobitných právnych predpisov. Domnievame sa aplikácia tohto pravidla na účely pracovnoprávnych predpisov nie je vhodná a žiadúca a vzhľadom na použitie vybraných častí OZ, ako uvádza dôvodová správa k bodu 37 (§ 172 až 175), cit.: „Navrhuje sa primerané použitie úpravy všeobecných ustanovení, fyzických osôb a niektorých častí záväzkového práva Občianskeho zákonníka.“, nie je ani možná pri uplatnení delegovanej pôsobnosti Zákonníka práce. Vzhľadom k tomu, že v aplikačnej praxi sa nevyskytli problémy pri aplikácii a používaní slov „alebo v pobočke zahraničnej banky“, nie je potrebné ich vypúšťať a v záujme ochrany zamestnanca je vhodné ponechať znenie ustanovenia, aby zamestnanec (štátny zamestnanec) nemusel vyhľadávať v inom predpise definíciu, čo sa považuje za „banku“ na účely jeho povinností, ktoré mu vyplývajú z pracovnoprávneho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K bodu 37 v spojení s Čl. III bod 2 (§ 172 ods. 2): V § 172 ods. 2 navrhujeme vypustiť slová „ochranou štátneho zamestnanca ako slabšej strany štátnozamestnaneckého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Primerane uplatňujeme odôvodnenie k tejto pripomienke uvedené k pripomienke k s Čl. III bod 2 návrhu zákona a to aj z dôvodu, že k novelizačnému bodu 37 chýba v dôvodovej správe odôvodnenie definovania štátneho zamestnanca ako slabšej strany v hmotnoprávnom predpise (zákona č. 55/2017 Z. z.). text odôvodnenia k Čl. III bod 2 návrhu zákona: </w:t>
              <w:br/>
            </w:r>
            <w:r>
              <w:rPr>
                <w:b w:val="off"/>
                <w:color w:val="000000"/>
                <w:rFonts w:ascii="Times New Roman" w:hAnsi="Times New Roman" w:cs="Times New Roman" w:eastAsia="Times New Roman"/>
                <w:sz w:val="24"/>
              </w:rPr>
              <w:t>Z dôvodovej správy nevyplýva, prečo je pri uvedenej úprave priamo definovaný zamestnanec „ako slabšia strana“. Obsahuje len všeobecné konštatovanie s odkazom na Občiansky zákonník. Zároveň je ale v nasledujúcom texte dôvodovej správy (k inému novelizačnému bodu) použité odôvodnenie použitia slov „ako slabšej strany“ s odkazom, cit.: „Zakázané sú predovšetkým také autonómne dojednania, ktoré sú v rozpore dobrými mravmi alebo s verejným poriadkom.“. Uvedený princíp však ani v právnych vzťahoch regulovaných Občianskym zákonníkom neplatí absolútne, pretože musí reflektovať napr. na osobitnú ochranu spotrebiteľa vyplývajúcu aj zo smerníc Európskej únie. V tomto ohľade je pracovnoprávny vzťah považovaný za právny vzťah so slabšou stranou zamestnanca (takéto vymedzenie je priamo použité v nadpise druhej hlavy zákona č. 160/2015 Z. z. Civilný sporový poriadok - „spory so slabšou stranou“, pričom podľa tretieho dielu −  § 316 a nasl. sem spadajú individuálne pracovnoprávne spory).“. Dôvodová správa používa ako príklad pre definovanie zamestnanca ako slabšej strany ochranu spotrebiteľa a následne s prepojením na Civilný sporový poriadok (ďalej len „CSP“), dôvodová správa uvádza, že v zmysle CSP pod pojem „spory so slabšou stranou“ spadajú individuálne pracovnoprávne spory. Uvedený princíp CSP nespochybňujeme, avšak zdôrazňujeme, že na účely § 1 ods. 4 navrhovaného znenia Zákonníka práce ide o vymedzenie pôsobnosti Zákonníka práce (viď nadpis) a nejde o úpravu priamo súvisiacu s individuálnymi pracovnoprávnymi spormi ako odkazuje dôvodová správa. V tejto súvislosti tiež poukazujeme na princíp subordinácie v pracovnoprávnych vzťahoch, t. j. vzťah nadriadenosti zamestnávateľa a podriadenosti zamestnanca, ktorý je premietnutý v § 1 ods. 2 Zákonníka práce. Dôvodová správa však spory so slabšou stranou podľa CSP a teda individuálne pracovnoprávne spory priamo spája s definíciou závislej práce a subordináciou medzi zamestnávateľom a zamestnancom, cit.: „V Zákonníku práce sa uvedené vyjadruje popisom práce, ktorá sa vykonáva – tzv. závislá práca, ktorú zamestnanec vykonáva v podriadenosti voči zamestnávateľovi. V nadväznosti na to je právna úprava postavená na ochrane slabšej strany zamestnanca, pričom podstatná časť regulácie má kogentný, resp. relatívne kogentný charakter (dohoda môže byť len v prospech zamestnanca)“. Nepopierame zavedenie kogentných, resp. relatívne kogentných ustanovení v Zákonníku práce, avšak uplatnenie priamej úmery medzi princípom subordinácie s princípom definovania slabšej strany v pracovnoprávnych sporoch nie je v súlade definíciou pracovnoprávnych vzťahov a pôsobnosťou Zákonníka práce a domnievame sa, že princíp subordinácie je v tomto prípade širším pojmom a preto paušalizáciu slabšej strany (zamestnanca) vo vzťahu nadriadenosti zamestnávateľa a podriadenosti zamestnanca Zákonník práce vo svojich ustanoveniach nepredpokladá. Podriadené postavenie (subordinácia) zamestnanca znamená zmluvné zaviazanie sa zamestnanca k rešpektovaniu nadriadeného postavenia zamestnávateľa a práv s týmto postavením spojených (napr. pokyny zamestnávateľa). Pokiaľ sa zamestnanec domnieva, že jeho práva alebo právom chránené záujmy vyplývajúce z pracovnoprávnych vzťahov boli porušené, má právo domáhať sa ochrany na súde. A práve pre tento prípad upravuje CSP zásadu (princíp) ochrany slabšej strany, ktorá spočíva v tom, že v prípade prirodzeného nerovnovážneho postavenia strán je potrebné túto nerovnosť vyvážiť a priznáva zvýšenú ochranu strane sporu s cieľom vyvažovať prirodzené nerovnovážne postavenie strán sporu. Z uvedených dôvodov považujeme definovanie zamestnanca ako slabšej strany v Zákonníku práce, t. j. v hmotnoprávnom predpise z dôvodu, že mu toto postavenie priznáva procesnoprávny predpis (CSP), za nedôvodné.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CCXXIX</w:t>
              <w:br/>
            </w:r>
            <w:r>
              <w:rPr>
                <w:b w:val="off"/>
                <w:color w:val="000000"/>
                <w:rFonts w:ascii="Times New Roman" w:hAnsi="Times New Roman" w:cs="Times New Roman" w:eastAsia="Times New Roman"/>
                <w:sz w:val="24"/>
              </w:rPr>
              <w:t>Doplnenie nového novelizačného bodu 9 (§ 117 – Odvolacia funkčná príslušnosť): V Čl. CCXXIX navrhujeme doplniť nový novelizačný bod 9, ktorým sa v § 117 za odsek 2 vkladá nový odsek 3, ktorý znie:</w:t>
              <w:br/>
            </w:r>
            <w:r>
              <w:rPr>
                <w:b w:val="off"/>
                <w:color w:val="000000"/>
                <w:rFonts w:ascii="Times New Roman" w:hAnsi="Times New Roman" w:cs="Times New Roman" w:eastAsia="Times New Roman"/>
                <w:sz w:val="24"/>
              </w:rPr>
              <w:t xml:space="preserve">„(3) Na konanie o odvolaní proti rozhodnutiu súdu vydanému podľa tohto zákona je príslušný: </w:t>
              <w:br/>
            </w:r>
            <w:r>
              <w:rPr>
                <w:b w:val="off"/>
                <w:color w:val="000000"/>
                <w:rFonts w:ascii="Times New Roman" w:hAnsi="Times New Roman" w:cs="Times New Roman" w:eastAsia="Times New Roman"/>
                <w:sz w:val="24"/>
              </w:rPr>
              <w:t xml:space="preserve">a) Krajský súd v Bratislave, ak odvolanie smeruje proti rozhodnutiu Mestského súdu Bratislava III, Okresného súdu Trnava a Okresného súdu Nitra, </w:t>
              <w:br/>
            </w:r>
            <w:r>
              <w:rPr>
                <w:b w:val="off"/>
                <w:color w:val="000000"/>
                <w:rFonts w:ascii="Times New Roman" w:hAnsi="Times New Roman" w:cs="Times New Roman" w:eastAsia="Times New Roman"/>
                <w:sz w:val="24"/>
              </w:rPr>
              <w:t xml:space="preserve">b) Krajský súd v Banskej Bystrici, ak odvolanie smeruje proti rozhodnutiu Okresného súdu Banská Bystrica, Okresného súdu Trenčín a Okresného súdu Žilina, </w:t>
              <w:br/>
            </w:r>
            <w:r>
              <w:rPr>
                <w:b w:val="off"/>
                <w:color w:val="000000"/>
                <w:rFonts w:ascii="Times New Roman" w:hAnsi="Times New Roman" w:cs="Times New Roman" w:eastAsia="Times New Roman"/>
                <w:sz w:val="24"/>
              </w:rPr>
              <w:t>c) Krajský súd v Košiciach, ak odvolanie smeruje proti rozhodnutiu Mestského súdu Košice.“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predloženej úprave Zákona o obchodnom registri úplne absentuje explicitné určenie odvolacej funkčnej príslušnosti súdov druhého stupňa pre registrovú agendu.</w:t>
              <w:br/>
            </w:r>
            <w:r>
              <w:rPr>
                <w:b w:val="off"/>
                <w:color w:val="000000"/>
                <w:rFonts w:ascii="Times New Roman" w:hAnsi="Times New Roman" w:cs="Times New Roman" w:eastAsia="Times New Roman"/>
                <w:sz w:val="24"/>
              </w:rPr>
              <w:t>V záujme zachovania doterajšej špecializácie odvolacích senátov je nevyhnutné v § 117 výslovne a jednoznačne ustanoviť funkčnú príslušnosť troch krajských súdov (Krajského súdu v Bratislave, Krajského súdu v Banskej Bystrici a Krajského súdu v Košiciach) na rozhodovanie o odvolaniach vo veciach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dôvodovej správe k bodom 5 a 6: Navrhujeme slová „(§ 7 ods. 2 a § 8 ods. 10)“ nahradiť slovami „(§ 7 ods. 2 a § 8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Z textu návrhu dôvodovej správy k uvedeným bodom vyplýva, že sa týkajú ustanovení § 7, 8 až 10. Rovnako tak aj novelizačné body 5. a 6. upravujú ustanovenia predmetných paragrafov a zároveň § 8 neobsahuje odsek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12 (§ 11 ods. 4 písm. d)): Navrhujeme slová „osobu staršiu ako 15 rokov života“ nahradiť slovami „osobu staršiu ako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v § 11 ods. 4 písm. d) sa slová „osobu staršiu ako 15 rokov života“ nenachádzajú.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30 (§ 35 ods. 2): Navrhujeme precizovať novelizačný bod napr. takto: „V § 35 ods. 2 sa slovo „nároky“ nahrádza slovom „práva“ a slová „s výnimkou nárokov“ sa nahrádzajú slovami „s výnimkou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ustanovení § 35 ods. 2 platného Zákonníka práce sa slovo „nárokov“ vyskytuje dvakrát, preto navrhujeme pre vylúčenie pochybností precizovať, ktorej časti sa novelizácia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42 (§ 53 ods. 2): Navrhujeme precizovať novelizačné ustanovenie tak, aby sa obe slová „obdobia“ nahradili slovom „doby“.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53 ods. 2 sa v poslednej vete nachádzajú dve slová „obdobia“, preto navrhujeme upraviť novelizačný bod, aby sa nahradili obe slová a to aj vzhľadom na úpravu § 155 ods. 4 (novelizačný bod 77).</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47 (§ 58 ods. 5): Nad rámec návrhu novelizačného bodu navrhujeme slová „času, na ktorý sa dohodlo“ nahradiť slovami „doby, na ktorú sa dohodlo“ a slová „Pred uplynutím tohto času sa končí“ nahradiť slovami „Pred uplynutím tejto doby sa skončí“.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ustanovenia § 58 ods. 5 Zákonníka práce písomná dohoda o dočasnom pridelení uzatvorená medzi zamestnávateľom a zamestnancom musí obsahovať okrem iného aj, cit.: „dobu, na ktorú sa dočasné pridelenie dohodlo“. Preto navrhujeme zosúladiť používanie pojmov v predmetnom odseku a zároveň sa tým zosúladí terminológia a používanie slova „doba“ v návrhu predloženého zákona. Zároveň slová „sa končí“ sa nahradia slovami „sa skončí“, tak ako sú použité tieto slová v prvej vete predmetného ustanovenia, nakoľko by malo ísť o vyjadrenie dokonavého vidu „skončí“ a nie o nedokonavý vid „končí“.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K bodu 55 (§ 80): S poukazom na novelizačný bod 54 (§ 78 ods. 2 a 4) navrhujeme v § 80 za slová „na náhradu“ vložiť slovo „majetkovej“.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dôvodovej správy k bodu 54 ide o legislatívno-technickú zmenu s odkazom na nový Občiansky zákonník (§ 639) kde sa jednotne používa pojem škoda pre majetkovú škodu aj nemajetkovú škodu. Ako ďalej uvádza dôvodová správa, vzhľadom k uvedenému sa navrhuje upraviť § 78 ods. 2 a 4 Zákonníka práce z dôvodu, že v tomto prípade ide o „náhradu majetkovej škody“. Vzhľadom na uvedené sa domnievame, že uvedené by sa malo uplatniť aj v prípade § 80 Zákonníka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K bodu 85: Navrhujeme slová „pod dobu“ nahradiť slovami „po dobu“.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95 (§ 178b): V § 178b navrhujeme slová „a iné relevantných skutočnostiach“ nahradiť slovami „a iné relevantné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bodu 126: Navrhujeme slovo „Nárok“ nahradiť slovom „Nároky“ a slovo „Právo“ nahradiť slovom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CLXXVII</w:t>
              <w:br/>
            </w:r>
            <w:r>
              <w:rPr>
                <w:b w:val="off"/>
                <w:color w:val="000000"/>
                <w:rFonts w:ascii="Times New Roman" w:hAnsi="Times New Roman" w:cs="Times New Roman" w:eastAsia="Times New Roman"/>
                <w:sz w:val="24"/>
              </w:rPr>
              <w:t>K bodu 25 (§ 111 ods. 2 písm. f)): Navrhujeme novelizačný bod 25 napr. v tomto znení: „25. V § 111 ods. 2 písm. f) sa za slová „adresu na doručovanie písomností,“ vkladá slovo „bydlisko,“.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ustanovenia, nakoľko sa v § 111 ods. 2 písm. f) slovo „písomností“ vyskytuje dvakrát.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1.	Do ďalšieho štádia legislatívneho procesu k predkladanému návrhu zákona žiadame za účelom posúdenia zachovania úplnej transpozície smernice do slovenského právneho poriadku predložiť čiastkovú tabuľku zhody so smernicou Európskeho parlamentu a Rady 2006/114/ES z 12. decembra 2006 o klamlivej a porovnávacej reklame (kodifikované znenie) (Ú. v. EÚ L 376, 27.12.2006), nakoľko predkladaným návrhom dochádza v čl. XLIV bode 4 k zásahu do transpozičného opatrenia čl. 3 tejto smernice, čo predkladateľ deklaruje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2.	Do ďalšieho štádia legislatívneho procesu k predkladanému návrhu zákona žiadame za účelom posúdenia zachovania úplnej transpozície smernice do slovenského právneho poriadku predložiť čiastkovú tabuľku zhody so smernicou Európskeho parlamentu a Rady (EÚ) 2016/800 z 11. mája 2016 o procesných zárukách pre deti, ktoré sú podozrivými alebo obvinenými osobami v trestnom konaní, nakoľko predkladaným návrhom dochádza v čl. CII bode 5 k zásahu do transpozičného opatrenia čl. 20 ods. 4 tejto smernice, ktorým je § 16 písm. a) zákona č. 305/2005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Odporúčame predkladateľovi vo všetkých článkoch predkladaného návrhu zákona upraviť poznámky pod čiarou odkazujúce na aktuálne účinný Občiansky zákonník. Napríklad v zákone č. 162/1995 Z. z. v znení neskorších predpisov (čl. XXXI) odporúčame upraviť poznámky 7a, 8 a 10d, v zákone č. 180/1995 Z. z. v znení neskorších predpisov (čl. XXXII) poznámky 19, 20, 25a, 48 a 49, alebo v zákone č. 444/2002 Z. z. v znení neskorších predpisov (čl. LXIII) poznámky 2, 3a, 4 a 5a.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Odporúčame predkladateľovi vo všetkých článkoch predkladaného návrhu zákona upraviť poznámky pod čiarou odkazujúce na zákon č. 513/1991 Zb. v znení neskorších predpisov. Napríklad v čl. XLIX odporúčame upraviť poznámku pod čiarou k odkazu 26a, ktorá odkazuje aj na § 23 zákona č. 513/1991 Zb. v znení neskorších predpisov, ktorý sa v čl. II bode 10 predkladaného návrhu zákona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K bodu 2: V § 2 ods. 1 odporúčame za slovo „zapísaná“ vložiť slovo „v“. Odôvodnenie: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K bodu 63: V bode 1 prílohy k zákonu č. 513/1991 Zb. žiadame uviesť publikačný zdroj smernice 2006/46/ES nasledovne: „(Ú. v. EÚ L 224, 16.8.2006)“.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Bod 2 prílohy k zákonu č. 513/1991 Zb. žiadame upraviť nasledovne: „2. Smernica Európskeho parlamentu a Rady 2007/36/ES z  11. júla 2007 o výkone určitých práv akcionárov spoločností registrovaných na regulovanom trhu (Ú. v. EÚ L 184, 14.7.2007) v znení smernice Európskeho parlamentu a Rady 2014/59/EÚ z  15. mája 2014 (Ú. v. EÚ L 173, 12.6.2014), v znení smernice Európskeho parlamentu a Rady (EÚ) 2017/828 zo 17. mája 2017(Ú. v. EÚ L 132, 20.5.2017), v znení smernice Európskeho parlamentu a Rady (EÚ) 2023/2864 z 13. decembra 2023 (Ú. v. EÚ L, 2023/2864, 20.12.2023) a v znení nariadenia Európskeho parlamentu a Rady (EÚ) 2021/23 zo 16. decembra 2020 (Ú. v. EÚ L 22, 22.1.2021).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Bod 3 prílohy k zákonu č. 513/1991 Zb. žiadame upraviť nasledovne: „3. Smernica Európskeho parlamentu a Rady 2009/102/ES zo 16. septembra 2009 v oblasti práva obchodných spoločností o spoločnostiach s ručením obmedzeným s jediným spoločníkom (kodifikované znenie) (Ú. v. EÚ L 258, 1.10.2009) v znení smernice Rady 2013/24/EÚ z  13. mája 2013 (Ú. v. EÚ L 158, 10.6.2013).“.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Bod 5 prílohy k zákonu č. 513/1991 Zb. žiadame upraviť nasledovne: „5. Smernica Európskeho parlamentu a Rady (EÚ) 2017/1132 zo 14. júna 2017 týkajúca sa niektorých aspektov práva obchodných spoločností (kodifikované znenie) (Ú. v. EÚ L 169, 30.6.2017) v znení smernice Európskeho parlamentu a Rady (EÚ) 2019/1023 z 20. júna 2019 (Ú. v. EÚ L 172, 26.6.2019), v znení smernice Európskeho parlamentu a Rady (EÚ) 2019/1151 z 20. júna 2019 (Ú. v. EÚ L 186, 11.7.2019), v znení smernice Európskeho parlamentu a Rady (EÚ) 2019/2121 z 27. novembra 2019 (Ú. v. EÚ L 321, 12.12.2019) a v znení nariadenia Európskeho parlamentu a Rady (EÚ) 2021/23 zo 16. decembra 2020 (Ú. v. EÚ L 22, 22.1.2021).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Bod 8 prílohy k zákonu č. 513/1991 Zb. žiadame upraviť nasledovne: „8. Smernica Európskeho parlamentu a Rady (EÚ) 2022/2464 zo 14. decembra 2022, ktorou sa mení nariadenie (EÚ) č. 537/2014, smernica 2004/109/ES, smernica 2006/43/ES a smernica 2013/34/EÚ, pokiaľ ide o vykazovanie informácií o udržateľnosti podnikov (Ú. v. EÚ L 322, 16.12.2022) v znení smernice Európskeho parlamentu a Rady (EÚ) 2025/794 zo 14. apríla 2025 (Ú. v. EÚ L, 2025/794, 16.4.2025).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bodu 63: Body 4 a 6 prílohy k zákonu č. 513/1991 Zb. žiadame v súlade s bodom 62.14. prílohy č. 1 k Legislatívnym pravidlám vlády Slovenskej republiky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K bodu 95: v čl. III bode 95 (§ 178b) návrhu zákona odporúčame primerane upraviť formuláciu slov „a iné relevantných skutočnostiach“.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K bodu 20: v čl. V bode 20 (§ 289a ods. 1) návrhu zákona odporúčame úpravu vnútorného odkazu v navrhovanom § 289a ods. 1, nakoľko uvedené ustanovenie obsahuje len odseky 1 až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w:t>
              <w:br/>
            </w:r>
            <w:r>
              <w:rPr>
                <w:b w:val="off"/>
                <w:color w:val="000000"/>
                <w:rFonts w:ascii="Times New Roman" w:hAnsi="Times New Roman" w:cs="Times New Roman" w:eastAsia="Times New Roman"/>
                <w:sz w:val="24"/>
              </w:rPr>
              <w:t>K bodu 4: v čl. VI bode 4 (§ 72) návrhu zákona odporúčame za slovo „dedičstva“ vložiť slovo „podľa“.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w:t>
              <w:br/>
            </w:r>
            <w:r>
              <w:rPr>
                <w:b w:val="off"/>
                <w:color w:val="000000"/>
                <w:rFonts w:ascii="Times New Roman" w:hAnsi="Times New Roman" w:cs="Times New Roman" w:eastAsia="Times New Roman"/>
                <w:sz w:val="24"/>
              </w:rPr>
              <w:t>K bodu 14: v čl. VI bode 14 (§ 183 ods. 1) návrhu zákona odporúčame slovo „správa“ nahradiť slovom „správca“.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K bodom 5 a 6: v čl. VIII bodoch 5 a 6 (§ 10) odporúčame slová „ods. 1“ nahradiť slovami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w:t>
              <w:br/>
            </w:r>
            <w:r>
              <w:rPr>
                <w:b w:val="off"/>
                <w:color w:val="000000"/>
                <w:rFonts w:ascii="Times New Roman" w:hAnsi="Times New Roman" w:cs="Times New Roman" w:eastAsia="Times New Roman"/>
                <w:sz w:val="24"/>
              </w:rPr>
              <w:t>K bodu 10: v čl. XXI bode 10 odporúčame slová „§ 1630 ods. 5“ nahradiť slovami „§ 1630 ods. 3“, nakoľko odsek 5 sa v ustanovení § 1630 Občianskeho zákonníka nenachádza.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w:t>
              <w:br/>
            </w:r>
            <w:r>
              <w:rPr>
                <w:b w:val="off"/>
                <w:color w:val="000000"/>
                <w:rFonts w:ascii="Times New Roman" w:hAnsi="Times New Roman" w:cs="Times New Roman" w:eastAsia="Times New Roman"/>
                <w:sz w:val="24"/>
              </w:rPr>
              <w:t>K bodu 13: v čl. XXI bode 13 odporúčame upraviť číselné označenie a nadpis ustanovenia, nakoľko § 66 (úschova listiny pre prípad smrti) je predmetom novelizačného bodu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LXII</w:t>
              <w:br/>
            </w:r>
            <w:r>
              <w:rPr>
                <w:b w:val="off"/>
                <w:color w:val="000000"/>
                <w:rFonts w:ascii="Times New Roman" w:hAnsi="Times New Roman" w:cs="Times New Roman" w:eastAsia="Times New Roman"/>
                <w:sz w:val="24"/>
              </w:rPr>
              <w:t>K bodu 3: V poznámke pod čiarou k odkazu 22a žiadame upraviť citáciu nariadenia (ES) č. 1606/2002 v platnom znení nasledovne: „nariadenie Európskeho parlamentu a Rady (ES) č. 1606/2002 z 19. júla 2002 o uplatňovaní medzinárodných účtovných noriem (Mimoriadne vydanie Ú. v. EÚ, kap. 13/zv. 29; Ú. v. ES L 243, 11. 9. 2002)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w:t>
              <w:br/>
            </w:r>
            <w:r>
              <w:rPr>
                <w:b w:val="off"/>
                <w:color w:val="000000"/>
                <w:rFonts w:ascii="Times New Roman" w:hAnsi="Times New Roman" w:cs="Times New Roman" w:eastAsia="Times New Roman"/>
                <w:sz w:val="24"/>
              </w:rPr>
              <w:t>K bodu 8: V § 12 ods. 4 zákona č. 586/2003 Z. z. v znení neskorších predpisov sa slovo „združenia“, ktoré predkladateľ má v úmysle nahradiť slovom „spoločenstva“ nenachádza. Žiadame upraviť novelizačný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LXXVII</w:t>
              <w:br/>
            </w:r>
            <w:r>
              <w:rPr>
                <w:b w:val="off"/>
                <w:color w:val="000000"/>
                <w:rFonts w:ascii="Times New Roman" w:hAnsi="Times New Roman" w:cs="Times New Roman" w:eastAsia="Times New Roman"/>
                <w:sz w:val="24"/>
              </w:rPr>
              <w:t>K bodu 7: Žiadame vypustiť navrhovaný § 17b. Z dôvodu právnej istoty odporúčame pojem „plnoleté nezaopatrené dieťa“ zmeniť v každom právnom predpise, v ktorom sa nachádza. Meniť význam pojmu v celom právnom poriadku jedným ustanovením v predkladanom návrhu zákona nie je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LXXIX</w:t>
              <w:br/>
            </w:r>
            <w:r>
              <w:rPr>
                <w:b w:val="off"/>
                <w:color w:val="000000"/>
                <w:rFonts w:ascii="Times New Roman" w:hAnsi="Times New Roman" w:cs="Times New Roman" w:eastAsia="Times New Roman"/>
                <w:sz w:val="24"/>
              </w:rPr>
              <w:t>Nad rámec: Predkladaný návrh zákona žiadame v rámci čl. LXXIX rozšíriť o ďalší samostatný novelizačný bod, v ktorom dôjde k vypusteniu neúčinnej smernice Európskeho parlamentu a Rady 2011/95/EÚ z  13. decembra 2011 o normách pre oprávnenie štátnych príslušníkov tretej krajiny alebo osôb bez štátneho občianstva mať postavenie medzinárodnej ochrany, o jednotnom postavení utečencov alebo osôb oprávnených na doplnkovú ochranu a o obsahu poskytovanej ochrany (prepracované znenie) (Ú. v. EÚ L 337, 20.12.2011) z desiateho bodu transpozičnej prílohy k zákonu č. 5/2004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LXXXVI</w:t>
              <w:br/>
            </w:r>
            <w:r>
              <w:rPr>
                <w:b w:val="off"/>
                <w:color w:val="000000"/>
                <w:rFonts w:ascii="Times New Roman" w:hAnsi="Times New Roman" w:cs="Times New Roman" w:eastAsia="Times New Roman"/>
                <w:sz w:val="24"/>
              </w:rPr>
              <w:t>K bodu 6: V navrhovanom § 51a ods. 1 žiadame odkaz 61ad) nahradiť odkazom 58c) a poznámku pod čiarou k odkazu 61ad) z predkladaného návrhu zákona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w:t>
              <w:br/>
            </w:r>
            <w:r>
              <w:rPr>
                <w:b w:val="off"/>
                <w:color w:val="000000"/>
                <w:rFonts w:ascii="Times New Roman" w:hAnsi="Times New Roman" w:cs="Times New Roman" w:eastAsia="Times New Roman"/>
                <w:sz w:val="24"/>
              </w:rPr>
              <w:t>Nad rámec: Predkladaný návrh zákona žiadame v rámci čl. XC rozšíriť o ďalší samostatný novelizačný bod, v ktorom dôjde k vypusteniu neúčinnej smernice Rady 89/618/EURATOM z 27. novembra 1989 o informovaní verejnosti o opatreniach na ochranu zdravia, ktoré sa majú uplatniť, a o krokoch, ktoré sa majú vykonať v prípade rádiologickej havarijnej situácie z druhého bodu transpozičnej prílohy k zákonu č. 541/2004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XCV</w:t>
              <w:br/>
            </w:r>
            <w:r>
              <w:rPr>
                <w:b w:val="off"/>
                <w:color w:val="000000"/>
                <w:rFonts w:ascii="Times New Roman" w:hAnsi="Times New Roman" w:cs="Times New Roman" w:eastAsia="Times New Roman"/>
                <w:sz w:val="24"/>
              </w:rPr>
              <w:t>K bodu 2: V čl. XCV bode 2 predkladaného návrhu zákona žiadame slová „§ 17 ods. 1“ nahradiť slovami „§ 21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XCVI</w:t>
              <w:br/>
            </w:r>
            <w:r>
              <w:rPr>
                <w:b w:val="off"/>
                <w:color w:val="000000"/>
                <w:rFonts w:ascii="Times New Roman" w:hAnsi="Times New Roman" w:cs="Times New Roman" w:eastAsia="Times New Roman"/>
                <w:sz w:val="24"/>
              </w:rPr>
              <w:t>K bodu 30: V čl. XCVI bode 30 predkladaného návrhu zákona žiadame slová „k odkazu 3“ nahradiť slovami „k odkazu 21b“.</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XCVIII</w:t>
              <w:br/>
            </w:r>
            <w:r>
              <w:rPr>
                <w:b w:val="off"/>
                <w:color w:val="000000"/>
                <w:rFonts w:ascii="Times New Roman" w:hAnsi="Times New Roman" w:cs="Times New Roman" w:eastAsia="Times New Roman"/>
                <w:sz w:val="24"/>
              </w:rPr>
              <w:t>K bodu 27: V čl. XCVIII bode 27 žiadame slovo „bol“ nahradiť slovom „boli“.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w:t>
              <w:br/>
            </w:r>
            <w:r>
              <w:rPr>
                <w:b w:val="off"/>
                <w:color w:val="000000"/>
                <w:rFonts w:ascii="Times New Roman" w:hAnsi="Times New Roman" w:cs="Times New Roman" w:eastAsia="Times New Roman"/>
                <w:sz w:val="24"/>
              </w:rPr>
              <w:t>K bodu 7: V čl. C bode 7 predkladaného návrhu zákona žiadame slová „odkazu 9“ nahradiť slovami „odkazu 8“, nakoľko v zákone č. 85/2005 Z. z. v znení neskorších predpisov sa odkaz 9 nenachádza.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CXLIV</w:t>
              <w:br/>
            </w:r>
            <w:r>
              <w:rPr>
                <w:b w:val="off"/>
                <w:color w:val="000000"/>
                <w:rFonts w:ascii="Times New Roman" w:hAnsi="Times New Roman" w:cs="Times New Roman" w:eastAsia="Times New Roman"/>
                <w:sz w:val="24"/>
              </w:rPr>
              <w:t>K bodu 1: Z navrhovaného § 2 ods. 2 zákona č. 97/2013 Z. z. v znení neskorších predpisov nie je zrejmé či sa na práva a povinnosti vlastníkov spoločnej nehnuteľnosti vzťahujú ustanovenia Občianskeho zákonníka, ktoré nie sú explicitne vylúčené. Odporúčame navrhované ustanovenie prepracovať.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CLIV</w:t>
              <w:br/>
            </w:r>
            <w:r>
              <w:rPr>
                <w:b w:val="off"/>
                <w:color w:val="000000"/>
                <w:rFonts w:ascii="Times New Roman" w:hAnsi="Times New Roman" w:cs="Times New Roman" w:eastAsia="Times New Roman"/>
                <w:sz w:val="24"/>
              </w:rPr>
              <w:t>K bodu 8: V poznámke pod čiarou k odkazu 13 žiadame citovať nariadenie (EÚ) 2016/679 spolu s publikačným zdrojom a nahradiť slová ,,v spojení so zákonom“ slovami ,,a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CLIV</w:t>
              <w:br/>
            </w:r>
            <w:r>
              <w:rPr>
                <w:b w:val="off"/>
                <w:color w:val="000000"/>
                <w:rFonts w:ascii="Times New Roman" w:hAnsi="Times New Roman" w:cs="Times New Roman" w:eastAsia="Times New Roman"/>
                <w:sz w:val="24"/>
              </w:rPr>
              <w:t>K bodu 12: Poznámku pod čiarou k odkazu 17 žiadame upraviť v zmysle bodu 23.6. prílohy č. 1 k Legislatívnym pravidlám vlády Slovenskej republiky a citovať právne predpisy v zostupnom poradí podľa stupňa právnej sily. Zároveň žiadame upraviť citáciu nariadenia (EÚ) 2017/2394 v platnom znení nasledovne: ,,čl. 3 nariadenia Európskeho parlamentu a Rady (EÚ) 2017/2394 z 12. decembra 2017 o spolupráci medzi národnými orgánmi zodpovednými za presadzovanie právnych predpisov na ochranu spotrebiteľa a o zrušení nariadenia (ES) č. 2006/2004 (Ú. v. EÚ L 345, 27.12.2017)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citáciu smernice 98/26/ES v platnom znení nasledovne: „smernica Európskeho parlamentu a Rady 98/26/ES z 19. mája 1998 o konečnom zúčtovaní v platobných systémoch a zúčtovacích systémoch cenných papierov (Mimoriadne vydanie Ú. v. EÚ, kap. 6/zv. 3; Ú. v. ES L 166, 11.6.1998)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upraviť citáciu smernice 2000/43/ES v platnom znení nasledovne: „smernica Rady 2000/43/ES z 29. júna 2000, ktorou sa zavádza zásada rovnakého zaobchádzania s osobami bez ohľadu na rasový alebo etnický pôvod (Mimoriadne vydanie Ú. v. EÚ, kap. 20/zv. 1; Ú. v. ES L 180, 19.7.2000)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upraviť publikačný zdroj smernice 2004/48/ES nasledovne: „(Mimoriadne vydanie Ú. v. EÚ, kap. 17/zv. 2; Ú. v. EÚ L 157, 30.4.2004)“.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upraviť citáciu smernice 2006/54/ES v platnom znení nasledovne: „smernica Európskeho parlamentu a Rady 2006/54/ES z  5. júla 2006 o vykonávaní zásady rovnosti príležitostí a rovnakého zaobchádzania s mužmi a ženami vo veciach zamestnanosti a povolania (prepracované znenie) (Ú. v. EÚ L 204, 26.7.2006)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3 písm. b) doložky zlučiteľnosti žiadame upraviť citáciu smernice 2012/29/EÚ v platnom znení nasledovne: „smernica Európskeho parlamentu a Rady 2012/29/EÚ z 25. októbra 2012, ktorou sa stanovujú minimálne normy v oblasti práv, podpory a ochrany obetí trestných činov a ktorou sa nahrádza rámcové rozhodnutie Rady 2001/220/SVV (Ú. v. EÚ L 315, 14.11.2012)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3 písm. b) doložky zlučiteľnosti žiadame upraviť citáciu smernice 2013/11/EÚ nasledovne: „smernica Európskeho parlamentu a Rady 2013/11/EÚ z  21. mája 2013 o alternatívnom riešení spotrebiteľských sporov, ktorou sa mení nariadenie (ES) č. 2006/2004 a smernica 2009/22/ES (smernica o alternatívnom riešení spotrebiteľských sporov) (Ú. v. EÚ L 165, 18.6.2013)“.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bode 3 písm. b) doložky zlučiteľnosti žiadame upraviť citáciu smernice 2014/42/EÚ nasledovne: „smernica Európskeho parlamentu a Rady 2014/42/EÚ z  3. apríla 2014 o zaistení a konfiškácii prostriedkov a príjmov z trestnej činnosti v Európskej únii (Ú. v. EÚ L 127, 29.4.2014)“.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bode 3 písm. b) doložky zlučiteľnosti žiadame upraviť citáciu smernice (EÚ) 2017/1371 v platnom znení nasledovne: „smernica Európskeho parlamentu a Rady (EÚ) 2017/1371 z 5. júla 2017 o boji proti podvodom, ktoré poškodzujú finančné záujmy Únie, prostredníctvom trestného práva (Ú. v. EÚ L 198, 28.7.2017)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V bode 3 písm. b) doložky zlučiteľnosti žiadame upraviť citáciu smernice (EÚ) 2018/1673 v platnom znení nasledovne: „smernica Európskeho parlamentu a Rady (EÚ) 2018/1673 z 23. októbra 2018 o boji proti praniu špinavých peňazí prostredníctvom trestného práva (Ú. v. EÚ L 284, 12.11.2018)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10.	V bode 3 písm. b) doložky zlučiteľnosti žiadame pri citácii smernice (EÚ) 2022/2555 vypustiť dodatok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11.	V bode 3 písm. b) doložky zlučiteľnosti žiadame upraviť citáciu smernice (EÚ) 2024/1346 nasledovne: „smernica Európskeho parlamentu a Rady (EÚ) 2024/1346 zo 14. mája 2024, ktorou sa stanovujú normy pre príjem žiadateľov o medzinárodnú ochranu (Ú. v. EÚ L, 2024/1346, 22.5.2024)“.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12.	V bode 4 písm. a) a c) doložky zlučiteľnosti odporúčame použiť skrátené citácie jednotlivých právne záväzných aktov Európskej únie nasledovne: „smernica 98/26/ES v platnom znení“, „smernica 2000/43/ES v platnom znení“, „smernica 2000/78/ES“, „smernica 2004/48/ES“, „smernica 2004/113/ES v platnom znení“, „smernica 2006/54/ES v platnom znení“, „smernica 2007/36/ES v platnom znení“, „smernica 2008/52/ES“, „smernica 2009/138/ES v platnom znení“, „smernica 2012/29/EÚ v platnom znení“, „smernica 2013/11/EÚ“, „smernica 2014/42/EÚ“, „smernica 2014/104/EÚ“, „smernica (EÚ) 2017/1371 v platnom znení“, „smernica (EÚ) 2018/1673 v platnom znení“, „smernica (EÚ) 2019/1023“, „smernica (EÚ) 2020/1828 v platnom znení“, „smernica (EÚ) 2022/2555“, „smernica (EÚ) 2024/1226“ a „smernica (EÚ) 2024/1346“.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13.	V bode 4 písm. b) doložky zlučiteľnosti žiadame uviesť informáciu, že voči Slovenskej republike sú aktuálne vedené konania o porušení zmlúv zo strany Európskej komisie, a to konanie č. INFR(2023)2108 v štádiu odôvodneného stanoviska z 12. marca 2025, týkajúce sa údajnej neúplnej transpozície smernice Európskeho parlamentu a Rady (EÚ) 2016/800 z 11. mája 2016 o procesných zárukách pre deti, ktoré sú podozrivými alebo obvinenými osobami v trestnom konaní do slovenského právneho poriadku a konanie o porušení zmlúv č. INFR(2015)2025 týkajúce sa údajného nesprávneho uplatňovania smernice o rasovej rovnosti (diskriminácia rómskych detí vo vzdelávaní zo strany Slovenska), v rámci ktorého Európska komisia dňa 22. decembra 2023 podala na Slovenskú republiku žalobu na Súdny dvor Európskej únie (C-799/23).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98/26/ES v platnom znení</w:t>
              <w:br/>
            </w:r>
            <w:r>
              <w:rPr>
                <w:b w:val="off"/>
                <w:color w:val="000000"/>
                <w:rFonts w:ascii="Times New Roman" w:hAnsi="Times New Roman" w:cs="Times New Roman" w:eastAsia="Times New Roman"/>
                <w:sz w:val="24"/>
              </w:rPr>
              <w:t>Publikačný zdroj smernice 98/26/ES v platnom znení uvádzaný v ľavej časti záhlavia tabuľky zhody žiadame upraviť nasledovne: „(Mimoriadne vydanie Ú. v. EÚ, kap. 6/zv. 3; Ú. v. ES L 166, 11.6.1998)“.</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2000/43/ES v platnom znení</w:t>
              <w:br/>
            </w:r>
            <w:r>
              <w:rPr>
                <w:b w:val="off"/>
                <w:color w:val="000000"/>
                <w:rFonts w:ascii="Times New Roman" w:hAnsi="Times New Roman" w:cs="Times New Roman" w:eastAsia="Times New Roman"/>
                <w:sz w:val="24"/>
              </w:rPr>
              <w:t>Publikačný zdroj smernice 2000/43/ES v platnom znení uvádzaný v ľavej časti záhlavia tabuľky zhody žiadame upraviť nasledovne: „(Mimoriadne vydanie Ú. v. EÚ, kap. 20/zv. 1; Ú. v. ES L 180, 19.7.2000)“.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2000/75/ES v platnom znení</w:t>
              <w:br/>
            </w:r>
            <w:r>
              <w:rPr>
                <w:b w:val="off"/>
                <w:color w:val="000000"/>
                <w:rFonts w:ascii="Times New Roman" w:hAnsi="Times New Roman" w:cs="Times New Roman" w:eastAsia="Times New Roman"/>
                <w:sz w:val="24"/>
              </w:rPr>
              <w:t>Publikačný zdroj smernice 2000/78/ES v platnom znení uvádzaný v ľavej časti záhlavia tabuľky zhody žiadame upraviť nasledovne: „(Mimoriadne vydanie Ú. v. EÚ, kap. 5/zv. 4; Ú. v. ES L 303, 2.12.2000)“.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2006/54/ES v platnom znení</w:t>
              <w:br/>
            </w:r>
            <w:r>
              <w:rPr>
                <w:b w:val="off"/>
                <w:color w:val="000000"/>
                <w:rFonts w:ascii="Times New Roman" w:hAnsi="Times New Roman" w:cs="Times New Roman" w:eastAsia="Times New Roman"/>
                <w:sz w:val="24"/>
              </w:rPr>
              <w:t>Názov smernice 2006/54/ES v platnom znení uvádzaný v ľavej časti záhlavia tabuľky zhody žiadame upraviť nasledovne: „smernica Európskeho parlamentu a Rady 2006/54/ES z  5. júla 2006 o vykonávaní zásady rovnosti príležitostí a rovnakého zaobchádzania s mužmi a ženami vo veciach zamestnanosti a povolania (prepracované znenie) (Ú. v. EÚ L 204, 26.7.2006)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2007/36/ES v platnom znení</w:t>
              <w:br/>
            </w:r>
            <w:r>
              <w:rPr>
                <w:b w:val="off"/>
                <w:color w:val="000000"/>
                <w:rFonts w:ascii="Times New Roman" w:hAnsi="Times New Roman" w:cs="Times New Roman" w:eastAsia="Times New Roman"/>
                <w:sz w:val="24"/>
              </w:rPr>
              <w:t>1.	Upozorňujeme, že znenie textu druhom stĺpci tabuľky zhody nesedí so znením textu čl. 9a ods. 5 smernice 2007/36/ES v platnom znení. Text žiadame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2007/36/ES v platnom znení</w:t>
              <w:br/>
            </w:r>
            <w:r>
              <w:rPr>
                <w:b w:val="off"/>
                <w:color w:val="000000"/>
                <w:rFonts w:ascii="Times New Roman" w:hAnsi="Times New Roman" w:cs="Times New Roman" w:eastAsia="Times New Roman"/>
                <w:sz w:val="24"/>
              </w:rPr>
              <w:t>2.	Pri preukazovaní transpozície čl. 9a ods. 6 piateho pododseku smernice 2007/36/ES v platnom znení do slovenského právneho poriadku žiadame v šiestom stĺpci tabuľky zhody uviesť všetky ustanovenia zákona č. 513/1991 Zb., ktoré predstavujú príslušné transpozičné opatrenia čl. 9a ods. 6 piateho pododseku smernice 2007/36/ES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2007/36/ES v platnom znení</w:t>
              <w:br/>
            </w:r>
            <w:r>
              <w:rPr>
                <w:b w:val="off"/>
                <w:color w:val="000000"/>
                <w:rFonts w:ascii="Times New Roman" w:hAnsi="Times New Roman" w:cs="Times New Roman" w:eastAsia="Times New Roman"/>
                <w:sz w:val="24"/>
              </w:rPr>
              <w:t>3.	Upozorňujeme, že znenie transpozičného opatrenia uvádzaného v šiestom stĺpci tabuľky zhody pri preukazovaní  transpozície čl. 9a ods. 6 šiesty pododsek prvá veta smernice 2007/36/ES v platnom znení nesedí so znením príslušného ustanovenia zákona č. 513/1991 Zb. v znení návrhu zákona. Text žiadame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2014/42/EÚ</w:t>
              <w:br/>
            </w:r>
            <w:r>
              <w:rPr>
                <w:b w:val="off"/>
                <w:color w:val="000000"/>
                <w:rFonts w:ascii="Times New Roman" w:hAnsi="Times New Roman" w:cs="Times New Roman" w:eastAsia="Times New Roman"/>
                <w:sz w:val="24"/>
              </w:rPr>
              <w:t>Z ľavej časti záhlavia tabuľky zhody so smernicou 2014/42/EÚ žiadame vypustiť slová ,,v znení korigenda (Ú. v. EÚ L 138, 13.5.2014)“.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2017/1371 v platnom znení</w:t>
              <w:br/>
            </w:r>
            <w:r>
              <w:rPr>
                <w:b w:val="off"/>
                <w:color w:val="000000"/>
                <w:rFonts w:ascii="Times New Roman" w:hAnsi="Times New Roman" w:cs="Times New Roman" w:eastAsia="Times New Roman"/>
                <w:sz w:val="24"/>
              </w:rPr>
              <w:t>V ľavej časti záhlavia tabuľky zhody žiadame uvádzať smernicu (EÚ) 2017/1371 v platnom znení so slovami ,,v platnom znení“, a z názvu žiadame vypustiť slová ,,v znení smernice Európskeho parlamentu a Rady (EÚ) 2026/1021 z 29. apríla 2026 o boji proti korupcii, ktorou sa nahrádza rámcové rozhodnutie Rady 2003/568/SVV a Dohovor o boji proti korupcii úradníkov Európskych spoločenstiev alebo úradníkov členských štátov Európskej únie a ktorou sa mení smernica Európskeho parlamentu a Rady (EÚ) 2017/1371 (Ú. v. EÚ L 1021, 11.5.2026).“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2018/1673 v platnom znení</w:t>
              <w:br/>
            </w:r>
            <w:r>
              <w:rPr>
                <w:b w:val="off"/>
                <w:color w:val="000000"/>
                <w:rFonts w:ascii="Times New Roman" w:hAnsi="Times New Roman" w:cs="Times New Roman" w:eastAsia="Times New Roman"/>
                <w:sz w:val="24"/>
              </w:rPr>
              <w:t>V ľavej časti záhlavia tabuľky zhody žiadame uvádzať smernicu (EÚ) 2018/1673 v platnom znení so slovami ,,v platnom znení“, a z názvu žiadame vypustiť slová ,,v znení smernice Európskeho parlamentu a Rady (EÚ) 2024/1226 z 24. apríla 2024 o vymedzení trestných činov a sankcií za porušenie reštriktívnych opatrení Únie a zmene smernice (EÚ) 2018/1673 (Ú. v. EÚ L 1226, 29.4.2024)“.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2020/1828 v platnom znení</w:t>
              <w:br/>
            </w:r>
            <w:r>
              <w:rPr>
                <w:b w:val="off"/>
                <w:color w:val="000000"/>
                <w:rFonts w:ascii="Times New Roman" w:hAnsi="Times New Roman" w:cs="Times New Roman" w:eastAsia="Times New Roman"/>
                <w:sz w:val="24"/>
              </w:rPr>
              <w:t>V ľavej časti záhlavia tabuľky zhody žiadame uvádzať názov smernice (EÚ) 2020/1828 v platnom znení so slovami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2022/2555</w:t>
              <w:br/>
            </w:r>
            <w:r>
              <w:rPr>
                <w:b w:val="off"/>
                <w:color w:val="000000"/>
                <w:rFonts w:ascii="Times New Roman" w:hAnsi="Times New Roman" w:cs="Times New Roman" w:eastAsia="Times New Roman"/>
                <w:sz w:val="24"/>
              </w:rPr>
              <w:t>1.	Z názvu smernice  (EÚ) 2022/2555 uvádzaného v ľavej časti záhlavia tabuľky zhody žiadame  vypustiť slová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2022/2555</w:t>
              <w:br/>
            </w:r>
            <w:r>
              <w:rPr>
                <w:b w:val="off"/>
                <w:color w:val="000000"/>
                <w:rFonts w:ascii="Times New Roman" w:hAnsi="Times New Roman" w:cs="Times New Roman" w:eastAsia="Times New Roman"/>
                <w:sz w:val="24"/>
              </w:rPr>
              <w:t>2.	V celej tabuľke zhody so smernicou (EÚ) 2022/2025 žiadame v šiestom stĺpci uviesť text v znení návrhu zákona o zmene a doplnení niektorých zákonov v súvislosti s prijatím Občianskeho zákonníka. Uvedené znenia nereflektujú na zmeny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2024/1346</w:t>
              <w:br/>
            </w:r>
            <w:r>
              <w:rPr>
                <w:b w:val="off"/>
                <w:color w:val="000000"/>
                <w:rFonts w:ascii="Times New Roman" w:hAnsi="Times New Roman" w:cs="Times New Roman" w:eastAsia="Times New Roman"/>
                <w:sz w:val="24"/>
              </w:rPr>
              <w:t>1.	Z návrhu smernice (EÚ) 2024/1346 uvádzaného v ľavej časti záhlavia tabuľky zhody žiadame vypustiť poradové číslo smernice a slová „v znení korigenda (Ú. v. ES L 90931, 25.11.2025)“.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2024/1346</w:t>
              <w:br/>
            </w:r>
            <w:r>
              <w:rPr>
                <w:b w:val="off"/>
                <w:color w:val="000000"/>
                <w:rFonts w:ascii="Times New Roman" w:hAnsi="Times New Roman" w:cs="Times New Roman" w:eastAsia="Times New Roman"/>
                <w:sz w:val="24"/>
              </w:rPr>
              <w:t>2.	Predkladanú tabuľku zhody so smernicou (EÚ) 2024/1346 žiadame rozšíriť o preukazovanie zachovania úplnej transpozície čl. 29 ods. 3 písm. a) a b) smernice do slovenského právneho poriadku, nakoľko transpozičným opatrením smernice sú § 24a a 24b zákona č. 327/2005 Z. z. v znení neskorších predpisov, k novelizácií ktorých dochádza v čl. CIV bodoch 6 a 7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všeobecnej časti dôvodovej správy v prvom odseku odporúčame skratku „(ďalej len „návrh zákona“)“ umiestniť za slová „v súvislosti s prijatím Občianskeho zákonníka“ a v druhom odseku druhej vete odporúčame slová „začleňuje o všeobecnej“ nahradiť slovami „začleňuje do všeobecnej“.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 osobitnej časti dôvodovej správy odporúčame úpravu odôvodnenia k čl. XXIV bodu 24 návrhu zákona, nakoľko predmetom právnej úpravy je zmena § 7c ods. 2 písm. i) zákona Národnej rady Slovenskej republiky č. 182/1993 Z. z. o vlastníctve bytov a nebytových priestorov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odôvodnení k čl. CXII bodom 1 a 2 predkladaného návrhu zákona v rámci osobitnej časti dôvodovej správy žiadame slová „smernice Rady 2003/96/ES“ nahradiť slovami „smernice Rady 2003/96/ES z 27. októbra 2003 o reštrukturalizácii právneho rámca spoločenstva pre zdaňovanie energetických výrobkov a elektriny (Mimoriadne vydanie Ú. v. EÚ, kap. 9/zv. 1; Ú. v. EÚ L 283, 31.10.2003)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upraviť citáciu smernice 98/26/ES v platnom znení nasledovne: „smernica Európskeho parlamentu a Rady 98/26/ES z 19. mája 1998 o konečnom zúčtovaní v platobných systémoch a zúčtovacích systémoch cenných papierov (Mimoriadne vydanie Ú. v. EÚ, kap. 6/zv. 3; Ú. v. ES L 166, 11.6.1998)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prvom bode doložky vybraných vplyvov žiadame upraviť citáciu smernice 2000/43/ES v platnom znení nasledovne: „smernica Rady 2000/43/ES z 29. júna 2000, ktorou sa zavádza zásada rovnakého zaobchádzania s osobami bez ohľadu na rasový alebo etnický pôvod (Mimoriadne vydanie Ú. v. EÚ, kap. 20/zv. 1; Ú. v. ES L 180, 19.7.2000)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prvom bode doložky vybraných vplyvov žiadame upraviť citáciu smernice 2006/54/ES v platnom znení nasledovne: „smernica Európskeho parlamentu a Rady 2006/54/ES z  5. júla 2006 o vykonávaní zásady rovnosti príležitostí a rovnakého zaobchádzania s mužmi a ženami vo veciach zamestnanosti a povolania (prepracované znenie) (Ú. v. EÚ L 204, 26.7.2006)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prvom bode doložky vybraných vplyvov žiadame upraviť citáciu smernice 2012/29/EÚ v platnom znení nasledovne: „smernica Európskeho parlamentu a Rady 2012/29/EÚ z  25. októbra 2012 , ktorou sa stanovujú minimálne normy v oblasti práv, podpory a ochrany obetí trestných činov a ktorou sa nahrádza rámcové rozhodnutie Rady 2001/220/SVV (Ú. v. EÚ L 315, 14.11.2012)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5.	V prvom bode doložky vybraných vplyvov žiadame upraviť citáciu smernice 2013/11/EÚ nasledovne: „smernica Európskeho parlamentu a Rady 2013/11/EÚ z  21. mája 2013 o alternatívnom riešení spotrebiteľských sporov, ktorou sa mení nariadenie (ES) č. 2006/2004 a smernica 2009/22/ES (smernica o alternatívnom riešení spotrebiteľských sporov) (Ú. v. EÚ L 165, 18.6.2013)“.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6.	V prvom bode doložky vybraných vplyvov žiadame upraviť citáciu smernice 2014/42/EÚ nasledovne: „smernica Európskeho parlamentu a Rady 2014/42/EÚ z  3. apríla 2014 o zaistení a konfiškácii prostriedkov a príjmov z trestnej činnosti v Európskej únii (Ú. v. EÚ L 127, 29.4.2014)“.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7.	V prvom bode doložky vybraných vplyvov žiadame upraviť citáciu smernice (EÚ) 2017/1371 v platnom znení nasledovne: „smernica Európskeho parlamentu a Rady (EÚ) 2017/1371 z 5. júla 2017 o boji proti podvodom, ktoré poškodzujú finančné záujmy Únie, prostredníctvom trestného práva (Ú. v. EÚ L 198, 28.7.2017)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8.	V prvom bode doložky vybraných vplyvov žiadame upraviť citáciu smernice (EÚ) 2018/1673 v platnom znení nasledovne: „smernica  Európskeho parlamentu a Rady (EÚ) 2018/1673 z 23. októbra 2018 o boji proti praniu špinavých peňazí prostredníctvom trestného práva (Ú. v. EÚ L 284, 12.11.2018)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9.	V prvom bode doložky vybraných vplyvov žiadame upraviť citáciu smernice (EÚ) 2024/1346 nasledovne: „smernica Európskeho parlamentu a Rady (EÚ) 2024/1346 zo 14. mája 2024, ktorou sa stanovujú normy pre príjem žiadateľov o medzinárodnú ochranu (Ú. v. EÚ L, 2024/1346, 22.5.2024)“.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10.	V siedmom bode doložky vybraných vplyvov žiadame vyznačiť, že v predkladanom návrhu právneho predpisu nedochádza ku goldplatingu podľa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Nitra</w:t>
              <w:br/>
            </w:r>
            <w:r>
              <w:rPr>
                <w:b w:val="off"/>
                <w:color w:val="000000"/>
                <w:rFonts w:ascii="Times New Roman" w:hAnsi="Times New Roman" w:cs="Times New Roman" w:eastAsia="Times New Roman"/>
                <w:sz w:val="24"/>
              </w:rPr>
              <w:t>Okresný súd Nitra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a §34 CSP</w:t>
              <w:br/>
            </w:r>
            <w:r>
              <w:rPr>
                <w:b w:val="off"/>
                <w:color w:val="000000"/>
                <w:rFonts w:ascii="Times New Roman" w:hAnsi="Times New Roman" w:cs="Times New Roman" w:eastAsia="Times New Roman"/>
                <w:sz w:val="24"/>
              </w:rPr>
              <w:t>Pripomienky - všetky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V. bod 2.</w:t>
              <w:br/>
            </w:r>
            <w:r>
              <w:rPr>
                <w:b w:val="off"/>
                <w:color w:val="000000"/>
                <w:rFonts w:ascii="Times New Roman" w:hAnsi="Times New Roman" w:cs="Times New Roman" w:eastAsia="Times New Roman"/>
                <w:sz w:val="24"/>
              </w:rPr>
              <w:t>Zrušenie tretej časti Obchodného zákonníka o obchodných záväzkových vzťahoch s účinnosťou od 01.07.2027 a jednota úpravy súkromného záväzkového práva neodôvodňuje vypustenie § 22 CSP ako celku, keďže naďalej budú existovať obchodnoprávne spory, ktoré ani v súčasnosti nie sú tvorené len spormi z obchodných záväzkových vzťahov ale aj spormi z inej časti Obchodného zákonníka, a to z práva obchodných spoločností. Nie je pritom dôvod nezachovať špecializáciu v súčasnosti kauzálne a funkčne príslušných súdov minimálne aj v týchto sporoch, keďže jej presun na všetky okresné a krajské súdy, na ktorých by ich potom vybavovali občianskoprávni sudcovia, by bol spôsobilý značným spôsobom narušiť  už ustálenú súdnu prax v tomto odvetví obchodnoprávnych sporov vytvorenú súčasnými špecializovanými súdmi, čo je v rozpore s princípom právnej istoty ako jedným z princípov právneho štátu. Doterajšia špecializácia sudcov kauzálne a funkčne príslušných súdov na túto agendu by súčasne zostala nevyužitá a pre občianskoprávnych sudcov by rozhodovanie aj tejto agendy zvýšilo záťaž, ktorá bude podstatným spôsobom daná už tým, že v dlhom období budú nútení rozhodovať spory spravujúce sa starým i novým Občianskym zákonníkom. Pridanie rozhodovania aj v tejto pre nich novej agende by bolo v rozpore so špecializáciou sudcov, ktorú zákon o súdoch v nezmenenom § 3 ods. 5 normuje ako základnú zásadu činnosti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preto, aby § 22 CSP nebol vypustený, ale zmenený, a to tak, že jeho doterajšie znenie sa stane ods. 1, ktorý bude doplnený ods. 2 v znení:</w:t>
              <w:br/>
            </w:r>
            <w:r>
              <w:rPr>
                <w:b w:val="off"/>
                <w:color w:val="000000"/>
                <w:rFonts w:ascii="Times New Roman" w:hAnsi="Times New Roman" w:cs="Times New Roman" w:eastAsia="Times New Roman"/>
                <w:sz w:val="24"/>
              </w:rPr>
              <w:t xml:space="preserve">Obchodnoprávnymi spormi podľa ods. 1 sú spory: </w:t>
              <w:br/>
            </w:r>
            <w:r>
              <w:rPr>
                <w:b w:val="off"/>
                <w:color w:val="000000"/>
                <w:rFonts w:ascii="Times New Roman" w:hAnsi="Times New Roman" w:cs="Times New Roman" w:eastAsia="Times New Roman"/>
                <w:sz w:val="24"/>
              </w:rPr>
              <w:t>a) medzi zakladateľmi obchodných spoločností, medzi spoločníkom a obchodnou spoločnosťou, ako aj medzi spoločníkmi navzájom, pokiaľ ide o vzťahy týkajúce sa účasti na spoločnosti, ako aj vzťahy zo zmlúv, ktorými sa prevádza podiel spoločníka, medzi štatutárnym orgánom alebo členom štatutárnych a dozorných orgánov spoločnosti a obchodnou spoločnosťou, ako aj vzťahy medzi spoločníkom a obchodnou spoločnosťou pri zariaďovaní záležitostí spoločnosti a záväzkové vzťahy medzi prokuristom a spoločnosťou pri výkone jeho poverenia,</w:t>
              <w:br/>
            </w:r>
            <w:r>
              <w:rPr>
                <w:b w:val="off"/>
                <w:color w:val="000000"/>
                <w:rFonts w:ascii="Times New Roman" w:hAnsi="Times New Roman" w:cs="Times New Roman" w:eastAsia="Times New Roman"/>
                <w:sz w:val="24"/>
              </w:rPr>
              <w:t>b) medzi zakladateľmi družstva a medzi členom a družstvom, pokiaľ vyplývajú z členského vzťahu v družstve, ako aj zo zmlúv o prevode členských práv a povinností, záväzkové vzťahy medzi členom štatutárneho orgánu a kontrolným orgánom družstva a záväzkové vzťahy medzi prokuristom a družstvom pri výkone jeho poverenia.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V. bod 3, 4. a 5.</w:t>
              <w:br/>
            </w:r>
            <w:r>
              <w:rPr>
                <w:b w:val="off"/>
                <w:color w:val="000000"/>
                <w:rFonts w:ascii="Times New Roman" w:hAnsi="Times New Roman" w:cs="Times New Roman" w:eastAsia="Times New Roman"/>
                <w:sz w:val="24"/>
              </w:rPr>
              <w:t>V nadväznosti na pripomienku k čl. V. bod 2. navrhujem ponechať § 34 CSP bez navrhovaných zmien, čím sa zabezpečí, že v obchodnoprávnych sporoch, na ktoré budú kauzálne príslušné okresné súdy, zostane zachovaná doterajšia špecializácia aj odvolacích senátov krajských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V. bod 30.</w:t>
              <w:br/>
            </w:r>
            <w:r>
              <w:rPr>
                <w:b w:val="off"/>
                <w:color w:val="000000"/>
                <w:rFonts w:ascii="Times New Roman" w:hAnsi="Times New Roman" w:cs="Times New Roman" w:eastAsia="Times New Roman"/>
                <w:sz w:val="24"/>
              </w:rPr>
              <w:t>Navrhované znenie by malo za následok, že spory z obchodných záväzkových vzťahov, ktoré sa budú hmotnoprávne spravovať Obchodným zákonníkom v znení účinnom do 30.06.2027, budú v prípade podania žaloby na okresný súd od 01.07.2027 rozhodovať všetky okresné i krajské súdy, čo je v absolútnom rozpore so súčasnou špecializáciou vybraných okresných a krajských súdov na tieto spory. Paradoxne by predmetnou úpravou totiž vznikla situácia, že od 01.07.2027 napr. civilní sudcovia súdov, ktoré nie sú v súčasnosti kauzálne a funkčne príslušné na prejednávanie obchodnoprávnych sporov a doposiaľ nerozhodovali podľa Obchodného zákonníka, budú musieť od 01.07.2027 v prípade obchodnoprávneho sporu z obchodného záväzkového vzťahu, ktorý sa hmotnoprávne bude riadiť Obchodným zákonníkom v znení účinnom do 30.06.2027, pojednávať nielen podľa nového Občianskeho zákonníka, ale súčasne podľa už zrušenej časti Obchodného zákonníka v o obchodných záväzkových vzťahoch. Môže to podstatným spôsobom narušiť aj už ustálenú súdnu prax v obchodnoprávnych sporoch vytvorenú súčasnými špecializovanými súdmi, čo je v rozpore s princípom právnej istoty ako jedným z princípov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doplniť znenie navrhovaného prechodného ustanovenia § 471f CSP tak, aby celé znelo nasledovne:</w:t>
              <w:br/>
            </w:r>
            <w:r>
              <w:rPr>
                <w:b w:val="off"/>
                <w:color w:val="000000"/>
                <w:rFonts w:ascii="Times New Roman" w:hAnsi="Times New Roman" w:cs="Times New Roman" w:eastAsia="Times New Roman"/>
                <w:sz w:val="24"/>
              </w:rPr>
              <w:t>(1) Konania začaté a právoplatne neskončené do 30. júna 2027 sa dokončia na súdoch príslušných podľa predpisov účinných do 30. júna 2027.</w:t>
              <w:br/>
            </w:r>
            <w:r>
              <w:rPr>
                <w:b w:val="off"/>
                <w:color w:val="000000"/>
                <w:rFonts w:ascii="Times New Roman" w:hAnsi="Times New Roman" w:cs="Times New Roman" w:eastAsia="Times New Roman"/>
                <w:sz w:val="24"/>
              </w:rPr>
              <w:t xml:space="preserve">(2) Aj v konaniach začatých od 1. júla 2027 sa príslušnosť súdov spravuje podľa ustanovení tohto zákona o príslušnosti v znení účinnom do 30.06.2027, ak sa v ňom uplatňuje právo z obchodného záväzkového vzťahu vzniknutého do 30. júna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XCV. bod 1.</w:t>
              <w:br/>
            </w:r>
            <w:r>
              <w:rPr>
                <w:b w:val="off"/>
                <w:color w:val="000000"/>
                <w:rFonts w:ascii="Times New Roman" w:hAnsi="Times New Roman" w:cs="Times New Roman" w:eastAsia="Times New Roman"/>
                <w:sz w:val="24"/>
              </w:rPr>
              <w:t>Navrhovaným znením sa vypúšťa povinnosť zriadenia obchodnoprávneho grémia na Mestskom súde v Košiciach, s čím nemožno súhlasiť, keďže naďalej bude MS Košice príslušný na rozhodovanie vecí, ktoré spadajú pod obchodnoprávne veci - konkurzné veci (dokonca so špecializáciou na konania, v ktorých sa ustanovujú špeciálni správcovia), incidenčné spory, zmenkové a šekové spory, spory z nekalého súťažného konania, civilné mimosporové veci v niektorých veciach právnych osôb a registrové konania podľa zákona o obchodnom registri. NIe je dôvod, aby nezostalo na MS Košice (aj vzhľadom na špecifiká tohto súdu a napr. aj povinnosť mať podpredsedu pre obchodnoprávnu agendu - § 39 ods. 2) zachované obchodnoprávne grémium, keďže nie je vhodné, aby predmetní sudcovia, ktorý budú aj od 01.07.2027 vybavovať predmetnú agendu, boli zaradení do iného grémia alebo nevytvorili grémium, vzhľadom na jeho význam vyplývajúci z §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XCV.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Súčasné znenie § 17 ods. 1 vety prvej a druhej znie: "Na krajskom súde sa zriaďuje občianskoprávne kolégium a trestnoprávne kolégium. Ďalšie kolégium môže zriadiť predseda krajského súdu na základe predchádzajúceho súhlasu pléna krajského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v súčasnosti účinnom znení § 17 ods. 1 zákona o súdoch sa vôbec neuvádza ustanovenie “obchodnoprávne kolégium”, ktoré má byť podľa predmetného novelizačného bodu vypustené. Navrhovaná novela je v tomto smere nevykonateľná. Skôr sa javí, že predmetný návrh novely v danej časti bol pripravený ešte v čase účinnosti predchádzajúcej právnej úpravy, ktorá obligatórne stanovovala povinnosť vytvoriť obchodnoprávne kolégium na každom krajskom súde, ktorá však bola zmenená ešte v súvislosti so zmenou súdnej mapy, keď sa z obligatórneho vytvorenia tohto kolégia stala možnosť predsedu krajského súdu (prirodzene toho, ktorý je na danú agendu kauzálne príslušný) fakultatívne toto kolégium vytvoriť (rovnako ako napr. rodinnoprávne kolégium na na to kauzálne príslušných súdoch), ktorá možnosť sa však má touto novelou taktiež vypustiť - k tomu viac v nasledujúcom 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pokiaľ ide o navrhované vypustenie druhej vety predmetného § 17 ods. 2, ktorá má odobrať oprávnenie predsedovi krajského súdu zriadenie ďalšieho kolégia, považujeme za hrubý zásah do špecializácie sudcov a nerovného postavenia medzi sudcami občianskoprávneho a trestného kolégia (ktoré jediné dve kolégia by mohli byť po prijatí navrhovanej novely zriadené) a ostatnými sudcami krajských súdov - napr. rodinnoprávnych (keď na krajských súdoch špecializovaných na túto agendu sú v súčasnosti vytvorené aj rodinnoprávne kolégia) či konkurzných (keď aj po 01.07:2027 musí byť zachovaná osobitná špecializácia sudcov na rozhodovanie tejto špecifickej agendy - § 197 ods. 3 ZKR, ktorého zmena sa nenavrhuje), s predpokladom vychádzajúcim zo súčasného právneho stavu a špecializácie obchodnoprávnych sudcov, že títo budú rozhodovať aj zmenkové a šekové spory či spory z nekalého súťažného konania, civilné mimosporové konanie v niektorých veciach právnych osôb a v registrových konaniach podľa zákona o obchodnom registri, ktoré sú špecifické a nie je vhodné, aby ich rozhodovali sudcovia špecializujúci sa na občianskoprávnu agendu.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je nutné napokon poukázať aj na to, že aj § 3 ods. 5 CMP, stanovujúci špecializáciu súčasných troch odvolacích súdov v niektorých veciach právnických osôb, zostáva zachovaný, a preto nie je dôvod, aby v rámci tejto zachovanej špecializácie sudcovia vybavujúci túto agendu nemohli byť členom samostatného obchodnoprávneho kolégia tak, ako je tomu v súčasnosti (do ktorého by patrili sudcovia rozhodujúci aj ostatné agendy už uvedené v predchádzajúcom odseku, ktoré nie sú prijatím nového Občianskeho zákonníka dotknuté).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XCVI. bod 57.</w:t>
              <w:br/>
            </w:r>
            <w:r>
              <w:rPr>
                <w:b w:val="off"/>
                <w:color w:val="000000"/>
                <w:rFonts w:ascii="Times New Roman" w:hAnsi="Times New Roman" w:cs="Times New Roman" w:eastAsia="Times New Roman"/>
                <w:sz w:val="24"/>
              </w:rPr>
              <w:t>Navrhuje sa vloženie nového §, a to ako § 203b, avšak v súčasnosti už je § 203b ZKR súčasťou platnej a účinnej právnej úpravy a je v ňom upravený inštiút insolvenčného registra. § 203b pritom v súčasnosti tvorí samostatnú ôsmu časť ZKR. Z tohto dôvodu je nutné nový vkladaný paragraf za § 203a označiť ako § 203aa, aby zostal v danej siedmej časti ZKR. Ak by bol totiž vložený ako nový  § 203c ZKR, bol by súčasťou samostatnej ôsmej časti ZKR upravujúcej insolvenčný register, kam preto jeho vloženie nie je vhodné. K samotnému obsahu predmetného nového paragrafu v uvedenom bode pripomienka nesmeruje.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w:t>
              <w:br/>
            </w:r>
            <w:r>
              <w:rPr>
                <w:b w:val="off"/>
                <w:color w:val="000000"/>
                <w:rFonts w:ascii="Times New Roman" w:hAnsi="Times New Roman" w:cs="Times New Roman" w:eastAsia="Times New Roman"/>
                <w:sz w:val="24"/>
              </w:rPr>
              <w:t>Rada pre reklamu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XLIV, body 4 a 8 (novelizácia zákona o reklame)</w:t>
              <w:br/>
            </w:r>
            <w:r>
              <w:rPr>
                <w:b w:val="off"/>
                <w:color w:val="000000"/>
                <w:rFonts w:ascii="Times New Roman" w:hAnsi="Times New Roman" w:cs="Times New Roman" w:eastAsia="Times New Roman"/>
                <w:sz w:val="24"/>
              </w:rPr>
              <w:t xml:space="preserve">Rada pre reklamu žiada z čl. XLIV vypustiť body 4 a 8, keďže takú úpravu v zákone o reklame považuje za nadbytočnú (goldplating), a to s ohľadom na znenie čl. 5 ods. 1 a 2 smernice EP a Rady 2006/114/ES z 12. decembra 2006 o klamlivej a porovnávacej reklame (kodifikované znenie) (ďalej len „smernica“). Pokiaľ ide o implementáciu čl. 3 smernice, odporúčame uvedené ustanovenie transponovať v rámci súkromnoprávneho kódexu (kde je aj v súčasnosti).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Rada pre reklamu je orgánom kontroly v zmysle čl. 6 smernice, ktorý sa kontinuálne posledných 30 rokov venuje aj boju proti klamlivej reklame a regulácii porovnávacej reklamy. V tomto kontexte máme zásadné výhrady k riešeniu, ktoré predkladateľ navrhuje bez odbornej diskusie a ktoré považujeme za nevhodné.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sa pri novelizácii zákona o reklame, ktorou zavádza nadbytočnú verejnoprávnu povinnosť vo vzťahu ku klamlivej reklame, odvoláva na zabezpečenie úplnej transpozície predmetnej smernice, pričom odkazuje najmä na potrebu transpozície ustanovenia čl. 3 smernice, ktoré je však výlučne interpretačným pravidlom. Toto interpretačné pravidlo má pritom v zmysle smernice zaväzovať aj všeobecné súdy, pokiaľ rozhodujú o nárokoch z nekalej súťaže, a preto podľa nášho názoru patrí k ustanoveniam o klamaní (§ 725 až 727 nového Občianskeho zákonníka) alebo k ustanoveniam o právnych prostriedkoch ochrany proti nekalej súťaži (§ 735 až 739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sa nestotožňujeme s názorom predkladateľa, že je potrebný zásah do zákona o reklame, pokiaľ ide o boj proti klamlivej reklame, keďže súčasný právny stav (keď klamlivá reklama je súčasťou súkromnoprávneho kódexu (§ 45 Obchodného zákonníka) a žalovateľná pred všeobecnými súdmi) plne zodpovedá požiadavke ustanoveniu čl. 5 ods. 1 písm. a) smernice. Pre úplnú harmonizáciu postačuje, pokiaľ členský štát zabezpečil osobám alebo organizáciám, ktoré majú na základe vnútroštátnych právnych predpisov oprávnený záujem na boji proti klamlivej reklame alebo regulovaní porovnávacej reklamy, právo podať súdnu žalobu proti takejto reklame. Z čl. 5 ods. 1 druhý pododsek smernice zároveň vyplýva, že konanie proti takejto reklame je návrhové, čomu nezodpovedá predložený návrh novelizácie zákona o reklame. Z tohto pohľadu návrh ide nad rámec toho, čo smernica vyžaduje od členských štátov, t. j. ide o goldplating, keďže návrh ide nad minimum vyžadované smernicou.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tiež na to, že pokiaľ ide o práva spotrebiteľov vo vzťahu ku klamlivej reklame, tie sú plne pokryté v rámci ochrany pred klamlivými obchodnými praktikami v rámci zákona o ochrane spotrebiteľa, a teda ani z tohto hľadiska sa nevyžaduje osobitný zásah do zákona o reklame.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Rada pre reklamu preto žiada predkladateľa, aby potenciálny deficit, pokiaľ ide o čl. 3, riešil primárne zásahom do súkromnoprávnej úpravy (hoci aj tak, že § 45 Obchodného zákonníka ponechá v platnosti) a z článku XLIV vypustil body 4 a 8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 predloženého návrhu zákona vypustiť všetky novelizačné body, ktoré priamo nesúvisia s rekodifikáciou Občianskeho zákonníka a nie sú nevyhnutné na zosúladenie dotknutých právnych predpisov s novou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predloženého návrhu zákona má byť zabezpečenie súladu právneho poriadku s prijatým novým Občianskym zákonníkom. Rozsah navrhovaných zmien by preto mal byť obmedzený výlučne na úpravy, ktoré priamo vyplývajú z rekodifikácie a sú nevyhnutné na zabezpečenie vzájomného súladu a právnej kontinuity jednotlivých právnych predpisov. Nesúhlasíme s tým, aby sa v rámci takto koncipovaného návrhu zákona prijímali aj samostatné vecné zmeny právnej úpravy, ktoré nesúvisia priamo s rekodifikáciou Občianskeho zákonníka. Vzhľadom na mimoriadny rozsah predloženého materiálu, ktorý zasahuje do veľkého počtu právnych predpisov a viacerých oblastí práva, je už samotné posúdenie nevyhnutných zosúlaďovacích zmien mimoriadne náročné. Zahrnutie ďalších vecných zmien, ktoré nie sú priamym dôsledkom rekodifikácie, výrazne sťažuje ich identifikáciu, dôsledné posúdenie a vyhodnotenie ich praktických dosahov na dotknuté subjekty. Považujeme za potrebné, aby akékoľvek ďalšie vecné zmeny jednotlivých právnych predpisov, ktoré presahujú rámec nevyhnutného zosúladenia s novým Občianskym zákonníkom, boli predmetom samostatných legislatívnych procesov. Takýto postup umožní transparentné posúdenie navrhovaných zmien, ich riadne odôvodnenie a vyhodnotenie vplyvov, ako aj vytvorenie dostatočného priestoru na odbornú diskusiu a uplatnenie pripomienok všetkých relevantných dotknutých subjektov vrátane sociálnych partnerov.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Obchodný zákonník, vloženie nového novelizačného bodu</w:t>
              <w:br/>
            </w:r>
            <w:r>
              <w:rPr>
                <w:b w:val="off"/>
                <w:color w:val="000000"/>
                <w:rFonts w:ascii="Times New Roman" w:hAnsi="Times New Roman" w:cs="Times New Roman" w:eastAsia="Times New Roman"/>
                <w:sz w:val="24"/>
              </w:rPr>
              <w:t>Navrhujeme doplniť čl. II zákona týkajúci sa Obchodného zákonníka (zákon č. 513/1991 Z.z.), konkrétne doplnením vety na záver ustanovenia § 66 ods. 2 Obchodného zákonníka  o explicitné vylúčenie použitia § 235 ods. 1 písm. b)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235 ods. 1 písm. b)  Občianskeho zákonníka o vzdaní sa funkcie člena orgánu sa nepoužijú na obchodné spoločnosti a družstvo.“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zato, že úmyslom zákonodarcu bolo, aby účinnosť vzdania sa funkcie člena orgánu v obchodných spoločnostiach ostalo upravené ustanoveniami Obchodného zákonníka (513/1991 Z.z.) („OBZ“). Aktuálne znenie § 66 ods. 2 OBZ, konkrétne doslovným výkladom úvodného slovného spojenia "Ak zákon ... neustanovuje inak..." by za určitých okolností mohlo spôsobiť v kombinácii s § 235 ods. 1 písm. b) Občianskeho zákonníka interpretačnú nejednoznačnosť, a to tak že by mohlo dôjsť k výkladu, že nakoľko zákon (nový Občiansky zákonník) ustanovuje inak, konkrétne účinnosť vzdania sa funkcie 15. dňom, aplikácia § 66 ods. 2 v tomto prípade neplatí. Napriek tomu, že máme zato, že uvedené nebolo úmyslom, z dôvodu právnej istoty považujeme za potrebné uvedené jasne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Obchodný zákonník, vloženie nového novelizačného bodu</w:t>
              <w:br/>
            </w:r>
            <w:r>
              <w:rPr>
                <w:b w:val="off"/>
                <w:color w:val="000000"/>
                <w:rFonts w:ascii="Times New Roman" w:hAnsi="Times New Roman" w:cs="Times New Roman" w:eastAsia="Times New Roman"/>
                <w:sz w:val="24"/>
              </w:rPr>
              <w:t xml:space="preserve">Navrhujeme doplniť čl. II zákona týkajúci sa Obchodného zákonníka (zákon č. 513/1991 Z.z.), konkrétne doplneným vety na záver ustanovení § 133 ods. 4, § 139 ods. 1, § 194 ods. 1 a § 200 ods. 1 Obchodného zákonníka o podmienke vydania súhlasu člena orgánu s členstvom v zmysle § 220 Občianskeho zákonníka: </w:t>
              <w:br/>
            </w:r>
            <w:r>
              <w:rPr>
                <w:b w:val="off"/>
                <w:color w:val="000000"/>
                <w:rFonts w:ascii="Times New Roman" w:hAnsi="Times New Roman" w:cs="Times New Roman" w:eastAsia="Times New Roman"/>
                <w:sz w:val="24"/>
              </w:rPr>
              <w:t>„Členom orgánu sa nestane skôr, ako dá s členstvom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Ustanovením § 220 Občianskeho zákonníka sa pridáva úplne nová podmienka vzniku členstva v korporátnych orgánoch spoločnosti. Táto podmienka nie je nijakým spôsobom reflektovaná v Obchodnom zákonníku (513/1991 Z.z.) („OBZ“).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účel riadneho plnenia tejto podmienky a zamedzenia zbytočných prieťahov v obchodných registračných konaniach navrhujeme túto podmienku doplniť v príslušnom znení do príslušných ustanovení OBZ.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vloženie nového novelizačného bodu</w:t>
              <w:br/>
            </w:r>
            <w:r>
              <w:rPr>
                <w:b w:val="off"/>
                <w:color w:val="000000"/>
                <w:rFonts w:ascii="Times New Roman" w:hAnsi="Times New Roman" w:cs="Times New Roman" w:eastAsia="Times New Roman"/>
                <w:sz w:val="24"/>
              </w:rPr>
              <w:t>Navrhujeme doplniť čl. III zákona týkajúci sa zákona č. 311/2001 Z. z. Zákonník práce („ZP“) o explicitné ustanovenie, ktoré poskytne bližší výklad, resp. podrobnejšie vysvetlenie zámeru, ktorý mal zákonodarca pri zavádzaní právne nového režimu popísaného v § 224 ods. 3 Občianskeho zákonníka (Právny vzťah medzi členom orgánu a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ZP za týmto účelom navrhujeme doplniť nové ustanovenie, napr.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zmluve podľa § 224 ods. 3 Občianskeho zákonníka možno dohodnúť, že na výkon funkcie člena orgánu sa primerane použijú ustanovenia § ........ (pozn. tu, prosím, vypísať všetky §, ktoré sa podľa vôle zákonodarcu môžu použiť)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224 ods. 3 Občianskeho zákonníka uvádza, že na výkon funkcie člena orgánu možno primerane použiť pracovnoprávne predpisy, nie je však ďalej špecifikované (ani v zákone ani v dôvodovej správe), ktoré ustanovenia zákona č. 311/2001 Z. z. Zákonník práce („ZP“) sa môžu primerane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je potrebné, aby sa do ZP (v záujme objasnenia úmyslu zákonodarcu) doplnilo zákonné "usmernenie", a to vo forme pozitívneho vymedzenia, resp. konkretizovania pracovnoprávnych ustanovení, ktoré sa na daný účel môžu primerane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požiadavku považujeme za dôvodnú o to viac, že nový § 224 ods. 3 Občianskeho zákonníka obsahuje negatívne vymedzenie záležitostí, na ktoré sa nemajú aplikovať pracovnoprávne predpisy (zodpovednosť / odmena / zánik funkcie), hoci aj v tomto prípade ide len o exemplifikatívny výpočet s použitím slovíčka "najmä".</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novelizačný bod 6</w:t>
              <w:br/>
            </w:r>
            <w:r>
              <w:rPr>
                <w:b w:val="off"/>
                <w:color w:val="000000"/>
                <w:rFonts w:ascii="Times New Roman" w:hAnsi="Times New Roman" w:cs="Times New Roman" w:eastAsia="Times New Roman"/>
                <w:sz w:val="24"/>
              </w:rPr>
              <w:t>Navrhujeme upraviť jasnejšie princíp konania za zamestnávateľa a v súlade s úpravou v Občianskom zákonníka. Nie je jasné, aký má byť rozdiel medzi písm a) – konaním na základe poverenia, písm b) – konaním na základe udeleného plnomocenstva a písm c) ak to vyplýva z výkonu funkcie a kedy a či má zamestnávateľ udeliť splnomocnenie alebo poverenie. Občiansky zákonník pracuje s inštitútom plnomocenstva, pričom pre zákonné zastúpenie na základe výkonu určitej funkcie používa pojem prevádzkové plnomocenstvo (aktuálny § 15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 novelizačný bod 19</w:t>
              <w:br/>
            </w:r>
            <w:r>
              <w:rPr>
                <w:b w:val="off"/>
                <w:color w:val="000000"/>
                <w:rFonts w:ascii="Times New Roman" w:hAnsi="Times New Roman" w:cs="Times New Roman" w:eastAsia="Times New Roman"/>
                <w:sz w:val="24"/>
              </w:rPr>
              <w:t>V čl. III bod 19 navrhujeme  § 15 Zákonníka práce v znení návrhu zákona 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Spôsob prejavu vôle</w:t>
              <w:br/>
            </w:r>
            <w:r>
              <w:rPr>
                <w:b w:val="off"/>
                <w:color w:val="000000"/>
                <w:rFonts w:ascii="Times New Roman" w:hAnsi="Times New Roman" w:cs="Times New Roman" w:eastAsia="Times New Roman"/>
                <w:sz w:val="24"/>
              </w:rPr>
              <w:t>„(1) V pracovnoprávnych vzťahoch nemožno právny úkon týkajúci sa vzniku, zmeny a skončenia pracovného pomeru uskutočniť výlučne prostredníctvom činnosti automatizovaného systému zamestnávateľa alebo inej osoby bez individuálneho posúdenia oprávnenou fyzickou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Iný právny úkon v pracovnoprávnych vzťahoch možno uskutočniť prostredníctvom automatizovaného systému, ak je zabezpečená možnosť jeho preskúmania oprávnenou fyzickou osobou. Tým nie je dotknuté použitie automatizovaného systému na technické vyhotovenie, odoslanie, doručenie, evidenciu alebo spracovanie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zákona obsahuje absolútny zákaz uskutočnenia akéhokoľvek právneho úkonu prostredníctvom automatizovaného systému bez rozlíšenia medzi rozhodnutiami s významným dopadom na postavenie zamestnanca a rutinnými alebo technickými úkonmi. Takéto pravidlo môže neprimerane obmedziť elektronické HR procesy zamestnávateľov, hoci návrh nového Občianskeho zákonníka v § 48 výslovne pripúšťa prejav vôle prostredníctvom činnosti automatizovaného systému v moci osoby uskutočňujúcej prejav vôle. Ustanovenie je absolútne a nevymedzuje, čo sa rozumie uskutočnením právneho úkonu prostredníctvom automatizovaného systému. Pri extenzívnom výklade môže spochybniť platnosť právnych úkonov pripravených, schválených, podpísaných alebo doručených prostredníctvom HR systému, elektronického workflow alebo podpisovej platformy. Pre veľkých zamestnávateľov predstavuje zásadné právne a prevádzkové riziko a je v rozpore s digitalizáciou personálnych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Takto formulovaný zákaz môže neprimerane obmedziť využívanie automatizovaných systémov pri bežných procesoch, napríklad pri schvaľovaní dovoleniek alebo elektronickom vyhotovovaní a doručovaní pracovnoprávnych dokumentov. Považujeme preto za potrebné rozlišovať medzi právnymi úkonmi, pri ktorých rozhodnutie prijíma výlučne automatizovaný systém, a prípadmi, keď automatizovaný systém slúži len na vyhotovenie, evidenciu alebo odoslanie právneho úkonu, o ktorom rozhodla fyzická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znenia návrhu zákona zachováva požiadavku individuálneho ľudského posúdenia pri právnych úkonoch týkajúcich sa vzniku, zmeny a skončenia pracovného pomeru, teda pri úkonoch s najzávažnejším dopadom na pracovnoprávne postavenie zamestnanca. Súčasne však nevylučuje využívanie automatizácie pri rutinných procesoch, ako je napríklad automatické generovanie mzdových dokladov, evidencia pracovného času a dovolenky alebo automatické notifikácie o schválení žiadostí podľa vopred stanovených pravidiel. Posledná veta navrhovanej úpravy znenia odseku 2 zároveň výslovne vyjasňuje, že zákaz sa nevzťahuje na čisto technické operácie, ako sú technické vyhotovenie, odoslanie, doručenie, evidencia alebo spracovanie právneho úkonu, keďže tieto operácie samy osebe nie sú právnym úkonom, ale len jeho technickou realizáciou. Cieľom pripomienky je zabezpečiť proporcionálnu právnu úpravu, ktorá chráni zamestnanca pri právnych úkonoch s najvýznamnejšími dôsledkami pre jeho pracovnoprávne postavenie a zároveň neukladá zamestnávateľom povinnosť rezignovať na využívanie moderných technológií pri bežnej prevádzkovej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novelizačný bod 20</w:t>
              <w:br/>
            </w:r>
            <w:r>
              <w:rPr>
                <w:b w:val="off"/>
                <w:color w:val="000000"/>
                <w:rFonts w:ascii="Times New Roman" w:hAnsi="Times New Roman" w:cs="Times New Roman" w:eastAsia="Times New Roman"/>
                <w:sz w:val="24"/>
              </w:rPr>
              <w:t>Navrhujeme primárne § 16b vypustiť a ponechať všeobecné interpretačné pravidlá Občianskeho zákonníka. Alternatívne pravidlo upraviť ako subsidiárne, teda použiť ho až vtedy, keď význam nemožno určiť podľa obsahu úkonu, skutočnej vôle strán, okolností jeho uskutočnenia, účelu a praxe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sa má uplatniť bez ohľadu na skutočnú vôľu strán, účel právneho úkonu, okolnosti jeho uskutočnenia, systematický kontext dokumentu a následnú prax, čo môže viesť k zvýšeniu právnej neistoty  pri pracovných zmluvách, kolektívnych zmluvách, interných predpisoch atď. Ochrana zamestnanca nemá automaticky vylúčiť ostatné interpretačné metódy.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 novelizačný bod 29</w:t>
              <w:br/>
            </w:r>
            <w:r>
              <w:rPr>
                <w:b w:val="off"/>
                <w:color w:val="000000"/>
                <w:rFonts w:ascii="Times New Roman" w:hAnsi="Times New Roman" w:cs="Times New Roman" w:eastAsia="Times New Roman"/>
                <w:sz w:val="24"/>
              </w:rPr>
              <w:t>Žiadame upraviť navrhovaný § 34b podľa vzoru § 144a ods. 4 českého Zákonníka práce tak, aby sa obmedzenie jednostranného započítania vzťahovalo len na mzdu a ďalšie zákonom vymedzené príjmy zamestnanca a aby bolo započítanie prípustné za podmienok ustanovených pre výkon rozhodnutia zrážkami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34b zavádza všeobecný zákaz jednostranného započítania pohľadávok zamestnávateľa voči zamestnancovi bez ohľadu na povahu jednotlivých pohľadávok. Takto formulovaný zákaz považujeme za neprimerane široký, keďže sa vzťahuje aj na pohľadávky, ktoré nesúvisia so mzdou zamestnanca. Dôvodová správa odkazuje na § 144a ods. 4 českého Zákonníka práce, ktorý však upravuje započítanie odlišne. Česká právna úprava sa vzťahuje len na mzdu, plat, odmenu z dohody a náhradu mzdy alebo platu. Započítanie voči týmto príjmom pritom nezakazuje absolútne, ale pripúšťa ho za podmienok ustanovených pre výkon rozhodnutia zrážkami zo mzdy. Navrhovaná slovenská úprava je preto podstatne prísnejšia než česká právna úprava, z ktorej predkladateľ vychádza. Považujeme za potrebné zachovať ochranu príjmov zamestnanca, ale súčasne umožniť vysporiadanie vzájomných pohľadávok v zákonom stanovenom rozsahu. Žiadame preto zosúladiť navrhované ustanovenie s českou právnou úpravou, na ktorú odkazuje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Zákonník práce, novelizačný bod 33</w:t>
              <w:br/>
            </w:r>
            <w:r>
              <w:rPr>
                <w:b w:val="off"/>
                <w:color w:val="000000"/>
                <w:rFonts w:ascii="Times New Roman" w:hAnsi="Times New Roman" w:cs="Times New Roman" w:eastAsia="Times New Roman"/>
                <w:sz w:val="24"/>
              </w:rPr>
              <w:t>Alternatíva č. 1</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č. 2</w:t>
              <w:br/>
            </w:r>
            <w:r>
              <w:rPr>
                <w:b w:val="off"/>
                <w:color w:val="000000"/>
                <w:rFonts w:ascii="Times New Roman" w:hAnsi="Times New Roman" w:cs="Times New Roman" w:eastAsia="Times New Roman"/>
                <w:sz w:val="24"/>
              </w:rPr>
              <w:t>§ 38 ods. 6 Zákonníka práce v znení návrhu zákona 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Zamestnávateľ sa môže so zamestnancom písomne dohodnúť na doručovaní písomností podľa odsekov 1 a 3 elektronickými prostriedkami; ustanovenia odsekov 1 až 5 sa nepoužijú. Dohoda podľa prvej vety môže byť vyhotovená v elektronickej podobe. Zamestnávateľ doručuje písomnosti zamestnancovi na elektronickú adresu, ktorú zamestnanec určil a ktorá nie je v dispozícii zamestnávateľa. Na doručovanie podľa prvej vety sa primerane použijú ustanovenia Občianskeho zákonníka o pôsobení prejavu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č. 3</w:t>
              <w:br/>
            </w:r>
            <w:r>
              <w:rPr>
                <w:b w:val="off"/>
                <w:color w:val="000000"/>
                <w:rFonts w:ascii="Times New Roman" w:hAnsi="Times New Roman" w:cs="Times New Roman" w:eastAsia="Times New Roman"/>
                <w:sz w:val="24"/>
              </w:rPr>
              <w:t xml:space="preserve"> „(6) Zamestnávateľ sa môže so zamestnancom dohodnúť na doručovaní písomností podľa odsekov 1 a 3 elektronickými prostriedkami podpísaných zo strany zamestnávateľa kvalifikovaným elektronickým podpisom alebo kvalifikovanou elektronickou pečaťou; ustanovenia odsekov 1 až 5 sa nepoužijú. Dohoda podľa prvej vety musí byť vyhotovená v písomnej forme, inak je neplatná. Zamestnávateľ doručuje písomnosti zamestnancovi na elektronickú adresu alebo elektronický účet určený v dohode alebo na jej základe. Ak je elektronická adresa alebo elektronický účet v dispozícii zamestnávateľa, zamestnávateľ je povinný zdržať sa po primeranú dobu úkonov, ktoré by obmedzovali prístup zamestnanca k nim.  Na doručovanie podľa prvej vety sa primerane použijú ustanovenia Občianskeho zákonníka o pôsobení prejavu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osobitný režim elektronického doručovania pracovnoprávnych písomností, ktorý podmieňuje uzavretím dohody medzi zamestnávateľom a zamestnancom s použitím kvalifikovaných elektronických podpisov oboch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sú neprimerane formalistické a môžu fakticky znemožniť elektronické doručovanie. Požiadavka, aby adresa nebola v dispozícii zamestnávateľa, vylučuje pracovný e-mail, HR portál a zabezpečenú aplikáciu. Tieto systémy pritom často poskytujú vyššiu mieru identifikácie, integrity, preukázateľnosti doručenia a auditovateľnosti ako súkromný e-mail. Povinné používanie kvalifikovaného elektronického podpisu pri dohode aj jednotlivých písomnostiach je pre veľkých zamestnávateľov finančne a administratívne náročné.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kvalifikovaný elektronický podpis zamestnanca predstavuje administratívnu a technickú prekážku, ktorá nie je dostatočne odôvodnená. Zavedenie osobitných podmienok elektronického doručovania predstavuje samostatnú vecnú úpravu pracovnoprávnych vzťahov, ktorej nevyhnutnosť v súvislosti s rekodifikáciou Občianskeho zákonníka nebola preukázaná.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podmienka môže praktickú využiteľnosť nového režimu výrazne obmedziť, prípadne z praktického pohľadu takmer vylúčiť, najmä ak zamestnanec alebo budúci zamestnanec kvalifikovaným elektronickým podpisom nedisponuje, čo je v praxi prevažujúci prípad. Pre bežného zamestnanca alebo budúceho zamestnanca je jeho získanie spojené s dodatočnými nákladmi, administratívnou záťažou a technickými požiadavkami, ktoré väčšina osôb nie je ochotná alebo schopná splniť. Požiadavka výlučného použitia kvalifikovaného elektronického podpisu tak môže predstavovať dodatočnú technickú a administratívnu prekážku elektronizácie pracovnoprávnych vzťahov. Zavedenie takejto požiadavky by preto paradoxne mohlo vyznieť nie ako krok vpred v digitalizácii pracovnoprávnych vzťahov, ale naopak ako faktická prekážka širšieho využívania elektronického doručovania. Technologicky neutrálna úprava pritom umožňuje rozvoj elektronických procesov pri súčasnom zachovaní požadovanej úrovne právnej istoty. Porovnateľná právna úprava v okolitých krajinách, napríklad český Zákonník práce, nevychádza z výlučnej požiadavky použitia kvalifikovaného elektronického podpisu a ponecháva širší priestor pre technologicky neutrálne riešenia. V tomto smere ustanovenie § 21 pri uzatváraní pracovnej zmluvy, dohôd o prácach vykonávaných mimo pracovného pomeru, ich zmien, ako aj dohôd o ich skončení prostredníctvom siete alebo služby elektronických komunikácií nekladie žiadnu požiadavku na kvalitu podpisu; ochranu zamestnanca zabezpečuje povinnosťou zamestnávateľa zaslať vyhotovenie na elektronickú adresu zamestnanca, ktorá nie je v dispozícii zamestnávateľa, a právom zamestnanca od pracovnej zmluvy, dohody alebo ich zmien v lehote 7 dní odstúpiť. Poukázať možno aj na osobitnú úpravu elektronického doručovania podľa § 335 a § 337 českého Zákonníka práce, ktorá sa vzťahuje najmä na jednostranné pracovnoprávne úkony a rozlišuje požiadavky na podpis podľa toho, či písomnosť doručuje zamestnávateľ alebo zamestnanec. Návrh zákona tak v porovnaní s českou právnou úpravou, s ktorou slovenská právna úprava pracovnoprávnych vzťahov vykazuje tradične úzku súvislosť, smeruje k výrazne reštriktívnejšiemu riešeniu, ktorého vecné opodstatnenie nie je zrejmé. Návrh nového Občianskeho zákonníka pritom v § 72 a § 73 tiež pracuje so širšou technologicky neutrálnou koncepciou písomnej elektronickej formy. Totožnosť osoby možno spoľahlivo preukázať aj inými spôsobmi než výlučne použitím kvalifikovaného elektronického podpisu. Ochranu zamestnanca možno zabezpečiť súborom požiadaviek vzťahujúcich sa na celý elektronický proces, napríklad preukázaním identity podpisujúcej osoby, integrity a obsahu písomnosti, času jej odoslania a doručenia, ako aj zabezpečením možnosti uchovať dokument na trvanlivom médiu. Uprednostnenie technologicky neutrálneho riešenia by umožnilo efektívnejší rozvoj elektronických procesov a zároveň by podporilo cieľ digitalizácie pracovnoprávnych vzťahov pri zachovaní primeranej úrovne právnej istoty a ochrany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Predmetný zákon obsahuje ustanovenia o prikázaní pohľadávky z účtu. Ak sa v exekučnom práve ustáli režim zohľadňujúci SIM, musí byť aj súčasťou tohto zákona. Zároveň všetky  exekučné predpisy musia na seba nadväzovať. Upozorňujeme, že tento zákon nemá  prepracovaný režim excindácie. Dlhodobo upozorňujeme, že roztrieštenosť exekučných postupov jednotlivých exekučných orgánov nie je vhodná. Exekučné orgány by mali mať jednotné exekučné pravidlá (napr. ako v ČR, kde aj daňové orgány, aj exekútori postupujú podľa OSŘ).</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Daňový poriadok, novelizačný bod 2</w:t>
              <w:br/>
            </w:r>
            <w:r>
              <w:rPr>
                <w:b w:val="off"/>
                <w:color w:val="000000"/>
                <w:rFonts w:ascii="Times New Roman" w:hAnsi="Times New Roman" w:cs="Times New Roman" w:eastAsia="Times New Roman"/>
                <w:sz w:val="24"/>
              </w:rPr>
              <w:t>Žiadame vypustiť čl. IV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zavádza osobitné pravidlo o neprihliadaní na zmluvy o spoločnom imaní manželov, dedičské zmluvy a odkazy, ktorých účelom je obchádzanie daňových povinností. Upozorňujeme, že platný § 3 ods. 6 Daňového poriadku už obsahuje všeobecné pravidlo, podľa ktorého sa pri správe daní neprihliada na právne úkony uskutočnené bez riadneho podnikateľského alebo iného dôvodu, ktorých účelom je obchádzanie daňovej povinnosti alebo získanie neoprávneného daňového zvýhodnenia. Navrhované doplnenie preto považujeme za nadbytočné, keďže existujúca úprava sa vzťahuje aj na uvedené právne úkony. Osobitné zdôraznenie vybraných súkromnoprávnych inštitútov môže navyše vyvolávať výkladové nejasnosti o rozsahu uplatňovania všeobecnej zásady zákazu zneužitia práva. Potreba zavedenia osobitného pravidla nevyplýva ani z rekodifikácie Občianskeho zákonníka, preto navrhujeme zachovať súčasnú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Daňový poriadok, novelizačný bod 5</w:t>
              <w:br/>
            </w:r>
            <w:r>
              <w:rPr>
                <w:b w:val="off"/>
                <w:color w:val="000000"/>
                <w:rFonts w:ascii="Times New Roman" w:hAnsi="Times New Roman" w:cs="Times New Roman" w:eastAsia="Times New Roman"/>
                <w:sz w:val="24"/>
              </w:rPr>
              <w:t xml:space="preserve">Žiadame v čl. IV bode 5 vypustiť v navrhovanom § 4a ods. 2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potrebe upraviť postavenie správcu dedičstva na účely správy daní v nadväznosti na novú právnu úpravu dedenia. Nepovažujeme však za odôvodnené, aby sa v rámci tejto úpravy zavádzali ďalšie procesné obmedzenia. Vylúčenie možnosti podať opravný prostriedok proti rozhodnutiu správcu dane o určení správcu dedičstva predstavuje zásah do procesných práv dotknutých osôb. Takéto rozhodnutie pritom zakladá určenej osobe povinnosti voči správcovi dane, s ktorými môže byť spojená aj zodpovednosť za ich nesplnenie. Nevyhnutnosť vylúčenia opravného prostriedku v súvislosti s rekodifikáciou Občianskeho zákonníka nebola dostatočne odôvodnená.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Daňový poriadok, novelizačný bod 5</w:t>
              <w:br/>
            </w:r>
            <w:r>
              <w:rPr>
                <w:b w:val="off"/>
                <w:color w:val="000000"/>
                <w:rFonts w:ascii="Times New Roman" w:hAnsi="Times New Roman" w:cs="Times New Roman" w:eastAsia="Times New Roman"/>
                <w:sz w:val="24"/>
              </w:rPr>
              <w:t>Žiadame v navrhovanom § 4a ods. 1 nahradiť slová „§ 1851 a 1852“ slovami „§ 1855 a 1856“ a v § 4a ods. 3 nahradiť slová „nie určený“ slovami „nie je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4a ods. 1 obsahuje nesprávny odkaz na ustanovenia Občianskeho zákonníka. Ustanovenia § 1851 a § 1852 upravujú odmietnutie dedičstva, zatiaľ čo ustanovenia § 1855 a § 1856 upravujú ustanovenie správcu dedičstva poručiteľom a súdom. Na tieto ustanovenia správne odkazujú aj ďalšie odseky navrhovaného § 4a. Navrhovanú opravu považujeme za potrebnú na zabezpečenie jednoznačnosti právnej úpravy. Súčasne upozorňujeme na gramatickú chybu v § 4a ods. 3, ktorú žiadame opraviť.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Civilný sporový poriadok, novelizačný bod 26 a 27</w:t>
              <w:br/>
            </w:r>
            <w:r>
              <w:rPr>
                <w:b w:val="off"/>
                <w:color w:val="000000"/>
                <w:rFonts w:ascii="Times New Roman" w:hAnsi="Times New Roman" w:cs="Times New Roman" w:eastAsia="Times New Roman"/>
                <w:sz w:val="24"/>
              </w:rPr>
              <w:t xml:space="preserve">Žiadame body 26 a 27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nový procesný inštitút, ktorý umožňuje osobe podať vyjadrenie k očakávanému návrhu na nariadenie neodkladného opatrenia ešte pred začatím konania. Ide o samostatnú vecnú zmenu Civilného sporového poriadku, ktorá priamo nevyplýva z rekodifikácie Občianskeho zákonníka a nie je nevyhnutná na zosúladenie právnej úpravy s novým Občianskym zákonníkom. Dôvodová správa pritom sama uvádza, že plnohodnotné zavedenie tohto inštitútu by si vyžadovalo vytvorenie osobitného registra predbežných podaní, a preto predkladateľ pristúpil iba k jeho zjednodušenej úprave. Navrhované znenie však dostatočne nerieši viaceré praktické otázky, najmä určenie príslušného súdu pred podaním návrhu na neodkladné opatrenie, evidenciu preventívnych vyjadrení a zabezpečenie ich zohľadnenia pri rozhodovaní súdu. Považujeme za nevhodné, aby sa legislatívny proces zameraný na zosúladenie právnych predpisov s novým Občianskym zákonníkom využíval na zavádzanie nových procesných inštitútov, ktorých prijatie si vyžaduje samostatné odborné posúdenie. Ak predkladateľ považuje zavedenie preventívneho vyjadrenia za potrebné, žiadame riešiť túto otázku v osobitnom legislatívnom procese, ktorý umožní dôkladne posúdiť jeho praktické fungovanie, vplyv na rozhodovaciu činnosť súdov a vytvorí priestor na vyjadrenie všetkých relevantných dotknutých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Notársky poriadok, novelizačný bod 14</w:t>
              <w:br/>
            </w:r>
            <w:r>
              <w:rPr>
                <w:b w:val="off"/>
                <w:color w:val="000000"/>
                <w:rFonts w:ascii="Times New Roman" w:hAnsi="Times New Roman" w:cs="Times New Roman" w:eastAsia="Times New Roman"/>
                <w:sz w:val="24"/>
              </w:rPr>
              <w:t>Navrhujeme rozšíriť informačnú hodnotu registra tak, aby bolo možné zistiť nielen existenciu zápisu, dátum registrácie a všeobecné označenie úkonu, ale aj rozsah modifikácie spoločného imania manželov (SIM). Pre posudzovanie majetkových vzťahov je potrebné vedieť určiť, či konkrétny majetok alebo dlh patrí do SIM, prípadne v akom rozsahu bolo SIM zúžené.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Notársky poriadok, novelizačný bod 14</w:t>
              <w:br/>
            </w:r>
            <w:r>
              <w:rPr>
                <w:b w:val="off"/>
                <w:color w:val="000000"/>
                <w:rFonts w:ascii="Times New Roman" w:hAnsi="Times New Roman" w:cs="Times New Roman" w:eastAsia="Times New Roman"/>
                <w:sz w:val="24"/>
              </w:rPr>
              <w:t>Navrhujeme v §73d výslovne upraviť zápis úplnej aj čiastočnej zmeny osoby záložného veriteľa v dôsledku subrogácie do Notárskeho centrálneho registra záložných práv. Úprava má určiť osobu oprávnenú iniciovať zápis a listiny preukazujúce prechod pohľadávky a zabezpečenia vrátane rozsahu plnenia tretej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Notársky poriadok, novelizačný bod 14</w:t>
              <w:br/>
            </w:r>
            <w:r>
              <w:rPr>
                <w:b w:val="off"/>
                <w:color w:val="000000"/>
                <w:rFonts w:ascii="Times New Roman" w:hAnsi="Times New Roman" w:cs="Times New Roman" w:eastAsia="Times New Roman"/>
                <w:sz w:val="24"/>
              </w:rPr>
              <w:t xml:space="preserve">Žiadame v čl. XXI bode 14 upraviť navrhovaný § 73l ods. 5 tak, aby bolo sprístupnenie informácií z Notárskeho centrálneho registra modifikácií spoločného imania manželov podmienené preukázaním oprávneného záujmu osoby, ktorá o ich sprístupnenie žiada.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prostredníctvom webového sídla Notárskej komory Slovenskej republiky sprístupňovať informácie o existencii zápisu v Notárskom centrálnom registri modifikácií spoločného imania manželov vrátane dátumu registrácie a označenia právneho úkonu. Hoci rozumieme potrebe zabezpečiť prístup k týmto informáciám, najmä na účely ochrany práv tretích osôb a právnej istoty v majetkových vzťahoch, nepovažujeme za primerané, aby boli údaje o majetkovom režime manželov dostupné bez potreby preukázania oprávneného záujmu na ich získaní. Navrhovaný spôsob sprístupňovania údajov umožňuje tretím osobám získavať informácie o existencii a druhu právnych úkonov týkajúcich sa majetkového režimu konkrétnych manželov bez ohľadu na účel ich získania. Považujeme za potrebné rozlišovať medzi vedením registra na účely zabezpečenia právnej istoty a ochrany tretích osôb a všeobecným sprístupňovaním informácií o súkromných majetkových pomeroch fyzických osôb. Z uvedeného dôvodu žiadame podmieniť sprístupňovanie týchto informácií preukázaním oprávneného záujmu, čím sa zabezpečí prístup k údajom osobám, ktoré ich potrebujú na ochranu svojich práv alebo právom chránených záujmov, pri zachovaní primeranej ochrany súkromia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 Notársky poriadok, novelizačný bod 14</w:t>
              <w:br/>
            </w:r>
            <w:r>
              <w:rPr>
                <w:b w:val="off"/>
                <w:color w:val="000000"/>
                <w:rFonts w:ascii="Times New Roman" w:hAnsi="Times New Roman" w:cs="Times New Roman" w:eastAsia="Times New Roman"/>
                <w:sz w:val="24"/>
              </w:rPr>
              <w:t xml:space="preserve">Žiadame v čl. XXI bode 14 upraviť navrhovaný § 73m ods. 6 tak, aby bolo sprístupnenie informácií z Notárskeho centrálneho registra podporných opatrení podmienené preukázaním oprávneného záujmu osoby, ktorá o ich sprístupnenie žiada.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prostredníctvom webového sídla Notárskej komory Slovenskej republiky sprístupňovať informácie o existencii zápisu v Notárskom centrálnom registri podporných opatrení vrátane dátumu registrácie a označenia právneho úkonu. Takto nastavené sprístupňovanie údajov umožňuje tretím osobám zistiť, či konkrétna fyzická osoba uskutočnila predbežné vyhlásenie alebo uzavrela zmluvu o podporovanom rozhodovaní, a to bez potreby preukázania oprávneného záujmu na získaní týchto informácií. Upozorňujeme, že aj samotná informácia o existencii a druhu podporného opatrenia môže vypovedať o osobných pomeroch fyzickej osoby. Hoci navrhované ustanovenie neumožňuje verejne sprístupniť totožnosť osoby určenej za budúceho opatrovníka, nepovažujeme za primerané, aby boli informácie o využívaní týchto právnych inštitútov dostupné bez ohľadu na účel ich získania. Účelom podporných opatrení je posilnenie autonómie a ochrany fyzických osôb pri rozhodovaní o ich záležitostiach. Sprístupňovanie informácií o ich využívaní bez potreby preukázania oprávneného záujmu môže predstavovať neprimeraný zásah do súkromia dotknutých osôb. Z uvedeného dôvodu žiadame podmieniť sprístupňovanie týchto informácií preukázaním oprávneného záujmu, aby bol zabezpečený prístup k údajom osobám, ktoré ich potrebujú na ochranu svojich práv alebo právom chránených záujmov, pri zachovaní primeranej ochrany súkromia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XXV Zákon o správe majetku štátu, vloženie nového novelizačného bodu</w:t>
              <w:br/>
            </w:r>
            <w:r>
              <w:rPr>
                <w:b w:val="off"/>
                <w:color w:val="000000"/>
                <w:rFonts w:ascii="Times New Roman" w:hAnsi="Times New Roman" w:cs="Times New Roman" w:eastAsia="Times New Roman"/>
                <w:sz w:val="24"/>
              </w:rPr>
              <w:t>Navrhujeme doplniť nový novelizačný bod, ktorým sa mení § 13a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13a ods. 3 sa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Obsahom zmluvy o zriadení vecného bremena môže byť len oprávnenie </w:t>
              <w:br/>
            </w:r>
            <w:r>
              <w:rPr>
                <w:b w:val="off"/>
                <w:color w:val="000000"/>
                <w:rFonts w:ascii="Times New Roman" w:hAnsi="Times New Roman" w:cs="Times New Roman" w:eastAsia="Times New Roman"/>
                <w:sz w:val="24"/>
              </w:rPr>
              <w:t>a) zriadiť a mať nabíjaciu stanicu uvedenú v odseku 1 písm. d) a vodovodnú, kanalizačnú, energetickú alebo inú sieť (inžiniersku stavbu) uvedenú v odseku 1 písm. e)  a vykonávať prehliadky, údržbu a opravy, ako aj jej odstránenie, právo modernizácie, zlepšovania výkonnosti, úpravy a rekonštrukcie inžinierskej stavby, právo zriadiť a mať na majetku štátu obslužné zariadenia a vykonávať k nemu tieto činnosti, vrátane vykonávania práv zodpovedajúcich obmedzeniam vyplývajúcim z existencie inžinierskej stavby a  práv vstupu, vjazdu, prechodu a prejazdu na majetok štátu dotknutý týmto vecným bremenom,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na prechod a prejazd cez nehnuteľný majetok štátu z dôvodu zabezpečenia nevyhnutného prístupu vlastníka k jeho stavbe alebo pozemku; toto vecné bremeno neoprávňuje oprávneného z vecného bremena na zriadenie pozemnej komunikácie a ani inej líniovej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13a je nevyhnutná v súvislosti s ustanoveniami nového Občianskeho zákonníka § 1576 a nasl. týkajúcimi sa služobnosti inžinierskej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XXV Zákon o správe majetku štátu, vloženie nového novelizačného bodu</w:t>
              <w:br/>
            </w:r>
            <w:r>
              <w:rPr>
                <w:b w:val="off"/>
                <w:color w:val="000000"/>
                <w:rFonts w:ascii="Times New Roman" w:hAnsi="Times New Roman" w:cs="Times New Roman" w:eastAsia="Times New Roman"/>
                <w:sz w:val="24"/>
              </w:rPr>
              <w:t>Navrhujeme doplniť nový novelizačný bod, ktorým sa mení  § 13a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13a ods. 4 sa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platnosť zmluvy o zriadení vecného bremena ako aj zmluvy o budúcej zmluve o zriadení vecného bremena sa vyžaduje súhlas ministerstva financií. Vecné bremeno podľa tohto zákona je správca oprávnený na nehnuteľnom majetku štátu zriadiť len v nevyhnutnom rozsahu. Za zriadenie vecného bremena patrí štátu zastúpenému správcom odplata najmenej vo výške podľa osobitného predpisu; 13b) zriadenie vecného bremena medzi správcami podľa tohto zákona alebo v prípade, že správca je investorom preložky inžinierskej stavby podľa osobitných predpisov,* je vždy bezodplatné. Ak bude počas trvania vecného bremena správca obmedzený v obvyklom užívaní nehnuteľného majetku štátu v dôsledku nevyhnutných pozemných prác oprávneného z vecného bremena a oprávnenie na ich vykonávanie nevyplýva z obsahu vecného bremena, patrí správcovi odplata. Ak sa zhorší stav nehnuteľnosti štátu z dôvodu existencie vecného bremena, je oprávnený z vecného bremena povinný vrátiť nehnuteľný majetok štátu do pôvodného stavu; ak navrátenie do pôvodného stavu nie je úplne možné alebo ak dôjde k škode na porastoch, má správca nárok na náhradu škody. Ak v dôsledku vykonávaných zmien hrozí na nehnuteľnom majetku štátu značná škoda, je správca oprávnený odstúpiť od zmluvy o zriadení vecného bremena. Zmluvu o zriadení vecného bremena, ak vecné bremeno sa zriaďuje na stavbe vo vlastníctve štátu v prospech vlastníka inžinierskej stavby uvedenej v odseku 1 písm. e) piatom bode, možno dohodnúť na dobu do dňa ukončenia prevádzky inžinierskej stavby vo vlastníctve oprávneného z vecného bremena, najviac však na desať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Vkladá sa nový odkaz ...) a nová poznámka pod čiarou k odkazu ....),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Odstraňujú sa výkladové/aplikačné problémy týkajúce sa možnosti uzavierania zmlúv o budúcich zmluvách o zriadení vecného bremena, v súvislosti s ktorými sa viedla polemika, či tieto môže/nemôže správca majetku štátu uzavrieť a či je k nim nevyhnutný súhlas ministerstva financií. Uzavieranie zmlúv o budúcich zmluvách o zriadení vecného bremena je štandardom pri majetkovo - právnej príprave stavby aj v kontexte príslušných stavebných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 Katastrálny zákon, novelizačný bod 34</w:t>
              <w:br/>
            </w:r>
            <w:r>
              <w:rPr>
                <w:b w:val="off"/>
                <w:color w:val="000000"/>
                <w:rFonts w:ascii="Times New Roman" w:hAnsi="Times New Roman" w:cs="Times New Roman" w:eastAsia="Times New Roman"/>
                <w:sz w:val="24"/>
              </w:rPr>
              <w:t xml:space="preserve">Žiadame v bode 34 vypustiť navrhované § 42 ods. 3 písm. d), o), p) a q) a nadväzujúco upraviť označenie zostávajúcich písmen.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Navrhovanou úpravou sa rozširuje okruh prípadov, v ktorých sa vyžaduje úradné osvedčenie podpisov na listinách predkladaných na zápis do katastra nehnuteľností. Takéto rozšírenie predstavuje dodatočnú administratívnu a finančnú záťaž pre dotknuté osoby vrátane podnikateľských subjektov.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úprava úradné osvedčenie podpisu záložcu nevyžaduje. Nová povinnosť by klientom spôsobila dodatočné náklady a potrebu návštevy notára alebo matriky. Zároveň by predĺžila proces zriadenia záložného práva a mohla by oddialiť čerpanie úveru. Ide o vecnú zmenu dlhodobo zaužívaného režimu, ktorá presahuje rámec nevyhnutnej implementácie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Banky aktuálne  preferujú proklientsky prístup, preto nastavujú procesy tak, aby sa uzavretie zmlúv pri poskytovaní úveru na bývanie realizovalo pri jednej návšteve pobočky banky klientom, potreba úradného osvedčenia podpisu bude vyžadovať opätovný návrat klienta so zmluvami do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odôvodňuje rozšírenie požiadaviek predovšetkým potrebou zosúladenia s novým Občianskym zákonníkom, neuvádza však konkrétne dôvody zavedenia tejto povinnosti pri jednotlivých právnych úkonoch. Upozorňujeme, že nový Občiansky zákonník pri dohode o urovnaní ani pri zmluve o zriadení záložného práva všeobecnú požiadavku úradného osvedčenia podpisov nezavádza. Navrhované rozšírenie preto nemožno považovať za nevyhnutný dôsledok rekodifikácie súkromného práva. Osobitne problematické je rozšírenie tejto povinnosti pri úkonoch súvisiacich so zriadením a zánikom záložného práva, ktoré sú bežnou súčasťou financovania nehnuteľností. Predkladateľ pritom dostatočne neodôvodnil, prečo existujúce mechanizmy overovania právnych úkonov nepostačujú a aký konkrétny prínos má navrhované sprísnenie priniesť. Navrhujeme preto zachovať súčasný rozsah požiadaviek na úradné osvedčenie podpisov a nezavádzať ďalšie povinnosti bez preukázania ich nevyhnutnosti.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XXXIII Exekučný poriadok, novelizačný bod 33, v časti §99a</w:t>
              <w:br/>
            </w:r>
            <w:r>
              <w:rPr>
                <w:b w:val="off"/>
                <w:color w:val="000000"/>
                <w:rFonts w:ascii="Times New Roman" w:hAnsi="Times New Roman" w:cs="Times New Roman" w:eastAsia="Times New Roman"/>
                <w:sz w:val="24"/>
              </w:rPr>
              <w:t>Navrhujeme upustiť od navrhovaného spôsobu zohľadnenia SIM. Navrhujeme maximálne umožniť výslovne exekúciu, aj keď môže ísť o pohľadávku z účtu, ktorá je súčasťou SIM, a zároveň pripustiť v lehote excindáciu na námietku druhého z manželov... Excindácia sa automaticky nemôže týkať dodatočne pripísaných prostriedkov. Ak sa pripustí postihnutie účtu, ktorého majiteľom je manžel povinného, je možné jeho nárok v zmysle § 303 ods. 3 uplatniť iba u exekútora z reálneho výťažku. Identifikovať SIM na účte priebežne v kombinácii s inými exekúciami a dodatočne pripísanými prostriedkami nie je reálne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XXXIII Exekučný poriadok, novelizačný bod 33, v časti §99a odsek 1</w:t>
              <w:br/>
            </w:r>
            <w:r>
              <w:rPr>
                <w:b w:val="off"/>
                <w:color w:val="000000"/>
                <w:rFonts w:ascii="Times New Roman" w:hAnsi="Times New Roman" w:cs="Times New Roman" w:eastAsia="Times New Roman"/>
                <w:sz w:val="24"/>
              </w:rPr>
              <w:t>Kritériá pre excindáciu nie sú dané. Čo znamená, že SIM vo vzťahu k pohľadávke a osobitne vo vzťahu k peňažným prostriedkom na účte, bude naďalej sporné. Prostriedky na účte patria banke. Je potrebné terminologicky zohľadniť, že pohľadávka z účtu patrí do SIM. K tejto téme navrhujeme širšiu diskusiu a komplexnejší pohľad na hľadanie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XXXIII Exekučný poriadok, novelizačný bod 33, v časti §99a odsek 2 a 3</w:t>
              <w:br/>
            </w:r>
            <w:r>
              <w:rPr>
                <w:b w:val="off"/>
                <w:color w:val="000000"/>
                <w:rFonts w:ascii="Times New Roman" w:hAnsi="Times New Roman" w:cs="Times New Roman" w:eastAsia="Times New Roman"/>
                <w:sz w:val="24"/>
              </w:rPr>
              <w:t>Zavádza sa osobitný režim postihnutia účtu manžela povinného a spoločného účtu, najviac polovice peňažných prostriedkov na účte.do výšky polovice peňažných prostriedkov na účte.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Banka by bola povinná vykonávať exekučné príkazy aj vo vzťahu k účtom osôb, ktoré nie sú povinnými podľa exekučného titulu. V kombinácii s triedením dodatočne pripísaných prostriedkov a iných exekúcií s iným režimom na účte manžela povinného je to prakticky nerealizovateľné.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jednoznačnú úpravu tak, aby sa nepostihovali účty, ktorých majiteľom nie je povinný.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XXXIII Exekučný poriadok, novelizačný bod 33, v časti §99b odsek 2</w:t>
              <w:br/>
            </w:r>
            <w:r>
              <w:rPr>
                <w:b w:val="off"/>
                <w:color w:val="000000"/>
                <w:rFonts w:ascii="Times New Roman" w:hAnsi="Times New Roman" w:cs="Times New Roman" w:eastAsia="Times New Roman"/>
                <w:sz w:val="24"/>
              </w:rPr>
              <w:t>Po úspešných námietkach manžela povinného má banka vyplatiť manželovi prostriedky v rovnakej výške, v akej ich predtým vyplatila exekútorovi.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z akého právneho titulu má banka vyplatiť prostriedky, ktoré už v súlade s exekučným príkazom odviedla exekútorovi. Nie je dostatočne jasné, ako má banka postupovať, keď na účte nie je dostatočný zostatok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primárne nepostihovať účty, ktorých majiteľom nie je povinný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XXXIII Exekučný poriadok, novelizačný bod 33, v časti §99b odsek 2</w:t>
              <w:br/>
            </w:r>
            <w:r>
              <w:rPr>
                <w:b w:val="off"/>
                <w:color w:val="000000"/>
                <w:rFonts w:ascii="Times New Roman" w:hAnsi="Times New Roman" w:cs="Times New Roman" w:eastAsia="Times New Roman"/>
                <w:sz w:val="24"/>
              </w:rPr>
              <w:t>Nie je možné v procesnom predpise založiť nárok druhému z manželov. „Vyplatí prostriedky manželovi“ je spravidla v rozpore so zmluvou o účte. A to nielen čo do subjektu, ale aj spôsobu disponovania s účtom. Ak bude nevyhnutné takéto vysporiadanie s druhým manželom, vie ho urobiť výlučne exekútor po obdržaní výťažku z exekúcie. Okrem toho tieto prostriedky môžu a spravidla aj budú podliehať inej exekúcii.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LIII Zákon o nadáciách, novelizačný bod 1</w:t>
              <w:br/>
            </w:r>
            <w:r>
              <w:rPr>
                <w:b w:val="off"/>
                <w:color w:val="000000"/>
                <w:rFonts w:ascii="Times New Roman" w:hAnsi="Times New Roman" w:cs="Times New Roman" w:eastAsia="Times New Roman"/>
                <w:sz w:val="24"/>
              </w:rPr>
              <w:t xml:space="preserve">Žiadame v navrhovanom § 13a ods. 11 ustanoviť výnimku, ktorá umožní nadácii založenej pre prípad smrti vykonávať pred zápisom hodnoty nadačného imania úkony nevyhnutné na správu zdedeného majetku a zachovanie jeho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obmedzuje činnosť nadácie založenej pre prípad smrti až do zápisu hodnoty nadačného imania a zdedeného vkladu. Rozumieme potrebe zabezpečiť, aby nadácia začala vykonávať svoju činnosť až po splnení zákonom ustanovených podmienok. Plošné obmedzenie však môže v praxi spôsobovať problémy pri správe majetku, ktorý nadácia nadobudne dedením. V prípade nehnuteľností, obchodných podielov alebo iného majetku môže byť potrebné vykonávať úkony nevyhnutné na jeho ochranu, údržbu alebo zachovanie hodnoty. Zápis hodnoty nadačného imania je pritom viazaný na právoplatné skončenie dedičského konania, ktorého dĺžku nadácia nemôže ovplyvniť. Navrhovaná úprava jednoznačne nerieši, ako má byť v tomto období zabezpečená správa zdedeného majetku. Považujeme preto za potrebné umožniť vykonávanie nevyhnutných úkonov smerujúcich k jeho ochrane a zachovaniu hodnoty, a to bez toho, aby nadácia mohla pred splnením zákonných podmienok vykonávať svoju bežnú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LXVII Zákon o sociálnom poistení</w:t>
              <w:br/>
            </w:r>
            <w:r>
              <w:rPr>
                <w:b w:val="off"/>
                <w:color w:val="000000"/>
                <w:rFonts w:ascii="Times New Roman" w:hAnsi="Times New Roman" w:cs="Times New Roman" w:eastAsia="Times New Roman"/>
                <w:sz w:val="24"/>
              </w:rPr>
              <w:t>Predmetný zákon obsahuje ustanovenia o prikázaní pohľadávky z účtu. Ak sa v exekučnom práve ustáli režim zohľadňujúci SIM, musí byť aj súčasťou tohto zákona. Zároveň všetky exekučné predpisy musia na seba nadväzovať. Upozorňujeme, že tento zákon nemá prepracovaný režim excindácie. Dlhodobo upozorňujeme, že roztrieštenosť exekučných postupov jednotlivých exekučných orgánov nie je vhodná. Exekučné orgány by mali mať jednotné exekučné pravidlá (napr. ako v ČR, kde aj daňové orgány, aj exekútori postupujú podľa OSŘ).</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LXXVI Zákon o dani z príjmov, novelizačný bod 23</w:t>
              <w:br/>
            </w:r>
            <w:r>
              <w:rPr>
                <w:b w:val="off"/>
                <w:color w:val="000000"/>
                <w:rFonts w:ascii="Times New Roman" w:hAnsi="Times New Roman" w:cs="Times New Roman" w:eastAsia="Times New Roman"/>
                <w:sz w:val="24"/>
              </w:rPr>
              <w:t>Žiadame vypustiť bod 23 alebo upraviť navrhované znenie § 17 ods. 21 tak, aby nedošlo k rozšíreniu rozsahu nepeňažného príjmu prenajímateľa podliehajúceho zdaneniu oproti súčasnej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súčasného znenia § 17 ods. 21 zákona o dani z príjmov sa za nepeňažný príjem prenajímateľa považujú výdavky nájomcu na opravy prenajatého hmotného majetku, ktoré sú zahrnuté do daňových výdavkov nájomcu a presahujú jeho povinnosti dohodnuté v nájomnej zmluve. Navrhovaná úprava mení podmienky vzniku nepeňažného príjmu prenajímateľa, keď namiesto rozsahu povinností nájomcu dohodnutých v nájomnej zmluve zavádza kritérium bežných opráv a bežnej údržby podľa § 873 Občianskeho zákonníka. Súčasne vypúšťa podmienku zahrnutia výdavkov do daňových výdavkov nájomcu. V dôsledku navrhovanej zmeny tak môže prenajímateľovi vzniknúť zdaniteľný nepeňažný príjem aj v prípadoch, keď nájomca vykonáva opravy na vlastné náklady v súlade so svojimi zmluvnými povinnosťami. Návrh preto predstavuje vecné rozšírenie rozsahu zdaňovania, ktoré nie je nevyhnutným dôsledkom rekodifikácie Občianskeho zákonníka. Za problematické považujeme aj to, že navrhovaná úprava sa má vzťahovať na výdavky vynaložené od 1. júla 2027 aj na základe nájomných zmlúv uzavretých pred týmto dátumom, čím môže zasiahnuť do existujúcich zmluvných vzťahov. Považujeme za potrebné, aby sa zmeny zákona o dani z príjmov v rámci predloženého návrhu obmedzili na úpravy nevyhnutné na zosúladenie s novým Občianskym zákonníkom a neviedli k rozšíreniu daňovej povinnosti prenajímateľov. Ak predkladateľ považuje zmenu rozsahu zdaňovania za potrebnú, mala by byť predmetom samostatného legislatívneho procesu, v ktorom bude možné riadne posúdiť jej daňové a ekonomické dôsledky.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CXLI Zákon o energetike, vloženie nového novelizačného bodu</w:t>
              <w:br/>
            </w:r>
            <w:r>
              <w:rPr>
                <w:b w:val="off"/>
                <w:color w:val="000000"/>
                <w:rFonts w:ascii="Times New Roman" w:hAnsi="Times New Roman" w:cs="Times New Roman" w:eastAsia="Times New Roman"/>
                <w:sz w:val="24"/>
              </w:rPr>
              <w:t>V § 11 ods. 1 písm. g) navrhujeme nahradiť slovo „ktorých“ textom „a v rámci prevádzky najmä ich prehliadky, údržbu, opravu, modernizáciu, zlepšenie výkonnosti, úpravu,  rekonštrukciu, uplatňovanie práv vyplývajúcich z ich existencie, a ich prípadné odstránenie, vrátane zriaďovania a prevádzkovania obslužných zariadení, ak 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zohľadňuje osobitosti vzniku a dlhodobého prevádzkovania distribučných sústav. Súčasťou týchto sústav sú tisíce elektrických vedení a elektroenergetických zariadení vybudovaných za účinnosti skorších energetických predpisov, podľa ktorých práva k cudzím nehnuteľnostiam vznikali priamo zo zákona pri splnení zákonných podmienok, bez potreby uzatvorenia zmluvy s vlastníkom nehnuteľnosti. Ich vznik nebol podmienený zápisom do evidencie nehnuteľností; napríklad § 26 ods. 1 zákona č. 79/1957 Zb. o výrobe, rozvode a spotrebe elektriny výslovne ustanovoval, že takéto vecné bremená sa nezapisujú do pozemkových kníh. Takto vzniknuté oprávnenia boli zachované nadväzujúcimi energetickými predpismi a ich kontinuitu potvrdzuje aj § 96 ods. 4 zákona o energetike. Pri týchto zariadeniach preto nemožno vychádzať z predpokladu, že obsah oprávnení prevádzkovateľa je alebo môže byť vo všetkých prípadoch upravený zmluvou s vlastníkom dotknutej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1576 ods. 3 nového Občianskeho zákonníka viaže zahrnutie práva modernizácie, zlepšovania výkonnosti, úprav a rekonštrukcie siete, ako aj zriadenia a prevádzkovania obslužného zariadenia, do obsahu služobnosti na výslovnú dohodu. Spoločnosť Západoslovenská distribučná, a.s. štandardne už niekoľko rokov uzatvára s vlastníkmi zaťažených nehnuteľností zmluvy o zriadení vecného bremena, ktoré obsahujú práve takéto vymedzenie práva na prevádzku, údržbu, opravu, modernizáciu, zlepšenie výkonnosti, úpravu a rekonštrukciu. Vo vzťahu k existujúcim zákonným vecným bremenám, ako aj k zákonným služobnostiam, ktoré vzniknú podľa novej právnej úpravy je však potrebné vylúčiť výklad, podľa ktorého by obnova a modernizácia existujúcich energetických zariadení vyžadovala dodatočné zmluvné dojednanie s vlastníkmi dotknutých nehnuteľností. Absencia takéhoto dojednania je dôsledkom  zákonného spôsobu vzniku týchto práv a nemôže byť sama osebe dôvodom na znemožnenie nevyhnutnej obnovy a modernizácie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Elektrické vedenia tvoria funkčne prepojené celky, ktoré prechádzajú cez množstvo nehnuteľností rôznych vlastníkov a zabezpečujú distribúciu elektriny do stoviek až tisícov odberných miest. Ak by modernizácia takéhoto vedenia závisela od uzatvorenia dohody s každým jednotlivým vlastníkom, nesúhlas čo i len jedného z nich by mohol zablokovať modernizáciu celej linky. Možnosť zabezpečiť bezpečnú a spoľahlivú distribúciu elektriny a obnovovať zariadenia po skončení ich technickej životnosti by tak bola závislá od individuálnej vôle jednotlivého vlastníka, hoci vedenie bolo oprávnene zriadené a prevádzkuje sa na základe zákonného právneho titulu. Takýto dôsledok by bol v rozpore s verejným záujmom na zachovaní a rozvoji distribučnej sústavy a mohol by neprimerane ohroziť plnenie zákonných povinností jej prevádzkovateľa voči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 aby zákon o energetike ako osobitný právny predpis výslovne zahŕňal uvedené činnosti do zákonných oprávnení držiteľa povolenia. Tým sa vytvorí jednoznačný právny základ obnovy, rekonštrukcie a modernizácie oprávnene umiestnených zariadení, ktorý nebude závislý od možnosti dodatočne získať zmluvný súhlas všetkých dotknutých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CXLI Zákon o energetike, vloženie nového novelizačného bodu</w:t>
              <w:br/>
            </w:r>
            <w:r>
              <w:rPr>
                <w:b w:val="off"/>
                <w:color w:val="000000"/>
                <w:rFonts w:ascii="Times New Roman" w:hAnsi="Times New Roman" w:cs="Times New Roman" w:eastAsia="Times New Roman"/>
                <w:sz w:val="24"/>
              </w:rPr>
              <w:t xml:space="preserve">V § 11 navrhujeme doplniť za odsek 17 nasledovné odseky: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Držiteľ povolenia znáša náklady na užívanie, zachovanie a bežné opravy zaťaženej nehnuteľnosti len v rozsahu, v akom boli vyvolané výkonom vecného bremena, a primerane miere jej užívania, pokiaľ sa nedohodne inak. Ustanovenia § 11 ods. 4 až 6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Povinnosť  držiteľa povolenia sprístupniť vlastníkovi zaťaženej nehnuteľnosti dokumentáciu v rozsahu potrebnom na ochranu jeho práv a oprávnených záujmov (odkaz na § 1577 ods. 3 OZ) sa považuje za splnenú poskytnutím informácií o umiestnení, rozsahu a ochrannom pásme a bezpečnostnom pásme energetického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energetických zariadeniach má užívanie cudzej nehnuteľnosti spravidla obmedzený účel a rozsah: spočíva najmä v umiestnení vedenia alebo zariadenia a v nevyhnutnom prístupe na vykonanie prevádzkových činností. Samotná existencia energetického zariadenia preto nemá zakladať povinnosť držiteľa povolenia financovať zachovanie a bežné opravy celej nehnuteľnosti vrátane nákladov, ktoré s výkonom služobnosti nesúvisia.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preto výslovne previazať rozsah nákladovej povinnosti s nákladmi vyvolanými výkonom služobnosti a s mierou skutočného užívania nehnuteľnosti držiteľom povolenia. Tým sa zabezpečí primerané rozdelenie nákladov medzi vlastníka nehnuteľnosti a držiteľa povolenia a predíde sa prenášaniu nákladov na bežné užívanie nehnuteľnosti jej vlastníkom na prevádzkovateľa energetického zariadenia. Súčasne sa zachováva možnosť odlišnej dohody.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odsek 19 nadväzuje na § 1577 ods. 3 Občianskeho zákonníka a konkretizuje spôsob splnenia informačnej povinnosti držiteľa povolenia s prihliadnutím na osobitosti energetických zariadení. Všeobecná úprava viaže sprístupnenie dokumentácie na rozsah nevyhnutný na ochranu záujmov vlastníka, bližšie však neurčuje, akými údajmi možno túto povinnosť splniť. V praxi tak môže dochádzať k rozdielnemu výkladu rozsahu poskytovanej dokumentácie a k požiadavkám na sprístupnenie rozsiahlych technických či prevádzkových podkladov, ktoré sa dotknutej nehnuteľnosti priamo netýkajú.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navrhovanej úpravy je zabezpečiť vlastníkovi konkrétne informácie o umiestnení a rozsahu energetického zariadenia a jeho ochrannom pásme, ktoré mu umožnia identifikovať zásah do jeho nehnuteľnosti a súvisiace obmedzenia jej užívania. Poskytnutie takto vymedzených informácií umožní jednotné plnenie zákonnej povinnosti bez potreby sprístupňovať celú dokumentáciu zariadenia alebo sústavy, ktorá môže obsahovať aj údaje nesúvisiace s nehnuteľnosťou žiadateľa, bezpečnostne citlivé údaje, obchodné tajomstvo alebo informácie týkajúce sa tretích osôb. Navrhované riešenie tak sleduje primerané zosúladenie informačných potrieb vlastníka s ochranou bezpečnosti a spoľahlivosti energetických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CLXXIV Zákon o registri partnerov verejného sektora</w:t>
              <w:br/>
            </w:r>
            <w:r>
              <w:rPr>
                <w:b w:val="off"/>
                <w:color w:val="000000"/>
                <w:rFonts w:ascii="Times New Roman" w:hAnsi="Times New Roman" w:cs="Times New Roman" w:eastAsia="Times New Roman"/>
                <w:sz w:val="24"/>
              </w:rPr>
              <w:t>Žiadame v navrhovanom § 16 ods. 4 výslovne ustanoviť, že primerané použitie ustanovení Občianskeho zákonníka o príkaznej zmluve nemá vplyv na nezávislosť oprávnenej osoby od pokynov partnera verejného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nahrádza doterajší odkaz na zmluvu o kontrolnej činnosti odkazom na príkaznú zmluvu podľa nového Občianskeho zákonníka. Podľa § 1035 ods. 1 Občianskeho zákonníka je príkazník povinný postupovať podľa pokynov príkazcu. Oprávnená osoba však musí podľa § 11 ods. 5 zákona o registri partnerov verejného sektora pri identifikácii a overovaní konečného užívateľa výhod konať nestranne, s odbornou starostlivosťou a nezávisle od pokynov partnera verejného sektora. Hoci osobitná úprava nezávislosti oprávnenej osoby zostáva zachovaná, považujeme za potrebné výslovne spresniť jej vzťah k ustanoveniam o príkaznej zmluve. Cieľom pripomienky je predísť výkladovým nejasnostiam a zabezpečiť, aby zmena zmluvného režimu nemala vplyv na nezávislé postavenie oprávnenej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CXCVII Zákon o elektronických komunikáciách, novelizačný bod 3</w:t>
              <w:br/>
            </w:r>
            <w:r>
              <w:rPr>
                <w:b w:val="off"/>
                <w:color w:val="000000"/>
                <w:rFonts w:ascii="Times New Roman" w:hAnsi="Times New Roman" w:cs="Times New Roman" w:eastAsia="Times New Roman"/>
                <w:sz w:val="24"/>
              </w:rPr>
              <w:t xml:space="preserve">Navrhujeme formulovať nasledovne § 21 ods. 4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Povinnosti zodpovedajúce oprávneniam podľa odseku 1 sú služobnosťami55) vznikajúcimi zo zákona viaznucimi na dotknutých nehnuteľnostiach, na ktoré sa primerane aplikujú ustanovenia o služobnosti inžinierskej siete55a). Bez toho, aby to muselo byť výslovne dohodnuté, oprávnenia podľa odseku 1 zahŕňajú aj oprávnenia podľa § 1576 ods. 3 Občianskeho zákonníka, a to za rovnakých podmienok, aké platia pre vznik oprávnení podľa odseku 1. Návrh na vykonanie záznamu do katastra nehnuteľností56) podá podnik v lehote do 90 dní od zriadenia verejnej siete, postavenia alebo umiestnenia jej vedenia alebo jej inej časti na cudzej nehnuteľnosti alebo v cudzej nehnuteľnosti podľa odseku 1; ak sa však vedenie alebo iná časť siete na cudzej nehnuteľnosti zriaďuje, stavia alebo umiestňuje v rámci výstavby líniovej stavby, návrh na vykonanie záznamu do katastra nehnuteľností podá podnik do 90 dní od ukončenia výstavby líniovej stavby. Služobnosť podľa prvej vety prechádza na nadobúdateľa zaťaženej nehnuteľnosti aj v prípade, že táto služobnosť nie je zapísaná v katastri nehnuteľností.  Ak dôjde k prevodu alebo prechodu vlastníctva siete alebo jej časti, vrátane pridružených prostriedkov, vo vzťahu ku ktorej vznikli oprávnenia podľa odseku 1, oprávnenia podľa odseku 1 prechádzajú na nového vlastníka, ak je podnikom.“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55 a 55a znejú:</w:t>
              <w:br/>
            </w:r>
            <w:r>
              <w:rPr>
                <w:b w:val="off"/>
                <w:color w:val="000000"/>
                <w:rFonts w:ascii="Times New Roman" w:hAnsi="Times New Roman" w:cs="Times New Roman" w:eastAsia="Times New Roman"/>
                <w:sz w:val="24"/>
              </w:rPr>
              <w:t>„55) § 1556 až 1584 Občianskeho zákonníka.</w:t>
              <w:br/>
            </w:r>
            <w:r>
              <w:rPr>
                <w:b w:val="off"/>
                <w:color w:val="000000"/>
                <w:rFonts w:ascii="Times New Roman" w:hAnsi="Times New Roman" w:cs="Times New Roman" w:eastAsia="Times New Roman"/>
                <w:sz w:val="24"/>
              </w:rPr>
              <w:t>55a) § 1576 až § 1578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upresniť formuláciu tak, aby bolo zrejmé, že oprávnenia podľa § 21 ods. 1 sú služobnosťami, ktoré vznikajú zo zákona a že ustanovenia OZ o služobnosti  inžinierskej siete sa na ne uplatňujú subsidiárne. Vzhľadom na dikciu § 1576 ods. 3, ktorá hovorí o výslovnej dohode, navrhujeme znenie doplniť tak, aby bolo jednoznačné, že oprávnenia podľa § 21 ods. 1 ZEK zahŕňajú aj oprávnenia § 1576 ods. 3 OZ. Zároveň s ohľadom na ustanovenia § 1470 a 1471 OZ navrhujeme ustanoviť, že služobnosti podľa § 21 ZEK prechádzajú na nadobúdateľa nehnuteľnosti aj v prípade, ak nie sú zapísané v katastri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CXCVII Zákon o elektronických komunikáciách, vloženie nového novelizačného bod</w:t>
              <w:br/>
            </w:r>
            <w:r>
              <w:rPr>
                <w:b w:val="off"/>
                <w:color w:val="000000"/>
                <w:rFonts w:ascii="Times New Roman" w:hAnsi="Times New Roman" w:cs="Times New Roman" w:eastAsia="Times New Roman"/>
                <w:sz w:val="24"/>
              </w:rPr>
              <w:t>Do Čl. CXCVII navrhujeme doplniť nový bod 8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 131g sa vkladá § 131h, ktorý vrátane nadpisu znie:</w:t>
              <w:br/>
            </w:r>
            <w:r>
              <w:rPr>
                <w:b w:val="off"/>
                <w:color w:val="000000"/>
                <w:rFonts w:ascii="Times New Roman" w:hAnsi="Times New Roman" w:cs="Times New Roman" w:eastAsia="Times New Roman"/>
                <w:sz w:val="24"/>
              </w:rPr>
              <w:t>„§ 131h</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 xml:space="preserve">(1) Oprávnenia k cudzím nehnuteľnostiam, ako aj obmedzenia ich užívania, ktoré zostali zachované podľa § 131 ods. 6 zostávajú zachované aj po 30.6.2026, avšak na výkon práv a povinností z týchto oprávnení a obmedzení sa primerane uplatňujú ustanovenia § 21 ods. 6 a 7. </w:t>
              <w:br/>
            </w:r>
            <w:r>
              <w:rPr>
                <w:b w:val="off"/>
                <w:color w:val="000000"/>
                <w:rFonts w:ascii="Times New Roman" w:hAnsi="Times New Roman" w:cs="Times New Roman" w:eastAsia="Times New Roman"/>
                <w:sz w:val="24"/>
              </w:rPr>
              <w:t>(2) Povinnosti zodpovedajúce oprávneniam podľa odseku 1 prechádzajú na nadobúdateľa dotknutej nehnuteľnosti aj v prípade, ak nie sú zapísané v katastri nehnuteľností.</w:t>
              <w:br/>
            </w:r>
            <w:r>
              <w:rPr>
                <w:b w:val="off"/>
                <w:color w:val="000000"/>
                <w:rFonts w:ascii="Times New Roman" w:hAnsi="Times New Roman" w:cs="Times New Roman" w:eastAsia="Times New Roman"/>
                <w:sz w:val="24"/>
              </w:rPr>
              <w:t xml:space="preserve">(3) Vecné bremená podľa § 21 ods. 1, ktoré vznikli do 30. júna 2027 sa považujú za služobnosti podľa § 21 ods. 1 v znení účinnom od 1.7.2027. </w:t>
              <w:br/>
            </w:r>
            <w:r>
              <w:rPr>
                <w:b w:val="off"/>
                <w:color w:val="000000"/>
                <w:rFonts w:ascii="Times New Roman" w:hAnsi="Times New Roman" w:cs="Times New Roman" w:eastAsia="Times New Roman"/>
                <w:sz w:val="24"/>
              </w:rPr>
              <w:t>(4) Ustanovenia poslednej vety § 21 ods. 14 sa uplatňujú aj na vecné bremená, ktoré vznikli do 30.6.2027, ako aj na oprávnenia k cudzím nehnuteľnostiam uvedeným v odseku 1, ktoré nie sú vecnými bremenami.“.“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ZEKu prechodné ustanovenia, ktoré by reflektovali zmeny prijaté od 1.7.2027. Navrhujeme, aby oprávnenia, ktoré zostali zachované podľa § 131 ods. 6 ZEK, zostali zachované aj naďalej, avšak aby sa na výkon týchto oprávnení vzťahoval § 21 ods. 6 a 7 ZEKu a aby tieto povinnosti prechádzali na nadobúdateľa nehnuteľnosti aj v prípade, ak nie sú zapísané v katastri nehnuteľností. Zároveň navrhujeme, aby sa vecné bremená podľa § 21 ZEK, ktoré vznikli do 30.6. 2027 považovali za služobnosti podľa znenia ZEK účinného od 1.7. 2027. Zároveň navrhujeme, aby sa zachovalo uplatňovanie poslednej vety § 21 ods. 14 ZEK aj na vecné bremená, ktoré vznikli do 30.6.2027 a aj na prípadné iné zachované zákonné oprávnenia k cudzím nehnuteľnostiam, ktoré nie sú vecnými bremenami (napr. oprávnenia podľa zákona č. 195/2000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CCX zákon  č. 142/2024 Z.z. o mimoriadnych opatreniach pre strategické investície a pre výstavbu transeurópskej dopravnej si</w:t>
              <w:br/>
            </w:r>
            <w:r>
              <w:rPr>
                <w:b w:val="off"/>
                <w:color w:val="000000"/>
                <w:rFonts w:ascii="Times New Roman" w:hAnsi="Times New Roman" w:cs="Times New Roman" w:eastAsia="Times New Roman"/>
                <w:sz w:val="24"/>
              </w:rPr>
              <w:t>zákon  č. 142/2024 Z.z. o mimoriadnych opatreniach pre strategické investície a pre výstavbu transeurópskej dopravnej siete, vloženie nového novelizačného bodu</w:t>
              <w:br/>
            </w:r>
            <w:r>
              <w:rPr>
                <w:b w:val="off"/>
                <w:color w:val="000000"/>
                <w:rFonts w:ascii="Times New Roman" w:hAnsi="Times New Roman" w:cs="Times New Roman" w:eastAsia="Times New Roman"/>
                <w:sz w:val="24"/>
              </w:rPr>
              <w:t>Navrhujeme doplniť nový novelizačný bod, ktorým sa mení  § 14 ods.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14 sa ods. 18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„(18) Ak pri stavbe strategickej investície majú byť realizované vodovodné, kanalizačné, energetické alebo iné siete (inžinierske siete) ako vyvolaná úprava, vzniká vo verejnom záujme na základe tohto zákona, dňom podania návrhu na vydanie rozhodnutia o stavebnom zámere, k nehnuteľným veciam dotknutým existenciou inžinierskej siete,  v prospech vlastníka, prevádzkovateľa a správcu inžinierskej siete, zákonné vecné bremeno s obsahom podľa osobitných právnych predpisov*, a to v rozsahu vymedzenom geometrickým plánom. Návrh na vykonanie zápisu zákonného vecného bremena do katastra nehnuteľností záznamom48) je povinný podať stavebník po nadobudnutí právoplatnosti povolenia na predčasné užívanie46) alebo po vydaní kolaudačného osvedčenia47) pre túto inžiniersku sieť podľa toho, ktorá z týchto skutočností nastane skôr, a to aj vtedy, ak osobitné právne predpisy* stanovujú inak. Prílohou návrhu na vykonanie zápisu zákonného vecného bremena do katastra nehnuteľností záznamom48) je povolenie na predčasné užívanie s doložkou právoplatnosti alebo kolaudačné osvedčenie týkajúce sa inžinierskej siete a súhlas  vlastníka, prevádzkovateľa a správcu inžinierskej siete s vykonaním zápisu zákonného vecného bremena do katastra nehnuteľností záznamom48). Vlastník nehnuteľnej veci má za vznik zákonného vecného bremena a za obmedzenia vyplývajúce z existencie inžinierskej siete nárok na primeranú náhradu, ktorá sa poskytne jednorazovo, stanovenú na základe znaleckého posudku;49) náhrada sa poskytne za rozsah vymedzený geometrickým plánom, zodpovedajúci miere obmedzenia obvyklého užívania nehnuteľnej veci. Primeranú náhradu uhradí vlastníkovi nehnuteľnej veci stavebník. Nárok na primeranú náhradu možno uplatniť u stavebníka do dvoch rokov odo dňa,  keď sa vlastník nehnuteľnej veci o vzniku zákonného vecného bremena dozvedel, najneskôr však do troch rokov odo dňa vykonania zápisu zákonného vecného bremena do katastra nehnuteľností záznamom48), inak právo na primeranú jednorazovú náhradu za vznik zákonného vecného bremena a za obmedzenia vyplývajúce z existencie inžinierskej siete zaniká. Stavebník je povinný najneskôr do troch mesiacov odo dňa vykonania zápisu zákonného vecného bremena do katastra nehnuteľností záznamom48) písomne oznámiť vlastníkovi nehnuteľnej veci vykonanie tohto zápisu.“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*Vkladá sa nový odkaz ...) a nová poznámka pod čiarou k odkazu ....),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364/2004 Z.z. o vodách a o zmene zákona Slovenskej národnej rady č. 372/1990 Zb. o priestupkoch v znení neskorších predpisov (vodný zákon),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Pojmy používané v zákone sa zosúlaďujú s ustanoveniami Občianskeho zákonníka. Úpravu je tiež potrebné zosúladiť s osobitnými právnymi predpismi, ktoré zohľadňujú osobitosti potrieb prevádzkovania inžinierskych sietí  pri vymedzení obsahu vecného bremena odkazom na osobitné právne predpisy. </w:t>
              <w:br/>
            </w:r>
            <w:r>
              <w:rPr>
                <w:b w:val="off"/>
                <w:color w:val="000000"/>
                <w:rFonts w:ascii="Times New Roman" w:hAnsi="Times New Roman" w:cs="Times New Roman" w:eastAsia="Times New Roman"/>
                <w:sz w:val="24"/>
              </w:rPr>
              <w:t>Okamih vzniku vecného bremena je potrebné naviazať na vznik obmedzenia vlastníka pri užívaní nehnuteľnej veci. Naproti tomu v zmysle súčasného znenia vecné bremeno k už zriadenej stavbe nevznikne, kým si stavebník nesplní povinnosti vyplývajúce zo stavebných predpisov (nezabezpečí kolaudačné osvedčenie alebo povolenie na predčasné užívanie), pričom k reálnemu obmedzeniu vlastníka pri užívaní nehnuteľnej veci už dochádza. Následný zápis do katastra nehnuteľností bude realizovaný v čase, kedy bude zrejmý rozsah vecného bremena jeho vymedzením geometrickým plánom.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w:t>
              <w:br/>
            </w:r>
            <w:r>
              <w:rPr>
                <w:b w:val="off"/>
                <w:color w:val="000000"/>
                <w:rFonts w:ascii="Times New Roman" w:hAnsi="Times New Roman" w:cs="Times New Roman" w:eastAsia="Times New Roman"/>
                <w:sz w:val="24"/>
              </w:rPr>
              <w:t>Čl. CCXXXII navrhujeme prečíslovať na CCXXXIII a  čl. CCXXXII navrhujeme nahradiť týmto znením: ktorým sa mení zákon  č. 669/2007 Z.z. o jednorazových mimoriadnych opatreniach v príprave niektorých stavieb diaľnic a ciest pre motorové vozidlá a o doplnení zákona Národnej rady Slovenskej republiky č. 162/1995 Z.z. o katastri nehnuteľností (katastrálny zákon)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nový novelizačný bod, ktorým sa mení § 4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sa ods. 10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Ak pri stavbe diaľnice majú byť realizované vodovodné, kanalizačné, energetické alebo iné siete (inžinierske siete) ako vyvolaná úprava,4c) vzniká vo verejnom záujme na základe tohto zákona, dňom podania návrhu na vydanie rozhodnutia o stavebnom zámere, k nehnuteľným veciam dotknutým existenciou inžinierskej siete,  v prospech vlastníka, prevádzkovateľa a správcu inžinierskej siete, zákonné vecné bremeno s obsahom podľa osobitných právnych predpisov*, a to v rozsahu vymedzenom geometrickým plánom. Návrh na vykonanie zápisu zákonného vecného bremena do katastra nehnuteľností záznamom4f) je povinný podať stavebník po nadobudnutí právoplatnosti povolenia na predčasné užívanie4d) alebo po vydaní kolaudačného osvedčenia4e) pre túto inžiniersku sieť podľa toho, ktorá z týchto skutočností nastane skôr, a to aj vtedy, ak osobitné právne predpisy* stanovujú inak. Prílohou návrhu na vykonanie zápisu zákonného vecného bremena do katastra nehnuteľností záznamom4f) je povolenie na predčasné užívanie s doložkou právoplatnosti alebo kolaudačné osvedčenie týkajúce sa inžinierskej siete a súhlas  vlastníka, prevádzkovateľa a správcu inžinierskej siete s vykonaním zápisu zákonného vecného bremena do katastra nehnuteľností záznamom4f). Vlastník nehnuteľnej veci má za vznik zákonného vecného bremena a za obmedzenia vyplývajúce z existencie inžinierskej siete nárok na primeranú náhradu, ktorá sa poskytne jednorazovo, stanovenú na základe znaleckého posudku;4h) náhrada sa poskytne za rozsah vymedzený geometrickým plánom, zodpovedajúci miere obmedzenia obvyklého užívania nehnuteľnej veci. Primeranú náhradu uhradí vlastníkovi nehnuteľnej veci stavebník. Nárok na primeranú náhradu možno uplatniť u stavebníka do dvoch rokov odo dňa,  keď sa vlastník nehnuteľnej veci o vzniku zákonného vecného bremena dozvedel, najneskôr však do troch rokov odo dňa vykonania zápisu zákonného vecného bremena do katastra nehnuteľností záznamom4f), inak právo na primeranú jednorazovú náhradu za vznik zákonného vecného bremena a za obmedzenia vyplývajúce z existencie inžinierskej siete zaniká.  Stavebník je povinný najneskôr do troch mesiacov odo dňa vykonania zápisu zákonného vecného bremena do katastra nehnuteľností záznamom4f) písomne oznámiť vlastníkovi nehnuteľnej veci vykonanie tohto zápisu.“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Vkladá sa nový odkaz ...) a nová poznámka pod čiarou k odkazu ....),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zákon č. 251/2012 Z.z. o energetike a o zmene a doplnení niektorých zákonov, zákon č. 452/2021 Z.z. o elektronických komunikáciách, zákon č. 364/2004 Z.z. o vodách a o zmene zákona Slovenskej národnej rady č. 372/1990 Zb. o priestupkoch v znení neskorších predpisov (vodný zákon), zákon č. 442/2002 Z.z. o verejných vodovodoch a verejných kanalizáciách a o zmene a doplnení zákona č. 276/2001 Z.z. o regulácii v sieťových odvetviach.“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Pojmy používané v zákone sa zosúlaďujú s ustanoveniami Občianskeho zákonníka. Úpravu je tiež potrebné zosúladiť s osobitnými právnymi predpismi, ktoré zohľadňujú osobitosti potrieb prevádzkovania inžinierskych sietí  pri vymedzení obsahu vecného bremena odkazom na osobitné právne predpisy. </w:t>
              <w:br/>
            </w:r>
            <w:r>
              <w:rPr>
                <w:b w:val="off"/>
                <w:color w:val="000000"/>
                <w:rFonts w:ascii="Times New Roman" w:hAnsi="Times New Roman" w:cs="Times New Roman" w:eastAsia="Times New Roman"/>
                <w:sz w:val="24"/>
              </w:rPr>
              <w:t>Okamih vzniku vecného bremena je potrebné naviazať na vznik obmedzenia vlastníka pri užívaní nehnuteľnej veci. Naproti tomu v zmysle súčasného znenia vecné bremeno k už zriadenej stavbe nevznikne, kým si stavebník nesplní povinnosti vyplývajúce zo stavebných predpisov (nezabezpečí kolaudačné osvedčenie alebo povolenie na predčasné užívanie), pričom k reálnemu obmedzeniu vlastníka pri užívaní nehnuteľnej veci už dochádza. Následný zápis do katastra nehnuteľností bude realizovaný v čase, kedy bude zrejmý rozsah vecného bremena jeho vymedzením geometrickým plánom.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w:t>
              <w:br/>
            </w:r>
            <w:r>
              <w:rPr>
                <w:b w:val="off"/>
                <w:color w:val="000000"/>
                <w:rFonts w:ascii="Times New Roman" w:hAnsi="Times New Roman" w:cs="Times New Roman" w:eastAsia="Times New Roman"/>
                <w:sz w:val="24"/>
              </w:rPr>
              <w:t>Poukazujeme na spojitosť novej úpravy so zákonom č. 254/1998 Z. z. o verejných prácach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12 ods. 1 písm. b) bod 3. zákona č. 254/1998 Z. z. je možné pri výstavbe diaľnic alebo ciest pre motorové vozidlá vyžadovať zádržné až 30 %.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 takouto výškou zádržného sa v praxi nestretávame, ale máme za to, že teraz je priestor a vhodná chvíľa odstrániť túto neprimeranú výšku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w:t>
              <w:br/>
            </w:r>
            <w:r>
              <w:rPr>
                <w:b w:val="off"/>
                <w:color w:val="000000"/>
                <w:rFonts w:ascii="Times New Roman" w:hAnsi="Times New Roman" w:cs="Times New Roman" w:eastAsia="Times New Roman"/>
                <w:sz w:val="24"/>
              </w:rPr>
              <w:t>Poukazujeme na spojitosť novej úpravy so zákonom č. 523/2004 Z. z. o rozpočtových pravidlách verejnej správy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novej úpravy § 1222 nového OZ by zhotoviteľ mal mať právo žiadať preddavok na cenu diela, najmä pri stavebných prácach.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19 ods. 8 zákona č. 523/2004 Z. z. subjekt verejnej správy môže poskytnúť preddavok na dodávku výkonov a tovarov, najviac však na obdobie 3 mesiacov. Tento limit sa netýka výnimiek ustanovených v ďalších odsekoch citovaného paragrafu, napr. projektov financovaných z Programu Slovensko, atď.</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veľkých stavebných projektoch z verejného obstarávania poskytnutie zálohy na 3 mesiace nerieši praktický problém znášania vysokých finančných nákladov zhotoviteľom. Toto obdobie by malo byť dlhšie, prípadne bez limitu. Malo by byť teda uvedené vo výnimkách z § 19 ods. 8 zákona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Obchodný zákonník, novelizačný bod 18</w:t>
              <w:br/>
            </w:r>
            <w:r>
              <w:rPr>
                <w:b w:val="off"/>
                <w:color w:val="000000"/>
                <w:rFonts w:ascii="Times New Roman" w:hAnsi="Times New Roman" w:cs="Times New Roman" w:eastAsia="Times New Roman"/>
                <w:sz w:val="24"/>
              </w:rPr>
              <w:t xml:space="preserve">Navrhujeme doplniť čl. II bod 18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66 sa dopĺňa odsekom 9, ktorý znie:</w:t>
              <w:br/>
            </w:r>
            <w:r>
              <w:rPr>
                <w:b w:val="off"/>
                <w:color w:val="000000"/>
                <w:rFonts w:ascii="Times New Roman" w:hAnsi="Times New Roman" w:cs="Times New Roman" w:eastAsia="Times New Roman"/>
                <w:sz w:val="24"/>
              </w:rPr>
              <w:t xml:space="preserve">„(9) Ustanovenia § 236 a nasl. Občianskeho zákonníka o nedostatkoch rozhodnutí orgánov právnickej osoby sa nepoužijú na obchodné spoločnosti a družstvo.“.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odkaz na konkrétny § Občianskeho zákonníka, ktorý pojednáva o nedostatkoch rozhodnutí. V iných ustanoveniach tohto zákona sa odkazuje na konkrétne § a preto zo systematického hľadiska považujeme za vhodné odkázať konkrétne aj na tomto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Obchodný zákonník, novelizačný bod 28</w:t>
              <w:br/>
            </w:r>
            <w:r>
              <w:rPr>
                <w:b w:val="off"/>
                <w:color w:val="000000"/>
                <w:rFonts w:ascii="Times New Roman" w:hAnsi="Times New Roman" w:cs="Times New Roman" w:eastAsia="Times New Roman"/>
                <w:sz w:val="24"/>
              </w:rPr>
              <w:t xml:space="preserve">Navrhujeme doplniť čl. II bod 28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 70 sa dopĺňa odsekom 5, ktorý znie:</w:t>
              <w:br/>
            </w:r>
            <w:r>
              <w:rPr>
                <w:b w:val="off"/>
                <w:color w:val="000000"/>
                <w:rFonts w:ascii="Times New Roman" w:hAnsi="Times New Roman" w:cs="Times New Roman" w:eastAsia="Times New Roman"/>
                <w:sz w:val="24"/>
              </w:rPr>
              <w:t>„(5) Ustanovenia § 264 a nasl. Občianskeho zákonníka o likvidácií právnickej osoby sa nepoužijú na obchodné spoločnosti a družstvo.“.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odkaz na konkrétny § Občianskeho zákonníka, ktorý pojednáva o nedostatkoch rozhodnutí. V iných ustanoveniach tohto zákona sa odkazuje na konkrétne § a preto zo systematického hľadiska považujeme za vhodné odkázať konkrétne aj na tomto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CXLI Zákon o energetike, vloženie nového novelizačného bodu</w:t>
              <w:br/>
            </w:r>
            <w:r>
              <w:rPr>
                <w:b w:val="off"/>
                <w:color w:val="000000"/>
                <w:rFonts w:ascii="Times New Roman" w:hAnsi="Times New Roman" w:cs="Times New Roman" w:eastAsia="Times New Roman"/>
                <w:sz w:val="24"/>
              </w:rPr>
              <w:t>V § 11 ods. 15 v poslednej vete navrhujeme nahradiť slovo „osvedčenia“ slovom „povolenia“ (oprava legislatívno-technickej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§67i</w:t>
              <w:br/>
            </w:r>
            <w:r>
              <w:rPr>
                <w:b w:val="off"/>
                <w:color w:val="000000"/>
                <w:rFonts w:ascii="Times New Roman" w:hAnsi="Times New Roman" w:cs="Times New Roman" w:eastAsia="Times New Roman"/>
                <w:sz w:val="24"/>
              </w:rPr>
              <w:t>Navrhujeme doplniť nové ustanovenie § 67i tak, aby sa úprava spoločnosti v kríze vzťahovala aj na družstvo. Zároveň do tohto ustanovenia § 67i doplniť možnosť rozdelenia členského vkladu a upraviť podmienky takéhoto rozdelenia.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§9 v bode 6</w:t>
              <w:br/>
            </w:r>
            <w:r>
              <w:rPr>
                <w:b w:val="off"/>
                <w:color w:val="000000"/>
                <w:rFonts w:ascii="Times New Roman" w:hAnsi="Times New Roman" w:cs="Times New Roman" w:eastAsia="Times New Roman"/>
                <w:sz w:val="24"/>
              </w:rPr>
              <w:t>Navrhovanú úpravu § 9 navrhujeme vypustiť z dôvodu paralelnej úpravy zastúpenia v novele Občianskeho zákonníka, ktorá je podľa nášho názoru dostatočná, prípadne ponechať len úpravu poverenia.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§15 v bode 19 - zásadná</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Právny úkon v pracovnoprávnych vzťahoch nemožno uskutočniť prostredníctvom činnosti automatizovaného systému zamestnávateľa alebo inej osoby. Ustanovenie je absolútne a nevymedzuje, čo sa rozumie uskutočnením právneho úkonu prostredníctvom automatizovaného systému. Pri extenzívnom výklade môže spochybniť platnosť právnych úkonov pripravených, schválených, podpísaných alebo doručených prostredníctvom HR systému, elektronického workflow alebo podpisovej platformy. Pre banky ako veľkých zamestnávateľov predstavuje zásadné právne a prevádzkové riziko a je v rozpore s digitalizáciou personálnych </w:t>
              <w:br/>
            </w:r>
            <w:r>
              <w:rPr>
                <w:b w:val="off"/>
                <w:color w:val="000000"/>
                <w:rFonts w:ascii="Times New Roman" w:hAnsi="Times New Roman" w:cs="Times New Roman" w:eastAsia="Times New Roman"/>
                <w:sz w:val="24"/>
              </w:rPr>
              <w:t>Navrhujeme vypustiť § 15 alebo zákaz obmedziť iba na právne úkony uskutočnené výlučne autonómnym rozhodnutím systému bez autorizácie oprávnenou fyzickou osobou. Výslovne povoliť použitie systémov na prípravu, schválenie, podpísanie, doručenie, evidenciu a archiváciu úkonov, ak je zabezpečená identifikácia oprávnenej osoby, integrita dokumentu a auditovatelnosť procesu. Doplniť primerané prechodné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§16b v bode 20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Ak má prejav vôle alebo použitý výraz viac možných významov, má sa mu prisúdiť význam, ktorý je pre zamestnanca najpriaznivejší.</w:t>
              <w:br/>
            </w:r>
            <w:r>
              <w:rPr>
                <w:b w:val="off"/>
                <w:color w:val="000000"/>
                <w:rFonts w:ascii="Times New Roman" w:hAnsi="Times New Roman" w:cs="Times New Roman" w:eastAsia="Times New Roman"/>
                <w:sz w:val="24"/>
              </w:rPr>
              <w:t>Pravidlo sa má uplatniť bez ohľadu na skutočnú vôľu strán, účel právneho úkonu, okolnosti jeho uskutočnenia, systematický kontext dokumentu a následnú prax, čo môže viesť k zvýšeniu právnej neistoty  pri pracovných zmluvách, kolektívnych zmluvách, interných predpisoch atď. Ochrana zamestnanca nemá automaticky vylúčiť ostatné interpretačné metódy.</w:t>
              <w:br/>
            </w:r>
            <w:r>
              <w:rPr>
                <w:b w:val="off"/>
                <w:color w:val="000000"/>
                <w:rFonts w:ascii="Times New Roman" w:hAnsi="Times New Roman" w:cs="Times New Roman" w:eastAsia="Times New Roman"/>
                <w:sz w:val="24"/>
              </w:rPr>
              <w:t>Navrhujeme primárne § 16b vypustiť a ponechať všeobecné interpretačné pravidlá Občianskeho zákonníka. Alternatívne pravidlo upraviť ako subsidiárne, teda použiť ho až vtedy, keď význam nemožno určiť podľa obsahu úkonu, skutočnej vôle strán, okolností jeho uskutočnenia, účelu a praxe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§33 ods.3 v bode 28</w:t>
              <w:br/>
            </w:r>
            <w:r>
              <w:rPr>
                <w:b w:val="off"/>
                <w:color w:val="000000"/>
                <w:rFonts w:ascii="Times New Roman" w:hAnsi="Times New Roman" w:cs="Times New Roman" w:eastAsia="Times New Roman"/>
                <w:sz w:val="24"/>
              </w:rPr>
              <w:t>Navrhujeme vypustiť druhú vetu navrhovaného ods. 3 z dôvodu, že uvedené ustanovenie by znemožnilo zadávanie práce, napr. užívateľským zamestnávateľom v prípade dočasného pridelenia. Otázna je tiež možnosť zadávania pokynov v rámci vzdelávacích kurzov a školení poskytovaných tretími stranami, pričom účasť na vzdelávaní sa považuje za výkon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§38 ods.6 v bode 33 -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Elektronické doručovanie má byť podmienené osobitnou elektronickou dohodou podpísanou oboma stranami kvalifikovaným elektronickým podpisom. Aj doručované písomnosti majú byť podpísané kvalifikovaným elektronickým podpisom. Zamestnávateľ ich má doručovať na adresu, ktorá nie je v jeho dispozícii.</w:t>
              <w:br/>
            </w:r>
            <w:r>
              <w:rPr>
                <w:b w:val="off"/>
                <w:color w:val="000000"/>
                <w:rFonts w:ascii="Times New Roman" w:hAnsi="Times New Roman" w:cs="Times New Roman" w:eastAsia="Times New Roman"/>
                <w:sz w:val="24"/>
              </w:rPr>
              <w:t>Podmienky sú neprimerane formalistické a môžu fakticky znemožniť elektronické doručovanie. Požiadavka, aby adresa nebola v dispozícii zamestnávateľa, vylučuje pracovný e-mail, HR portál a zabezpečenú aplikáciu. Tieto systémy pritom často poskytujú vyššiu mieru identifikácie, integrity, preukázateľnosti doručenia a auditovatelnosti ako súkromný e-mail. Povinné používanie kvalifikovaného elektronického podpisu pri dohode aj jednotlivých písomnostiach je pre veľkých zamestnávateľov finančne a administratívne náročné.</w:t>
              <w:br/>
            </w:r>
            <w:r>
              <w:rPr>
                <w:b w:val="off"/>
                <w:color w:val="000000"/>
                <w:rFonts w:ascii="Times New Roman" w:hAnsi="Times New Roman" w:cs="Times New Roman" w:eastAsia="Times New Roman"/>
                <w:sz w:val="24"/>
              </w:rPr>
              <w:t>Navrhujeme umožniť doručovanie aj prostredníctvom zabezpečeného elektronického systému zamestnávateľa, ak možno preukázať identitu adresáta, obsah a integritu písomnosti, čas odoslania a sprístupnenia a možnosť dokument uložiť a reprodukovať. Vypustiť povinnosť uzavrieť dohodu výlučne kvalifikovaným elektronickým podpisom a požiadavku, aby adresa nebola v dispozícii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„(6) Zamestnávateľ sa môže so zamestnancom dohodnúť na doručovaní písomností podľa odsekov 1 a 3 elektronickými prostriedkami podpísaných zo strany zamestnávateľa kvalifikovaným elektronickým podpisom alebo kvalifikovanou elektronickou pečaťou; ustanovenia odsekov 1 až 5 sa nepoužijú. Dohoda podľa prvej vety musí byť vyhotovená v písomnej forme, inak je neplatná. Zamestnávateľ doručuje písomnosti zamestnancovi na elektronickú adresu alebo elektronický účet určený v dohode alebo na jej základe. Ak je elektronická adresa alebo elektronický účet v dispozícii zamestnávateľa, zamestnávateľ je povinný zdržať sa po primeranú dobu úkonov, ktoré by obmedzovali prístup zamestnanca k nim.  Na doručovanie podľa prvej vety sa primerane použijú ustanovenia Občianskeho zákonníka o pôsobení prejavu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všeobecná pripomienka - zásadná</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Predmetný zákon obsahuje ustanovenia o prikázaní pohľadávky z účtu. Ak sa v exekučnom práve ustáli režim zohľadňujúci SIM, musí byť aj súčasťou tohto zákona. Zároveň všetky  exekučné predpisy musia na seba nadväzovať. Upozorňujeme, že tento zákon nemá  prepracovaný režim excindácie. Dlhodobo upozorňujeme, že roztrieštenosť exekučných postupov jednotlivých exekučných orgánov nie je vhodná. Exekučné orgány by mali mať jednotné exekučné pravidlá (napr. ako v ČR, kde aj daňové orgány, aj exekútori postupujú podľa OSŘ).</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§4a ods.1 v bode 5</w:t>
              <w:br/>
            </w:r>
            <w:r>
              <w:rPr>
                <w:b w:val="off"/>
                <w:color w:val="000000"/>
                <w:rFonts w:ascii="Times New Roman" w:hAnsi="Times New Roman" w:cs="Times New Roman" w:eastAsia="Times New Roman"/>
                <w:sz w:val="24"/>
              </w:rPr>
              <w:t>Navrhujeme v navrhovanom § 4a ods. 1 nahradiť odkaz na § 1851 a 1852 Občianskeho zákonníka odkazom na § 1855 a 1856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§4a ods.2 v bode 5</w:t>
              <w:br/>
            </w:r>
            <w:r>
              <w:rPr>
                <w:b w:val="off"/>
                <w:color w:val="000000"/>
                <w:rFonts w:ascii="Times New Roman" w:hAnsi="Times New Roman" w:cs="Times New Roman" w:eastAsia="Times New Roman"/>
                <w:sz w:val="24"/>
              </w:rPr>
              <w:t>Navrhujeme v prvej vete nahradiť slová „je dedič vykonávajúci správu dedičstva“ slovami „sú dedičia vykonávajúci správu dedičstva“. Znenie má reflektovať spoločný výkon správy dedičstva viacerými dedičmi a nadväzovať na nasledujúcu vetu o voľbe jedného z nich za správcu dedičstva na účely správy daní.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§73c v bode 13</w:t>
              <w:br/>
            </w:r>
            <w:r>
              <w:rPr>
                <w:b w:val="off"/>
                <w:color w:val="000000"/>
                <w:rFonts w:ascii="Times New Roman" w:hAnsi="Times New Roman" w:cs="Times New Roman" w:eastAsia="Times New Roman"/>
                <w:sz w:val="24"/>
              </w:rPr>
              <w:t>Navrhujeme odstrániť nesúlad medzi uvádzacou vetou novelizačného bodu a označením ustanovenia v navrhovanom znení. Uvádzacia veta odkazuje na § 73c, kým samotné znenie je označené ako § 66. Súčasne navrhujeme zosúladiť nadpis s obsahom ustanovenia upravujúceho Notársky centrálny register právnych úkonov pre prípad smrti.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 73l  v bode 14 -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Navrhujeme rozšíriť informačnú hodnotu registra tak, aby bolo možné zistiť nielen existenciu zápisu, dátum registrácie a všeobecné označenie úkonu, ale aj rozsah modifikácie spoločného imania manželov (SIM). Pre posudzovanie majetkových vzťahov je potrebné vedieť určiť, či konkrétny majetok alebo dlh patrí do SIM, prípadne v akom rozsahu bolo SIM zúžené.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 §73d doplnenie - zásadná</w:t>
              <w:br/>
            </w:r>
            <w:r>
              <w:rPr>
                <w:b w:val="off"/>
                <w:color w:val="000000"/>
                <w:rFonts w:ascii="Times New Roman" w:hAnsi="Times New Roman" w:cs="Times New Roman" w:eastAsia="Times New Roman"/>
                <w:sz w:val="24"/>
              </w:rPr>
              <w:t>Zásadná. Navrhujeme výslovne upraviť zápis úplnej aj čiastočnej zmeny osoby záložného veriteľa v dôsledku subrogácie do Notárskeho centrálneho registra záložných práv. Úprava má určiť osobu oprávnenú iniciovať zápis a listiny preukazujúce prechod pohľadávky a zabezpečenia vrátane rozsahu plnenia tretej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 §42 ods.3 v bode 34-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Navrhujeme vypustiť povinnosť úradného osvedčenia podpisu záložcu a zachovať súčasný právny stav, resp. doplniť do písm. o) znenie: „s výnimkou zmluvy o zriadení záložného práva v prospech banky, zahraničnej banky alebo pobočky zahraničnej banky,“. Žiadame o sektorovú výnimku podobne, ako je to v § 42 ods. 3 písm. q), a navrhujeme doplniť § 42 ods. 3 písm. o) tak, ako je vyššie uvedené.</w:t>
              <w:br/>
            </w:r>
            <w:r>
              <w:rPr>
                <w:b w:val="off"/>
                <w:color w:val="000000"/>
                <w:rFonts w:ascii="Times New Roman" w:hAnsi="Times New Roman" w:cs="Times New Roman" w:eastAsia="Times New Roman"/>
                <w:sz w:val="24"/>
              </w:rPr>
              <w:t>Súčasná úprava úradné osvedčenie podpisu záložcu nevyžaduje. Nová povinnosť by klientom spôsobila dodatočné náklady a potrebu návštevy notára alebo matriky. Zároveň by predĺžila proces zriadenia záložného práva a mohla by oddialiť čerpanie úveru. Ide o vecnú zmenu dlhodobo zaužívaného režimu, ktorá presahuje rámec nevyhnutnej implementácie nového Občianskeho zákonníka.</w:t>
              <w:br/>
            </w:r>
            <w:r>
              <w:rPr>
                <w:b w:val="off"/>
                <w:color w:val="000000"/>
                <w:rFonts w:ascii="Times New Roman" w:hAnsi="Times New Roman" w:cs="Times New Roman" w:eastAsia="Times New Roman"/>
                <w:sz w:val="24"/>
              </w:rPr>
              <w:t xml:space="preserve">Banky aktuálne  preferujú proklientsky prístup, preto nastavujú procesy tak, aby sa uzavretie zmlúv pri poskytovaní úveru na bývanie realizovalo pri jednej návšteve pobočky banky klientom, potreba úradného osvedčenia podpisu bude vyžadovať opätovný návrat klienta so zmluvami do banky. </w:t>
              <w:br/>
            </w:r>
            <w:r>
              <w:rPr>
                <w:b w:val="off"/>
                <w:color w:val="000000"/>
                <w:rFonts w:ascii="Times New Roman" w:hAnsi="Times New Roman" w:cs="Times New Roman" w:eastAsia="Times New Roman"/>
                <w:sz w:val="24"/>
              </w:rPr>
              <w:t>Navrhované znenie § 42 ods. 3 písm. o): „záložcu na zmluve o zriadení záložného práva, s výnimkou zmluvy o zriadení záložného práva v prospech banky, zahraničnej banky alebo pobočky zahraničnej banky.“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§99a v bode 33 - zásadná</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upustiť od navrhovaného spôsobu zohľadnenia SIM. Navrhujeme maximálne umožniť výslovne exekúciu, aj keď môže ísť o pohľadávku z účtu, ktorá je súčasťou SIM, a zároveň pripustiť v lehote excindáciu na námietku druhého z manželov. Excindácia sa automaticky nemôže týkať dodatočne pripísaných prostriedkov. Ak sa pripustí postihnutie účtu, ktorého majiteľom je manžel povinného, je možné jeho nárok v zmysle § 303 ods. 3 uplatniť iba u exekútora z reálneho výťažku. Identifikovať SIM na účte priebežne v kombinácii s inými exekúciami a dodatočne pripísanými prostriedkami nie je reálne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§37 doplnenie</w:t>
              <w:br/>
            </w:r>
            <w:r>
              <w:rPr>
                <w:b w:val="off"/>
                <w:color w:val="000000"/>
                <w:rFonts w:ascii="Times New Roman" w:hAnsi="Times New Roman" w:cs="Times New Roman" w:eastAsia="Times New Roman"/>
                <w:sz w:val="24"/>
              </w:rPr>
              <w:t>K ustanoveniu § 37, ktoré v prípade postúpenia pohľadávky po vydaní poverenia pripúšťa zmenu účastníka iba v prípade postúpenia celej pohľadávky, navrhujeme rovnaké pravidlo zachovať aj v prípade zmeny v osobe veriteľa z dôvodu subrogácie. Teda umožniť zmenu oprávneného iba v prípade úplného splnenia ručiteľom, resp. inou subrogujúcou osobou.</w:t>
              <w:br/>
            </w:r>
            <w:r>
              <w:rPr>
                <w:b w:val="off"/>
                <w:color w:val="000000"/>
                <w:rFonts w:ascii="Times New Roman" w:hAnsi="Times New Roman" w:cs="Times New Roman" w:eastAsia="Times New Roman"/>
                <w:sz w:val="24"/>
              </w:rPr>
              <w:t>Navrhujeme zároveň výslovne upraviť, akými listinami sa preukazuje prechod práv z exekučného titulu v dôsledku subrogácie po vydaní poverenia. Požiadavku vstupu plniacej osoby do exekúcie až po úplnom splnení veriteľovej pohľadávky navrhujeme zachovať v súlade s vyššie uvedenou pripomienkou; predíde sa tým problémom pri rozdeľovaní vymožených súm.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§99a ods.1 v bode 33 -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Kritériá pre excindáciu nie sú dané. Čo znamená, že SIM vo vzťahu k pohľadávke a osobitne vo vzťahu k peňažným prostriedkom na účte, bude naďalej sporné. Prostriedky na účte patria banke. Je potrebné terminologicky zohľadniť, že pohľadávka z účtu patrí do SIM. K tejto téme navrhujeme širšiu diskusiu a komplexnejší pohľad na hľadanie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§99a ods.2 a 3 v bode 33 -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Zavádza sa osobitný režim postihnutia účtu manžela povinného a spoločného účtu, najviac polovice peňažných prostriedkov na účte.do výšky polovice peňažných prostriedkov na účte.</w:t>
              <w:br/>
            </w:r>
            <w:r>
              <w:rPr>
                <w:b w:val="off"/>
                <w:color w:val="000000"/>
                <w:rFonts w:ascii="Times New Roman" w:hAnsi="Times New Roman" w:cs="Times New Roman" w:eastAsia="Times New Roman"/>
                <w:sz w:val="24"/>
              </w:rPr>
              <w:t>Banka by bola povinná vykonávať exekučné príkazy aj vo vzťahu k účtom osôb, ktoré nie sú povinnými podľa exekučného titulu. V kombinácii s triedením dodatočne pripísaných prostriedkov a iných exekúcií s iným režimom na účte manžela povinného je to prakticky nerealizovateľné.</w:t>
              <w:br/>
            </w:r>
            <w:r>
              <w:rPr>
                <w:b w:val="off"/>
                <w:color w:val="000000"/>
                <w:rFonts w:ascii="Times New Roman" w:hAnsi="Times New Roman" w:cs="Times New Roman" w:eastAsia="Times New Roman"/>
                <w:sz w:val="24"/>
              </w:rPr>
              <w:t>Navrhujeme jednoznačnú úpravu tak, aby sa nepostihovali účty, ktorých majiteľom nie je povinný.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§99a ods. 4  v bode 33 - zásadná</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Ďalšie exekúcie predsa môžu vymáhať pohľadávku, ktorá je súčasťou SIM, resp. môže ísť o exekúciu podľa iného predpisu. Alebo môže ísť o exekúciu, kde neprebehlo námietkové konanie alebo prebehlo s iným výsledkom. Alebo môže ísť o exekúciu podľa iných exekučných predpisov alebo exekúciu z iného obdobia. Kombinácia exekúcie s navrhovanými pravidlami uspokojovania výlučných pohľadávok a iných exekúcií (čomu sa nie je možné reálne vyhnúť a bude to pravidlom, nie výnimkou) nie je prakticky uskutočniteľná. Už teraz je kombinácia rôznych exekúcií spojená s obrovskými interpretačnými problémami, ale zakomponovanie úplne odlišnej systémovej logiky spôsobí úplný chaos a reálne znefunkčnenie jedného z najvyužívanejších a jedného z mála reálne fungujúcich spôsobov vykonávania exekúcie na Slovensku. Už vôbec si nevieme predstaviť automatizované spracovanie pri zapracovaní navrhovaných zmien, ktoré je štandardom v slovenských bankách a pri reálnych počtoch vykonávaných exekúcií týmto spôsobom aj jediným možným spôsobom ich spracovania.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§99b ods.2 v bode 33 - zásadná</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Po úspešných námietkach manžela povinného má banka vyplatiť manželovi prostriedky v rovnakej výške, v akej ich predtým vyplatila exekútorovi.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z akého právneho titulu má banka vyplatiť prostriedky, ktoré už v súlade s exekučným príkazom odviedla exekútorovi. Nie je dostatočne jasné, ako má banka postupovať, keď na účte nie je dostatočný zostatok finančných prostriedkov.</w:t>
              <w:br/>
            </w:r>
            <w:r>
              <w:rPr>
                <w:b w:val="off"/>
                <w:color w:val="000000"/>
                <w:rFonts w:ascii="Times New Roman" w:hAnsi="Times New Roman" w:cs="Times New Roman" w:eastAsia="Times New Roman"/>
                <w:sz w:val="24"/>
              </w:rPr>
              <w:t>Primárne nepostihovať účty, ktorých majiteľom nie je povinný.</w:t>
              <w:br/>
            </w:r>
            <w:r>
              <w:rPr>
                <w:b w:val="off"/>
                <w:color w:val="000000"/>
                <w:rFonts w:ascii="Times New Roman" w:hAnsi="Times New Roman" w:cs="Times New Roman" w:eastAsia="Times New Roman"/>
                <w:sz w:val="24"/>
              </w:rPr>
              <w:t>Nie je možné v procesnom predpise založiť nárok druhému z manželov. „Vyplatí prostriedky manželovi“ je spravidla v rozpore so zmluvou o účte. A to nielen čo do subjektu, ale aj spôsobu disponovania s účtom. Ak bude nevyhnutné takéto vysporiadanie s druhým manželom, vie ho urobiť výlučne exekútor po obdržaní výťažku z exekúcie. Okrem toho tieto prostriedky môžu a spravidla aj budú podliehať inej exekúcii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§153 a §157 - doplnenie</w:t>
              <w:br/>
            </w:r>
            <w:r>
              <w:rPr>
                <w:b w:val="off"/>
                <w:color w:val="000000"/>
                <w:rFonts w:ascii="Times New Roman" w:hAnsi="Times New Roman" w:cs="Times New Roman" w:eastAsia="Times New Roman"/>
                <w:sz w:val="24"/>
              </w:rPr>
              <w:t>Prednosť pôvodného veriteľa.</w:t>
              <w:br/>
            </w:r>
            <w:r>
              <w:rPr>
                <w:b w:val="off"/>
                <w:color w:val="000000"/>
                <w:rFonts w:ascii="Times New Roman" w:hAnsi="Times New Roman" w:cs="Times New Roman" w:eastAsia="Times New Roman"/>
                <w:sz w:val="24"/>
              </w:rPr>
              <w:t>Navrhujeme doplniť § 153 a úpravu poradia uspokojovania v § 157 tak, aby zohľadňovali prednosť pôvodného veriteľa pred osobou, ktorá čiastočným plnením vstúpila do jeho práv. Úpravu navrhujeme previazať s § 405 navrhovaného Občianskeho zákonníka, aby sa táto prednosť premietla aj do rozvrhu výťažku.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§36; §37 a §38 - doplnenie</w:t>
              <w:br/>
            </w:r>
            <w:r>
              <w:rPr>
                <w:b w:val="off"/>
                <w:color w:val="000000"/>
                <w:rFonts w:ascii="Times New Roman" w:hAnsi="Times New Roman" w:cs="Times New Roman" w:eastAsia="Times New Roman"/>
                <w:sz w:val="24"/>
              </w:rPr>
              <w:t>Procesné postavenie podzáložného veriteľa</w:t>
              <w:br/>
            </w:r>
            <w:r>
              <w:rPr>
                <w:b w:val="off"/>
                <w:color w:val="000000"/>
                <w:rFonts w:ascii="Times New Roman" w:hAnsi="Times New Roman" w:cs="Times New Roman" w:eastAsia="Times New Roman"/>
                <w:sz w:val="24"/>
              </w:rPr>
              <w:t>Navrhujeme v nadväznosti na § 1661 až 1664 navrhovaného OZ výslovne upraviť oprávnenie podzáložného veriteľa viesť exekúciu na podzáloh a jeho vstup do už prebiehajúcej exekúcie. Samotný vznik podzáložného práva nemá automaticky spôsobovať zmenu oprávneného. O procesnom postavení a rozsahu oprávnení podzáložného veriteľa má rozhodnúť súd po umožnení vyjadrenia oprávnenému a povinnému. Uplatnenie samotného práva na vydanie časti výťažku nemá vyžadovať zmenu oprávneného.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§36; §45 a §48 - doplnenie</w:t>
              <w:br/>
            </w:r>
            <w:r>
              <w:rPr>
                <w:b w:val="off"/>
                <w:color w:val="000000"/>
                <w:rFonts w:ascii="Times New Roman" w:hAnsi="Times New Roman" w:cs="Times New Roman" w:eastAsia="Times New Roman"/>
                <w:sz w:val="24"/>
              </w:rPr>
              <w:t>Exekučný titul a rozsah postihu.</w:t>
              <w:br/>
            </w:r>
            <w:r>
              <w:rPr>
                <w:b w:val="off"/>
                <w:color w:val="000000"/>
                <w:rFonts w:ascii="Times New Roman" w:hAnsi="Times New Roman" w:cs="Times New Roman" w:eastAsia="Times New Roman"/>
                <w:sz w:val="24"/>
              </w:rPr>
              <w:t>Navrhujeme upraviť podmienky, za ktorých môže podzáložný veriteľ použiť exekučný titul vydaný v prospech záložného veriteľa. Musí preukázať vznik a rozsah podzáložného práva, jeho účinnosť voči záložcovi podzálohu a splnenie podmienok podľa § 1664 ods. 1 navrhovaného OZ. Takto možno postihnúť iba podzáloh a iba v rozsahu podzáložného zabezpečenia. Titul proti záložnému veriteľovi ako osobnému dlžníkovi podzáložného veriteľa sám osebe nesmie umožniť postih majetku vlastníka podzálohu. Rovnako treba zachovať ochranu vlastníka podzálohu, ktorý nie je osobným dlžníkom založenej pohľadávky, a upraviť potrebný titul aj voči nemu.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§61q ods. 2 - doplnenie</w:t>
              <w:br/>
            </w:r>
            <w:r>
              <w:rPr>
                <w:b w:val="off"/>
                <w:color w:val="000000"/>
                <w:rFonts w:ascii="Times New Roman" w:hAnsi="Times New Roman" w:cs="Times New Roman" w:eastAsia="Times New Roman"/>
                <w:sz w:val="24"/>
              </w:rPr>
              <w:t>Exekúcia na podzáloh.</w:t>
              <w:br/>
            </w:r>
            <w:r>
              <w:rPr>
                <w:b w:val="off"/>
                <w:color w:val="000000"/>
                <w:rFonts w:ascii="Times New Roman" w:hAnsi="Times New Roman" w:cs="Times New Roman" w:eastAsia="Times New Roman"/>
                <w:sz w:val="24"/>
              </w:rPr>
              <w:t>Navrhujeme doplniť, že na účely exekúcie na záloh sa za záložného veriteľa považuje aj podzáložný veriteľ, ktorý preukázal splnenie podmienok na uspokojenie z podzálohu podľa OZ. V takom prípade sa nemá vyžadovať osobitný súhlas záložného veriteľa, ktorému patrí založená pohľadávka. Doplnenie treba zosúladiť s navrhovanou úpravou vlastníckeho záložného práva v tom istom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§140; §141 a §153 až 165 - doplnenie</w:t>
              <w:br/>
            </w:r>
            <w:r>
              <w:rPr>
                <w:b w:val="off"/>
                <w:color w:val="000000"/>
                <w:rFonts w:ascii="Times New Roman" w:hAnsi="Times New Roman" w:cs="Times New Roman" w:eastAsia="Times New Roman"/>
                <w:sz w:val="24"/>
              </w:rPr>
              <w:t>Doručovanie a rozvrh výťažku</w:t>
              <w:br/>
            </w:r>
            <w:r>
              <w:rPr>
                <w:b w:val="off"/>
                <w:color w:val="000000"/>
                <w:rFonts w:ascii="Times New Roman" w:hAnsi="Times New Roman" w:cs="Times New Roman" w:eastAsia="Times New Roman"/>
                <w:sz w:val="24"/>
              </w:rPr>
              <w:t>Navrhujeme doplniť podzáložného veriteľa, ktorého právo vyplýva z registra alebo bolo exekútorovi preukázané, medzi adresátov dražobnej vyhlášky a výzvy na uplatnenie práv pri rozvrhu. V rozsahu jeho práva mu treba priznať účasť na rozvrhu, právo namietať rozvrh a napadnúť rozhodnutie o ňom. Z časti výťažku pripadajúcej podľa pôvodného poradia na založenú pohľadávku sa má uspokojiť podzáložný veriteľ, ktorý preukázal podmienky výkonu, najviac do výšky svojej nesplnenej zabezpečenej pohľadávky a v rozsahu podzáložného zabezpečenia. Zvyšok tejto časti patrí záložnému veriteľovi. Podzáložné právo nesmie vytvárať nové samostatné poradie popri pôvodnom záložnom práve ani zhoršovať postavenie ostatných záložných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Doplnenie rozvrhových pravidiel</w:t>
              <w:br/>
            </w:r>
            <w:r>
              <w:rPr>
                <w:b w:val="off"/>
                <w:color w:val="000000"/>
                <w:rFonts w:ascii="Times New Roman" w:hAnsi="Times New Roman" w:cs="Times New Roman" w:eastAsia="Times New Roman"/>
                <w:sz w:val="24"/>
              </w:rPr>
              <w:t>Ochrana výťažku a zákaz dvojitého uspokojenia</w:t>
              <w:br/>
            </w:r>
            <w:r>
              <w:rPr>
                <w:b w:val="off"/>
                <w:color w:val="000000"/>
                <w:rFonts w:ascii="Times New Roman" w:hAnsi="Times New Roman" w:cs="Times New Roman" w:eastAsia="Times New Roman"/>
                <w:sz w:val="24"/>
              </w:rPr>
              <w:t>Navrhujeme výslovne ustanoviť, že plnenie vydané podzáložnému veriteľovi sa v rovnakom rozsahu zohľadní pri uspokojení založenej pohľadávky aj pohľadávky zabezpečenej podzáložným právom. Pri spore o príjemcu plnenia má exekútor spornú časť výťažku zadržať do rozhodnutia súdu, nie blokovať nespornú časť rozvrhu. Osobitne treba upraviť ochranu výťažku, ak podzáložné právo existuje, ale podmienky jeho výkonu ešte nenastali, a to v nadväznosti na pravidlá OZ o plnení zo založenej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prechodný režim - doplnenie</w:t>
              <w:br/>
            </w:r>
            <w:r>
              <w:rPr>
                <w:b w:val="off"/>
                <w:color w:val="000000"/>
                <w:rFonts w:ascii="Times New Roman" w:hAnsi="Times New Roman" w:cs="Times New Roman" w:eastAsia="Times New Roman"/>
                <w:sz w:val="24"/>
              </w:rPr>
              <w:t>Podzáložné právo</w:t>
              <w:br/>
            </w:r>
            <w:r>
              <w:rPr>
                <w:b w:val="off"/>
                <w:color w:val="000000"/>
                <w:rFonts w:ascii="Times New Roman" w:hAnsi="Times New Roman" w:cs="Times New Roman" w:eastAsia="Times New Roman"/>
                <w:sz w:val="24"/>
              </w:rPr>
              <w:t>Navrhujeme primerane premietnuť uvedené pravidlá aj do predaja hnuteľných vecí a cenných papierov a do postihnutia samotnej založenej pohľadávky v exekúcii proti záložnému veriteľovi. Treba upraviť osud podzáložného práva pri predaji v nadväznosti na zánik alebo zachovanie pôvodného záložného práva a ochranu práva k výťažku. Procesnú úpravu navrhujeme použiť aj v prebiehajúcich exekúciách pri platne vzniknutom podzáložnom práve; účinky už vykonaných úkonov a vyplatených rozvrhov musia zostať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LII. doplnenie</w:t>
              <w:br/>
            </w:r>
            <w:r>
              <w:rPr>
                <w:b w:val="off"/>
                <w:color w:val="000000"/>
                <w:rFonts w:ascii="Times New Roman" w:hAnsi="Times New Roman" w:cs="Times New Roman" w:eastAsia="Times New Roman"/>
                <w:sz w:val="24"/>
              </w:rPr>
              <w:t>Doplnenie registrácie podzáložného práva</w:t>
              <w:br/>
            </w:r>
            <w:r>
              <w:rPr>
                <w:b w:val="off"/>
                <w:color w:val="000000"/>
                <w:rFonts w:ascii="Times New Roman" w:hAnsi="Times New Roman" w:cs="Times New Roman" w:eastAsia="Times New Roman"/>
                <w:sz w:val="24"/>
              </w:rPr>
              <w:t>Navrhujeme doplniť ustanovenia o registrácii podzáložného práva v nadväznosti na § 1661 a nasl. navrhovaného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 bod 1</w:t>
              <w:br/>
            </w:r>
            <w:r>
              <w:rPr>
                <w:b w:val="off"/>
                <w:color w:val="000000"/>
                <w:rFonts w:ascii="Times New Roman" w:hAnsi="Times New Roman" w:cs="Times New Roman" w:eastAsia="Times New Roman"/>
                <w:sz w:val="24"/>
              </w:rPr>
              <w:t>Terminologické zmeny</w:t>
              <w:br/>
            </w:r>
            <w:r>
              <w:rPr>
                <w:b w:val="off"/>
                <w:color w:val="000000"/>
                <w:rFonts w:ascii="Times New Roman" w:hAnsi="Times New Roman" w:cs="Times New Roman" w:eastAsia="Times New Roman"/>
                <w:sz w:val="24"/>
              </w:rPr>
              <w:t>Navrhujeme preveriť a opraviť výpočet ustanovení, v ktorých sa slovo „lehota“ nahrádza slovom „doba“. Podklad upozorňuje, že v § 15 ods. 5 sa slovo „lehota“ nenachádza. Terminológiu je potrebné zosúladiť aj v ďalších ustanoveniach označených v podklade.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 §13 a §22 - doplnenie</w:t>
              <w:br/>
            </w:r>
            <w:r>
              <w:rPr>
                <w:b w:val="off"/>
                <w:color w:val="000000"/>
                <w:rFonts w:ascii="Times New Roman" w:hAnsi="Times New Roman" w:cs="Times New Roman" w:eastAsia="Times New Roman"/>
                <w:sz w:val="24"/>
              </w:rPr>
              <w:t>Navrhujeme vykonať aj tieto terminologické úpravy: v § 13 ods. 2 písm. d) použiť slová „najviac však na dobu 30 rokov“; v § 13 ods. 5 písm. a) slová „po uplynutí doby 90 rokov od vzniku záznamu“ pri zachovaní výnimky podľa osobitného zákona alebo medzinárodnej zmluvy; v § 22 ods. 1 slová „najneskôr do uplynutia doby piatich rokov od vydania rozhodnutia podľa § 20 ods. 1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 §25 a §27 - doplnenie</w:t>
              <w:br/>
            </w:r>
            <w:r>
              <w:rPr>
                <w:b w:val="off"/>
                <w:color w:val="000000"/>
                <w:rFonts w:ascii="Times New Roman" w:hAnsi="Times New Roman" w:cs="Times New Roman" w:eastAsia="Times New Roman"/>
                <w:sz w:val="24"/>
              </w:rPr>
              <w:t>Navrhujeme v § 25 ods. 2 a 3 a zodpovedajúcich ustanoveniach § 27 doplniť pred údaj „12 mesiacov“ slovo „doba“ v príslušnom gramatickom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LXIII. §24 v bode 7</w:t>
              <w:br/>
            </w:r>
            <w:r>
              <w:rPr>
                <w:b w:val="off"/>
                <w:color w:val="000000"/>
                <w:rFonts w:ascii="Times New Roman" w:hAnsi="Times New Roman" w:cs="Times New Roman" w:eastAsia="Times New Roman"/>
                <w:sz w:val="24"/>
              </w:rPr>
              <w:t>Navrhujeme opraviť označenie odseku v bode 7 z § 24 ods. 7 na § 24 ods. 8. Zároveň navrhujeme v § 24 ods. 10 nahradiť slová „Obchodného zákonníka“ slovami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LXVII. všeobecná pripomienka - zásadná</w:t>
              <w:br/>
            </w:r>
            <w:r>
              <w:rPr>
                <w:b w:val="off"/>
                <w:color w:val="000000"/>
                <w:rFonts w:ascii="Times New Roman" w:hAnsi="Times New Roman" w:cs="Times New Roman" w:eastAsia="Times New Roman"/>
                <w:sz w:val="24"/>
              </w:rPr>
              <w:t xml:space="preserve">Zásadná - Všeobecná pripomienka. </w:t>
              <w:br/>
            </w:r>
            <w:r>
              <w:rPr>
                <w:b w:val="off"/>
                <w:color w:val="000000"/>
                <w:rFonts w:ascii="Times New Roman" w:hAnsi="Times New Roman" w:cs="Times New Roman" w:eastAsia="Times New Roman"/>
                <w:sz w:val="24"/>
              </w:rPr>
              <w:t>Predmetný zákon obsahuje ustanovenia o prikázaní pohľadávky z účtu. Ak sa v exekučnom práve ustáli režim zohľadňujúci SIM, musí byť aj súčasťou tohto zákona. Zároveň všetky exekučné predpisy musia na seba nadväzovať. Upozorňujeme, že tento zákon nemá prepracovaný režim excindácie. Dlhodobo upozorňujeme, že roztrieštenosť exekučných postupov jednotlivých exekučných orgánov nie je vhodná. Exekučné orgány by mali mať jednotné exekučné pravidlá (napr. ako v ČR, kde aj daňové orgány, aj exekútori postupujú podľa OSŘ).</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LXIX. doplnenie - terminologické zosúladenie</w:t>
              <w:br/>
            </w:r>
            <w:r>
              <w:rPr>
                <w:b w:val="off"/>
                <w:color w:val="000000"/>
                <w:rFonts w:ascii="Times New Roman" w:hAnsi="Times New Roman" w:cs="Times New Roman" w:eastAsia="Times New Roman"/>
                <w:sz w:val="24"/>
              </w:rPr>
              <w:t>Navrhujeme v celom texte zákona nahradiť pojem „nájomca“ pojmom „nájomník“ v príslušnom gramatickom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§167k ods.5 v bode 45</w:t>
              <w:br/>
            </w:r>
            <w:r>
              <w:rPr>
                <w:b w:val="off"/>
                <w:color w:val="000000"/>
                <w:rFonts w:ascii="Times New Roman" w:hAnsi="Times New Roman" w:cs="Times New Roman" w:eastAsia="Times New Roman"/>
                <w:sz w:val="24"/>
              </w:rPr>
              <w:t>Navrhujeme doplniť pravidlá rozdelenia výťažku pre prípad, keď v rámci jedného záložného práva vystupuje viacero veriteľov v dôsledku subrogácie. Samotné poradie záložného práva nemusí vyriešiť ich vzájomné uspokojenie. Navrhujeme výslovne zohľadniť prednosť pôvodného veriteľa podľa § 405 navrhovaného OZ a upraviť vzájomné poradie ďalších subrogovaných veriteľov s prihliadnutím na vznik ich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všeobecná pripomienka</w:t>
              <w:br/>
            </w:r>
            <w:r>
              <w:rPr>
                <w:b w:val="off"/>
                <w:color w:val="000000"/>
                <w:rFonts w:ascii="Times New Roman" w:hAnsi="Times New Roman" w:cs="Times New Roman" w:eastAsia="Times New Roman"/>
                <w:sz w:val="24"/>
              </w:rPr>
              <w:t>Všeobecná pripomienka · Subrogácia</w:t>
              <w:br/>
            </w:r>
            <w:r>
              <w:rPr>
                <w:b w:val="off"/>
                <w:color w:val="000000"/>
                <w:rFonts w:ascii="Times New Roman" w:hAnsi="Times New Roman" w:cs="Times New Roman" w:eastAsia="Times New Roman"/>
                <w:sz w:val="24"/>
              </w:rPr>
              <w:t>Navrhujeme výslovne upraviť postavenie subrogovaného veriteľa a prechod zabezpečenia, prihlasovanie jeho pohľadávky a poradie uspokojovania z oddelenej podstaty. Úprava má riešiť aj situáciu, keď k úplnému alebo čiastočnému vstupu do práv prihláseného veriteľa vrátane zabezpečenia dôjde až počas insolvenčného konania. Potrebné je zabezpečiť súlad s pravidlom prednosti pôvodného veriteľa podľa § 405 navrhovaného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všeobecná pripomienka</w:t>
              <w:br/>
            </w:r>
            <w:r>
              <w:rPr>
                <w:b w:val="off"/>
                <w:color w:val="000000"/>
                <w:rFonts w:ascii="Times New Roman" w:hAnsi="Times New Roman" w:cs="Times New Roman" w:eastAsia="Times New Roman"/>
                <w:sz w:val="24"/>
              </w:rPr>
              <w:t>Všeobecná pripomienka · Podzáložné právo</w:t>
              <w:br/>
            </w:r>
            <w:r>
              <w:rPr>
                <w:b w:val="off"/>
                <w:color w:val="000000"/>
                <w:rFonts w:ascii="Times New Roman" w:hAnsi="Times New Roman" w:cs="Times New Roman" w:eastAsia="Times New Roman"/>
                <w:sz w:val="24"/>
              </w:rPr>
              <w:t>Navrhujeme doplniť podzáložné právo medzi zabezpečovacie práva a výslovne upraviť jeho uplatnenie v konkurze a reštrukturalizácii. Osobitne je potrebné vyriešiť poradie a spôsob uspokojenia pri speňažení majetku dotknutého záložným aj podzáložným právom v nadväznosti na § 1661 navrhovaného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§8; §24 a §28 až §32</w:t>
              <w:br/>
            </w:r>
            <w:r>
              <w:rPr>
                <w:b w:val="off"/>
                <w:color w:val="000000"/>
                <w:rFonts w:ascii="Times New Roman" w:hAnsi="Times New Roman" w:cs="Times New Roman" w:eastAsia="Times New Roman"/>
                <w:sz w:val="24"/>
              </w:rPr>
              <w:t>Prihlásenie a evidencia podzáložného práva</w:t>
              <w:br/>
            </w:r>
            <w:r>
              <w:rPr>
                <w:b w:val="off"/>
                <w:color w:val="000000"/>
                <w:rFonts w:ascii="Times New Roman" w:hAnsi="Times New Roman" w:cs="Times New Roman" w:eastAsia="Times New Roman"/>
                <w:sz w:val="24"/>
              </w:rPr>
              <w:t>Navrhujeme nadviazať na režim § 28 ods. 7 a výslovne upraviť prihlásenie pohľadávky podzáložného veriteľa v konkurze vlastníka podzálohu. Prihláška má identifikovať aj záložného veriteľa, založenú pohľadávku, pôvodné záložné právo a podzáloh. Právo musí byť možné prihlásiť aj pred splnením podmienok výkonu podľa § 1664 ods. 1 navrhovaného OZ; ich neskoršie splnenie sa preukáže správcovi. Správca má v zozname pohľadávok vyznačiť prepojenie oboch prihlášok tak, aby sa nezvyšovala suma uspokojenia z toho istého podzálohu.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28 až 32</w:t>
              <w:br/>
            </w:r>
            <w:r>
              <w:rPr>
                <w:b w:val="off"/>
                <w:color w:val="000000"/>
                <w:rFonts w:ascii="Times New Roman" w:hAnsi="Times New Roman" w:cs="Times New Roman" w:eastAsia="Times New Roman"/>
                <w:sz w:val="24"/>
              </w:rPr>
              <w:t>Samostatné uplatnenie a preskúmanie práva</w:t>
              <w:br/>
            </w:r>
            <w:r>
              <w:rPr>
                <w:b w:val="off"/>
                <w:color w:val="000000"/>
                <w:rFonts w:ascii="Times New Roman" w:hAnsi="Times New Roman" w:cs="Times New Roman" w:eastAsia="Times New Roman"/>
                <w:sz w:val="24"/>
              </w:rPr>
              <w:t>Navrhujeme ustanoviť, že prihláška jedného veriteľa nenahrádza prihlášku druhého. Neprihlásenie založenej pohľadávky záložným veriteľom nemá samo osebe vylučovať uspokojenie podzáložného veriteľa, ktorý svoje právo riadne a včas uplatnil a preukázal existenciu, výšku a zabezpečenie založenej pohľadávky. Treba upraviť preskúmanie a popretie podzáložného práva, jeho rozsahu a podmienok výkonu, procesné postavenie oboch veriteľov a účinky zistenia založenej pohľadávky tak, aby nedochádzalo k jej automatickému opätovnému preskúmaniu.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69, § 94 a § 97</w:t>
              <w:br/>
            </w:r>
            <w:r>
              <w:rPr>
                <w:b w:val="off"/>
                <w:color w:val="000000"/>
                <w:rFonts w:ascii="Times New Roman" w:hAnsi="Times New Roman" w:cs="Times New Roman" w:eastAsia="Times New Roman"/>
                <w:sz w:val="24"/>
              </w:rPr>
              <w:t>Doplnenie k § 69, § 94 a § 97 · Rozdelenie výťažku podzálohu</w:t>
              <w:br/>
            </w:r>
            <w:r>
              <w:rPr>
                <w:b w:val="off"/>
                <w:color w:val="000000"/>
                <w:rFonts w:ascii="Times New Roman" w:hAnsi="Times New Roman" w:cs="Times New Roman" w:eastAsia="Times New Roman"/>
                <w:sz w:val="24"/>
              </w:rPr>
              <w:t>Navrhujeme ustanoviť, že podzáložný veriteľ sa uspokojuje iba z časti čistého výťažku, ktorá by podľa poradia pôvodného záložného práva pripadla na založenú pohľadávku, najviac do výšky svojej neuspokojenej zabezpečenej pohľadávky a v rozsahu podzáložného zabezpečenia. Zvyšok tejto časti sa vydá záložnému veriteľovi. Podzáložné právo nesmie zakladať samostatné poradie na podzálohu ani meniť poradie ostatných zabezpečených veriteľov. Plnenie podzáložnému veriteľovi sa musí v rovnakom rozsahu zohľadniť pri uspokojení oboch pohľadávok a vyznačiť v ich evidencii. Úpravu treba zosúladiť aj s navrhovanými pravidlami výplaty správcovi zabezpečenia.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97 a § 99</w:t>
              <w:br/>
            </w:r>
            <w:r>
              <w:rPr>
                <w:b w:val="off"/>
                <w:color w:val="000000"/>
                <w:rFonts w:ascii="Times New Roman" w:hAnsi="Times New Roman" w:cs="Times New Roman" w:eastAsia="Times New Roman"/>
                <w:sz w:val="24"/>
              </w:rPr>
              <w:t>Doplnenie k § 97 a § 99 · Ochrana spornej alebo dosiaľ nesplatnej časti výťažku</w:t>
              <w:br/>
            </w:r>
            <w:r>
              <w:rPr>
                <w:b w:val="off"/>
                <w:color w:val="000000"/>
                <w:rFonts w:ascii="Times New Roman" w:hAnsi="Times New Roman" w:cs="Times New Roman" w:eastAsia="Times New Roman"/>
                <w:sz w:val="24"/>
              </w:rPr>
              <w:t>Navrhujeme upraviť oddelené uloženie dotknutej časti výťažku, ak je sporné právo na jeho vydanie alebo ak podzáložné právo existuje, ale podmienky jeho výkonu ešte nenastali. V druhom prípade treba nadviazať na pravidlá OZ o plnení zo založenej pohľadávky a určiť podmienky následného uvoľnenia prostriedkov. Existujúce podzáložné právo nesmie zostať bez ochrany iba preto, že v čase rozvrhu ešte nemožno vykonať jeho priamy výkon. Nesporná časť rozvrhu sa nemá zadržiavať.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35 a § 82 až 85</w:t>
              <w:br/>
            </w:r>
            <w:r>
              <w:rPr>
                <w:b w:val="off"/>
                <w:color w:val="000000"/>
                <w:rFonts w:ascii="Times New Roman" w:hAnsi="Times New Roman" w:cs="Times New Roman" w:eastAsia="Times New Roman"/>
                <w:sz w:val="24"/>
              </w:rPr>
              <w:t>Doplnenie k § 35 a § 82 až 85 · Pokyny správcovi a hlasovacie práva</w:t>
              <w:br/>
            </w:r>
            <w:r>
              <w:rPr>
                <w:b w:val="off"/>
                <w:color w:val="000000"/>
                <w:rFonts w:ascii="Times New Roman" w:hAnsi="Times New Roman" w:cs="Times New Roman" w:eastAsia="Times New Roman"/>
                <w:sz w:val="24"/>
              </w:rPr>
              <w:t>Navrhujeme podzáložnému veriteľovi priznať právo na informácie o správe a speňažovaní podzálohu, doručovanie návrhu rozvrhu a námietky proti nemu. Po preukázaní podmienok výkonu má vykonávať príslušné oprávnenia namiesto záložného veriteľa. Ak sa očakáva uspokojenie aj záložného veriteľa, navrhujeme spoločný výkon s rozhodnutím súdu pri nezhode, bez zásahu do postavenia ostatných členov príslušného orgánu. Súčasne treba vylúčiť zdvojenie hlasovacích práv zodpovedajúcich tomu istému uspokojeniu a upraviť rozhodovanie súdu o ich rozsahu podľa pravdepodobného rozdelenia uspokojenia.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50</w:t>
              <w:br/>
            </w:r>
            <w:r>
              <w:rPr>
                <w:b w:val="off"/>
                <w:color w:val="000000"/>
                <w:rFonts w:ascii="Times New Roman" w:hAnsi="Times New Roman" w:cs="Times New Roman" w:eastAsia="Times New Roman"/>
                <w:sz w:val="24"/>
              </w:rPr>
              <w:t>Doplnenie k § 50 · Vznik a výkon podzáložného práva po vyhlásení konkurzu</w:t>
              <w:br/>
            </w:r>
            <w:r>
              <w:rPr>
                <w:b w:val="off"/>
                <w:color w:val="000000"/>
                <w:rFonts w:ascii="Times New Roman" w:hAnsi="Times New Roman" w:cs="Times New Roman" w:eastAsia="Times New Roman"/>
                <w:sz w:val="24"/>
              </w:rPr>
              <w:t>Navrhujeme výslovne rozlíšiť vznik podzáložného práva a neskoršie splnenie podmienok výkonu už existujúceho práva. Navrhujeme pripustiť podzaloženie pohľadávky patriacej inej osobe ako úpadcovi aj po vyhlásení konkurzu, ak bolo pôvodné zabezpečenie riadne a včas uplatnené a nedôjde k zvýšeniu zaťaženia podstaty ani k zmene poradia. Treba ustanoviť oznamovaciu povinnosť, preskúmanie nového práva a osobitný začiatok lehoty na jeho popretie po zverejnení. Neskoršie splnenie podmienok výkonu sa nemá považovať za vznik nového zabezpečenia. Už vykonané rozvrhy zostanú nedotknuté.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79</w:t>
              <w:br/>
            </w:r>
            <w:r>
              <w:rPr>
                <w:b w:val="off"/>
                <w:color w:val="000000"/>
                <w:rFonts w:ascii="Times New Roman" w:hAnsi="Times New Roman" w:cs="Times New Roman" w:eastAsia="Times New Roman"/>
                <w:sz w:val="24"/>
              </w:rPr>
              <w:t>Doplnenie k § 79 · Konkurz záložného veriteľa a súbeh konkurzov</w:t>
              <w:br/>
            </w:r>
            <w:r>
              <w:rPr>
                <w:b w:val="off"/>
                <w:color w:val="000000"/>
                <w:rFonts w:ascii="Times New Roman" w:hAnsi="Times New Roman" w:cs="Times New Roman" w:eastAsia="Times New Roman"/>
                <w:sz w:val="24"/>
              </w:rPr>
              <w:t>Navrhujeme ustanoviť, že samotná existencia podzáložného práva nie je dôvodom na zahrnutie podzálohu do súpisu v konkurze na majetok záložného veriteľa. V tomto konkurze sa práva podzáložného veriteľa uplatnia k založenej pohľadávke a plneniu z jej vymoženia alebo speňaženia, bez dotknutia jeho oprávnenia domáhať sa uspokojenia z podzálohu podľa OZ. Pri súbehu konkurzu vlastníka podzálohu a záložného veriteľa treba upraviť vzájomnú informačnú povinnosť správcov, koordináciu uplatnenia práv a evidenciu plnení tak, aby nedošlo k duplicitnému speňaženiu ani k dvojitému uspokojeniu.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120 až 125 a § 132 až 155</w:t>
              <w:br/>
            </w:r>
            <w:r>
              <w:rPr>
                <w:b w:val="off"/>
                <w:color w:val="000000"/>
                <w:rFonts w:ascii="Times New Roman" w:hAnsi="Times New Roman" w:cs="Times New Roman" w:eastAsia="Times New Roman"/>
                <w:sz w:val="24"/>
              </w:rPr>
              <w:t>Doplnenie k § 120 až 125 a § 132 až 155 · Reštrukturalizácia</w:t>
              <w:br/>
            </w:r>
            <w:r>
              <w:rPr>
                <w:b w:val="off"/>
                <w:color w:val="000000"/>
                <w:rFonts w:ascii="Times New Roman" w:hAnsi="Times New Roman" w:cs="Times New Roman" w:eastAsia="Times New Roman"/>
                <w:sz w:val="24"/>
              </w:rPr>
              <w:t>Navrhujeme primerane upraviť uplatnenie a evidenciu podzáložného práva aj v reštrukturalizácii. Treba určiť príjemcu plnenia zo založenej pohľadávky podľa plánu, vylúčiť zdvojenie hlasov a uspokojenia a zabezpečiť informovanie a procesnú ochranu podzáložného veriteľa pri zmene alebo zániku pôvodného zabezpečenia. Úprava má rozlíšiť reštrukturalizáciu vlastníka podzálohu a reštrukturalizáciu záložného veriteľa a koordinovať účinky oboch plánov pri ich súbehu.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Doplnenie k § 167k a § 167l a prechodným ustanoveniam</w:t>
              <w:br/>
            </w:r>
            <w:r>
              <w:rPr>
                <w:b w:val="off"/>
                <w:color w:val="000000"/>
                <w:rFonts w:ascii="Times New Roman" w:hAnsi="Times New Roman" w:cs="Times New Roman" w:eastAsia="Times New Roman"/>
                <w:sz w:val="24"/>
              </w:rPr>
              <w:t>Doplnenie k § 167k a § 167l a prechodným ustanoveniam · Oddlženie a prebiehajúce konania</w:t>
              <w:br/>
            </w:r>
            <w:r>
              <w:rPr>
                <w:b w:val="off"/>
                <w:color w:val="000000"/>
                <w:rFonts w:ascii="Times New Roman" w:hAnsi="Times New Roman" w:cs="Times New Roman" w:eastAsia="Times New Roman"/>
                <w:sz w:val="24"/>
              </w:rPr>
              <w:t>Navrhujeme primerane premietnuť pravidlá podzáložného práva aj do konkurzu pri oddlžení, vrátane oprávnenia iniciovať speňaženie, rozdelenia výťažku a ochrany sporných práv. Treba rozlíšiť účinky oddlženia osobného dlžníka od práv k podzálohu a zosúladiť úpravu s navrhovaným § 167k ods. 4 a 5 a s výplatou správcovi zabezpečenia. Procesné pravidlá navrhujeme použiť aj v konaniach začatých pred účinnosťou zákona, ak podzáložné právo platne vzniklo podľa príslušnej hmotnoprávnej úpravy; účinky už vykonaných úkonov a uskutočnených rozvrhov musia zostať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 Poznámky pod čiarou k odkazom 4, 8a a 9</w:t>
              <w:br/>
            </w:r>
            <w:r>
              <w:rPr>
                <w:b w:val="off"/>
                <w:color w:val="000000"/>
                <w:rFonts w:ascii="Times New Roman" w:hAnsi="Times New Roman" w:cs="Times New Roman" w:eastAsia="Times New Roman"/>
                <w:sz w:val="24"/>
              </w:rPr>
              <w:t>Navrhujeme aktualizovať poznámku pod čiarou k odkazu 4 a nahradiť doterajšie odkazy na Obchodný zákonník a Občiansky zákonník odkazmi na zodpovedajúce ustanovenia nového OZ. Konkrétne náhradné ustanovenia pri odkaze 4 podklad neurčuje, preto ich treba doplniť po vecnom overení. Pri odkaze 8a navrhujeme uviesť § 1597 a pri odkaze 9 § 1592 Občianskeho zákonníka, ako je uvedené v podklade.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 doplnenie k § 24 ods. 1</w:t>
              <w:br/>
            </w:r>
            <w:r>
              <w:rPr>
                <w:b w:val="off"/>
                <w:color w:val="000000"/>
                <w:rFonts w:ascii="Times New Roman" w:hAnsi="Times New Roman" w:cs="Times New Roman" w:eastAsia="Times New Roman"/>
                <w:sz w:val="24"/>
              </w:rPr>
              <w:t>Navrhujeme v § 24 ods. 1 nahradiť slovo „lehota“ slovom „doba“.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 § 13 ods. 4 písm. a) v bod 13</w:t>
              <w:br/>
            </w:r>
            <w:r>
              <w:rPr>
                <w:b w:val="off"/>
                <w:color w:val="000000"/>
                <w:rFonts w:ascii="Times New Roman" w:hAnsi="Times New Roman" w:cs="Times New Roman" w:eastAsia="Times New Roman"/>
                <w:sz w:val="24"/>
              </w:rPr>
              <w:t>Navrhujeme preveriť a opraviť označenie ustanovenia a citáciu vypúšťaného odkazu tak, aby novelizačný bod zodpovedal zneniu novelizovaného zákona. Podklad upozorňuje na nesúlad odkazu, neuvádza však jeho správne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doplnenie</w:t>
              <w:br/>
            </w:r>
            <w:r>
              <w:rPr>
                <w:b w:val="off"/>
                <w:color w:val="000000"/>
                <w:rFonts w:ascii="Times New Roman" w:hAnsi="Times New Roman" w:cs="Times New Roman" w:eastAsia="Times New Roman"/>
                <w:sz w:val="24"/>
              </w:rPr>
              <w:t>Zápis zmeny záložného veriteľa pri subrogácii</w:t>
              <w:br/>
            </w:r>
            <w:r>
              <w:rPr>
                <w:b w:val="off"/>
                <w:color w:val="000000"/>
                <w:rFonts w:ascii="Times New Roman" w:hAnsi="Times New Roman" w:cs="Times New Roman" w:eastAsia="Times New Roman"/>
                <w:sz w:val="24"/>
              </w:rPr>
              <w:t>Navrhujeme doplniť registračný režim prechodu záložného práva k obchodnému podielu v dôsledku subrogácie v nadväznosti na § 399 a § 1627 navrhovaného OZ. Potrebné je určiť oprávnenie podať návrh aj osobe, ktorá nie je účastníkom záložnej zmluvy, predkladané listiny, požiadavky na osvedčenie podpisov a upraviť príslušné formuláre.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CCXXIX. doplnenie</w:t>
              <w:br/>
            </w:r>
            <w:r>
              <w:rPr>
                <w:b w:val="off"/>
                <w:color w:val="000000"/>
                <w:rFonts w:ascii="Times New Roman" w:hAnsi="Times New Roman" w:cs="Times New Roman" w:eastAsia="Times New Roman"/>
                <w:sz w:val="24"/>
              </w:rPr>
              <w:t>Zápis podzáložného práva</w:t>
              <w:br/>
            </w:r>
            <w:r>
              <w:rPr>
                <w:b w:val="off"/>
                <w:color w:val="000000"/>
                <w:rFonts w:ascii="Times New Roman" w:hAnsi="Times New Roman" w:cs="Times New Roman" w:eastAsia="Times New Roman"/>
                <w:sz w:val="24"/>
              </w:rPr>
              <w:t>Navrhujeme doplniť úpravu zápisu podzáložného práva k obchodnému podielu v nadväznosti na § 1661 navrhovaného OZ a zodpovedajúcim spôsobom upraviť registračné formuláre.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CCXXXI. zásadná</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Účinnosť zákona je navrhovaná na 1. júla 2027 spoločne s novým Občianskym zákonníkom. Vzhľadom na očakávaný proces schvaľovania tohto zákona začiatkom roku 2027, a zmenami ktoré tento zákon v mimoriadnom rozsahu prinesie, si dovoľujeme navrhnúť posunúť účinnosť aspoň na 1.1.2028.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čl. LXII doplniť takto:</w:t>
              <w:br/>
            </w:r>
            <w:r>
              <w:rPr>
                <w:b w:val="off"/>
                <w:color w:val="000000"/>
                <w:rFonts w:ascii="Times New Roman" w:hAnsi="Times New Roman" w:cs="Times New Roman" w:eastAsia="Times New Roman"/>
                <w:sz w:val="24"/>
              </w:rPr>
              <w:t>V bode 5 za navrhovaným textom navrhujeme doplniť vetu: „Lehota na splnenie povinnosti správcu dedičstva podľa predchádzajúcej vety začína plynúť odo dňa, keď sa správca dedičstva preukázateľne dozvedel, že je správcom dedičstva.“</w:t>
              <w:br/>
            </w:r>
            <w:r>
              <w:rPr>
                <w:b w:val="off"/>
                <w:color w:val="000000"/>
                <w:rFonts w:ascii="Times New Roman" w:hAnsi="Times New Roman" w:cs="Times New Roman" w:eastAsia="Times New Roman"/>
                <w:sz w:val="24"/>
              </w:rPr>
              <w:t>K bodu 11: Navrhujeme v ustanovení § 38 ods. 5 doplniť poslednú vetu: „Lehota na splnenie povinnosti správcu dedičstva podľa tohto odseku začína plynúť odo dňa, keď sa správca dedičstva preukázateľne dozvedel, že je správcom dedičstva.“.</w:t>
              <w:br/>
            </w:r>
            <w:r>
              <w:rPr>
                <w:b w:val="off"/>
                <w:color w:val="000000"/>
                <w:rFonts w:ascii="Times New Roman" w:hAnsi="Times New Roman" w:cs="Times New Roman" w:eastAsia="Times New Roman"/>
                <w:sz w:val="24"/>
              </w:rPr>
              <w:t>V bode 12 sa v § 38 ods. 3 písm. c) na konci pripájajú tieto slová: „po uplynutí lehoty podľa § 23a ods. 10 tretej vety alebo § 35 ods. 8 poslednej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po novom ukladá správcovi dedičstva povinnosť uložiť dokumenty za účtovnú jednotku, ktorá zomrela (§ 23a ods. 10) a povinnosť podľa § 35 ods. 8. Za ich porušenie mu podľa § 38 ods. 3 písm. c) hrozí pokuta. Návrh však neupravuje, odkedy má správca dedičstva tieto povinnosti plniť. Lehoty podľa zákona o účtovníctve, napríklad na uloženie účtovnej závierky, tak plynú ďalej aj po smrti účtovnej jednotky, hoci povinnosti nemá kto splniť. Správca dedičstva v tom čase ešte nemusí byť ustanovený, prípadne sa o svojom ustanovení ešte nedozvedel. Pri dedičskom konaní, ktoré často trvá dlhšie, môže lehota uplynúť skôr, ako správca dedičstva vôbec mohol začať konať. Následne by bol sankcionovaný za omeškanie, ktoré nemohol ovplyvniť.</w:t>
              <w:br/>
            </w:r>
            <w:r>
              <w:rPr>
                <w:b w:val="off"/>
                <w:color w:val="000000"/>
                <w:rFonts w:ascii="Times New Roman" w:hAnsi="Times New Roman" w:cs="Times New Roman" w:eastAsia="Times New Roman"/>
                <w:sz w:val="24"/>
              </w:rPr>
              <w:t>Navrhujeme preto, aby lehoty na splnenie týchto povinností plynuli správcovi dedičstva nanovo, a to odo dňa, keď sa dozvedel, že je správcom dedičstva. Zároveň má mať primeranú dodatočnú lehotu. Pokutu podľa § 38 ods. 3 písm. c) by mu bolo možné uložiť až po uplynutí tejto lehoty. Návrh odstraňuje právnu neistotu a zabraňuje sankcionovaniu osôb, ktoré povinnosť objektívne nemohli splniť včas. Je tiež v súlade s cieľom predkladateľa uvedeným v dôvodovej správe, teda zabezpečiť riadne plnenie povinností za zomrelú účtovnú jednotku.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 ods. 6</w:t>
              <w:br/>
            </w:r>
            <w:r>
              <w:rPr>
                <w:b w:val="off"/>
                <w:color w:val="000000"/>
                <w:rFonts w:ascii="Times New Roman" w:hAnsi="Times New Roman" w:cs="Times New Roman" w:eastAsia="Times New Roman"/>
                <w:sz w:val="24"/>
              </w:rPr>
              <w:t>Zásadná pripomienka k bodu 2 -</w:t>
              <w:br/>
            </w:r>
            <w:r>
              <w:rPr>
                <w:b w:val="off"/>
                <w:color w:val="000000"/>
                <w:rFonts w:ascii="Times New Roman" w:hAnsi="Times New Roman" w:cs="Times New Roman" w:eastAsia="Times New Roman"/>
                <w:sz w:val="24"/>
              </w:rPr>
              <w:t>Podľa navrhovaného doplnenia § 3 ods. 6 Daňového poriadku sa pre účely správy daní nemá prihliadať na právne vzťahy zo zmluvy o spoločnom imaní manželov a z dedičskej zmluvy uskutočnené bez riadneho dôvodu, a ktorých najmenej jedným z účelov je obchádzanie daňovej povinnosti alebo získania takého zvýhodnenia, na ktoré by inak nebol daňový subjekt oprávnený. Navrhovanú právnu úpravu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Navrhovanú úpravu považujeme za nadbytočnú, pričom jej prijatie môže naopak prispieť k zvýšeniu právnej neistoty a vytvoriť priestor na potenciálne neprimerane široké uplatňovanie oprávnení finančnej správy. Uvedené riziko vyplýva najmä zo skutočnosti, že v Daňovom poriadku nie je zadefinovaný pojem „riadny dôvod“, v dôsledku čoho nie je zrejmé, aké konkrétne okolnosti by odôvodňovali aplikáciu predmetného ustanovenia.  Predmetné ustanovenie sa nejaví v súlade s čl. 2 ods. 1 Občianskeho zákonníka, na základe ktorého si každý môže podľa svojej vlastnej vôle usporiadať svoje súkromné záležitosti.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súčasného znenia ustanovenia § 3 ods. 6 Daňového poriadku sa pri uplatňovaní osobitných predpisov pri správe daní berie do úvahy skutočný obsah právneho úkonu alebo inej skutočnosti rozhodujúcej pre zistenie, vyrubenie alebo vybratie dane. Na právny úkon, viacero právnych úkonov alebo iné skutočnosti uskutočnené bez riadneho podnikateľského dôvodu alebo iného dôvodu, ktorý odráža ekonomickú realitu, a ktorých najmenej jedným z účelov je obchádzanie daňovej povinnosti alebo získanie takého daňového zvýhodnenia, na ktoré by inak nebol daňový subjekt oprávnený, sa pri správe daní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 ods. 2 písm. e)</w:t>
              <w:br/>
            </w:r>
            <w:r>
              <w:rPr>
                <w:b w:val="off"/>
                <w:color w:val="000000"/>
                <w:rFonts w:ascii="Times New Roman" w:hAnsi="Times New Roman" w:cs="Times New Roman" w:eastAsia="Times New Roman"/>
                <w:sz w:val="24"/>
              </w:rPr>
              <w:t>Zásadná pripomienka k bodu 3 -</w:t>
              <w:br/>
            </w:r>
            <w:r>
              <w:rPr>
                <w:b w:val="off"/>
                <w:color w:val="000000"/>
                <w:rFonts w:ascii="Times New Roman" w:hAnsi="Times New Roman" w:cs="Times New Roman" w:eastAsia="Times New Roman"/>
                <w:sz w:val="24"/>
              </w:rPr>
              <w:t>Navrhujeme doplniť § 4 ods. 2 písm.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podporca podľa § 201 Občianskeho zákonníka. Podporca napomáha daňovému subjektu v konaní voči správcovi dane pri správe daní. Správca dane má rovnaké povinnosti voči podporcovi daňového subjektu ako voči daňovému subjektu. Podporované rozhodovanie nie je zastupovaním.“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navrhovaného doplnenia ustanovenia § 4 ods. 2 písm. e) Daňového poriadku podporca nie je zástupca pre účely správy dane. Podporca je osobou zúčastnenou na správe daní. Účelom inštitútu podporcu je napomáhať fyzickej osobe pri rozhodovaní.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navrhovaného znenia je účasť podporcu obmedzená iba na osobnú prítomnosť na úkonoch pri správe daní, čo sa javí v rozpore s účelom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je uvedené, že daňový subjekt vykonáva právne úkony sám, čo je v rozpore s občiansko-právnym ponímaním inštitútu podporcu.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nie sú upravené procesné pravidlá účasti podporcu pri správe daní, ako napríklad :</w:t>
              <w:br/>
            </w:r>
            <w:r>
              <w:rPr>
                <w:b w:val="off"/>
                <w:color w:val="000000"/>
                <w:rFonts w:ascii="Times New Roman" w:hAnsi="Times New Roman" w:cs="Times New Roman" w:eastAsia="Times New Roman"/>
                <w:sz w:val="24"/>
              </w:rPr>
              <w:t>-	oznámenie o ustanovení podporcu,</w:t>
              <w:br/>
            </w:r>
            <w:r>
              <w:rPr>
                <w:b w:val="off"/>
                <w:color w:val="000000"/>
                <w:rFonts w:ascii="Times New Roman" w:hAnsi="Times New Roman" w:cs="Times New Roman" w:eastAsia="Times New Roman"/>
                <w:sz w:val="24"/>
              </w:rPr>
              <w:t>-	procesné práva a povinnosti správcu dane pri ustanovení podporcu,</w:t>
              <w:br/>
            </w:r>
            <w:r>
              <w:rPr>
                <w:b w:val="off"/>
                <w:color w:val="000000"/>
                <w:rFonts w:ascii="Times New Roman" w:hAnsi="Times New Roman" w:cs="Times New Roman" w:eastAsia="Times New Roman"/>
                <w:sz w:val="24"/>
              </w:rPr>
              <w:t>-	doručovanie,</w:t>
              <w:br/>
            </w:r>
            <w:r>
              <w:rPr>
                <w:b w:val="off"/>
                <w:color w:val="000000"/>
                <w:rFonts w:ascii="Times New Roman" w:hAnsi="Times New Roman" w:cs="Times New Roman" w:eastAsia="Times New Roman"/>
                <w:sz w:val="24"/>
              </w:rPr>
              <w:t>čo môže viesť k aplikačným problémom a k riziku, že správca dane vykoná úkony voči daňovému subjektu bez toho, aby získal podporu od odporcu, čo je v rozpore s účelom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w:t>
              <w:br/>
            </w:r>
            <w:r>
              <w:rPr>
                <w:b w:val="off"/>
                <w:color w:val="000000"/>
                <w:rFonts w:ascii="Times New Roman" w:hAnsi="Times New Roman" w:cs="Times New Roman" w:eastAsia="Times New Roman"/>
                <w:sz w:val="24"/>
              </w:rPr>
              <w:t>Navrhujeme dopracovať ustanovenie § 4a návrhu v článku IV bod 5 tak, aby jednoznačne upravovalo rozsah oprávnení a povinností správcu dedičstva na účely správy daní, najmä pri plnení daňových povinností zomrelého daňového subjektu a zastupovaní obchodnej spoločnosti po smrti jej jediného konateľa a spoločníka.</w:t>
              <w:br/>
            </w:r>
            <w:r>
              <w:rPr>
                <w:b w:val="off"/>
                <w:color w:val="000000"/>
                <w:rFonts w:ascii="Times New Roman" w:hAnsi="Times New Roman" w:cs="Times New Roman" w:eastAsia="Times New Roman"/>
                <w:sz w:val="24"/>
              </w:rPr>
              <w:t>Osobitne navrhujeme vyriešiť zabezpečenie elektronickej komunikácie so správcom dane, kontinuitu existujúcich plnomocenstiev a plnenie daňových povinností do ustanovenia osoby oprávnenej konať.</w:t>
              <w:br/>
            </w:r>
            <w:r>
              <w:rPr>
                <w:b w:val="off"/>
                <w:color w:val="000000"/>
                <w:rFonts w:ascii="Times New Roman" w:hAnsi="Times New Roman" w:cs="Times New Roman" w:eastAsia="Times New Roman"/>
                <w:sz w:val="24"/>
              </w:rPr>
              <w:t>Zároveň navrhujeme zvážiť úpravu postavenia likvidátora kancelárie zosnulého daňového poradcu, ktorého môže určiť SKDP, tak, aby bolo možné zabezpečiť neodkladné procesné úkony v prospech klientov zosnulého poradcu.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predísť aplikačným problémom, keď v dôsledku úmrtia daňového subjektu, jediného konateľa alebo daňového poradcu nie je možné včas zabezpečiť plnenie daňových povinností a ochranu práv dotknutých daňových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w:t>
              <w:br/>
            </w:r>
            <w:r>
              <w:rPr>
                <w:b w:val="off"/>
                <w:color w:val="000000"/>
                <w:rFonts w:ascii="Times New Roman" w:hAnsi="Times New Roman" w:cs="Times New Roman" w:eastAsia="Times New Roman"/>
                <w:sz w:val="24"/>
              </w:rPr>
              <w:t>Zásadná pripomienka k bodu 5 -</w:t>
              <w:br/>
            </w:r>
            <w:r>
              <w:rPr>
                <w:b w:val="off"/>
                <w:color w:val="000000"/>
                <w:rFonts w:ascii="Times New Roman" w:hAnsi="Times New Roman" w:cs="Times New Roman" w:eastAsia="Times New Roman"/>
                <w:sz w:val="24"/>
              </w:rPr>
              <w:t>Navrhujeme vypustenie navrhovaného ustanovenia §4a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sa navrhovateľ s návrhom na vypustenie navrhovanej úpravy § 4a nestotožní, odporúčame zvážiť úpravu znenia navrhovaného ustanovenia § 4a ods. 2 v poslednej vete, ktorým sa vylučuje možnosť podať opravný prostriedok, a to nasledovne:  </w:t>
              <w:br/>
            </w:r>
            <w:r>
              <w:rPr>
                <w:b w:val="off"/>
                <w:color w:val="000000"/>
                <w:rFonts w:ascii="Times New Roman" w:hAnsi="Times New Roman" w:cs="Times New Roman" w:eastAsia="Times New Roman"/>
                <w:sz w:val="24"/>
              </w:rPr>
              <w:t>„Osoba určená správcom dane ako správca dedičstva môže výkon správy dedičstva odmietnuť do 15 dní odo dňa doručenia rozhodnutia správcu dane o určení správcu dedičstva.“.</w:t>
              <w:br/>
            </w:r>
            <w:r>
              <w:rPr>
                <w:b w:val="off"/>
                <w:color w:val="000000"/>
                <w:rFonts w:ascii="Times New Roman" w:hAnsi="Times New Roman" w:cs="Times New Roman" w:eastAsia="Times New Roman"/>
                <w:sz w:val="24"/>
              </w:rPr>
              <w:t>Úpravou navrhovaného znenia ustanovenia § 4a ods. 2 v poslednej vete by sa určeným správcom dedičstva malo umožniť aspoň jeden raz využiť opravný prostriedok proti rozhodnutiu správcu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určenie správcu dedičstva je predmetom úpravy § 182 až §186 nasl. návrhu zákona č. 161/2015 Z. z. Civilný mimosporový poriadok, pričom tento inštitút upravuje inak, než ako je navrhované v § 4a Daňového poriadku, dovoľujeme si poukázať na riziko vzniku dvojkoľajnosti právnej úpravy inštitútu správcu dedičstva. Takýto stav môže viesť k nejednotnému výkladu a aplikácii právnych predpisov, a v konečnom dôsledku k zvýšeniu právnej neistoty.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upozorňujeme na možný nesúlad s Občianskym zákonníkom (princíp dobrovoľnosti zastupovania) a s článkom 18 Ústavy SR, ktorým sa ustanovuje všeobecný zákaz nútených prác a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to, že podľa navrhovaného § 4a ods. 2 proti rozhodnutiu o určení správcu dedičstva na účely správy daní nie je prípustný opravný prostriedok. Predmetné ustanovenie nenastavuje kritériá, na základe ktorých má správca dane vybrať správcu dedičstva. Navyše vybraná osoba nemá možnosť odmietnuť výkon správcu dedičstva, čo je v rozpore s civilno-právnou úpravou (dobrovoľnosť zastupovania). Vzhľadom na aplikačnú prax, v rámci ktorej nemožno vždy zaručiť dostatočne presvedčivé a plne odôvodnené rozhodnutia správcu dane, považujeme za nevyhnutné zabezpečiť zachovanie a účinnú ochranu práv a oprávnených záujmov dedičov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§4a ods. 2 a § 4a ods. 3 vykazuje vzájomný rozpor. V prípade, ak správca dane v súlade s § 4a ods. 2 správcu dedičstva vymenuje, resp. je povinný ho vymenovať, nemôže dôjsť k naplneniu hypotézy predpokladanej v § 4 ods. 3. Uvedené ustanovenia sú preto vo vzájomnom nesúlade, čo môže viesť k aplikačným nejasnostiam pri ich praktickom uplatňovaní.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 ods. 3</w:t>
              <w:br/>
            </w:r>
            <w:r>
              <w:rPr>
                <w:b w:val="off"/>
                <w:color w:val="000000"/>
                <w:rFonts w:ascii="Times New Roman" w:hAnsi="Times New Roman" w:cs="Times New Roman" w:eastAsia="Times New Roman"/>
                <w:sz w:val="24"/>
              </w:rPr>
              <w:t>Zásadná pripomienka k bodu 5 -</w:t>
              <w:br/>
            </w:r>
            <w:r>
              <w:rPr>
                <w:b w:val="off"/>
                <w:color w:val="000000"/>
                <w:rFonts w:ascii="Times New Roman" w:hAnsi="Times New Roman" w:cs="Times New Roman" w:eastAsia="Times New Roman"/>
                <w:sz w:val="24"/>
              </w:rPr>
              <w:t xml:space="preserve">V prípade, ak sa navrhovateľ nestotožní s návrhom na vypustenie celého navrhovaného ustanovenia § 4a Daňového poriadku, odporúčame v odseku 3 tohto ustanovenia § 4a nahradiť slová „ správcom dedičstva na účely správy daní notára alebo súdneho komisára“ nasledovne: „správca dane určí za správcu dedičstva na účely správy daní notára ako súdneho komisára. Proti rozhodnutiu správcu dane nie je prípustné odvolanie.“. </w:t>
              <w:br/>
            </w:r>
            <w:r>
              <w:rPr>
                <w:b w:val="off"/>
                <w:color w:val="000000"/>
                <w:rFonts w:ascii="Times New Roman" w:hAnsi="Times New Roman" w:cs="Times New Roman" w:eastAsia="Times New Roman"/>
                <w:sz w:val="24"/>
              </w:rPr>
              <w:t>Odôvodnenie: Navrhované ustanovenie § 4a odsek 3 neupravuje, kto stanoví za správcu dedičstva notára alebo súdneho komisára.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 ods. 4</w:t>
              <w:br/>
            </w:r>
            <w:r>
              <w:rPr>
                <w:b w:val="off"/>
                <w:color w:val="000000"/>
                <w:rFonts w:ascii="Times New Roman" w:hAnsi="Times New Roman" w:cs="Times New Roman" w:eastAsia="Times New Roman"/>
                <w:sz w:val="24"/>
              </w:rPr>
              <w:t xml:space="preserve">Zásadná pripomienka k bodu 5 - </w:t>
              <w:br/>
            </w:r>
            <w:r>
              <w:rPr>
                <w:b w:val="off"/>
                <w:color w:val="000000"/>
                <w:rFonts w:ascii="Times New Roman" w:hAnsi="Times New Roman" w:cs="Times New Roman" w:eastAsia="Times New Roman"/>
                <w:sz w:val="24"/>
              </w:rPr>
              <w:t>V prípade, ak sa navrhovateľ nestotožní s návrhom na vypustenie navrhovaného ustanovenia § 4a Daňového poriadku, navrhujeme doplniť § 4 ods. 2 o bod f) ktorý znie:</w:t>
              <w:br/>
            </w:r>
            <w:r>
              <w:rPr>
                <w:b w:val="off"/>
                <w:color w:val="000000"/>
                <w:rFonts w:ascii="Times New Roman" w:hAnsi="Times New Roman" w:cs="Times New Roman" w:eastAsia="Times New Roman"/>
                <w:sz w:val="24"/>
              </w:rPr>
              <w:t>„f) správca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navrhovaného ustanovenia § 4a ods. 4 Daňového poriadku správca dedičstva až do právoplatného skončenia konania o dedičstve vykonáva práva daňového subjektu a plní povinnosti daňového subjektu. Z predmetného ustanovenia nie je dostatočne zrejmé, aké právne dôsledky bude mať výkon práv a povinností daňového subjektu správcom dedičstva pre samotného správcu dedičstva. Treba oddeliť procesnú správu od vlastnej zodpovednosti správcu dedičstva. Správca dedičstva by mal mať postavenie osoby zúčastnenej na správe dani a nie postavenie daňového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 ods. 4</w:t>
              <w:br/>
            </w:r>
            <w:r>
              <w:rPr>
                <w:b w:val="off"/>
                <w:color w:val="000000"/>
                <w:rFonts w:ascii="Times New Roman" w:hAnsi="Times New Roman" w:cs="Times New Roman" w:eastAsia="Times New Roman"/>
                <w:sz w:val="24"/>
              </w:rPr>
              <w:t xml:space="preserve">Zásadná pripomienka k bodu 5 - </w:t>
              <w:br/>
            </w:r>
            <w:r>
              <w:rPr>
                <w:b w:val="off"/>
                <w:color w:val="000000"/>
                <w:rFonts w:ascii="Times New Roman" w:hAnsi="Times New Roman" w:cs="Times New Roman" w:eastAsia="Times New Roman"/>
                <w:sz w:val="24"/>
              </w:rPr>
              <w:t>V prípade, ak sa navrhovateľ nestotožní s návrhom na vypustenie navrhovaného ustanovenia § 4a, odporúčame v odseku 4 tohto ustanovenia § 4a zmeniť prvú vetu nasledovne:</w:t>
              <w:br/>
            </w:r>
            <w:r>
              <w:rPr>
                <w:b w:val="off"/>
                <w:color w:val="000000"/>
                <w:rFonts w:ascii="Times New Roman" w:hAnsi="Times New Roman" w:cs="Times New Roman" w:eastAsia="Times New Roman"/>
                <w:sz w:val="24"/>
              </w:rPr>
              <w:t xml:space="preserve">„Správca dedičstva sa na účely správy daní vykonáva odo dňa svojho právoplatného ustanovenia až do právoplatného skončenia konania o dedičstve práva daňového subjektu a plní povinnosti daňového subjektu podľa tohto zákona a osobitných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doplniť za poslednú vetu navrhovaného §4a ods. 4 túto vetu:</w:t>
              <w:br/>
            </w:r>
            <w:r>
              <w:rPr>
                <w:b w:val="off"/>
                <w:color w:val="000000"/>
                <w:rFonts w:ascii="Times New Roman" w:hAnsi="Times New Roman" w:cs="Times New Roman" w:eastAsia="Times New Roman"/>
                <w:sz w:val="24"/>
              </w:rPr>
              <w:t>„Od smrti daňového subjektu do právoplatného ustanovenia správcu dedičstva spočívajú lehoty podľa tohto zákona 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ustanovenia § 4a ods. 4 Daňového poriadku správca dedičstva na účely správy dani vykonáva práva daňového subjektu a plní povinnosti daňového subjektu odo dňa smrti daňového subjektu až do právoplatného skončenia konania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Môže nastať situácia, keď bude správca dedičstva ustanovený až s časovým odstupom odo dňa smrti daňového subjektu, v dôsledku čoho objektívne nebude môcť vykonávať príslušné procesné úkony spätne, t. j. za obdobie pred jeho ustanovením. Navrhovaná právna úprava tak vytvára riziko vzniku situácií, v ktorých nebude možné dodržať zákonom ustanovené procesné lehoty, ako aj následných sporov týkajúcich sa ukladania sankcií za nesplnenie povinností v období pred ustanovením správcu dedičstva. Takto koncipované ustanovenie preto môže viesť k neprimeranej právnej neistote a k porušeniu princípu právnej istoty ako jedného zo základných princípov právneho štátu, vyplývajúceho z čl. 1 ods. 1 Ústavy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4a ods. 6</w:t>
              <w:br/>
            </w:r>
            <w:r>
              <w:rPr>
                <w:b w:val="off"/>
                <w:color w:val="000000"/>
                <w:rFonts w:ascii="Times New Roman" w:hAnsi="Times New Roman" w:cs="Times New Roman" w:eastAsia="Times New Roman"/>
                <w:sz w:val="24"/>
              </w:rPr>
              <w:t xml:space="preserve">Zásadná pripomienka k bodu 5 - </w:t>
              <w:br/>
            </w:r>
            <w:r>
              <w:rPr>
                <w:b w:val="off"/>
                <w:color w:val="000000"/>
                <w:rFonts w:ascii="Times New Roman" w:hAnsi="Times New Roman" w:cs="Times New Roman" w:eastAsia="Times New Roman"/>
                <w:sz w:val="24"/>
              </w:rPr>
              <w:t xml:space="preserve">V prípade, ak sa navrhovateľ nestotožní s návrhom na vypustenie navrhovaného ustanovenia § 4a, odporúčame upraviť znenie § 4a ods. 6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 smrti daňového subjektu, ktorý bol spoločníkom alebo konateľom spoločnosti, ktorého obchodný podiel je predmetom dedičského konania, spočívajú lehoty, pri správe daní tejto obchodnej spoločnosti podľa tohto zákona a osobitných predpisov, až do právoplatného rozhodnutia o dedičstve.“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navrhovaného ustanovenia § 4a ods. 6 Daňového poriadku zastupuje správca dedičstva pre účely správy dane obchodnú spoločnosť, ktorej obchodný podiel je predmetom dedičstva a ktorej jediný konateľ a spoločník zomrel. Týmto návrhom sa práva a povinnosti správcu dedičstva rozširujú aj na inú osobu – právnickú osobu. Poukazujeme na rozpor s príslušnými ustanoveniami zákona č. 513/1991 Zb. Obchodný zákonník, ktoré neumožňujú správcovi dedičstva disponovať majetkom obchodnej spoločnosti (napr. disponovať bežným účtom).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nerieši situáciu, keď spoločník, ktorý zomrel, nebol jediným spoločníkom obchodnej spoločnosti, avšak disponoval väčšinovým obchodným podielom, ani situáciu, keď poručiteľ nebol jediným konateľom spoločnosti, avšak spôsob konania za spoločnosť vyžadoval jeho súčinnosť s ostatnými konateľmi. V uvedených prípadoch nie je zrejmé, akým spôsobom bude zabezpečený výkon práv spoločníka, resp. konanie v mene spoločnosti po jeho smrti, čo môže viesť k obmedzeniu riadneho fungovania spoločnosti a k vzniku právnej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4b ods. 1</w:t>
              <w:br/>
            </w:r>
            <w:r>
              <w:rPr>
                <w:b w:val="off"/>
                <w:color w:val="000000"/>
                <w:rFonts w:ascii="Times New Roman" w:hAnsi="Times New Roman" w:cs="Times New Roman" w:eastAsia="Times New Roman"/>
                <w:sz w:val="24"/>
              </w:rPr>
              <w:t xml:space="preserve">Zásadná pripomienka k bodu 5 - </w:t>
              <w:br/>
            </w:r>
            <w:r>
              <w:rPr>
                <w:b w:val="off"/>
                <w:color w:val="000000"/>
                <w:rFonts w:ascii="Times New Roman" w:hAnsi="Times New Roman" w:cs="Times New Roman" w:eastAsia="Times New Roman"/>
                <w:sz w:val="24"/>
              </w:rPr>
              <w:t>S cieľom zosúladenia navrhovaného § 4b ods. 1 Daňového poriadku s Občianskym zákonníkom navrhujeme doplniť za slovo „nástupcu“ slová „v súlade s §§ 1730 – 1889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poukázať na možný nesúlad navrhovaného ustanovenia § 4b ods. 1 Daňového poriadku v znení: „Práva a povinnosti daňového subjektu prechádzajú na právneho nástupcu.“ s § 1878 Občianskeho zákonníka, v zmysle ktorého právny nástupca (dedič) zodpovedá za dlhy do výšky nadobudnutého dedičstva.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9 ods. 10</w:t>
              <w:br/>
            </w:r>
            <w:r>
              <w:rPr>
                <w:b w:val="off"/>
                <w:color w:val="000000"/>
                <w:rFonts w:ascii="Times New Roman" w:hAnsi="Times New Roman" w:cs="Times New Roman" w:eastAsia="Times New Roman"/>
                <w:sz w:val="24"/>
              </w:rPr>
              <w:t>Zásadná pripomienka k bodu 8 -</w:t>
              <w:br/>
            </w:r>
            <w:r>
              <w:rPr>
                <w:b w:val="off"/>
                <w:color w:val="000000"/>
                <w:rFonts w:ascii="Times New Roman" w:hAnsi="Times New Roman" w:cs="Times New Roman" w:eastAsia="Times New Roman"/>
                <w:sz w:val="24"/>
              </w:rPr>
              <w:t xml:space="preserve">S odvolaním sa na Občianskym zákonník, ktorým sa zakotvuje princíp dobrovoľnosti zastupovania a článok 18 Ústavy SR, ktorým sa ustanovuje všeobecný zákaz nútených prác a služieb, navrhujeme zmeniť poslednú vetu navrhovaného znenia § 9 ods. 10 Daňového poriadku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 rozhodnutiu o určení spoločného zástupcu možno podať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 9 ods. 10 Daňového poriadku nie je možné podať odvolanie proti rozhodnutiu správcu dane o určení spoločného zástupcu z radov daňových subjektov, ktoré nemajú postavenie advokátov alebo notárov.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29a</w:t>
              <w:br/>
            </w:r>
            <w:r>
              <w:rPr>
                <w:b w:val="off"/>
                <w:color w:val="000000"/>
                <w:rFonts w:ascii="Times New Roman" w:hAnsi="Times New Roman" w:cs="Times New Roman" w:eastAsia="Times New Roman"/>
                <w:sz w:val="24"/>
              </w:rPr>
              <w:t xml:space="preserve">Zásadná pripomienka k bodu 9 - </w:t>
              <w:br/>
            </w:r>
            <w:r>
              <w:rPr>
                <w:b w:val="off"/>
                <w:color w:val="000000"/>
                <w:rFonts w:ascii="Times New Roman" w:hAnsi="Times New Roman" w:cs="Times New Roman" w:eastAsia="Times New Roman"/>
                <w:sz w:val="24"/>
              </w:rPr>
              <w:t>S cieľom zosúladenia s Občianskym zákonníkom navrhujeme zmeniť navrhované znenie §29a Daňového poriadku nasledovne:</w:t>
              <w:br/>
            </w:r>
            <w:r>
              <w:rPr>
                <w:b w:val="off"/>
                <w:color w:val="000000"/>
                <w:rFonts w:ascii="Times New Roman" w:hAnsi="Times New Roman" w:cs="Times New Roman" w:eastAsia="Times New Roman"/>
                <w:sz w:val="24"/>
              </w:rPr>
              <w:t xml:space="preserve">„§29a </w:t>
              <w:br/>
            </w:r>
            <w:r>
              <w:rPr>
                <w:b w:val="off"/>
                <w:color w:val="000000"/>
                <w:rFonts w:ascii="Times New Roman" w:hAnsi="Times New Roman" w:cs="Times New Roman" w:eastAsia="Times New Roman"/>
                <w:sz w:val="24"/>
              </w:rPr>
              <w:t>Počítanie, predĺženie, zmeškanie doby a spočívanie lehoty.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počítanie, predĺženie, zmeškanie doby a spočívanie lehoty podľa tohto zákona alebo osobitných predpisov,1) sa použijú pravidlá pre počítanie, predĺženie a zmeškanie lehoty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ustanovení § 29a chýba naviazanie na spočívanie lehôt, ktoré upravuje Občiansky zákonník.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55 ods. 14</w:t>
              <w:br/>
            </w:r>
            <w:r>
              <w:rPr>
                <w:b w:val="off"/>
                <w:color w:val="000000"/>
                <w:rFonts w:ascii="Times New Roman" w:hAnsi="Times New Roman" w:cs="Times New Roman" w:eastAsia="Times New Roman"/>
                <w:sz w:val="24"/>
              </w:rPr>
              <w:t xml:space="preserve">Zásadná pripomienka k bodu 15 - </w:t>
              <w:br/>
            </w:r>
            <w:r>
              <w:rPr>
                <w:b w:val="off"/>
                <w:color w:val="000000"/>
                <w:rFonts w:ascii="Times New Roman" w:hAnsi="Times New Roman" w:cs="Times New Roman" w:eastAsia="Times New Roman"/>
                <w:sz w:val="24"/>
              </w:rPr>
              <w:t>S cieľom odstránenia nesúladu s Občianskym zákonníkom odporúčame odsek 14 v § 55 Daňového poriadku ponechať, pokiaľ nebude prijatý návrh na zmenu v navrhovanom ustanovení § 4b ods. 1 Daňového poriadku v zmysle našej pripomienky k čl. IV bod 5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návrhu na vypustenie § 55 ods. 14 Daňového poriadku si dovoľujeme poukázať na to, že v prípade, ak nedôjde k súčasnej úprave navrhovaného § 4b ods. 1 Daňového poriadku, vypustenie odseku 14 v § 55 môže viesť k situácii, v ktorej bude dedič povinný uhradiť daňové nedoplatky poručiteľa aj nad rámec hodnoty majetku nadobudnutého v dedičskom konaní. Takýto právny následok by bol v rozpore s princípom obmedzenej zodpovednosti dediča za dlhy poručiteľa, ako aj s koncepciou právnej úpravy dedenia podľa Občianskeho zákonníka. Z uvedeného dôvodu považujeme za nevyhnutné zachovať vzájomný súlad dotknutých ustanovení a predísť vzniku právnej neistoty v otázke rozsahu zodpovednosti dediča za daňové záväzky poručiteľa.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88 ods. 4</w:t>
              <w:br/>
            </w:r>
            <w:r>
              <w:rPr>
                <w:b w:val="off"/>
                <w:color w:val="000000"/>
                <w:rFonts w:ascii="Times New Roman" w:hAnsi="Times New Roman" w:cs="Times New Roman" w:eastAsia="Times New Roman"/>
                <w:sz w:val="24"/>
              </w:rPr>
              <w:t xml:space="preserve">Zásadná pripomienka k bodu 22 - </w:t>
              <w:br/>
            </w:r>
            <w:r>
              <w:rPr>
                <w:b w:val="off"/>
                <w:color w:val="000000"/>
                <w:rFonts w:ascii="Times New Roman" w:hAnsi="Times New Roman" w:cs="Times New Roman" w:eastAsia="Times New Roman"/>
                <w:sz w:val="24"/>
              </w:rPr>
              <w:t>S cieľom zosúladenia navrhovaného znenia ustanovenia § 88 ods. 4  s inými právnymi predpismi navrhujeme pred slovo „veci“ vložiť slovo „prevoditeľné“.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88 ods. 4 v navrhovanom znení je naviazané na navrhované znenie § 2 písm. i) až k) Daňového poriadku, podľa ktorého je</w:t>
              <w:br/>
            </w:r>
            <w:r>
              <w:rPr>
                <w:b w:val="off"/>
                <w:color w:val="000000"/>
                <w:rFonts w:ascii="Times New Roman" w:hAnsi="Times New Roman" w:cs="Times New Roman" w:eastAsia="Times New Roman"/>
                <w:sz w:val="24"/>
              </w:rPr>
              <w:t>i) vecou predmet právnych vzťahov podľa § 18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 2 písm. j)</w:t>
              <w:br/>
            </w:r>
            <w:r>
              <w:rPr>
                <w:b w:val="off"/>
                <w:color w:val="000000"/>
                <w:rFonts w:ascii="Times New Roman" w:hAnsi="Times New Roman" w:cs="Times New Roman" w:eastAsia="Times New Roman"/>
                <w:sz w:val="24"/>
              </w:rPr>
              <w:t xml:space="preserve"> j) nehnuteľnou vecou pozemok, stavba spojená so zemou pevným základom, byt alebo nebytový priestor, vrátane ich súčasti a príslušenstva (ďalej len „nehnuteľnosť“),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 2 písm. k)</w:t>
              <w:br/>
            </w:r>
            <w:r>
              <w:rPr>
                <w:b w:val="off"/>
                <w:color w:val="000000"/>
                <w:rFonts w:ascii="Times New Roman" w:hAnsi="Times New Roman" w:cs="Times New Roman" w:eastAsia="Times New Roman"/>
                <w:sz w:val="24"/>
              </w:rPr>
              <w:t>k) hnuteľnou vecou vec, ktorá nie je nehnuteľnou vecou, živé zviera, digitálny obsah, ovládateľná prírodná sila a energia, právo alebo iná majetková hodnota vrátane práv duševného vlastníctva, vrátane ich súčasti a príslušenstva.“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 daňovej exekúcie nevylučuje práva, ktoré nie sú prevoditeľné, napríklad autorské právo podľa zákona č. 185/2015 Z. z. Autorský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upustiť od nahrádzania doterajších odkazov a poznámok pod čiarou v súvisiacich predpisoch odkazmi na konkrétne ustanovenia Občianskeho zákonníka. Namiesto toho navrhujeme zachovať doterajší spôsob odkazovania, teda všeobecný alebo príkladný odkaz („napríklad“) v poznámke pod čiarou. Ak predkladateľ na odkaze na konkrétne ustanovenie Občianskeho zákonníka trvá, žiadame v dôvodovej správe pri každom takom odkaze výslovne uviesť, že nejde o vecnú zmenu predpisu a že sa ním nemení doterajší výklad dotknutého ustanovenia.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ide v súvisiacich predpisoch o legislatívno-technické a terminologické úpravy v nadväznosti na nový Občiansky zákonník. Priame odkazovanie na konkrétne paragrafy Občianskeho zákonníka však presahuje rámec technickej novelizácie. Zhoršuje sa ním prehľadnosť predpisov a hrozí nesprávny výklad samotného zákona.</w:t>
              <w:br/>
            </w:r>
            <w:r>
              <w:rPr>
                <w:b w:val="off"/>
                <w:color w:val="000000"/>
                <w:rFonts w:ascii="Times New Roman" w:hAnsi="Times New Roman" w:cs="Times New Roman" w:eastAsia="Times New Roman"/>
                <w:sz w:val="24"/>
              </w:rPr>
              <w:t>Mnohé ustanovenia Občianskeho zákonníka sú dispozitívne. Zmluvné strany si teda môžu práva a povinnosti dohodnúť odchylne od nich. Ak na takéto ustanovenie priamo odkáže iný predpis, môže sa vykladať tak, že sa vždy uplatní zákonná úprava podľa odkazovaného paragrafu, a nie úprava, ktorú si strany dohodli. Odkaz na konkrétny paragraf môže tiež viesť k záveru, že sa má použiť len toto ustanovenie, a nie ďalšie súvisiace ustanovenia Občianskeho zákonníka.</w:t>
              <w:br/>
            </w:r>
            <w:r>
              <w:rPr>
                <w:b w:val="off"/>
                <w:color w:val="000000"/>
                <w:rFonts w:ascii="Times New Roman" w:hAnsi="Times New Roman" w:cs="Times New Roman" w:eastAsia="Times New Roman"/>
                <w:sz w:val="24"/>
              </w:rPr>
              <w:t>Dôsledkom je, že dotknuté predpisy bude možné vykladať inak ako doteraz. V skutočnosti teda nepôjde len o legislatívnu úpravu v nadväznosti na prijatie nového Občianskeho zákonníka, ale o vecnú zmenu znenia súvisiacich predpisov. Takáto zmena nemá byť predmetom technickej novelizácie. Ak ju predkladateľ zamýšľa, musí byť riadne odôvodnená a posúdená v rámci novely konkrétneho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Slovenskej komory exekútorov</w:t>
              <w:br/>
            </w:r>
            <w:r>
              <w:rPr>
                <w:b w:val="off"/>
                <w:color w:val="000000"/>
                <w:rFonts w:ascii="Times New Roman" w:hAnsi="Times New Roman" w:cs="Times New Roman" w:eastAsia="Times New Roman"/>
                <w:sz w:val="24"/>
              </w:rPr>
              <w:t>K návrhu zmeny Exekučného poriadku v rámci implementačného zákona k Občianskemu zákonníku</w:t>
              <w:br/>
            </w:r>
            <w:r>
              <w:rPr>
                <w:b w:val="off"/>
                <w:color w:val="000000"/>
                <w:rFonts w:ascii="Times New Roman" w:hAnsi="Times New Roman" w:cs="Times New Roman" w:eastAsia="Times New Roman"/>
                <w:sz w:val="24"/>
              </w:rPr>
              <w:t>Pripomienkujúci subjekt: Slovenská komora exekútorov</w:t>
              <w:br/>
            </w:r>
            <w:r>
              <w:rPr>
                <w:b w:val="off"/>
                <w:color w:val="000000"/>
                <w:rFonts w:ascii="Times New Roman" w:hAnsi="Times New Roman" w:cs="Times New Roman" w:eastAsia="Times New Roman"/>
                <w:sz w:val="24"/>
              </w:rPr>
              <w:t>Predmet pripomienok: zmena zákona Národnej rady Slovenskej republiky č. 233/1995 Z. z. o súdnych exekútoroch a exekučnej činnosti a o zmene a doplnení ďalších zákonov v súvislosti s prijatím nového Občianskeho zákonníka.</w:t>
              <w:br/>
            </w:r>
            <w:r>
              <w:rPr>
                <w:b w:val="off"/>
                <w:color w:val="000000"/>
                <w:rFonts w:ascii="Times New Roman" w:hAnsi="Times New Roman" w:cs="Times New Roman" w:eastAsia="Times New Roman"/>
                <w:sz w:val="24"/>
              </w:rPr>
              <w:t>Slovenská komora exekútorov uplatňuje tieto pripomienky s cieľom zabezpečiť účinnú vymožiteľnosť práva, plynulosť exekučného konania a hospodárny výkon exekučnej činnosti. Nové hmotnoprávne pravidlá musia sprevádzať jednoznačné procesné postupy, ktoré nepresúvajú rozhodovanie súkromnoprávnych sporov ani nepredvídateľné majetkové riziká na súdneho exekútora.</w:t>
              <w:br/>
            </w:r>
            <w:r>
              <w:rPr>
                <w:b w:val="off"/>
                <w:color w:val="000000"/>
                <w:rFonts w:ascii="Times New Roman" w:hAnsi="Times New Roman" w:cs="Times New Roman" w:eastAsia="Times New Roman"/>
                <w:sz w:val="24"/>
              </w:rPr>
              <w:t>Výkon právoplatného rozhodnutia je súčasťou práva na súdnu ochranu; zákonná procesná ochrana sa preto musí nastaviť tak, aby nezmenila vykonateľný nárok na prakticky nevymožiteľnú deklaráciu.</w:t>
              <w:br/>
            </w:r>
            <w:r>
              <w:rPr>
                <w:b w:val="off"/>
                <w:color w:val="000000"/>
                <w:rFonts w:ascii="Times New Roman" w:hAnsi="Times New Roman" w:cs="Times New Roman" w:eastAsia="Times New Roman"/>
                <w:sz w:val="24"/>
              </w:rPr>
              <w:t>Čísla novelizačných bodov zodpovedajú predloženému návrhu zmeny Exekučného poriadku. Odkazy na nový Občiansky zákonník vychádzajú zo znenia schváleného Národnou radou Slovenskej republiky 1. októbra 2026, parlamentná tlač 1312.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44</w:t>
              <w:br/>
            </w:r>
            <w:r>
              <w:rPr>
                <w:b w:val="off"/>
                <w:color w:val="000000"/>
                <w:rFonts w:ascii="Times New Roman" w:hAnsi="Times New Roman" w:cs="Times New Roman" w:eastAsia="Times New Roman"/>
                <w:sz w:val="24"/>
              </w:rPr>
              <w:t>1. Ochrana exekútora pri zákonnom postupe a následných sporoch</w:t>
              <w:br/>
            </w:r>
            <w:r>
              <w:rPr>
                <w:b w:val="off"/>
                <w:color w:val="000000"/>
                <w:rFonts w:ascii="Times New Roman" w:hAnsi="Times New Roman" w:cs="Times New Roman" w:eastAsia="Times New Roman"/>
                <w:sz w:val="24"/>
              </w:rPr>
              <w:t>Všeobecná pripomienka k § 31, § 44 a novým ustanoveniam o spoločnom imaní.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výslovne vymedziť predpoklady, za ktorých exekútor môže vychádzať z verejných registrov, poverenia a výsledku zákonného námietkového postupu. Následný spor medzi manželmi nesmie automaticky zakladať osobnú povinnosť exekútora vrátiť plnenie, ktoré podľa zákona poukázal inej osobe.</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31 sa dopĺňa odsekmi 5 a 6, ktoré znejú:</w:t>
              <w:br/>
            </w:r>
            <w:r>
              <w:rPr>
                <w:b w:val="off"/>
                <w:color w:val="000000"/>
                <w:rFonts w:ascii="Times New Roman" w:hAnsi="Times New Roman" w:cs="Times New Roman" w:eastAsia="Times New Roman"/>
                <w:sz w:val="24"/>
              </w:rPr>
              <w:t>„(5) Pri posudzovaní príslušnosti majetku do spoločného imania manželov sa za postup s odbornou starostlivosťou považuje postup, pri ktorom exekútor vychádza z poverenia, zákonných domnienok, údajov verejných registrov, údajov poskytnutých bankou v rozsahu jej zákonnej evidenčnej povinnosti a z listín, ktoré má k dispozícii, poskytne dotknutej osobe zákonom ustanovenú možnosť uplatniť obranu, ak sa táto možnosť vyžaduje, a rešpektuje účinky riadne uplatnenej obrany.</w:t>
              <w:br/>
            </w:r>
            <w:r>
              <w:rPr>
                <w:b w:val="off"/>
                <w:color w:val="000000"/>
                <w:rFonts w:ascii="Times New Roman" w:hAnsi="Times New Roman" w:cs="Times New Roman" w:eastAsia="Times New Roman"/>
                <w:sz w:val="24"/>
              </w:rPr>
              <w:t>(6) Určenie odlišného majetkového režimu postihnutého majetku v inom konaní po vykonaní exekúcie samo osebe nezakladá zodpovednosť exekútora za škodu ani jeho povinnosť vrátiť plnenie, ktoré v súlade so zákonom poukázal oprávnenému alebo inej osobe.“.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pravidlá spoločného imania nemožno vykonávať efektívne, ak exekútor aj po splnení zákonného postupu nesie neobmedzené riziko neskoršieho vnútorného sporu manželov. Exekútor nie je stranou ich majetkovej dohody ani príjemcom istiny, ktorú zákonne poukázal oprávnenému. Zodpovednosť musí vychádzať z jeho vlastného postupu a z možnosti rozhodujúcu skutočnosť zistiť.</w:t>
              <w:br/>
            </w:r>
            <w:r>
              <w:rPr>
                <w:b w:val="off"/>
                <w:color w:val="000000"/>
                <w:rFonts w:ascii="Times New Roman" w:hAnsi="Times New Roman" w:cs="Times New Roman" w:eastAsia="Times New Roman"/>
                <w:sz w:val="24"/>
              </w:rPr>
              <w:t>Navrhovaná ochrana nie je imunitou za nezákonný zásah. Zachováva požiadavku odbornej starostlivosti, rešpektovanie námietok aj zodpovednosť za vedomé alebo odborne neospravedlniteľné ignorovanie dôkazov. Rozlišuje tiež náhradu škody a vydanie bezdôvodného obohatenia. Nemožno právne korektne sľúbiť, že voči exekútorovi nikdy nebude podaná žaloba; možno však jasne ustanoviť, že samotné zákonné poukázanie cudzej hodnoty z neho nerobí jej konečného dlžníka.</w:t>
              <w:br/>
            </w:r>
            <w:r>
              <w:rPr>
                <w:b w:val="off"/>
                <w:color w:val="000000"/>
                <w:rFonts w:ascii="Times New Roman" w:hAnsi="Times New Roman" w:cs="Times New Roman" w:eastAsia="Times New Roman"/>
                <w:sz w:val="24"/>
              </w:rPr>
              <w:t>Táto istota je podmienkou plynulého poukazovania výťažku. Ak by zákon motivoval exekútora zadržiavať každé plnenie pre hypotetický budúci spor, ochrana manželov by sa dosahovala na úkor veriteľov, dĺžky konania aj nákladov exekútorských úradov.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2. Procesné postavenie manžela povinného a doručovanie</w:t>
              <w:br/>
            </w:r>
            <w:r>
              <w:rPr>
                <w:b w:val="off"/>
                <w:color w:val="000000"/>
                <w:rFonts w:ascii="Times New Roman" w:hAnsi="Times New Roman" w:cs="Times New Roman" w:eastAsia="Times New Roman"/>
                <w:sz w:val="24"/>
              </w:rPr>
              <w:t>K bodu 4 a k ustanoveniam o účastníkoch konania, súčinnosti a doručovaní.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odlíšiť procesné postavenie manžela povinného od postavenia osobného dlžníka. Doručovanie manželovi povinného sa má spravovať všeobecnými pravidlami doručovania podľa Civilného sporového poriadku, pri zachovaní elektronického doručovania podľa osobitného predpisu. Osobitný režim § 61b EP sa na neho nemá vzťahovať. Zároveň treba výslovne upraviť jeho povinnosť poskytnúť súčinnosť a podať vyhlásenie o majetku v rozsahu postihovaného spoločného majetku. Zároveň žiadame v navrhovanom § 35 ods. 5 výslovne zahrnúť bývalého manžela povinného, ak sa postihuje majetok v spoločnom imaní manželov. Pri účte vedenom výlučne na meno povinného sa uplatní výnimka podľa pripomienky 17, ktorá v tejto časti vylučuje účastníctvo manžela alebo bývalého manžela povinného a jeho obranu podľa § 44.</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bode 4 § 35 odsek 5 znie:</w:t>
              <w:br/>
            </w:r>
            <w:r>
              <w:rPr>
                <w:b w:val="off"/>
                <w:color w:val="000000"/>
                <w:rFonts w:ascii="Times New Roman" w:hAnsi="Times New Roman" w:cs="Times New Roman" w:eastAsia="Times New Roman"/>
                <w:sz w:val="24"/>
              </w:rPr>
              <w:t>„(5) Ak zo zápisu v osobitnom registri, pri ktorom sa predpokladá, že údaje v ňom sú záväzné, vyplýva, že v exekúcii sa postihuje majetok v spoločnom imaní manželov, alebo ak sa vykonáva exekúcia prikázaním pohľadávky, ktorej veriteľom je manžel povinného alebo bývalý manžel povinného, koná sa vo vzťahu k postihovanému majetku s manželom povinného alebo bývalým manželom povinného v rozsahu, v ktorom sa koná s povinným. V ostatných prípadoch sa koná s manželom povinného alebo bývalým manželom povinného v rozsahu, v ktorom sa koná s povinným odvtedy, odkedy sa osvedčí, že ide o majetok v spoločnom imaní manželov.“.</w:t>
              <w:br/>
            </w:r>
            <w:r>
              <w:rPr>
                <w:b w:val="off"/>
                <w:color w:val="000000"/>
                <w:rFonts w:ascii="Times New Roman" w:hAnsi="Times New Roman" w:cs="Times New Roman" w:eastAsia="Times New Roman"/>
                <w:sz w:val="24"/>
              </w:rPr>
              <w:t>§ 35 sa dopĺňa odsekmi 6 až 9, ktoré znejú:</w:t>
              <w:br/>
            </w:r>
            <w:r>
              <w:rPr>
                <w:b w:val="off"/>
                <w:color w:val="000000"/>
                <w:rFonts w:ascii="Times New Roman" w:hAnsi="Times New Roman" w:cs="Times New Roman" w:eastAsia="Times New Roman"/>
                <w:sz w:val="24"/>
              </w:rPr>
              <w:t>„(6) Ak je účastníkom konania manžel alebo bývalý manžel povinného, ktorému exekučný titul neukladá vymáhanú povinnosť, na doručovanie tomuto účastníkovi sa § 61b nepoužije. Písomnosti sa mu doručujú podľa Civilného sporového poriadku; ustanovenia osobitného predpisu o elektronickom doručovaní tým nie sú dotknuté. Upovedomenie o začatí exekúcie sa mu v rozsahu týkajúcom sa postihovaného majetku doručuje do vlastných rúk.</w:t>
              <w:br/>
            </w:r>
            <w:r>
              <w:rPr>
                <w:b w:val="off"/>
                <w:color w:val="000000"/>
                <w:rFonts w:ascii="Times New Roman" w:hAnsi="Times New Roman" w:cs="Times New Roman" w:eastAsia="Times New Roman"/>
                <w:sz w:val="24"/>
              </w:rPr>
              <w:t>(7) Účastník podľa odseku 6 nie je oprávnený podať návrh na zastavenie exekúcie podľa § 61k. Jeho podanie sa posudzuje podľa obsahu. Ak podaním uplatňuje právo podľa § 44, postupuje sa podľa § 44. Na podanie, ktorým uplatňuje výlučne dôvody na zastavenie exekúcie podľa § 61k, ktoré je oprávnený uplatniť povinný, sa neprihliada; exekútor o tom účastníka upovedomí.</w:t>
              <w:br/>
            </w:r>
            <w:r>
              <w:rPr>
                <w:b w:val="off"/>
                <w:color w:val="000000"/>
                <w:rFonts w:ascii="Times New Roman" w:hAnsi="Times New Roman" w:cs="Times New Roman" w:eastAsia="Times New Roman"/>
                <w:sz w:val="24"/>
              </w:rPr>
              <w:t>(8) Na účastníka podľa odseku 6 sa primerane vzťahujú § 40, § 41 a § 43a až 43d v rozsahu týkajúcom sa postihovaného majetku a údajov potrebných na posúdenie jeho príslušnosti do spoločného imania manželov. Donucovacie opatrenie možno tomuto účastníkovi uložiť len na vynútenie splnenia jeho povinnosti poskytnúť súčinnosť alebo podať vyhlásenie o majetku. Donucovacie opatrenie nemožno tomuto účastníkovi uložiť na vynútenie splnenia dlhu povinného. Na účely použitia § 40 ods. 3 a § 41 ods. 6 sa požiadavka doručenia spôsobom podľa § 61b nahrádza doručením podľa odseku 6.</w:t>
              <w:br/>
            </w:r>
            <w:r>
              <w:rPr>
                <w:b w:val="off"/>
                <w:color w:val="000000"/>
                <w:rFonts w:ascii="Times New Roman" w:hAnsi="Times New Roman" w:cs="Times New Roman" w:eastAsia="Times New Roman"/>
                <w:sz w:val="24"/>
              </w:rPr>
              <w:t>(9) Ak exekučný titul neukladá manželovi alebo bývalému manželovi povinného vymáhanú povinnosť, táto osoba nie je pri postupe podľa § 99a ods. 1 účastníkom konania v časti týkajúcej sa pohľadávky z účtu vedeného výlučne na meno povinného. V tejto časti sa odseky 2 a 5 až 8 nepoužijú. Právo na vydanie potvrdenia podľa § 99a ods. 8 tým nie je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Účastníkom konania vo vzťahu k postihovanému majetku môže byť aj bývalý manžel povinného. Rozhodujúci je právny režim postihovaného majetku, nie samotná existencia manželstva v čase exekúcie. Výslovné doplnenie bývalého manžela do § 35 ods. 5 zodpovedá aj súčasnej úprave účastníctva bezpodielového spoluvlastníka a predchádza pochybnostiam pri postihovaní majetku po zániku manželstva.</w:t>
              <w:br/>
            </w:r>
            <w:r>
              <w:rPr>
                <w:b w:val="off"/>
                <w:color w:val="000000"/>
                <w:rFonts w:ascii="Times New Roman" w:hAnsi="Times New Roman" w:cs="Times New Roman" w:eastAsia="Times New Roman"/>
                <w:sz w:val="24"/>
              </w:rPr>
              <w:t>Rozšírenie účastníctva nemôže bez ďalšieho vytvárať ďalšieho povinného. Ochrana manžela má sledovať právny režim konkrétneho majetku. Ak nejde o postup podľa § 99a ods. 1, jeho námietky patria do osobitného postupu podľa § 44, zatiaľ čo dôvody zániku či nevymáhateľnosti osobného záväzku uplatňuje povinný podľa § 61k. Výslovné posudzovanie podania podľa obsahu predchádza strate majetkovej obrany len pre nesprávne označenie podania.</w:t>
              <w:br/>
            </w:r>
            <w:r>
              <w:rPr>
                <w:b w:val="off"/>
                <w:color w:val="000000"/>
                <w:rFonts w:ascii="Times New Roman" w:hAnsi="Times New Roman" w:cs="Times New Roman" w:eastAsia="Times New Roman"/>
                <w:sz w:val="24"/>
              </w:rPr>
              <w:t>Prenesenie osobitného doručovania podľa § 61b na ďalšieho účastníka by násobilo šetrenie pobytu, doručovacie úkony a náklady, hoci voči tejto osobe exekučný titul nesmeruje. Všeobecný režim doručovania umožňuje predvídateľne určiť procesné lehoty. Doručovacia podmienka pri donucovacích opatreniach podľa § 40 ods. 3 a § 41 ods. 6 sa preto výslovne zosúlaďuje s odsekom 6. Výnimku predstavuje postih účtu vedeného výlučne na meno povinného podľa pripomienky 17; v tejto časti sa uplatní výluka účastníctva podľa navrhovaného § 35 ods. 9.</w:t>
              <w:br/>
            </w:r>
            <w:r>
              <w:rPr>
                <w:b w:val="off"/>
                <w:color w:val="000000"/>
                <w:rFonts w:ascii="Times New Roman" w:hAnsi="Times New Roman" w:cs="Times New Roman" w:eastAsia="Times New Roman"/>
                <w:sz w:val="24"/>
              </w:rPr>
              <w:t>Exekútor nemôže spoľahlivo uplatniť novú úpravu spoločného imania, ak osoba disponujúca rozhodujúcimi údajmi nemá vlastnú procesne vynútiteľnú povinnosť súčinnosti. Jej rozsah sa však musí viazať na predmet konania. Takáto úprava poskytuje exekútorovi použiteľný nástroj bez vytvorenia osobnej zodpovednosti manžela za cudzie dlhy.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36a ods. 5 k bodu 5</w:t>
              <w:br/>
            </w:r>
            <w:r>
              <w:rPr>
                <w:b w:val="off"/>
                <w:color w:val="000000"/>
                <w:rFonts w:ascii="Times New Roman" w:hAnsi="Times New Roman" w:cs="Times New Roman" w:eastAsia="Times New Roman"/>
                <w:sz w:val="24"/>
              </w:rPr>
              <w:t>3. Súčinnosť a obmedzenie dispozícií pri náhradnej exekúcii</w:t>
              <w:br/>
            </w:r>
            <w:r>
              <w:rPr>
                <w:b w:val="off"/>
                <w:color w:val="000000"/>
                <w:rFonts w:ascii="Times New Roman" w:hAnsi="Times New Roman" w:cs="Times New Roman" w:eastAsia="Times New Roman"/>
                <w:sz w:val="24"/>
              </w:rPr>
              <w:t>K bodu 5, § 36a ods. 5.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nahradiť úplné vylúčenie § 41 a § 61c ich primeraným použitím obmedzeným na predmet náhradnej exekúcie a na informácie potrebné na jeho identifikáciu, zistenie a zabezpečenie.</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36a ods. 5 posledná veta znie:</w:t>
              <w:br/>
            </w:r>
            <w:r>
              <w:rPr>
                <w:b w:val="off"/>
                <w:color w:val="000000"/>
                <w:rFonts w:ascii="Times New Roman" w:hAnsi="Times New Roman" w:cs="Times New Roman" w:eastAsia="Times New Roman"/>
                <w:sz w:val="24"/>
              </w:rPr>
              <w:t>„Ustanovenia § 40, § 41 a § 61c sa použijú primerane len vo vzťahu k predmetu náhradnej exekúcie, jeho súčastiam, príslušenstvu, plodom a úžitkom v rozsahu, v ktorom podliehajú exekúcii, a k údajom potrebným na ich identifikáciu, zistenie a zabezpečenie; použitím týchto ustanovení nemožno rozšíriť rozsah majetku podliehajúceho náhradnej exekúcii.“.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564 ods. 2 schváleného OZ je náhradná exekúcia vecne obmedzená na to, čo odporovateľným úkonom ušlo z majetku dlžníka. Z tejto hranice však nevyplýva dôvod znemožniť exekútorovi zisťovanie samotného predmetu exekúcie. Umiestnenie veci, jej identifikačné znaky, zaťaženie a nakladanie s ňou často pozná práve osoba, proti ktorej sa náhradná exekúcia vedie.</w:t>
              <w:br/>
            </w:r>
            <w:r>
              <w:rPr>
                <w:b w:val="off"/>
                <w:color w:val="000000"/>
                <w:rFonts w:ascii="Times New Roman" w:hAnsi="Times New Roman" w:cs="Times New Roman" w:eastAsia="Times New Roman"/>
                <w:sz w:val="24"/>
              </w:rPr>
              <w:t>Úplné vypustenie vyhlásenia o majetku by neviedlo k primeranejšiemu postupu, ale k odstráneniu informačného nástroja v situácii, keď je jeho použitie zvlášť potrebné. Rovnako musí existovať povinnosť zdržať sa dispozícií znemožňujúcich postih konkrétnej veci. Rozsah povinností možno presne obmedziť bez toho, aby sa náhradná exekúcia zmenila na všeobecnú exekúciu celého majetku tretej osoby.</w:t>
              <w:br/>
            </w:r>
            <w:r>
              <w:rPr>
                <w:b w:val="off"/>
                <w:color w:val="000000"/>
                <w:rFonts w:ascii="Times New Roman" w:hAnsi="Times New Roman" w:cs="Times New Roman" w:eastAsia="Times New Roman"/>
                <w:sz w:val="24"/>
              </w:rPr>
              <w:t>Výslovné vymedzenie zároveň chráni exekútora pred protichodnými výkladmi, či smie požadovať údaje o predmete exekúcie a či je povinný rešpektovať neobmedzené dispozície povinného s týmto predmetom.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5,14,28,40 a 44</w:t>
              <w:br/>
            </w:r>
            <w:r>
              <w:rPr>
                <w:b w:val="off"/>
                <w:color w:val="000000"/>
                <w:rFonts w:ascii="Times New Roman" w:hAnsi="Times New Roman" w:cs="Times New Roman" w:eastAsia="Times New Roman"/>
                <w:sz w:val="24"/>
              </w:rPr>
              <w:t>4. Oprava odkazov na schválené znenie OZ</w:t>
              <w:br/>
            </w:r>
            <w:r>
              <w:rPr>
                <w:b w:val="off"/>
                <w:color w:val="000000"/>
                <w:rFonts w:ascii="Times New Roman" w:hAnsi="Times New Roman" w:cs="Times New Roman" w:eastAsia="Times New Roman"/>
                <w:sz w:val="24"/>
              </w:rPr>
              <w:t>K bodom 5, 14, 28, 40 a 44 a k súvisiacim odkazom.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zosúladiť odkazy s parlamentom schváleným OZ a opraviť vnútorné odkazy novely. Chyba v odkaze na vecne odlišný inštitút nemôže zostať riešená až výkladom exekútora.</w:t>
              <w:br/>
            </w:r>
            <w:r>
              <w:rPr>
                <w:b w:val="off"/>
                <w:color w:val="000000"/>
                <w:rFonts w:ascii="Times New Roman" w:hAnsi="Times New Roman" w:cs="Times New Roman" w:eastAsia="Times New Roman"/>
                <w:sz w:val="24"/>
              </w:rPr>
              <w:t>Navrhované legislatívne pokyny</w:t>
              <w:br/>
            </w:r>
            <w:r>
              <w:rPr>
                <w:b w:val="off"/>
                <w:color w:val="000000"/>
                <w:rFonts w:ascii="Times New Roman" w:hAnsi="Times New Roman" w:cs="Times New Roman" w:eastAsia="Times New Roman"/>
                <w:sz w:val="24"/>
              </w:rPr>
              <w:t>V bode 5 v § 36a ods. 2 sa písmená d) a e) označujú ako písmená c) a d).</w:t>
              <w:br/>
            </w:r>
            <w:r>
              <w:rPr>
                <w:b w:val="off"/>
                <w:color w:val="000000"/>
                <w:rFonts w:ascii="Times New Roman" w:hAnsi="Times New Roman" w:cs="Times New Roman" w:eastAsia="Times New Roman"/>
                <w:sz w:val="24"/>
              </w:rPr>
              <w:t>V § 36a ods. 3 sa slová „podľa odseku 3“ nahrádzajú slovami „podľa odseku 2“.</w:t>
              <w:br/>
            </w:r>
            <w:r>
              <w:rPr>
                <w:b w:val="off"/>
                <w:color w:val="000000"/>
                <w:rFonts w:ascii="Times New Roman" w:hAnsi="Times New Roman" w:cs="Times New Roman" w:eastAsia="Times New Roman"/>
                <w:sz w:val="24"/>
              </w:rPr>
              <w:t>Poznámka pod čiarou k odkazu 7ac znie: „7ac) § 564 Občianskeho zákonníka.“. Veta uvádzajúca poznámku pod čiarou sa uvedie v jednotnom čísle vo vzťahu k odkazu 7ac.</w:t>
              <w:br/>
            </w:r>
            <w:r>
              <w:rPr>
                <w:b w:val="off"/>
                <w:color w:val="000000"/>
                <w:rFonts w:ascii="Times New Roman" w:hAnsi="Times New Roman" w:cs="Times New Roman" w:eastAsia="Times New Roman"/>
                <w:sz w:val="24"/>
              </w:rPr>
              <w:t>V § 36a ods. 4 sa poučenie vymedzí slovami „poučenie o právach povinného podľa § 563 až 565 Občianskeho zákonníka“.</w:t>
              <w:br/>
            </w:r>
            <w:r>
              <w:rPr>
                <w:b w:val="off"/>
                <w:color w:val="000000"/>
                <w:rFonts w:ascii="Times New Roman" w:hAnsi="Times New Roman" w:cs="Times New Roman" w:eastAsia="Times New Roman"/>
                <w:sz w:val="24"/>
              </w:rPr>
              <w:t>V bode 14 v § 44 ods. 10 sa slová „§ 562 ods. 3 písm. c)“ nahrádzajú slovami „§ 561 ods. 4 alebo § 559 ods. 2“.</w:t>
              <w:br/>
            </w:r>
            <w:r>
              <w:rPr>
                <w:b w:val="off"/>
                <w:color w:val="000000"/>
                <w:rFonts w:ascii="Times New Roman" w:hAnsi="Times New Roman" w:cs="Times New Roman" w:eastAsia="Times New Roman"/>
                <w:sz w:val="24"/>
              </w:rPr>
              <w:t>V bode 28 v § 61q ods. 4 sa slová „§ 562 ods. 5“ nahrádzajú slovami „§ 561 ods. 5“.</w:t>
              <w:br/>
            </w:r>
            <w:r>
              <w:rPr>
                <w:b w:val="off"/>
                <w:color w:val="000000"/>
                <w:rFonts w:ascii="Times New Roman" w:hAnsi="Times New Roman" w:cs="Times New Roman" w:eastAsia="Times New Roman"/>
                <w:sz w:val="24"/>
              </w:rPr>
              <w:t>Ak sa ponechá pôvodné znenie § 61q ods. 6 až 10, v § 61q ods. 8 sa slová „odseku 5“ nahrádzajú slovami „odseku 6“. Ak sa prijme pripomienka 16, použije sa znenie navrhnuté v tejto pripomienke.</w:t>
              <w:br/>
            </w:r>
            <w:r>
              <w:rPr>
                <w:b w:val="off"/>
                <w:color w:val="000000"/>
                <w:rFonts w:ascii="Times New Roman" w:hAnsi="Times New Roman" w:cs="Times New Roman" w:eastAsia="Times New Roman"/>
                <w:sz w:val="24"/>
              </w:rPr>
              <w:t>V bode 40 v § 157 ods. 5 sa slová „§ 61q ods. 8“ nahrádzajú slovami „§ 61q ods. 9“ na oboch miestach. Pri prijatí pripomienky 16 sa odkaz zosúladí s konečným označením odseku upravujúceho vyčlenenie sumy z výťažku.</w:t>
              <w:br/>
            </w:r>
            <w:r>
              <w:rPr>
                <w:b w:val="off"/>
                <w:color w:val="000000"/>
                <w:rFonts w:ascii="Times New Roman" w:hAnsi="Times New Roman" w:cs="Times New Roman" w:eastAsia="Times New Roman"/>
                <w:sz w:val="24"/>
              </w:rPr>
              <w:t>Poznámka pod čiarou k § 158 ods. 1 a ostatné odkazy na Občiansky zákonník sa zosúladia s jeho konečným číslovaním vyhláseným v Zbierke zákonov Slovenskej republiky.</w:t>
              <w:br/>
            </w:r>
            <w:r>
              <w:rPr>
                <w:b w:val="off"/>
                <w:color w:val="000000"/>
                <w:rFonts w:ascii="Times New Roman" w:hAnsi="Times New Roman" w:cs="Times New Roman" w:eastAsia="Times New Roman"/>
                <w:sz w:val="24"/>
              </w:rPr>
              <w:t>V bode 44 sa slová „do 30. júna 20“ nahrádzajú slovami „do 30. júna 2027“. Citované znenie § 243r sa upraví tak, aby zahŕňalo všetky navrhované odseky a bolo uzavreté spoločnou koncovou úvodzovkou.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Náhradná exekúcia je v schválenom OZ upravená v § 564, zatiaľ čo § 565 rieši ochranu povinnej osoby pri viacerých veriteľoch. Povinnosť vlastníka strpieť postih vyplýva z § 561 ods. 4; neúčinnosť konkurenčného exekučného titulu z § 561 ods. 5. V návrhu citovaný § 562 ods. 3 písm. c) v schválenom texte neexistuje.</w:t>
              <w:br/>
            </w:r>
            <w:r>
              <w:rPr>
                <w:b w:val="off"/>
                <w:color w:val="000000"/>
                <w:rFonts w:ascii="Times New Roman" w:hAnsi="Times New Roman" w:cs="Times New Roman" w:eastAsia="Times New Roman"/>
                <w:sz w:val="24"/>
              </w:rPr>
              <w:t>Vnútorné odkazy pri rozvrhu navyše smerujú na ustanovenie o zániku práva namiesto ustanovenia o vyčlenení hodnoty. Výsledkom by nebola iba redakčná nepresnosť, ale neistota o tom, z akej sumy sa majú uspokojiť konkrétni veritelia. Chyby treba odstrániť koordinovane ešte pred účinnosťou, pričom konečná korektúra musí vychádzať zo znenia OZ vyhláseného v Zbierke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1 k bodu 6</w:t>
              <w:br/>
            </w:r>
            <w:r>
              <w:rPr>
                <w:b w:val="off"/>
                <w:color w:val="000000"/>
                <w:rFonts w:ascii="Times New Roman" w:hAnsi="Times New Roman" w:cs="Times New Roman" w:eastAsia="Times New Roman"/>
                <w:sz w:val="24"/>
              </w:rPr>
              <w:t>5. Informovanie správcu dedičstva na žiadosť</w:t>
              <w:br/>
            </w:r>
            <w:r>
              <w:rPr>
                <w:b w:val="off"/>
                <w:color w:val="000000"/>
                <w:rFonts w:ascii="Times New Roman" w:hAnsi="Times New Roman" w:cs="Times New Roman" w:eastAsia="Times New Roman"/>
                <w:sz w:val="24"/>
              </w:rPr>
              <w:t>K bodu 6, § 38 ods. 1.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vypustiť automatickú povinnosť osobitne oboznamovať správcu dedičstva alebo procesného opatrovníka s celým doterajším priebehom každej exekúcie a nahradiť ju poskytnutím informácií na žiadosť. Doručovanie procesných písomností zostáva zachované.</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38 ods. 1 posledná veta znie:</w:t>
              <w:br/>
            </w:r>
            <w:r>
              <w:rPr>
                <w:b w:val="off"/>
                <w:color w:val="000000"/>
                <w:rFonts w:ascii="Times New Roman" w:hAnsi="Times New Roman" w:cs="Times New Roman" w:eastAsia="Times New Roman"/>
                <w:sz w:val="24"/>
              </w:rPr>
              <w:t>„Exekútor poskytne správcovi dedičstva alebo procesnému opatrovníkovi na jeho žiadosť informáciu o stave exekúcie.“.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nevymedzuje obsah, rozsah ani formu oboznámenia. Správca dedičstva má podľa § 1854 až 1860 OZ konkrétnu správcovskú funkciu. Potrebuje dostupné informácie o aktuálnom rozsahu postihu a stave vymáhaného nároku, nie automaticky opis všetkých historických procesných úkonov. Informácia na žiadosť a prístup k spisu tieto potreby pokrývajú bez nadbytočnej administratívy.</w:t>
              <w:br/>
            </w:r>
            <w:r>
              <w:rPr>
                <w:b w:val="off"/>
                <w:color w:val="000000"/>
                <w:rFonts w:ascii="Times New Roman" w:hAnsi="Times New Roman" w:cs="Times New Roman" w:eastAsia="Times New Roman"/>
                <w:sz w:val="24"/>
              </w:rPr>
              <w:t>Navrhované znenie neodstraňuje procesné doručovanie a nevytvára informačné vákuum. Odstraňuje iba neadresnú spravodajskú povinnosť, ktorej rozsah by si každý exekútor a každý správca mohli vykladať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5 k bodu 6</w:t>
              <w:br/>
            </w:r>
            <w:r>
              <w:rPr>
                <w:b w:val="off"/>
                <w:color w:val="000000"/>
                <w:rFonts w:ascii="Times New Roman" w:hAnsi="Times New Roman" w:cs="Times New Roman" w:eastAsia="Times New Roman"/>
                <w:sz w:val="24"/>
              </w:rPr>
              <w:t>6. Zabezpečenie vlastného majetku dediča po dodatku k povereniu</w:t>
              <w:br/>
            </w:r>
            <w:r>
              <w:rPr>
                <w:b w:val="off"/>
                <w:color w:val="000000"/>
                <w:rFonts w:ascii="Times New Roman" w:hAnsi="Times New Roman" w:cs="Times New Roman" w:eastAsia="Times New Roman"/>
                <w:sz w:val="24"/>
              </w:rPr>
              <w:t>K bodu 6, § 38 ods. 5.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umožniť zabezpečovacie úkony voči vlastnému majetku dediča už po doručení dodatku k povereniu. Odkladný účinok včasného návrhu na zastavenie má brániť realizácii a výplate, nie zachovaniu majetku v rozsahu zodpovednosti dediča.</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38 odsek 5 znie:</w:t>
              <w:br/>
            </w:r>
            <w:r>
              <w:rPr>
                <w:b w:val="off"/>
                <w:color w:val="000000"/>
                <w:rFonts w:ascii="Times New Roman" w:hAnsi="Times New Roman" w:cs="Times New Roman" w:eastAsia="Times New Roman"/>
                <w:sz w:val="24"/>
              </w:rPr>
              <w:t>„(5) Po doručení dodatku k povereniu podľa odseku 2 môže exekútor zisťovať a zabezpečovať aj majetok, ktorý dedič nadobudol inak ako dedením po povinnom, najviac v rozsahu zodpovednosti dediča uvedenom v dodatku k povereniu. Tento majetok nemožno speňažiť ani zabezpečené peňažné prostriedky vyplatiť oprávnenému pred márnym uplynutím lehoty podľa odseku 4; ak bol návrh na zastavenie exekúcie podaný včas, tento zákaz trvá do doručenia rozhodnutia súdu, ktorým sa návrh zamietol. Pri zabezpečovaní majetku exekútor prihliada na primeranosť podľa § 64 a § 65. Ak sa exekúcia voči dedičovi zastaví alebo sa rozsah jeho zodpovednosti zníži, exekútor bezodkladne zruší zabezpečenie v zodpovedajúcom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Zákaz podľa § 1866 ods. 2 OZ chráni iný majetok dediča do potvrdenia dedičstva. Navrhovaná pripomienka túto hranicu rešpektuje: zabezpečenie pripúšťa až po potvrdení dedičstva a po procesnom premietnutí nástupníctva dodatkom k povereniu. Rozsah zodpovednosti dediča vyplýva najmä z § 1878 a § 1879 OZ.</w:t>
              <w:br/>
            </w:r>
            <w:r>
              <w:rPr>
                <w:b w:val="off"/>
                <w:color w:val="000000"/>
                <w:rFonts w:ascii="Times New Roman" w:hAnsi="Times New Roman" w:cs="Times New Roman" w:eastAsia="Times New Roman"/>
                <w:sz w:val="24"/>
              </w:rPr>
              <w:t>Po potvrdení dedičstva ide o zodpovednosť obmedzenú výškou, nie nevyhnutne iba o možnosť postihnúť konkrétne zdedené veci. Ak dedič nadobudol nehnuteľnosť vysokej hodnoty a vymáhaný nárok je nízky, zabezpečenie jeho peňažných prostriedkov môže byť hospodárnejšie a menej invazívne než zaťaženie a predaj zdedenej nehnuteľnosti.</w:t>
              <w:br/>
            </w:r>
            <w:r>
              <w:rPr>
                <w:b w:val="off"/>
                <w:color w:val="000000"/>
                <w:rFonts w:ascii="Times New Roman" w:hAnsi="Times New Roman" w:cs="Times New Roman" w:eastAsia="Times New Roman"/>
                <w:sz w:val="24"/>
              </w:rPr>
              <w:t>Rozlišovanie medzi zabezpečením a uspokojením zodpovedá aj všeobecnému modelu odkladu s blokovaním. Účinná obrana dediča zostáva zachovaná, zatiaľ čo čakanie na rozhodnutie súdu nevytvára zákonom chránený priestor na vyvedenie dostupného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41 a 59 EP k bodom 7 až 9</w:t>
              <w:br/>
            </w:r>
            <w:r>
              <w:rPr>
                <w:b w:val="off"/>
                <w:color w:val="000000"/>
                <w:rFonts w:ascii="Times New Roman" w:hAnsi="Times New Roman" w:cs="Times New Roman" w:eastAsia="Times New Roman"/>
                <w:sz w:val="24"/>
              </w:rPr>
              <w:t>7. Zrušenie povinného zoznamu majetku</w:t>
              <w:br/>
            </w:r>
            <w:r>
              <w:rPr>
                <w:b w:val="off"/>
                <w:color w:val="000000"/>
                <w:rFonts w:ascii="Times New Roman" w:hAnsi="Times New Roman" w:cs="Times New Roman" w:eastAsia="Times New Roman"/>
                <w:sz w:val="24"/>
              </w:rPr>
              <w:t>K bodom 7 až 9 a k § 39, § 41 a § 59 EP.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vypustiť celý § 39 ako samostatný povinne vyhotovovaný zoznam majetku. Výsledky lustrácií a ďalších zisťovaní majú zostať v spise v ich pôvodnej alebo elektronickej podobe. Zachová sa vyhlásenie povinného o majetku aj informovanie oprávneného.</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Body 7 až 9 sa nahrádzajú týmito novelizačnými bodmi:</w:t>
              <w:br/>
            </w:r>
            <w:r>
              <w:rPr>
                <w:b w:val="off"/>
                <w:color w:val="000000"/>
                <w:rFonts w:ascii="Times New Roman" w:hAnsi="Times New Roman" w:cs="Times New Roman" w:eastAsia="Times New Roman"/>
                <w:sz w:val="24"/>
              </w:rPr>
              <w:t>§ 39 sa vypúšťa.</w:t>
              <w:br/>
            </w:r>
            <w:r>
              <w:rPr>
                <w:b w:val="off"/>
                <w:color w:val="000000"/>
                <w:rFonts w:ascii="Times New Roman" w:hAnsi="Times New Roman" w:cs="Times New Roman" w:eastAsia="Times New Roman"/>
                <w:sz w:val="24"/>
              </w:rPr>
              <w:t>V § 41 ods. 4 úvodná veta znie:</w:t>
              <w:br/>
            </w:r>
            <w:r>
              <w:rPr>
                <w:b w:val="off"/>
                <w:color w:val="000000"/>
                <w:rFonts w:ascii="Times New Roman" w:hAnsi="Times New Roman" w:cs="Times New Roman" w:eastAsia="Times New Roman"/>
                <w:sz w:val="24"/>
              </w:rPr>
              <w:t>„(4) Vyhlásenie o majetku obsahuje v rozsahu výzvy exekútora údaje o príjmoch, účtoch, pohľadávkach, cenných papieroch, účastiach v obchodných spoločnostiach a družstvách, podniku, nehnuteľnostiach, hnuteľných veciach, hotovosti a iných majetkových právach povinného, o ich umiestnení a o známych právach tretích osôb k nim vrátane údajov potrebných na posúdenie ich príslušnosti do spoločného imania manželov, a ďalej“.</w:t>
              <w:br/>
            </w:r>
            <w:r>
              <w:rPr>
                <w:b w:val="off"/>
                <w:color w:val="000000"/>
                <w:rFonts w:ascii="Times New Roman" w:hAnsi="Times New Roman" w:cs="Times New Roman" w:eastAsia="Times New Roman"/>
                <w:sz w:val="24"/>
              </w:rPr>
              <w:t>V § 59 odsek 2 znie:</w:t>
              <w:br/>
            </w:r>
            <w:r>
              <w:rPr>
                <w:b w:val="off"/>
                <w:color w:val="000000"/>
                <w:rFonts w:ascii="Times New Roman" w:hAnsi="Times New Roman" w:cs="Times New Roman" w:eastAsia="Times New Roman"/>
                <w:sz w:val="24"/>
              </w:rPr>
              <w:t>„(2) Exekútor zaznamenáva a uchováva výsledky zisťovania majetku v exekučnom spise.“.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Samostatný zoznam prevažne reprodukuje údaje, ktoré sa už nachádzajú v elektronických odpovediach bánk, registrov a ďalších subjektov. Jeho zostavovanie nevytvára nový zdroj informácií ani samo osebe neposilňuje zabezpečenie majetku. Pri priebežne sa meniacich zostatkoch a príjmoch navyše vytvára ďalšiu povinnosť aktualizácie s obmedzenou vypovedacou hodnotou.</w:t>
              <w:br/>
            </w:r>
            <w:r>
              <w:rPr>
                <w:b w:val="off"/>
                <w:color w:val="000000"/>
                <w:rFonts w:ascii="Times New Roman" w:hAnsi="Times New Roman" w:cs="Times New Roman" w:eastAsia="Times New Roman"/>
                <w:sz w:val="24"/>
              </w:rPr>
              <w:t>Rozšírenie zoznamu o majetok manžela povinného by tento problém znásobilo. Vymožiteľnosť zvyšuje priama dostupnosť údajov a možnosť vykonať zabezpečovací úkon, nie ručné prepisovanie výsledkov do ďalšej listiny. Zachovanie zdrojových odpovedí v spise umožňuje kontrolu zákonnosti aj rekonštrukciu postupu exekútora.</w:t>
              <w:br/>
            </w:r>
            <w:r>
              <w:rPr>
                <w:b w:val="off"/>
                <w:color w:val="000000"/>
                <w:rFonts w:ascii="Times New Roman" w:hAnsi="Times New Roman" w:cs="Times New Roman" w:eastAsia="Times New Roman"/>
                <w:sz w:val="24"/>
              </w:rPr>
              <w:t>Nadväzujúca zmena § 41 je nevyhnutná, aby sa zrušením odkazu na zoznam nezúžil obsah vyhlásenia o majetku. Povinnosť podať správy oprávnenému podľa § 59 ods. 3 zostáva zachovaná. Pripomienka teda odstraňuje formálnu duplicitu, nie povinnosť zisťovať majetok.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EP</w:t>
              <w:br/>
            </w:r>
            <w:r>
              <w:rPr>
                <w:b w:val="off"/>
                <w:color w:val="000000"/>
                <w:rFonts w:ascii="Times New Roman" w:hAnsi="Times New Roman" w:cs="Times New Roman" w:eastAsia="Times New Roman"/>
                <w:sz w:val="24"/>
              </w:rPr>
              <w:t>8. Priamy prístup k registru modifikácií spoločného imania</w:t>
              <w:br/>
            </w:r>
            <w:r>
              <w:rPr>
                <w:b w:val="off"/>
                <w:color w:val="000000"/>
                <w:rFonts w:ascii="Times New Roman" w:hAnsi="Times New Roman" w:cs="Times New Roman" w:eastAsia="Times New Roman"/>
                <w:sz w:val="24"/>
              </w:rPr>
              <w:t>Všeobecná pripomienka k § 42 EP a k súvisiacej úprave Notárskeho poriadku.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zákonný, bezplatný a priamy elektronický prístup exekútora k údajom a relevantným listinám o modifikáciách spoločného imania vrátane historických zápisov. Prístup musí fungovať najneskôr v deň účinnosti nového režimu.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42 sa za navrhovaným odsekom 16 dopĺňa odsekom 17, ktorý znie:</w:t>
              <w:br/>
            </w:r>
            <w:r>
              <w:rPr>
                <w:b w:val="off"/>
                <w:color w:val="000000"/>
                <w:rFonts w:ascii="Times New Roman" w:hAnsi="Times New Roman" w:cs="Times New Roman" w:eastAsia="Times New Roman"/>
                <w:sz w:val="24"/>
              </w:rPr>
              <w:t>„(17) Notárska komora Slovenskej republiky umožňuje exekútorovi na účely konkrétnej exekúcie bezplatný, nepretržitý a priamy elektronický prístup do notárskeho centrálneho registra modifikácií spoločného imania manželov. Prístup zahŕňa údaje o vzniku, zmene a zániku zápisu, o čase jeho účinkov a o dotknutých osobách, ako aj elektronické znenie listiny v rozsahu nevyhnutnom na určenie právneho režimu postihovaného majetku. Prístup zahŕňa aj historické zápisy. O každom prístupe sa vedie záznam obsahujúci označenie exekúcie a exekútora. Exekútor môže získané údaje použiť len na účel podľa prvej vety.“.</w:t>
              <w:br/>
            </w:r>
            <w:r>
              <w:rPr>
                <w:b w:val="off"/>
                <w:color w:val="000000"/>
                <w:rFonts w:ascii="Times New Roman" w:hAnsi="Times New Roman" w:cs="Times New Roman" w:eastAsia="Times New Roman"/>
                <w:sz w:val="24"/>
              </w:rPr>
              <w:t>V článku implementačného zákona upravujúcom register sa doplní toto ustanovenie: „Notárska komora Slovenskej republiky poskytuje súdnemu exekútorovi prístup a údaje v rozsahu podľa § 42 ods. 17 Exekučného poriadku. Na vydanie listiny na tento účel sa súhlas manželov nevyžaduje.“.</w:t>
              <w:br/>
            </w:r>
            <w:r>
              <w:rPr>
                <w:b w:val="off"/>
                <w:color w:val="000000"/>
                <w:rFonts w:ascii="Times New Roman" w:hAnsi="Times New Roman" w:cs="Times New Roman" w:eastAsia="Times New Roman"/>
                <w:sz w:val="24"/>
              </w:rPr>
              <w:t>Do prechodných ustanovení sa doplní toto ustanovenie: „Notárska komora Slovenskej republiky zabezpečí prístup podľa § 42 ods. 17 najneskôr od 1. júla 2027. Ak prístupu bráni technická prekážka, Notárska komora Slovenskej republiky do jej odstránenia poskytuje exekútorovi na jeho žiadosť údaje a listiny bezodkladne a bezplatne elektronickým doručením.“.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298 OZ je registrácia rozhodujúca pre účinnosť zmluvy o spoločnom imaní; súčasne treba posúdiť jej dovolávanie sa voči tretím osobám. Samotná informácia, že zmluva existuje, preto spravidla nestačí. Exekútor potrebuje poznať jej rozsah, rozhodujúci čas a väzbu na konkrétny majetok.</w:t>
              <w:br/>
            </w:r>
            <w:r>
              <w:rPr>
                <w:b w:val="off"/>
                <w:color w:val="000000"/>
                <w:rFonts w:ascii="Times New Roman" w:hAnsi="Times New Roman" w:cs="Times New Roman" w:eastAsia="Times New Roman"/>
                <w:sz w:val="24"/>
              </w:rPr>
              <w:t>Povinnosť konať podľa zmien spoločného imania bez priameho prístupu k týmto zmenám by vytvárala systémovú chybu. Vyžadovanie jednotlivých žiadostí cez notára by predlžovalo konanie, zvyšovalo náklady a znemožňovalo okamžité overenie údajov pred zabezpečovacím úkonom. Všeobecná súčinnosť podľa § 42 nemusí sama vyriešiť oprávnenie sprístupniť úplné relevantné znenie listiny z osobitného registra.</w:t>
              <w:br/>
            </w:r>
            <w:r>
              <w:rPr>
                <w:b w:val="off"/>
                <w:color w:val="000000"/>
                <w:rFonts w:ascii="Times New Roman" w:hAnsi="Times New Roman" w:cs="Times New Roman" w:eastAsia="Times New Roman"/>
                <w:sz w:val="24"/>
              </w:rPr>
              <w:t>Záznam o prístupe, konkrétny účel a obmedzenie rozsahu údajov poskytujú primeranú ochranu súkromia. Technické podmienky dohody medzi komorami môžu rozpracovať spôsob prístupu, nesmú však podmieňovať vznik samotného zákonného oprávnenia.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16 k bodu 11</w:t>
              <w:br/>
            </w:r>
            <w:r>
              <w:rPr>
                <w:b w:val="off"/>
                <w:color w:val="000000"/>
                <w:rFonts w:ascii="Times New Roman" w:hAnsi="Times New Roman" w:cs="Times New Roman" w:eastAsia="Times New Roman"/>
                <w:sz w:val="24"/>
              </w:rPr>
              <w:t>9. Súčinnosť pri zisťovaní majetku manžela a bývalého manžela povinného</w:t>
              <w:br/>
            </w:r>
            <w:r>
              <w:rPr>
                <w:b w:val="off"/>
                <w:color w:val="000000"/>
                <w:rFonts w:ascii="Times New Roman" w:hAnsi="Times New Roman" w:cs="Times New Roman" w:eastAsia="Times New Roman"/>
                <w:sz w:val="24"/>
              </w:rPr>
              <w:t>K bodu 11 návrhu novely Exekučného poriadku, § 42 ods. 16.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výslovne upraviť povinnosť tretích osôb poskytnúť exekútorovi podľa § 42 údaje a inú súčinnosť týkajúcu sa manžela alebo bývalého manžela povinného, ak je to potrebné na zistenie a postih majetku v spoločnom imaní manželov. Poskytnutie súčinnosti nesmie byť podmienené tým, že táto osoba je v poverení označená ako povinný alebo že súd vydá dodatok k povereniu.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bode 11 § 42 ods. 16 znie:</w:t>
              <w:br/>
            </w:r>
            <w:r>
              <w:rPr>
                <w:b w:val="off"/>
                <w:color w:val="000000"/>
                <w:rFonts w:ascii="Times New Roman" w:hAnsi="Times New Roman" w:cs="Times New Roman" w:eastAsia="Times New Roman"/>
                <w:sz w:val="24"/>
              </w:rPr>
              <w:t>„(16) Ustanovenia odsekov 1 až 15 sa použijú aj na poskytovanie údajov a inú súčinnosť týkajúcu sa manžela alebo bývalého manžela povinného, ak sú potrebné na zistenie alebo postih majetku v spoločnom imaní manželov. Osoby povinné poskytnúť súčinnosť podľa odsekov 1 až 15 ju poskytnú exekútorovi na základe jeho žiadosti po preukázaní sa poverením na vykonanie exekúcie, aj keď manžel alebo bývalý manžel povinného nie je v poverení označený ako povinný; vydanie dodatku k povereniu sa nevyžaduje.“.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42 ods. 16 rozširuje poskytovanie údajov a inú súčinnosť tretích osôb aj na manžela povinného. Na účinné zistenie majetku, ktorý môže podliehať exekúcii, je potrebné výslovne zahrnúť aj bývalého manžela povinného. Majetok v spoločnom imaní môže zostať po zániku manželstva nevyporiadaný a môže byť formálne evidovaný na bývalého manžela.</w:t>
              <w:br/>
            </w:r>
            <w:r>
              <w:rPr>
                <w:b w:val="off"/>
                <w:color w:val="000000"/>
                <w:rFonts w:ascii="Times New Roman" w:hAnsi="Times New Roman" w:cs="Times New Roman" w:eastAsia="Times New Roman"/>
                <w:sz w:val="24"/>
              </w:rPr>
              <w:t>Ak exekútor nemôže získať údaje o majetku formálne vedenom na manžela alebo bývalého manžela, nemusí vedieť zistiť, či majetok patrí do spoločného imania a či ho možno v exekúcii postihnúť. Navrhovaná súčinnosť umožní preveriť túto skutočnosť v rozsahu potrebnom pre konkrétnu exekúciu.</w:t>
              <w:br/>
            </w:r>
            <w:r>
              <w:rPr>
                <w:b w:val="off"/>
                <w:color w:val="000000"/>
                <w:rFonts w:ascii="Times New Roman" w:hAnsi="Times New Roman" w:cs="Times New Roman" w:eastAsia="Times New Roman"/>
                <w:sz w:val="24"/>
              </w:rPr>
              <w:t>Povinnosť poskytnúť súčinnosť sa viaže na žiadosť exekútora a preukázanie sa poverením na vykonanie exekúcie. Nevyžaduje sa označenie manžela alebo bývalého manžela ako povinného ani vydanie dodatku k povereniu. Procesné účastníctvo vo vzťahu k postihovanému majetku samo osebe neznamená osobnú zodpovednosť za dlh povinného.</w:t>
              <w:br/>
            </w:r>
            <w:r>
              <w:rPr>
                <w:b w:val="off"/>
                <w:color w:val="000000"/>
                <w:rFonts w:ascii="Times New Roman" w:hAnsi="Times New Roman" w:cs="Times New Roman" w:eastAsia="Times New Roman"/>
                <w:sz w:val="24"/>
              </w:rPr>
              <w:t>Rozsah požadovaných údajov a súčinnosti sa viaže na potrebu zistiť alebo postihnúť majetok v spoločnom imaní. Pri údajoch chránených osobitnou zákonnou mlčanlivosťou je potrebné zabezpečiť súlad s príslušnými osobitnými predpismi. Poskytnutie údajov samo osebe nerozširuje rozsah majetku, ktorý možno postihnúť exekúciou.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44 ods. ods. 7, písm. e) k bodu 12</w:t>
              <w:br/>
            </w:r>
            <w:r>
              <w:rPr>
                <w:b w:val="off"/>
                <w:color w:val="000000"/>
                <w:rFonts w:ascii="Times New Roman" w:hAnsi="Times New Roman" w:cs="Times New Roman" w:eastAsia="Times New Roman"/>
                <w:sz w:val="24"/>
              </w:rPr>
              <w:t>10. Osobitný postup pri námietke spoločného imania</w:t>
              <w:br/>
            </w:r>
            <w:r>
              <w:rPr>
                <w:b w:val="off"/>
                <w:color w:val="000000"/>
                <w:rFonts w:ascii="Times New Roman" w:hAnsi="Times New Roman" w:cs="Times New Roman" w:eastAsia="Times New Roman"/>
                <w:sz w:val="24"/>
              </w:rPr>
              <w:t>K bodu 12, § 44 ods. 7 písm. e).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doplniť osobitný postup pri námietke podľa § 44 ods. 7 písm. e), ak nejde o postih účtu vedeného výlučne na meno povinného podľa § 99a ods. 1. Exekútor nebude oprávneného vyzývať na vyjadrenie k zastaveniu exekúcie, ale námietku predloží súdu, ktorý bude primerane postupovať podľa § 44 ods. 4 a 5.</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Za bod 14 sa vkladá nový bod, ktorý znie:</w:t>
              <w:br/>
            </w:r>
            <w:r>
              <w:rPr>
                <w:b w:val="off"/>
                <w:color w:val="000000"/>
                <w:rFonts w:ascii="Times New Roman" w:hAnsi="Times New Roman" w:cs="Times New Roman" w:eastAsia="Times New Roman"/>
                <w:sz w:val="24"/>
              </w:rPr>
              <w:t>§ 44 sa dopĺňa odsekom 11, ktorý znie:</w:t>
              <w:br/>
            </w:r>
            <w:r>
              <w:rPr>
                <w:b w:val="off"/>
                <w:color w:val="000000"/>
                <w:rFonts w:ascii="Times New Roman" w:hAnsi="Times New Roman" w:cs="Times New Roman" w:eastAsia="Times New Roman"/>
                <w:sz w:val="24"/>
              </w:rPr>
              <w:t>„(11) Ak manžel povinného uplatní námietku podľa odseku 7 písm. e) a nejde o postup podľa § 99a ods. 1, exekútor ju spolu s potrebnými podkladmi bezodkladne predloží súdu. Exekútor oprávneného na vyjadrenie podľa odseku 2 nevyzýva; odsek 3 sa nepoužije. Súd postupuje primerane podľa odsekov 4 a 5 aj bez vyjadrenia oprávneného, či na exekúcii trvá. Predmetom rozhodnutia súdu podľa odseku 5 alebo žaloby podľa odseku 4 je určenie, či dotknutá vec patrí do spoločného imania manželov. Pri primeranom použití odseku 6 nemožno exekúciu postihujúcu dotknutú vec zastaviť z dôvodu podľa odseku 7 písm. 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44 ods. 7 písm. e) umožňuje manželovi povinného namietať, že dotknutá vec patrí do spoločného imania manželov. Pri exekúcii predajom hnuteľných vecí a nehnuteľných vecí nemá táto námietka odkladný účinok. Exekúciu nemožno z tohto dôvodu zastaviť. Odsek 7 zároveň predpokladá primerané použitie odsekov 1 až 6.</w:t>
              <w:br/>
            </w:r>
            <w:r>
              <w:rPr>
                <w:b w:val="off"/>
                <w:color w:val="000000"/>
                <w:rFonts w:ascii="Times New Roman" w:hAnsi="Times New Roman" w:cs="Times New Roman" w:eastAsia="Times New Roman"/>
                <w:sz w:val="24"/>
              </w:rPr>
              <w:t>Podľa odseku 2 exekútor vyzýva oprávneného, aby sa vyjadril, či súhlasí so zastavením exekúcie postihujúcej vec. Podľa odseku 3 jeho súhlas alebo včasné nevyjadrenie vedie k zastaveniu exekúcie v tejto časti. Pri námietke podľa písmena e), pre ktorú exekúciu nemožno zastaviť, je taká výzva bezúčelná a uvedený následok je v rozpore s navrhovanou úpravou.</w:t>
              <w:br/>
            </w:r>
            <w:r>
              <w:rPr>
                <w:b w:val="off"/>
                <w:color w:val="000000"/>
                <w:rFonts w:ascii="Times New Roman" w:hAnsi="Times New Roman" w:cs="Times New Roman" w:eastAsia="Times New Roman"/>
                <w:sz w:val="24"/>
              </w:rPr>
              <w:t>Preto sa navrhuje, aby exekútor námietku priamo predložil súdu. Súd bude primerane postupovať podľa odsekov 4 a 5 aj bez predchádzajúceho vyjadrenia oprávneného, že na exekúcii trvá. Podľa povahy veci rozhodne o príslušnosti veci do spoločného imania alebo vyzve príslušnú osobu na podanie určovacej žaloby. Výzva súdu na podanie žaloby môže smerovať aj oprávnenému; nejde o výzvu exekútora na vyjadrenie k zastaveniu exekúcie. Aj pri primeranom použití odseku 6 musí zostať zachovaný zákaz zastaviť exekúciu z dôvodu tejto námietky. Pri postupe podľa § 99a ods. 1 sa tento mechanizmus neuplatní, keďže pripomienka 17 vylučuje obranu manžela povinného podľa § 44 a jeho nároky presúva mimo tejto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 a k piatej časti EP</w:t>
              <w:br/>
            </w:r>
            <w:r>
              <w:rPr>
                <w:b w:val="off"/>
                <w:color w:val="000000"/>
                <w:rFonts w:ascii="Times New Roman" w:hAnsi="Times New Roman" w:cs="Times New Roman" w:eastAsia="Times New Roman"/>
                <w:sz w:val="24"/>
              </w:rPr>
              <w:t>11. Výkon záložného práva ako ďalšia činnosť exekútora</w:t>
              <w:br/>
            </w:r>
            <w:r>
              <w:rPr>
                <w:b w:val="off"/>
                <w:color w:val="000000"/>
                <w:rFonts w:ascii="Times New Roman" w:hAnsi="Times New Roman" w:cs="Times New Roman" w:eastAsia="Times New Roman"/>
                <w:sz w:val="24"/>
              </w:rPr>
              <w:t>Všeobecná pripomienka k § 45 a k piatej časti EP.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zaviesť samostatnú procesnú cestu výkonu záložného práva súdnym exekútorom. Záložná zmluva alebo iná listina preukazujúca právny dôvod vzniku záložného práva bude osobitným exekučným titulom podľa § 45 iba pre tento výkon. Na návrh oprávneného poverí Okresný súd Banská Bystrica výkonom záložného práva exekútora určeného primeraným použitím § 55. Pôjde o ďalšiu činnosť podľa § 193 a nasl., pri ktorej sa primerane použijú pravidlá predaja zodpovedajúce povahe zálohu. Odmena a náhrada výdavkov exekútora sa určia priamo podľa vykonávacieho predpisu bez potreby dohody s oprávneným. Žiadame upraviť primeraný preddavok na nevyhnutné výdavky a zabezpečiť súčasnú účinnosť tarifnej úpravy a novej právomoci exekútora.</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45 sa dopĺňa odsekom 4, ktorý znie:</w:t>
              <w:br/>
            </w:r>
            <w:r>
              <w:rPr>
                <w:b w:val="off"/>
                <w:color w:val="000000"/>
                <w:rFonts w:ascii="Times New Roman" w:hAnsi="Times New Roman" w:cs="Times New Roman" w:eastAsia="Times New Roman"/>
                <w:sz w:val="24"/>
              </w:rPr>
              <w:t>„(4) Exekučným titulom výlučne na účely výkonu záložného práva podľa § 194b až 194f je aj záložná zmluva alebo iná listina preukazujúca právny dôvod vzniku záložného práva, ak v spojení s listinami pripojenými k návrhu umožňuje určiť zabezpečenú pohľadávku, záloh, osobu oprávnenú vykonať záložné právo a osobu povinnú strpieť jeho výkon. Zápis záložného práva do registra nenahrádza preukázanie právneho dôvodu jeho vzniku, ak právny dôvod z tohto zápisu nevyplýva. Exekučný titul podľa prvej vety sám osebe nezakladá oprávnenie vymáhať pohľadávku z iného majetku osobného dlžníka ani záložcu. Potvrdenie o vykonateľnosti podľa § 46 sa nevyžaduje. Podmienky výkonu záložného práva preskúma súd podľa § 194c.“.</w:t>
              <w:br/>
            </w:r>
            <w:r>
              <w:rPr>
                <w:b w:val="off"/>
                <w:color w:val="000000"/>
                <w:rFonts w:ascii="Times New Roman" w:hAnsi="Times New Roman" w:cs="Times New Roman" w:eastAsia="Times New Roman"/>
                <w:sz w:val="24"/>
              </w:rPr>
              <w:t>§ 193 sa dopĺňa písmenom g), ktoré znie:</w:t>
              <w:br/>
            </w:r>
            <w:r>
              <w:rPr>
                <w:b w:val="off"/>
                <w:color w:val="000000"/>
                <w:rFonts w:ascii="Times New Roman" w:hAnsi="Times New Roman" w:cs="Times New Roman" w:eastAsia="Times New Roman"/>
                <w:sz w:val="24"/>
              </w:rPr>
              <w:t>„g) vykonávať záložné právo na základe poverenia súdu podľa § 194b až 194f.“.</w:t>
              <w:br/>
            </w:r>
            <w:r>
              <w:rPr>
                <w:b w:val="off"/>
                <w:color w:val="000000"/>
                <w:rFonts w:ascii="Times New Roman" w:hAnsi="Times New Roman" w:cs="Times New Roman" w:eastAsia="Times New Roman"/>
                <w:sz w:val="24"/>
              </w:rPr>
              <w:t>Za § 194a sa vkladajú § 194b až 194f, ktoré znejú:</w:t>
              <w:br/>
            </w:r>
            <w:r>
              <w:rPr>
                <w:b w:val="off"/>
                <w:color w:val="000000"/>
                <w:rFonts w:ascii="Times New Roman" w:hAnsi="Times New Roman" w:cs="Times New Roman" w:eastAsia="Times New Roman"/>
                <w:sz w:val="24"/>
              </w:rPr>
              <w:t>„§ 194b</w:t>
              <w:br/>
            </w:r>
            <w:r>
              <w:rPr>
                <w:b w:val="off"/>
                <w:color w:val="000000"/>
                <w:rFonts w:ascii="Times New Roman" w:hAnsi="Times New Roman" w:cs="Times New Roman" w:eastAsia="Times New Roman"/>
                <w:sz w:val="24"/>
              </w:rPr>
              <w:t>(1) Výkon záložného práva podľa tejto časti je ďalšou činnosťou exekútora. Oprávneným je záložný veriteľ alebo jeho právny nástupca oprávnený vykonať záložné právo. Povinným je vlastník zálohu, ktorý je povinný strpieť výkon záložného práva. Ak je osobným dlžníkom iná osoba, je účastníkom konania v rozsahu, v ktorom sa rozhoduje o jej právach a povinnostiach.</w:t>
              <w:br/>
            </w:r>
            <w:r>
              <w:rPr>
                <w:b w:val="off"/>
                <w:color w:val="000000"/>
                <w:rFonts w:ascii="Times New Roman" w:hAnsi="Times New Roman" w:cs="Times New Roman" w:eastAsia="Times New Roman"/>
                <w:sz w:val="24"/>
              </w:rPr>
              <w:t>(2) Na konanie o návrhu na výkon záložného práva a na rozhodovanie súdu pri jeho výkone je kauzálne príslušný Okresný súd Banská Bystrica.</w:t>
              <w:br/>
            </w:r>
            <w:r>
              <w:rPr>
                <w:b w:val="off"/>
                <w:color w:val="000000"/>
                <w:rFonts w:ascii="Times New Roman" w:hAnsi="Times New Roman" w:cs="Times New Roman" w:eastAsia="Times New Roman"/>
                <w:sz w:val="24"/>
              </w:rPr>
              <w:t>(3) Oprávnený podáva návrh na výkon záložného práva súdu. Na prideľovanie vecí exekútorovi sa primerane použije § 55. Exekútor môže konať až po doručení poverenia. Ustanovenia o dôvodoch vylúčenia exekútora sa použijú primerane.</w:t>
              <w:br/>
            </w:r>
            <w:r>
              <w:rPr>
                <w:b w:val="off"/>
                <w:color w:val="000000"/>
                <w:rFonts w:ascii="Times New Roman" w:hAnsi="Times New Roman" w:cs="Times New Roman" w:eastAsia="Times New Roman"/>
                <w:sz w:val="24"/>
              </w:rPr>
              <w:t>§ 194c</w:t>
              <w:br/>
            </w:r>
            <w:r>
              <w:rPr>
                <w:b w:val="off"/>
                <w:color w:val="000000"/>
                <w:rFonts w:ascii="Times New Roman" w:hAnsi="Times New Roman" w:cs="Times New Roman" w:eastAsia="Times New Roman"/>
                <w:sz w:val="24"/>
              </w:rPr>
              <w:t>(1) Návrh na výkon záložného práva obsahuje označenie účastníkov a zálohu, označenie zabezpečenej pohľadávky, jej aktuálnu výšku, splatnosť a rozsah nesplnenia, právny dôvod vzniku a poradie záložného práva a navrhovaný spôsob jeho výkonu. Oprávnený k návrhu pripojí exekučný titul podľa § 45 ods. 4, listiny preukazujúce vznik záložného práva vrátane jeho registrácie, ak sa registrácia vyžaduje, a listiny preukazujúce splnenie podmienok výkonu záložného práva. Ak záložné právo vzniklo alebo prešlo inak ako zmluvou, oprávnený pripojí aj listinu preukazujúcu túto skutočnosť. V návrhu uvedie aj jemu známe údaje o inom prebiehajúcom výkone alebo o prekážke výkonu záložného práva.</w:t>
              <w:br/>
            </w:r>
            <w:r>
              <w:rPr>
                <w:b w:val="off"/>
                <w:color w:val="000000"/>
                <w:rFonts w:ascii="Times New Roman" w:hAnsi="Times New Roman" w:cs="Times New Roman" w:eastAsia="Times New Roman"/>
                <w:sz w:val="24"/>
              </w:rPr>
              <w:t>(2) Súd preskúma návrh na výkon záložného práva, exekučný titul a prílohy návrhu. Ak sú splnené zákonné podmienky výkonu záložného práva, súd poverí jeho výkonom exekútora určeného postupom podľa § 194b ods. 3. V poverení uvedie účastníkov, záloh, rozsah zabezpečenej pohľadávky a prípustný spôsob výkonu záložného práva. Ak zákonné podmienky nie sú splnené, súd návrh zamietne. Pred zamietnutím návrhu pre odstrániteľné vady súd vyzve oprávneného na ich odstránenie. Proti rozhodnutiu o zamietnutí návrhu je prípustné odvolanie.</w:t>
              <w:br/>
            </w:r>
            <w:r>
              <w:rPr>
                <w:b w:val="off"/>
                <w:color w:val="000000"/>
                <w:rFonts w:ascii="Times New Roman" w:hAnsi="Times New Roman" w:cs="Times New Roman" w:eastAsia="Times New Roman"/>
                <w:sz w:val="24"/>
              </w:rPr>
              <w:t>(3) Súd preskúma aj neprijateľnosť zmluvných podmienok a iné okolnosti, na ktoré prihliada z úradnej povinnosti, najmä ak ide o spotrebiteľský vzťah. Poverenie nenahrádza rozsudok o osobnej povinnosti zaplatiť zabezpečenú pohľadávku a nezakladá prekážku právoplatne rozhodnutej veci o existencii zabezpečenej pohľadávky. Zo súdneho spisu musia byť zistiteľné listiny, z ktorých súd pri preskúmaní návrhu vychádzal.</w:t>
              <w:br/>
            </w:r>
            <w:r>
              <w:rPr>
                <w:b w:val="off"/>
                <w:color w:val="000000"/>
                <w:rFonts w:ascii="Times New Roman" w:hAnsi="Times New Roman" w:cs="Times New Roman" w:eastAsia="Times New Roman"/>
                <w:sz w:val="24"/>
              </w:rPr>
              <w:t>§ 194d</w:t>
              <w:br/>
            </w:r>
            <w:r>
              <w:rPr>
                <w:b w:val="off"/>
                <w:color w:val="000000"/>
                <w:rFonts w:ascii="Times New Roman" w:hAnsi="Times New Roman" w:cs="Times New Roman" w:eastAsia="Times New Roman"/>
                <w:sz w:val="24"/>
              </w:rPr>
              <w:t>(1) Exekútor po doručení poverenia upovedomí účastníkov o začatí výkonu záložného práva. V upovedomení označí záloh, zabezpečenú pohľadávku a jej rozsah a poučí účastníkov o prostriedkoch obrany. K upovedomeniu doručovanému povinnému a osobnému dlžníkovi pripojí exekučný titul a poverenie. Na doručovanie sa použije Civilný sporový poriadok; § 61b sa nepoužije. Exekútor zabezpečí oznámenia a zápisy začatia výkonu záložného práva vyžadované zákonom. Úkony vykonané oprávneným pred podaním návrhu zohľadní, ak sú riadne preukázané a spĺňajú podmienky podľa Občianskeho zákonníka.</w:t>
              <w:br/>
            </w:r>
            <w:r>
              <w:rPr>
                <w:b w:val="off"/>
                <w:color w:val="000000"/>
                <w:rFonts w:ascii="Times New Roman" w:hAnsi="Times New Roman" w:cs="Times New Roman" w:eastAsia="Times New Roman"/>
                <w:sz w:val="24"/>
              </w:rPr>
              <w:t>(2) Povinný a osobný dlžník môžu do 15 dní od doručenia upovedomenia podať u exekútora odôvodnený návrh na zastavenie výkonu záložného práva z dôvodu neexistencie, zániku alebo nevymáhateľnosti zabezpečenej pohľadávky, neexistencie alebo zániku záložného práva, nesplnenia podmienok jeho výkonu alebo inej zákonnej prekážky. Včas podaný návrh má odkladný účinok vo vzťahu k speňaženiu zálohu a výplate výťažku; primeranému zabezpečeniu zálohu nebráni. Po uplynutí tejto lehoty možno uplatniť len nové skutočnosti alebo skutočnosti, ktoré účastník bez svojej viny nemohol uplatniť skôr. Návrh podaný po uplynutí tejto lehoty nemá odkladný účinok, ak mu ho súd neprizná na ochranu práv účastníka. V konaní o výkone záložného práva ani v inom konaní nemožno voči exekútorovi nariadiť neodkladné opatrenie zasahujúce do výkonu záložného práva podľa tejto časti.</w:t>
              <w:br/>
            </w:r>
            <w:r>
              <w:rPr>
                <w:b w:val="off"/>
                <w:color w:val="000000"/>
                <w:rFonts w:ascii="Times New Roman" w:hAnsi="Times New Roman" w:cs="Times New Roman" w:eastAsia="Times New Roman"/>
                <w:sz w:val="24"/>
              </w:rPr>
              <w:t>(3) Exekútor predloží návrh na zastavenie výkonu záložného práva súdu bez zbytočného odkladu spolu s vyjadrením oprávneného a svojím stanoviskom. Súd o návrhu rozhodne prednostne. Ak je návrh dôvodný, súd výkon záložného práva zastaví úplne alebo sčasti; inak návrh zamietne. Proti rozhodnutiu súdu je prípustné odvolanie. Pri uplatnení práva tretej osoby, ktoré vylučuje postih zálohu, sa primerane použije § 44.</w:t>
              <w:br/>
            </w:r>
            <w:r>
              <w:rPr>
                <w:b w:val="off"/>
                <w:color w:val="000000"/>
                <w:rFonts w:ascii="Times New Roman" w:hAnsi="Times New Roman" w:cs="Times New Roman" w:eastAsia="Times New Roman"/>
                <w:sz w:val="24"/>
              </w:rPr>
              <w:t>§ 194e</w:t>
              <w:br/>
            </w:r>
            <w:r>
              <w:rPr>
                <w:b w:val="off"/>
                <w:color w:val="000000"/>
                <w:rFonts w:ascii="Times New Roman" w:hAnsi="Times New Roman" w:cs="Times New Roman" w:eastAsia="Times New Roman"/>
                <w:sz w:val="24"/>
              </w:rPr>
              <w:t>(1) Na zistenie, zabezpečenie, ocenenie a predaj zálohu a na rozdelenie výťažku sa podľa povahy zálohu primerane použijú ustanovenia tohto zákona o predaji hnuteľných vecí, predaji nehnuteľností alebo postihu príslušného majetkového práva. Ustanovenia o súčinnosti sa použijú len v rozsahu potrebnom na výkon záložného práva k tomuto zálohu. Na základe poverenia nemožno postihnúť iný majetok povinného ani osobného dlžníka.</w:t>
              <w:br/>
            </w:r>
            <w:r>
              <w:rPr>
                <w:b w:val="off"/>
                <w:color w:val="000000"/>
                <w:rFonts w:ascii="Times New Roman" w:hAnsi="Times New Roman" w:cs="Times New Roman" w:eastAsia="Times New Roman"/>
                <w:sz w:val="24"/>
              </w:rPr>
              <w:t>(2) Pri výkone záložného práva exekútor dodržiava podmienky začatia výkonu záložného práva, oznamovacie povinnosti, lehoty, pravidlá plurality záložných práv a účinky predaja podľa Občianskeho zákonníka. Záloh nemožno predať pred uplynutím zákonnej lehoty podľa Občianskeho zákonníka, pred uplynutím lehoty podľa § 194d ods. 2 ani pred rozhodnutím o včas podanom návrhu na zastavenie výkonu záložného práva; pri súbehu týchto prekážok možno záloh predať až po zániku poslednej z nich. Dohodnutý spôsob výkonu záložného práva možno uplatniť len v medziach zákona a poverenia.</w:t>
              <w:br/>
            </w:r>
            <w:r>
              <w:rPr>
                <w:b w:val="off"/>
                <w:color w:val="000000"/>
                <w:rFonts w:ascii="Times New Roman" w:hAnsi="Times New Roman" w:cs="Times New Roman" w:eastAsia="Times New Roman"/>
                <w:sz w:val="24"/>
              </w:rPr>
              <w:t>(3) Pôsobnosť súdu pri dražbe a rozhodovaní o námietkach vykonáva súd podľa § 194b ods. 2. Ak osobitný predpis bráni samostatnému výkonu záložného práva alebo ak sa má záloh speňažiť v inom konaní, exekútor prispôsobí svoj postup tejto skutočnosti a predloží vec súdu. Ten istý záloh nemožno súčasne speňažiť v dvoch konaniach; práva na poradie tým nie sú dotknuté.</w:t>
              <w:br/>
            </w:r>
            <w:r>
              <w:rPr>
                <w:b w:val="off"/>
                <w:color w:val="000000"/>
                <w:rFonts w:ascii="Times New Roman" w:hAnsi="Times New Roman" w:cs="Times New Roman" w:eastAsia="Times New Roman"/>
                <w:sz w:val="24"/>
              </w:rPr>
              <w:t>§ 194f</w:t>
              <w:br/>
            </w:r>
            <w:r>
              <w:rPr>
                <w:b w:val="off"/>
                <w:color w:val="000000"/>
                <w:rFonts w:ascii="Times New Roman" w:hAnsi="Times New Roman" w:cs="Times New Roman" w:eastAsia="Times New Roman"/>
                <w:sz w:val="24"/>
              </w:rPr>
              <w:t>(1) Za výkon záložného práva podľa § 194b až 194e patrí exekútorovi odmena a náhrada výdavkov. Ich výšku, spôsob určenia a splatnosť ustanoví všeobecne záväzný právny predpis, ktorý vydá ministerstvo podľa § 199. Ak je exekútor platiteľom dane z pridanej hodnoty, odmena a náhrada výdavkov sa zvyšujú o túto daň.</w:t>
              <w:br/>
            </w:r>
            <w:r>
              <w:rPr>
                <w:b w:val="off"/>
                <w:color w:val="000000"/>
                <w:rFonts w:ascii="Times New Roman" w:hAnsi="Times New Roman" w:cs="Times New Roman" w:eastAsia="Times New Roman"/>
                <w:sz w:val="24"/>
              </w:rPr>
              <w:t>(2) Exekútor môže oprávneného písomne vyzvať na zloženie primeraného preddavku na nevyhnutné výdavky spojené s výkonom záložného práva. Vo výzve odôvodní výšku preddavku predpokladanými nevyhnutnými výdavkami konkrétnych úkonov a určí lehotu na jeho zloženie, ktorá nesmie byť kratšia ako 15 dní. Preddavok nemožno požadovať na odmenu exekútora ani na výdavky, ktorých úhrada je už zabezpečená. Do zloženia preddavku exekútor nie je povinný vykonať úkon, na ktorého výdavky bol preddavok vyžiadaný; to neplatí pri neodkladnom úkone potrebnom na odvrátenie bezprostrednej škody. Nezloženie preddavku nebráni vykonaniu ostatných úkonov. Exekútor preddavok bez zbytočného odkladu po tom, ako je to možné, vyúčtuje a jeho nepoužitú časť vráti oprávnenému.</w:t>
              <w:br/>
            </w:r>
            <w:r>
              <w:rPr>
                <w:b w:val="off"/>
                <w:color w:val="000000"/>
                <w:rFonts w:ascii="Times New Roman" w:hAnsi="Times New Roman" w:cs="Times New Roman" w:eastAsia="Times New Roman"/>
                <w:sz w:val="24"/>
              </w:rPr>
              <w:t>(3) Trovy výkonu záložného práva sa uhrádzajú z výťažku len v rozsahu a poradí prípustnom podľa Občianskeho zákonníka. Trovy výkonu záložného práva podľa odseku 1, ktoré nie sú kryté výťažkom, uhradí exekútorovi oprávnený. Právo oprávneného na náhradu týchto trov voči osobe, ktorá je podľa hmotného práva povinná ich nahradiť, tým nie je dotknuté. Ak nedôjde k speňaženiu zálohu, exekútorovi patrí náhrada účelne vynaložených výdavkov a odmena za vykonané úkony podľa odseku 1. Pri vyúčtovaní exekútor zohľadní sumy uhradené z preddavku tak, aby sa tie isté trovy neuhradili opakovane. Ak sa výdavky uhradené z preddavku následne nahradia z výťažku, exekútor zodpovedajúcu časť preddavku vráti oprávnenému.</w:t>
              <w:br/>
            </w:r>
            <w:r>
              <w:rPr>
                <w:b w:val="off"/>
                <w:color w:val="000000"/>
                <w:rFonts w:ascii="Times New Roman" w:hAnsi="Times New Roman" w:cs="Times New Roman" w:eastAsia="Times New Roman"/>
                <w:sz w:val="24"/>
              </w:rPr>
              <w:t>(4) Exekútor vyúčtuje trovy výkonu záložného práva a vyúčtovanie doručí účastníkom. Námietky proti vyúčtovaniu nie sú prípustné.“.</w:t>
              <w:br/>
            </w:r>
            <w:r>
              <w:rPr>
                <w:b w:val="off"/>
                <w:color w:val="000000"/>
                <w:rFonts w:ascii="Times New Roman" w:hAnsi="Times New Roman" w:cs="Times New Roman" w:eastAsia="Times New Roman"/>
                <w:sz w:val="24"/>
              </w:rPr>
              <w:t>V § 199 sa na konci pripájajú tieto vety: „Ministerstvo všeobecne záväzným právnym predpisom ustanoví aj výšku, spôsob určenia a splatnosť odmeny a náhrady výdavkov za výkon záložného práva podľa § 194b až 194f vrátane odmeny za vykonané úkony, ak nedôjde k speňaženiu zálohu. Ustanoví aj podrobnosti o určení, použití, vyúčtovaní a vrátení preddavku na nevyhnutné výdavky podľa § 194f ods. 2.“.</w:t>
              <w:br/>
            </w:r>
            <w:r>
              <w:rPr>
                <w:b w:val="off"/>
                <w:color w:val="000000"/>
                <w:rFonts w:ascii="Times New Roman" w:hAnsi="Times New Roman" w:cs="Times New Roman" w:eastAsia="Times New Roman"/>
                <w:sz w:val="24"/>
              </w:rPr>
              <w:t>Do prechodných ustanovení sa doplní toto ustanovenie: „Ministerstvo vydá všeobecne záväzný právny predpis podľa § 199 upravujúci odmenu, náhradu výdavkov a preddavok pri výkone záložného práva podľa § 194b až 194f tak, aby nadobudol účinnosť 1. júla 2027.“.</w:t>
              <w:br/>
            </w:r>
            <w:r>
              <w:rPr>
                <w:b w:val="off"/>
                <w:color w:val="000000"/>
                <w:rFonts w:ascii="Times New Roman" w:hAnsi="Times New Roman" w:cs="Times New Roman" w:eastAsia="Times New Roman"/>
                <w:sz w:val="24"/>
              </w:rPr>
              <w:t>V článku implementačného zákona o účinnosti sa ustanoví, že doplnenie splnomocnenia v § 199 nadobúda účinnosť dňom vyhlásenia zákona. Ustanovenia § 45 ods. 4, § 193 písm. g) a § 194b až 194f nadobudnú účinnosť 1. júla 2027, súčasne s vykonávacím predpisom upravujúcim odmenu, náhradu výdavkov a preddavok pri výkone záložného práva.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1615 ods. 3 OZ pripúšťa výkon dohodnutým spôsobom, predajom na dražbe alebo spôsobom podľa osobitného zákona. Toto hmotnoprávne pravidlo samo nezakladá úplnú právomoc exekútora ani neurčuje súd, postup poverenia, obranu a náklady. SKE navrhuje doplniť osobitnú zákonnú cestu, pri ktorej sa odbornosť a existujúce prostriedky exekútorských úradov využijú bez potreby predchádzajúceho rozsudku o osobnej platobnej povinnosti.</w:t>
              <w:br/>
            </w:r>
            <w:r>
              <w:rPr>
                <w:b w:val="off"/>
                <w:color w:val="000000"/>
                <w:rFonts w:ascii="Times New Roman" w:hAnsi="Times New Roman" w:cs="Times New Roman" w:eastAsia="Times New Roman"/>
                <w:sz w:val="24"/>
              </w:rPr>
              <w:t>Zmluva musí byť v § 45 výslovne uznaná ako titul pre tento osobitný účel. Samotné označenie za exekučný titul by bez ďalšieho mohlo vyvolať nesprávny záver, že oprávňuje na štandardnú exekúciu proti všetkému majetku dlžníka. Návrh preto viaže jej účinky na záloh a na osobitný postup v piatej časti EP. Záložca môže byť odlišný od osobného dlžníka; práve jeho postavenie osoby povinnej strpieť realizáciu zálohu je rozhodujúce pri určení povinného a pri primeranom použití pravidiel prideľovania vecí podľa § 55.</w:t>
              <w:br/>
            </w:r>
            <w:r>
              <w:rPr>
                <w:b w:val="off"/>
                <w:color w:val="000000"/>
                <w:rFonts w:ascii="Times New Roman" w:hAnsi="Times New Roman" w:cs="Times New Roman" w:eastAsia="Times New Roman"/>
                <w:sz w:val="24"/>
              </w:rPr>
              <w:t>Predbežná kontrola súdom a následná konkrétna obrana vytvárajú vykonateľný podklad pre exekútora. Posúdenie právneho dôvodu, splatnosti či zákonnej prekážky nesmie zostať iba na jeho osobnom riziku. Exekútor predáva v rozsahu poverenia a podľa pravidiel primeraných druhu zálohu. Kauzálna príslušnosť Okresného súdu Banská Bystrica sústreďuje rozhodovanie na jeden súd a podporuje jednotnú rozhodovaciu prax. Exekútor sa určí náhodným výberom podľa primerane použitého § 55 vrátane jeho pravidiel územného prideľovania a zákonných výnimiek z náhodného výberu. Oprávnený exekútora nevyberá; primerané použitie § 55 nemení povahu výkonu záložného práva ako ďalšej činnosti exekútora.</w:t>
              <w:br/>
            </w:r>
            <w:r>
              <w:rPr>
                <w:b w:val="off"/>
                <w:color w:val="000000"/>
                <w:rFonts w:ascii="Times New Roman" w:hAnsi="Times New Roman" w:cs="Times New Roman" w:eastAsia="Times New Roman"/>
                <w:sz w:val="24"/>
              </w:rPr>
              <w:t>Včas podaný návrh na zastavenie má odkladný účinok vo vzťahu k speňaženiu zálohu a výplate výťažku; súd môže priznať odkladný účinok aj neskôr podanému návrhu. Tento postup poskytuje ochranu v rámci konania o výkone záložného práva a odôvodňuje vylúčenie neodkladného opatrenia voči exekútorovi zasahujúceho do výkonu záložného práva, obdobne ako pri výkone exekučnej činnosti podľa § 201 ods. 2 Exekučného poriadku.</w:t>
              <w:br/>
            </w:r>
            <w:r>
              <w:rPr>
                <w:b w:val="off"/>
                <w:color w:val="000000"/>
                <w:rFonts w:ascii="Times New Roman" w:hAnsi="Times New Roman" w:cs="Times New Roman" w:eastAsia="Times New Roman"/>
                <w:sz w:val="24"/>
              </w:rPr>
              <w:t>Náhodné pridelenie veci podľa primerane použitého § 55 musí sprevádzať jednotná tarifná úprava. Nárok exekútora na odmenu a náhradu výdavkov preto vyplýva zo zákona a jeho výška, spôsob určenia a splatnosť priamo z vykonávacieho predpisu. Výkon pridelenej veci sa nepodmieňuje dohodou s oprávneným a tarifa sa uplatní aj vtedy, ak záloh nebude speňažený; pre tento prípad vykonávací predpis určí odmenu za vykonané úkony. Rozšírenie splnomocnenia v § 199 má nadobudnúť účinnosť už dňom vyhlásenia zákona, aby ministerstvo mohlo vydať tarifnú úpravu včas. Tarifná úprava a nová právomoc exekútora musia nadobudnúť účinnosť súčasne 1. júla 2027.</w:t>
              <w:br/>
            </w:r>
            <w:r>
              <w:rPr>
                <w:b w:val="off"/>
                <w:color w:val="000000"/>
                <w:rFonts w:ascii="Times New Roman" w:hAnsi="Times New Roman" w:cs="Times New Roman" w:eastAsia="Times New Roman"/>
                <w:sz w:val="24"/>
              </w:rPr>
              <w:t>Primeraný preddavok umožní zabezpečiť znalecké ocenenie, úschovu či predaj zálohu aj pri neistom výťažku. Jeho výška sa musí opierať o odôvodnené nevyhnutné výdavky konkrétnych úkonov a nesmie predstavovať preddavok na odmenu ani duplicitné krytie tých istých výdavkov. Nezloženie preddavku umožní nevykonať iba príslušný úkon vyžadujúci tieto výdavky, s výnimkou neodkladného úkonu na odvrátenie bezprostrednej škody. Povinnosť preddavok vyúčtovať a vrátiť jeho nepoužitú časť chráni oprávneného; pri následnej náhrade už krytých výdavkov z výťažku sa zodpovedajúca časť preddavku takisto vráti. Povinnosť oprávneného uhradiť trovy nekryté výťažkom a hmotnoprávne obmedzenia ich úhrady z výťažku zostávajú zachované. Vyúčtovanie sa doručí účastníkom a osobitné námietky proti nemu nie sú 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 56 EP</w:t>
              <w:br/>
            </w:r>
            <w:r>
              <w:rPr>
                <w:b w:val="off"/>
                <w:color w:val="000000"/>
                <w:rFonts w:ascii="Times New Roman" w:hAnsi="Times New Roman" w:cs="Times New Roman" w:eastAsia="Times New Roman"/>
                <w:sz w:val="24"/>
              </w:rPr>
              <w:t>12. Povinné uvedenie času vzniku pohľadávky</w:t>
              <w:br/>
            </w:r>
            <w:r>
              <w:rPr>
                <w:b w:val="off"/>
                <w:color w:val="000000"/>
                <w:rFonts w:ascii="Times New Roman" w:hAnsi="Times New Roman" w:cs="Times New Roman" w:eastAsia="Times New Roman"/>
                <w:sz w:val="24"/>
              </w:rPr>
              <w:t>K § 48 a § 56 EP.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doplniť návrh na vykonanie exekúcie a poverenie na vykonanie exekúcie o čas vzniku vymáhanej pohľadávky. Povinnosť oprávneného sa má obmedziť na údaje o vzniku jeho pohľadávky a podklady, z ktorých tieto údaje vyplývajú. Oprávnený nemá byť povinný zisťovať vznik alebo zánik manželstva povinného, zmeny rozsahu spoločného imania manželov ani určovať právny režim postihovaného majetku.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48 ods. 3 sa dopĺňa písmenom m), ktoré znie:</w:t>
              <w:br/>
            </w:r>
            <w:r>
              <w:rPr>
                <w:b w:val="off"/>
                <w:color w:val="000000"/>
                <w:rFonts w:ascii="Times New Roman" w:hAnsi="Times New Roman" w:cs="Times New Roman" w:eastAsia="Times New Roman"/>
                <w:sz w:val="24"/>
              </w:rPr>
              <w:t>„m) čas vzniku vymáhanej pohľadávky, opis skutočností a označenie dôkazov, z ktorých tento čas vyplýva; pri viacerých pohľadávkach alebo samostatných častiach pohľadávky vzniknutých v rôznom čase sa tieto údaje uvedú pre každú z nich osobitne.“.</w:t>
              <w:br/>
            </w:r>
            <w:r>
              <w:rPr>
                <w:b w:val="off"/>
                <w:color w:val="000000"/>
                <w:rFonts w:ascii="Times New Roman" w:hAnsi="Times New Roman" w:cs="Times New Roman" w:eastAsia="Times New Roman"/>
                <w:sz w:val="24"/>
              </w:rPr>
              <w:t>§ 56 ods. 1 sa dopĺňa písmenom f), ktoré znie:</w:t>
              <w:br/>
            </w:r>
            <w:r>
              <w:rPr>
                <w:b w:val="off"/>
                <w:color w:val="000000"/>
                <w:rFonts w:ascii="Times New Roman" w:hAnsi="Times New Roman" w:cs="Times New Roman" w:eastAsia="Times New Roman"/>
                <w:sz w:val="24"/>
              </w:rPr>
              <w:t>„f) čas vzniku vymáhanej pohľadávky; pri viacerých pohľadávkach alebo samostatných častiach pohľadávky vzniknutých v rôznom čase sa tento údaj uvedie pre každú z nich osobitne.“.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 vzniku pohľadávky je potrebný na posúdenie časovej pôsobnosti pravidiel o uspokojení pohľadávky z majetku v spoločnom imaní manželov. Nemožno ho bez ďalšieho stotožňovať so splatnosťou pohľadávky, právoplatnosťou rozhodnutia, vznikom exekučného titulu ani začatím exekúcie.</w:t>
              <w:br/>
            </w:r>
            <w:r>
              <w:rPr>
                <w:b w:val="off"/>
                <w:color w:val="000000"/>
                <w:rFonts w:ascii="Times New Roman" w:hAnsi="Times New Roman" w:cs="Times New Roman" w:eastAsia="Times New Roman"/>
                <w:sz w:val="24"/>
              </w:rPr>
              <w:t>Oprávnený spravidla disponuje podkladmi o vlastnej pohľadávke, nemožno však predpokladať, že má prístup k úplným a aktuálnym údajom o vzniku či zániku manželstva povinného, o modifikáciách spoločného imania alebo o jeho vysporiadaní. Preto od neho nemožno požadovať, aby z týchto údajov určoval právny režim postihovaného majetku.</w:t>
              <w:br/>
            </w:r>
            <w:r>
              <w:rPr>
                <w:b w:val="off"/>
                <w:color w:val="000000"/>
                <w:rFonts w:ascii="Times New Roman" w:hAnsi="Times New Roman" w:cs="Times New Roman" w:eastAsia="Times New Roman"/>
                <w:sz w:val="24"/>
              </w:rPr>
              <w:t>Premietnutie času vzniku pohľadávky do poverenia zabezpečí, aby mal exekútor tento údaj k dispozícii. Pri viacerých pohľadávkach alebo samostatných častiach pohľadávky vzniknutých v rôznom čase sa čas vzniku uvedie osobitne podľa povahy príslušného nároku.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61h ods. 1., písm. a) k bodu 19, k bodu 14 , § 44 ods. 10</w:t>
              <w:br/>
            </w:r>
            <w:r>
              <w:rPr>
                <w:b w:val="off"/>
                <w:color w:val="000000"/>
                <w:rFonts w:ascii="Times New Roman" w:hAnsi="Times New Roman" w:cs="Times New Roman" w:eastAsia="Times New Roman"/>
                <w:sz w:val="24"/>
              </w:rPr>
              <w:t>13. Nadbytočná výnimka z odkladu exekúcie</w:t>
              <w:br/>
            </w:r>
            <w:r>
              <w:rPr>
                <w:b w:val="off"/>
                <w:color w:val="000000"/>
                <w:rFonts w:ascii="Times New Roman" w:hAnsi="Times New Roman" w:cs="Times New Roman" w:eastAsia="Times New Roman"/>
                <w:sz w:val="24"/>
              </w:rPr>
              <w:t>K bodu 19, § 61h ods. 1 písm. a), v spojení s bodom 14, § 44 ods. 10.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vypustiť časť výnimky z odkladu exekúcie v navrhovanom § 61h ods. 1 písm. a), ktorá sa týka vylučovacej žaloby podanej osobou podľa § 44 ods. 10, ako nadbytočnú vzhľadom na vylúčenie postupu podľa § 44 ods. 1 až 6 voči tejto osobe.</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bode 19 sa slová „ak vylučovaciu žalobu podala alebo sa“ nahrádzajú slovami „ak sa“.</w:t>
              <w:br/>
            </w:r>
            <w:r>
              <w:rPr>
                <w:b w:val="off"/>
                <w:color w:val="000000"/>
                <w:rFonts w:ascii="Times New Roman" w:hAnsi="Times New Roman" w:cs="Times New Roman" w:eastAsia="Times New Roman"/>
                <w:sz w:val="24"/>
              </w:rPr>
              <w:t>Časť výnimky dopĺňaná v bode 19 tak znie:</w:t>
              <w:br/>
            </w:r>
            <w:r>
              <w:rPr>
                <w:b w:val="off"/>
                <w:color w:val="000000"/>
                <w:rFonts w:ascii="Times New Roman" w:hAnsi="Times New Roman" w:cs="Times New Roman" w:eastAsia="Times New Roman"/>
                <w:sz w:val="24"/>
              </w:rPr>
              <w:t>„to neplatí, ak ide o prípad podľa § 44 ods. 7 písm. e) alebo ak sa určenia vlastníckeho práva domáha osoba podľa § 44 ods.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44 ods. 10 už odníma osobe povinnej strpieť právne následky odporovania vo vzťahu k dotknutej veci právo podľa odseku 1. Na jej námietku sa neprihliada a odseky 2 až 6 sa nepoužijú. Vylučuje sa tak aj nadväzujúci postup podľa § 44 ods. 4, v ktorom súd vyzýva na podanie vylučovacej žaloby. Osobitné vylúčenie odkladu pre vylučovaciu žalobu tejto osoby preto v uvedenom procesnom postupe nemá samostatný normatívny význam.</w:t>
              <w:br/>
            </w:r>
            <w:r>
              <w:rPr>
                <w:b w:val="off"/>
                <w:color w:val="000000"/>
                <w:rFonts w:ascii="Times New Roman" w:hAnsi="Times New Roman" w:cs="Times New Roman" w:eastAsia="Times New Roman"/>
                <w:sz w:val="24"/>
              </w:rPr>
              <w:t>Pripomienka sa obmedzuje na vylučovaciu žalobu v postupe podľa § 44. Nedotýka sa výnimky z odkladu pri žalobe o určenie vlastníckeho práva podanej osobou podľa § 44 ods. 10; § 44 ods. 9 osobitne počíta s konaním o určenie vlastníckeho práva začatým pred začatím exekučného konania. Zachováva sa aj navrhovaná výnimka pre prípad podľa § 44 ods. 7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61j, 61h ods. ods. 5 v spojení  s § 61h ods. 1 písm. f) a g), k bodom 18, 24 a 25</w:t>
              <w:br/>
            </w:r>
            <w:r>
              <w:rPr>
                <w:b w:val="off"/>
                <w:color w:val="000000"/>
                <w:rFonts w:ascii="Times New Roman" w:hAnsi="Times New Roman" w:cs="Times New Roman" w:eastAsia="Times New Roman"/>
                <w:sz w:val="24"/>
              </w:rPr>
              <w:t>14. Trvanie odkladu vykonateľnosti exekučného titulu</w:t>
              <w:br/>
            </w:r>
            <w:r>
              <w:rPr>
                <w:b w:val="off"/>
                <w:color w:val="000000"/>
                <w:rFonts w:ascii="Times New Roman" w:hAnsi="Times New Roman" w:cs="Times New Roman" w:eastAsia="Times New Roman"/>
                <w:sz w:val="24"/>
              </w:rPr>
              <w:t>K bodom 18, 24 a 25, § 61j ods. 5 v spojení s § 61h ods. 1 písm. f) a g).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 navrhovanom § 61j ods. 5 popri odkaze na § 61h ods. 1 písm. f) doplniť aj odkaz na § 61h ods. 1 písm. g). Pri odklade exekúcie z dôvodu odkladu vykonateľnosti exekučného titulu má odklad exekúcie trvať dovtedy, kým trvajú účinky rozhodnutia o odklade vykonateľnosti tohto titulu.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bode 25 sa vypúšťa úprava odkazu v § 61j ods. 5 a dopĺňa sa samostatný novelizačný bod v tomto znení:</w:t>
              <w:br/>
            </w:r>
            <w:r>
              <w:rPr>
                <w:b w:val="off"/>
                <w:color w:val="000000"/>
                <w:rFonts w:ascii="Times New Roman" w:hAnsi="Times New Roman" w:cs="Times New Roman" w:eastAsia="Times New Roman"/>
                <w:sz w:val="24"/>
              </w:rPr>
              <w:t>V § 61j odsek 5 znie:</w:t>
              <w:br/>
            </w:r>
            <w:r>
              <w:rPr>
                <w:b w:val="off"/>
                <w:color w:val="000000"/>
                <w:rFonts w:ascii="Times New Roman" w:hAnsi="Times New Roman" w:cs="Times New Roman" w:eastAsia="Times New Roman"/>
                <w:sz w:val="24"/>
              </w:rPr>
              <w:t>„(5) Ak ide o dôvod odkladu exekúcie podľa § 61h ods. 1 písm. f), odklad exekúcie trvá dovtedy, kým trvajú dôvody odkladu alebo prerušenia konania podľa osobitného predpisu. Ak ide o dôvod odkladu exekúcie podľa § 61h ods. 1 písm. g), odklad exekúcie trvá dovtedy, kým trvajú účinky rozhodnutia o odklade vykonateľnosti exekučného titulu.“.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 vypustení doterajšieho § 61h ods. 1 písm. a) sa dôvod odkladu založený na rozhodnutí o odklade vykonateľnosti exekučného titulu presúva z písmena h) do písmena g). Súčasne sa doterajší § 61j ods. 6 označuje ako odsek 5. Navrhovaná oprava odkazu v tomto odseku iba nahrádza doterajšie písmeno g) novým písmenom f), ktoré upravuje odklad alebo prerušenie podľa osobitného predpisu. Trvanie odkladu vykonateľnosti titulu, ktoré doterajší § 61j výslovne neupravoval, tak zostáva bez osobitného pravidla.</w:t>
              <w:br/>
            </w:r>
            <w:r>
              <w:rPr>
                <w:b w:val="off"/>
                <w:color w:val="000000"/>
                <w:rFonts w:ascii="Times New Roman" w:hAnsi="Times New Roman" w:cs="Times New Roman" w:eastAsia="Times New Roman"/>
                <w:sz w:val="24"/>
              </w:rPr>
              <w:t>Doplnenie odkazu na § 61h ods. 1 písm. g) a samostatnej vety o trvaní tohto odkladu odstráni uvedenú medzeru. Rozhodujúcim kritériom bude trvanie účinkov konkrétneho rozhodnutia o odklade vykonateľnosti exekučného titulu. Exekútor tak bude mať jednoznačné pravidlo na určenie, dokedy tento dôvod odkladu bráni pokračovaniu v exekúcii.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61q ods. 2 k bodu 27</w:t>
              <w:br/>
            </w:r>
            <w:r>
              <w:rPr>
                <w:b w:val="off"/>
                <w:color w:val="000000"/>
                <w:rFonts w:ascii="Times New Roman" w:hAnsi="Times New Roman" w:cs="Times New Roman" w:eastAsia="Times New Roman"/>
                <w:sz w:val="24"/>
              </w:rPr>
              <w:t>15. Spresnenie podmienok vedenia exekúcie na záloh</w:t>
              <w:br/>
            </w:r>
            <w:r>
              <w:rPr>
                <w:b w:val="off"/>
                <w:color w:val="000000"/>
                <w:rFonts w:ascii="Times New Roman" w:hAnsi="Times New Roman" w:cs="Times New Roman" w:eastAsia="Times New Roman"/>
                <w:sz w:val="24"/>
              </w:rPr>
              <w:t>K bodu 27, § 61q ods. 2.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spresniť podmienky vedenia exekúcie na záloh tak, aby bolo výslovne ustanovené, že oprávneným záložným veriteľom je aj veriteľ, na zabezpečenie ktorého vymáhanej pohľadávky bolo k dotknutému zálohu zriadené exekučné záložné právo. V takom prípade sa súhlas ostatných záložných veriteľov nevyžaduje. Ich ochrana sa má zabezpečiť zachovaním zákonného poradia, rozsahu zabezpečenia a práva na uspokojenie zo zálohu. Ak oprávnený nemá postavenie záložného veriteľa, podmienka súhlasu záložného veriteľa zostáva zachovaná s výnimkou vlastníckeho záložného práva povinného.</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bode 27 § 61q odsek 2 znie:</w:t>
              <w:br/>
            </w:r>
            <w:r>
              <w:rPr>
                <w:b w:val="off"/>
                <w:color w:val="000000"/>
                <w:rFonts w:ascii="Times New Roman" w:hAnsi="Times New Roman" w:cs="Times New Roman" w:eastAsia="Times New Roman"/>
                <w:sz w:val="24"/>
              </w:rPr>
              <w:t>„(2) Exekúciu na záloh možno viesť iba vtedy, ak oprávneným je záložný veriteľ alebo ak záložný veriteľ s exekúciou súhlasí. Za záložného veriteľa podľa prvej vety sa považuje aj oprávnený, na zabezpečenie ktorého vymáhanej pohľadávky bolo k tomuto zálohu zriadené exekučné záložné právo. Ak je oprávnený záložným veriteľom podľa predchádzajúcej vety, súhlas ostatných záložných veriteľov sa nevyžaduje; ich poradie a právo na uspokojenie zo zálohu tým nie sú dotknuté. Súhlas povinného ako nositeľa vlastníckeho záložného práva sa nevyžaduje.“.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 61q ods. 2 EP pripúšťa vedenie exekúcie na záloh, ak je oprávneným záložný veriteľ. Výslovné doplnenie má odstrániť pochybnosti, či sa toto pravidlo vzťahuje aj na oprávneného s exekučným záložným právom k dotknutému zálohu. Podľa § 167 ods. 2 EP sa od 1. apríla 2023 súhlas záložného veriteľa so zriadením exekučného záložného práva nevyžaduje. Možnosť zriadiť toto právo treba odlíšiť od jeho následnej uhradzovacej funkcie, ktorú má navrhované znenie výslovne potvrdiť.</w:t>
              <w:br/>
            </w:r>
            <w:r>
              <w:rPr>
                <w:b w:val="off"/>
                <w:color w:val="000000"/>
                <w:rFonts w:ascii="Times New Roman" w:hAnsi="Times New Roman" w:cs="Times New Roman" w:eastAsia="Times New Roman"/>
                <w:sz w:val="24"/>
              </w:rPr>
              <w:t>V súvislosti s neprebratím pravidla obsiahnutého v doterajšom § 151h ods. 6 OZ do rekodifikovaného OZ treba podmienky vedenia exekúcie na záloh jednoznačne upraviť v Exekučnom poriadku. Navrhované spresnenie zakotví priamo v EP rovnaký prístup k oprávnenému s exekučným záložným právom ako k inému záložnému veriteľovi. Nebude tak potrebné odvodzovať prípustnosť exekúcie len z výkladu vzťahu hmotnoprávnej a procesnej úpravy.</w:t>
              <w:br/>
            </w:r>
            <w:r>
              <w:rPr>
                <w:b w:val="off"/>
                <w:color w:val="000000"/>
                <w:rFonts w:ascii="Times New Roman" w:hAnsi="Times New Roman" w:cs="Times New Roman" w:eastAsia="Times New Roman"/>
                <w:sz w:val="24"/>
              </w:rPr>
              <w:t>Návrh zachováva obmedzenie vedenia exekúcie na záloh v prípadoch, keď oprávnený nemá postavenie záložného veriteľa. V týchto prípadoch sa naďalej vyžaduje súhlas záložného veriteľa s výnimkou súhlasu povinného ako nositeľa vlastníckeho záložného práva. Ochrana ostatných záložných veriteľov pri exekúcii vedenej oprávneným s exekučným záložným právom zostáva zabezpečená zachovaním ich poradia a práva na uspokojenie zo zálohu. Navrhované spresnenie nemení pravidlá poradia, rozsah zabezpečenia ani zákonné účinky predaja zálohu.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61q ods. 5 až 10 k bodu 28</w:t>
              <w:br/>
            </w:r>
            <w:r>
              <w:rPr>
                <w:b w:val="off"/>
                <w:color w:val="000000"/>
                <w:rFonts w:ascii="Times New Roman" w:hAnsi="Times New Roman" w:cs="Times New Roman" w:eastAsia="Times New Roman"/>
                <w:sz w:val="24"/>
              </w:rPr>
              <w:t>16. Účinky predaja pri vlastníckom záložnom práve</w:t>
              <w:br/>
            </w:r>
            <w:r>
              <w:rPr>
                <w:b w:val="off"/>
                <w:color w:val="000000"/>
                <w:rFonts w:ascii="Times New Roman" w:hAnsi="Times New Roman" w:cs="Times New Roman" w:eastAsia="Times New Roman"/>
                <w:sz w:val="24"/>
              </w:rPr>
              <w:t>K bodu 28, § 61q ods. 5 až 10, a k súvisiacim rozvrhovým ustanoveniam.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rozlišovať poradie záložného práva, ktorého výkonom sa záloh predáva, od poradia ostatných pohľadávok uspokojovaných pri rozvrhu. Samotná účasť neskoršieho záložného veriteľa nesmie založiť povinnému právo zachovať vlastnícke záložné právo, ktoré podľa OZ pri danom predaji zaniká. Ak ho však schválený OZ zachováva, EP musí upraviť informovanie a ocenenie zaťaženého zálohu. Žiadame tiež zachovať osobitné poradie hodnoty pripadajúcej na vlastnícke záložné právo.</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61q odseky 6 až 10 znejú a § 61q sa dopĺňa odsekom 11, ktorý znie:</w:t>
              <w:br/>
            </w:r>
            <w:r>
              <w:rPr>
                <w:b w:val="off"/>
                <w:color w:val="000000"/>
                <w:rFonts w:ascii="Times New Roman" w:hAnsi="Times New Roman" w:cs="Times New Roman" w:eastAsia="Times New Roman"/>
                <w:sz w:val="24"/>
              </w:rPr>
              <w:t>„(6) Ak sa záloh predáva výkonom záložného práva, ktoré v poradí rozhodujúcom pre uspokojenie predchádza vlastníckemu záložnému právu povinného, použijú sa ustanovenia Občianskeho zákonníka o účinkoch výkonu skoršieho záložného práva. Povinný sa nevyzýva na oznámenie podľa odseku 7. Oznámenie povinného ani jeho nečinnosť nemajú vplyv na zákonné účinky predaja. Ustanovenia tohto odseku sa použijú aj vtedy, ak sa z výťažku uspokojujú pohľadávky zabezpečené neskoršími záložnými právami.</w:t>
              <w:br/>
            </w:r>
            <w:r>
              <w:rPr>
                <w:b w:val="off"/>
                <w:color w:val="000000"/>
                <w:rFonts w:ascii="Times New Roman" w:hAnsi="Times New Roman" w:cs="Times New Roman" w:eastAsia="Times New Roman"/>
                <w:sz w:val="24"/>
              </w:rPr>
              <w:t>(7) Ak sa záloh predáva výkonom záložného práva, ktoré v poradí rozhodujúcom pre uspokojenie nasleduje po vlastníckom záložnom práve povinného, exekútor vyzve povinného, aby do 30 dní od doručenia výzvy oznámil, či uplatňuje právo na uspokojenie z výťažku podľa § 1634 Občianskeho zákonníka. Pred uplynutím tejto lehoty nemožno záloh predať. Včasné oznámenie má účinky podľa § 1634 ods. 4 Občianskeho zákonníka. Ak povinný oznámenie v tejto lehote neurobí, vlastnícke záložné právo zostáva zachované, ak Občiansky zákonník neustanovuje inak.</w:t>
              <w:br/>
            </w:r>
            <w:r>
              <w:rPr>
                <w:b w:val="off"/>
                <w:color w:val="000000"/>
                <w:rFonts w:ascii="Times New Roman" w:hAnsi="Times New Roman" w:cs="Times New Roman" w:eastAsia="Times New Roman"/>
                <w:sz w:val="24"/>
              </w:rPr>
              <w:t>(8) V ostatných prípadoch sa zánik alebo zachovanie vlastníckeho záložného práva spravuje Občianskym zákonníkom. Exekútor v oznámení predaja a v dražobnej vyhláške uvedie, či vlastnícke záložné právo predajom zaniká alebo prechádza na nadobúdateľa.</w:t>
              <w:br/>
            </w:r>
            <w:r>
              <w:rPr>
                <w:b w:val="off"/>
                <w:color w:val="000000"/>
                <w:rFonts w:ascii="Times New Roman" w:hAnsi="Times New Roman" w:cs="Times New Roman" w:eastAsia="Times New Roman"/>
                <w:sz w:val="24"/>
              </w:rPr>
              <w:t>(9) Ak vlastnícke záložné právo povinného predajom zaniká a povinnému podľa Občianskeho zákonníka vzniká právo na zodpovedajúcu sumu z výťažku, exekútor túto sumu určí podľa poradia a rozsahu zabezpečenia po zohľadnení nárokov s prednostným poradím. Vyčlenenú sumu nemožno vyplatiť povinnému pred uspokojením pohľadávok, ktoré z nej možno uspokojiť podľa tohto zákona. Pohľadávku zabezpečenú neskorším záložným právom nemožno z vyčlenenej sumy uspokojiť v poradí tohto záložného práva; ak je jej osobným dlžníkom povinný, možno ju uspokojiť ako nezabezpečenú pohľadávku v príslušnom poradí. Zvyšok vyčlenenej sumy sa vyplatí povinnému. Použitie ani vyplatenie vyčlenenej sumy nemá za následok uspokojenie pohľadávky zabezpečenej vlastníckym záložným právom.</w:t>
              <w:br/>
            </w:r>
            <w:r>
              <w:rPr>
                <w:b w:val="off"/>
                <w:color w:val="000000"/>
                <w:rFonts w:ascii="Times New Roman" w:hAnsi="Times New Roman" w:cs="Times New Roman" w:eastAsia="Times New Roman"/>
                <w:sz w:val="24"/>
              </w:rPr>
              <w:t>(10) Ak je záloh zaťažený viacerými vlastníckymi záložnými právami povinného, odseky 6 až 9 sa použijú na každé z nich samostatne podľa jeho poradia.</w:t>
              <w:br/>
            </w:r>
            <w:r>
              <w:rPr>
                <w:b w:val="off"/>
                <w:color w:val="000000"/>
                <w:rFonts w:ascii="Times New Roman" w:hAnsi="Times New Roman" w:cs="Times New Roman" w:eastAsia="Times New Roman"/>
                <w:sz w:val="24"/>
              </w:rPr>
              <w:t>(11) Ak vlastnícke záložné právo zostáva po predaji zachované, exekútor pred ocenením poskytne znalcovi údaje o jeho poradí, zabezpečenej pohľadávke a rozsahu zabezpečenia. Znalec v znaleckom posudku osobitne uvedie všeobecnú hodnotu zálohu bez tohto zaťaženia, vplyv zachovaného vlastníckeho záložného práva na hodnotu zálohu a výslednú hodnotu zaťaženého zálohu. Nominálnu výšku zabezpečenej pohľadávky nemožno od hodnoty zálohu odpočítať bez posúdenia skutočného vplyvu zaťaženia na jeho hodnotu. Ocenenie musí zodpovedať právnemu stavu, v akom nadobúdateľ záloh nadobudne; pri zmene tohto právneho stavu sa ocenenie pred predajom aktualizuje. Ak sa znalecké ocenenie nevyžaduje, exekútor zohľadní uvedené skutočnosti pri určení odhadnej ceny a uvedie ich v oznámení predaja.“.</w:t>
              <w:br/>
            </w:r>
            <w:r>
              <w:rPr>
                <w:b w:val="off"/>
                <w:color w:val="000000"/>
                <w:rFonts w:ascii="Times New Roman" w:hAnsi="Times New Roman" w:cs="Times New Roman" w:eastAsia="Times New Roman"/>
                <w:sz w:val="24"/>
              </w:rPr>
              <w:t>V § 127 ods. 5 sa odkaz na § 61q upraví tak, aby zahŕňal odseky 6 až 11.</w:t>
              <w:br/>
            </w:r>
            <w:r>
              <w:rPr>
                <w:b w:val="off"/>
                <w:color w:val="000000"/>
                <w:rFonts w:ascii="Times New Roman" w:hAnsi="Times New Roman" w:cs="Times New Roman" w:eastAsia="Times New Roman"/>
                <w:sz w:val="24"/>
              </w:rPr>
              <w:t>V § 157 ods. 5 sa slová „§ 61q ods. 8“ nahrádzajú slovami „§ 61q ods. 9“ na oboch miestach.</w:t>
              <w:br/>
            </w:r>
            <w:r>
              <w:rPr>
                <w:b w:val="off"/>
                <w:color w:val="000000"/>
                <w:rFonts w:ascii="Times New Roman" w:hAnsi="Times New Roman" w:cs="Times New Roman" w:eastAsia="Times New Roman"/>
                <w:sz w:val="24"/>
              </w:rPr>
              <w:t>V § 243r sa rozsah odkazu na § 61q upraví na odseky 5 až 11; hmotnoprávne prechodné ustanovenia Občianskeho zákonníka tým nie sú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Spojenie „vykonáva aj na vymoženie“ nerozlišuje príčinu predaja od následného rozdelenia ceny. Ak predaj vyvolá výkon skoršieho záložného práva, neskoršia prihláška nemôže vytvoriť vlastníkovi nové oprávnenie ovplyvniť zánik medziľahlého vlastníckeho záložného práva. Výzva by v takom prípade vytvárala iba prieťah a mylné očakávanie povinného. Rozhodujúce sú pravidlá plurality záložných práv v § 1630 až 1634 OZ.</w:t>
              <w:br/>
            </w:r>
            <w:r>
              <w:rPr>
                <w:b w:val="off"/>
                <w:color w:val="000000"/>
                <w:rFonts w:ascii="Times New Roman" w:hAnsi="Times New Roman" w:cs="Times New Roman" w:eastAsia="Times New Roman"/>
                <w:sz w:val="24"/>
              </w:rPr>
              <w:t>SKE považuje zachovanie vlastníckeho záložného práva po nútenom predaji za ekonomicky problematické: zaťaženie znižuje záujem dražiteľov, cenu aj vymožiteľnosť. Pri zachovaní schváleného OZ však nemožno procesným ustanovením bez opory v hmotnom práve nariadiť jeho zánik pri každom predaji. Návrh preto dôsledne odstraňuje obštrukčný priestor tam, kde právo zaniká zo zákona, a pri jeho zachovaní vyžaduje transparentné ocenenie a informovanie nadobúdateľa. Nezavádza výnimku z § 1634 OZ.</w:t>
              <w:br/>
            </w:r>
            <w:r>
              <w:rPr>
                <w:b w:val="off"/>
                <w:color w:val="000000"/>
                <w:rFonts w:ascii="Times New Roman" w:hAnsi="Times New Roman" w:cs="Times New Roman" w:eastAsia="Times New Roman"/>
                <w:sz w:val="24"/>
              </w:rPr>
              <w:t>Uvoľnená hodnota v skoršom poradí nemôže automaticky zvýhodniť neskoršieho záložného veriteľa. Inak by na úkor ostatných osobných veriteľov povinného získal lepšie zabezpečenie, než aké nadobudol. Zachovanie osobitnej sumy a jej rozdelenie medzi nároky voči povinnému umožňuje postih tejto majetkovej hodnoty bez prepisovania poradia záložných práv. Súčasne treba zachovať rozlíšenie medzi zánikom záložného práva a ďalším trvaním zabezpečenej pohľadávky podľa § 1634 ods. 4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99a a 99b k bodom 30 až 33</w:t>
              <w:br/>
            </w:r>
            <w:r>
              <w:rPr>
                <w:b w:val="off"/>
                <w:color w:val="000000"/>
                <w:rFonts w:ascii="Times New Roman" w:hAnsi="Times New Roman" w:cs="Times New Roman" w:eastAsia="Times New Roman"/>
                <w:sz w:val="24"/>
              </w:rPr>
              <w:t>17. Zachovanie celého postihu účtu povinného</w:t>
              <w:br/>
            </w:r>
            <w:r>
              <w:rPr>
                <w:b w:val="off"/>
                <w:color w:val="000000"/>
                <w:rFonts w:ascii="Times New Roman" w:hAnsi="Times New Roman" w:cs="Times New Roman" w:eastAsia="Times New Roman"/>
                <w:sz w:val="24"/>
              </w:rPr>
              <w:t>K bodom 30 až 33, § 96, § 99a a § 99b.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pri účte vedenom výlučne na meno povinného zachovať možnosť postihnúť celú sumu podliehajúcu exekúcii do výšky vymáhaného nároku a trov, bez osobitného doručovania manželovi povinného a bez jeho účasti v tejto časti konania. Jeho podanie uplatňujúce práva k týmto prostriedkom nemá mať odkladný účinok ani vyvolávať postup podľa § 44. Povinný má svojho manžela informovať o postihu prostriedkov, ku ktorým má tento manžel práva, a poskytnúť mu plnenie zodpovedajúce jeho nároku podľa rozhodného hmotného práva mimo rámca tejto exekúcie. Exekútor na žiadosť manžela vydá potvrdenie o výške vymožených prostriedkov a ich použití.</w:t>
              <w:br/>
            </w:r>
            <w:r>
              <w:rPr>
                <w:b w:val="off"/>
                <w:color w:val="000000"/>
                <w:rFonts w:ascii="Times New Roman" w:hAnsi="Times New Roman" w:cs="Times New Roman" w:eastAsia="Times New Roman"/>
                <w:sz w:val="24"/>
              </w:rPr>
              <w:t>Osobitný rozsah postihu a jeho vzťah k § 303 ods. 2 OZ treba ustanoviť výslovne. Nároky medzi manželmi sa majú spravovať rozhodným hmotným právom vrátane práva určeného pre manželstvá s medzinárodným prvkom. Na účet manžela povinného ani na spoločný účet sa táto výnimka neprenesie. Zákonné výnimky z postihu podľa § 104 zostávajú zachované.</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96 ods. 1 sa odkaz na osobitnú lehotu podľa § 99a obmedzí na prípady doručovania podľa § 99a ods. 2.</w:t>
              <w:br/>
            </w:r>
            <w:r>
              <w:rPr>
                <w:b w:val="off"/>
                <w:color w:val="000000"/>
                <w:rFonts w:ascii="Times New Roman" w:hAnsi="Times New Roman" w:cs="Times New Roman" w:eastAsia="Times New Roman"/>
                <w:sz w:val="24"/>
              </w:rPr>
              <w:t>V § 96 ods. 2 sa osobitné doručovanie exekučného príkazu manželovi povinného obmedzí na prípady podľa § 99a ods. 2. Na doručovanie tomuto účastníkovi sa vzťahuje § 35 ods. 6 navrhovaný v pripomienke 2. Pri postupe podľa § 99a ods. 1 sa exekučný príkaz manželovi povinného osobitne nedoručuje.</w:t>
              <w:br/>
            </w:r>
            <w:r>
              <w:rPr>
                <w:b w:val="off"/>
                <w:color w:val="000000"/>
                <w:rFonts w:ascii="Times New Roman" w:hAnsi="Times New Roman" w:cs="Times New Roman" w:eastAsia="Times New Roman"/>
                <w:sz w:val="24"/>
              </w:rPr>
              <w:t>V § 99a odsek 1 znie:</w:t>
              <w:br/>
            </w:r>
            <w:r>
              <w:rPr>
                <w:b w:val="off"/>
                <w:color w:val="000000"/>
                <w:rFonts w:ascii="Times New Roman" w:hAnsi="Times New Roman" w:cs="Times New Roman" w:eastAsia="Times New Roman"/>
                <w:sz w:val="24"/>
              </w:rPr>
              <w:t>„(1) Pri exekúcii na uspokojenie pohľadávky veriteľa len jedného z manželov prikázaním pohľadávky z účtu vedeného výlučne na meno povinného možno postihnúť celú sumu peňažných prostriedkov podliehajúcich exekúcii, najviac do výšky vymáhaného nároku a trov exekúcie. Upovedomenie podľa § 95 ods. 1 písm. b) sa manželovi povinného osobitne nedoručuje. Ak sú na účte peňažné prostriedky, ku ktorým má manžel povinného práva podľa rozhodného hmotného práva, povinný ho bezodkladne informuje o vedení exekúcie a priebežne o výške prostriedkov postihnutých exekúciou. Manžel povinného uplatňuje nároky vyplývajúce z použitia týchto prostriedkov voči povinnému mimo tohto exekučného konania. Pri tomto spôsobe exekúcie sa vo vzťahu k manželovi povinného § 44 nepoužije. Podanie manžela povinného uplatňujúce jeho práva k týmto prostriedkom nemá odkladný účinok; ani konanie o týchto nárokoch medzi manželmi nie je dôvodom na odklad alebo zastavenie exekúcie v časti týkajúcej sa tohto účtu.“.</w:t>
              <w:br/>
            </w:r>
            <w:r>
              <w:rPr>
                <w:b w:val="off"/>
                <w:color w:val="000000"/>
                <w:rFonts w:ascii="Times New Roman" w:hAnsi="Times New Roman" w:cs="Times New Roman" w:eastAsia="Times New Roman"/>
                <w:sz w:val="24"/>
              </w:rPr>
              <w:t>§ 99a sa za odsekom 5 navrhovaným v pripomienke 18 dopĺňa odsekmi 6 až 9, ktoré znejú:</w:t>
              <w:br/>
            </w:r>
            <w:r>
              <w:rPr>
                <w:b w:val="off"/>
                <w:color w:val="000000"/>
                <w:rFonts w:ascii="Times New Roman" w:hAnsi="Times New Roman" w:cs="Times New Roman" w:eastAsia="Times New Roman"/>
                <w:sz w:val="24"/>
              </w:rPr>
              <w:t>„(6) Pri postupe podľa odseku 1 sa obmedzenie použitia hodnoty spoločného imania manželov na polovicu podľa § 303 ods. 2 Občianskeho zákonníka nepoužije. Týmto postupom sa neurčuje príslušnosť použitých peňažných prostriedkov do výlučného alebo spoločného majetku manželov. Nároky medzi manželmi vyvolané použitím týchto prostriedkov sa spravujú rozhodným hmotným právom.</w:t>
              <w:br/>
            </w:r>
            <w:r>
              <w:rPr>
                <w:b w:val="off"/>
                <w:color w:val="000000"/>
                <w:rFonts w:ascii="Times New Roman" w:hAnsi="Times New Roman" w:cs="Times New Roman" w:eastAsia="Times New Roman"/>
                <w:sz w:val="24"/>
              </w:rPr>
              <w:t>(7) Povinný poskytne svojmu manželovi plnenie, na ktoré mu v dôsledku použitia prostriedkov podľa odseku 1 vznikol nárok podľa rozhodného hmotného práva. Tieto nároky možno usporiadať dohodou alebo uplatniť v samostatnom konaní. Exekútor o ich existencii a rozsahu v exekučnom konaní nerozhoduje a ich vyriešením nepodmieňuje vykonanie exekúcie ani poukázanie vymoženého plnenia.</w:t>
              <w:br/>
            </w:r>
            <w:r>
              <w:rPr>
                <w:b w:val="off"/>
                <w:color w:val="000000"/>
                <w:rFonts w:ascii="Times New Roman" w:hAnsi="Times New Roman" w:cs="Times New Roman" w:eastAsia="Times New Roman"/>
                <w:sz w:val="24"/>
              </w:rPr>
              <w:t>(8) Exekútor vydá manželovi povinného na jeho žiadosť po preukázaní jeho totožnosti a manželstva s povinným potvrdenie o sume peňažných prostriedkov vymožených z účtu povinného podľa odseku 1, o čase ich prijatia a o sume použitej na vymáhaný nárok a trovy exekúcie. Potvrdenie vychádza z údajov exekučného spisu a neobsahuje posúdenie právneho režimu prostriedkov ani nárokov medzi manželmi.</w:t>
              <w:br/>
            </w:r>
            <w:r>
              <w:rPr>
                <w:b w:val="off"/>
                <w:color w:val="000000"/>
                <w:rFonts w:ascii="Times New Roman" w:hAnsi="Times New Roman" w:cs="Times New Roman" w:eastAsia="Times New Roman"/>
                <w:sz w:val="24"/>
              </w:rPr>
              <w:t>(9) Ustanovenia odseku 1 a odsekov 6 až 8 sa primerane vzťahujú aj na bývalého manžela povinného.“.</w:t>
              <w:br/>
            </w:r>
            <w:r>
              <w:rPr>
                <w:b w:val="off"/>
                <w:color w:val="000000"/>
                <w:rFonts w:ascii="Times New Roman" w:hAnsi="Times New Roman" w:cs="Times New Roman" w:eastAsia="Times New Roman"/>
                <w:sz w:val="24"/>
              </w:rPr>
              <w:t>V bode 33 sa navrhovaný § 99b vypúšťa. Úvodná veta bodu 33 sa upraví tak, aby uvádzala iba vloženie § 99a.</w:t>
              <w:br/>
            </w:r>
            <w:r>
              <w:rPr>
                <w:b w:val="off"/>
                <w:color w:val="000000"/>
                <w:rFonts w:ascii="Times New Roman" w:hAnsi="Times New Roman" w:cs="Times New Roman" w:eastAsia="Times New Roman"/>
                <w:sz w:val="24"/>
              </w:rPr>
              <w:t>Ustanovenia § 99a ods. 2 a 3 sa ponechávajú v predloženom znení novely. Súbeh viacerých exekúcií a neskoršie prírastky pri účte manžela povinného a spoločnom účte upravuje pripomienka 18. Výluka účastníctva pri účte vedenom výlučne na meno povinného sa dopĺňa v § 35 ods. 9 podľa pripomienky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SKE žiada zachovať účinnosť bežného spôsobu peňažnej exekúcie. Preverovanie majetkového režimu každej sumy na účte povinného, osobitné doručovanie ďalšej osobe a opakovanie tohto postupu pri každom prírastku zvyšujú náklady aj dĺžku konania. Pri nižších vymáhaných nárokoch môžu byť náklady takéhoto preverovania neprimerané výsledku. Pri manželstvách s medzinárodným prvkom treba navyše zohľadniť rozdielne majetkové režimy a pravidlá určovania rozhodného práva.</w:t>
              <w:br/>
            </w:r>
            <w:r>
              <w:rPr>
                <w:b w:val="off"/>
                <w:color w:val="000000"/>
                <w:rFonts w:ascii="Times New Roman" w:hAnsi="Times New Roman" w:cs="Times New Roman" w:eastAsia="Times New Roman"/>
                <w:sz w:val="24"/>
              </w:rPr>
              <w:t>Návrh rozlišuje postih pohľadávky z účtu vedeného výlučne na meno povinného od majetkových nárokov medzi manželmi. Samotným postihom sa neurčuje právny režim všetkých použitých prostriedkov. Ochrana manžela sa v tejto situácii presúva do nárokov voči povinnému mimo danej exekúcie. Preto sa v tejto časti vylučuje účastníctvo manžela a použitie § 44 a vypúšťa sa § 99b. Obrana povinného, práva ostatných tretích osôb a zákonné výnimky podľa § 104 tým nie sú dotknuté.</w:t>
              <w:br/>
            </w:r>
            <w:r>
              <w:rPr>
                <w:b w:val="off"/>
                <w:color w:val="000000"/>
                <w:rFonts w:ascii="Times New Roman" w:hAnsi="Times New Roman" w:cs="Times New Roman" w:eastAsia="Times New Roman"/>
                <w:sz w:val="24"/>
              </w:rPr>
              <w:t>Úplný postih spoločných prostriedkov nemožno vyvodiť zo samotného § 303 ods. 3 OZ. Navrhovaná výnimka z limitu podľa § 303 ods. 2 OZ je preto uvedená výslovne v § 99a ods. 6. Jej prijatie vyžaduje zosúladenie rozsahu postihu s hmotnoprávnou ochranou manžela a s pravidlami určujúcimi rozhodné právo. Osobitná úprava sa týka iba účtu vedeného výlučne na meno povinného; pri účte manžela a spoločnom účte sa zachováva osobitná obrana aj limit postihu podľa § 99a ods. 2 a 3.</w:t>
              <w:br/>
            </w:r>
            <w:r>
              <w:rPr>
                <w:b w:val="off"/>
                <w:color w:val="000000"/>
                <w:rFonts w:ascii="Times New Roman" w:hAnsi="Times New Roman" w:cs="Times New Roman" w:eastAsia="Times New Roman"/>
                <w:sz w:val="24"/>
              </w:rPr>
              <w:t>Existencia, výška a splatnosť nároku na vyrovnanie sa majú posudzovať podľa rozhodného hmotného práva. Nemožno preto pre všetky manželské majetkové režimy ustanoviť automatický nárok na polovicu použitej sumy ani požadovať formálne vysporiadanie celého spoločného imania bez splnenia jeho zákonných predpokladov. Návrh ukladá povinnému poskytnúť plnenie zodpovedajúce konkrétnemu nároku jeho manžela.</w:t>
              <w:br/>
            </w:r>
            <w:r>
              <w:rPr>
                <w:b w:val="off"/>
                <w:color w:val="000000"/>
                <w:rFonts w:ascii="Times New Roman" w:hAnsi="Times New Roman" w:cs="Times New Roman" w:eastAsia="Times New Roman"/>
                <w:sz w:val="24"/>
              </w:rPr>
              <w:t>Informačnú povinnosť voči manželovi plní povinný. Exekútor poskytne na žiadosť potvrdenie o vymožených prostriedkoch a ich použití podľa údajov vlastného spisu. Potvrdenie slúži ako podklad na uplatnenie nárokov medzi manželmi a nezakladá procesné účastníctvo. Exekútor neposudzuje rozhodné právo pre vnútorné vyrovnanie ani nečaká na výsledok prípadného sporu medzi manželmi; pri svojom zákonnom postupe sa na neho vzťahuje ochrana navrhnutá v pripomienke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99a ods. 3 až 5 k bodu 33</w:t>
              <w:br/>
            </w:r>
            <w:r>
              <w:rPr>
                <w:b w:val="off"/>
                <w:color w:val="000000"/>
                <w:rFonts w:ascii="Times New Roman" w:hAnsi="Times New Roman" w:cs="Times New Roman" w:eastAsia="Times New Roman"/>
                <w:sz w:val="24"/>
              </w:rPr>
              <w:t>18. Jednotný limit blokácie pri viacerých exekúciách</w:t>
              <w:br/>
            </w:r>
            <w:r>
              <w:rPr>
                <w:b w:val="off"/>
                <w:color w:val="000000"/>
                <w:rFonts w:ascii="Times New Roman" w:hAnsi="Times New Roman" w:cs="Times New Roman" w:eastAsia="Times New Roman"/>
                <w:sz w:val="24"/>
              </w:rPr>
              <w:t>K bodu 33, § 99a ods. 3 až 5.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pri účte manžela povinného a spoločnom účte podľa § 99a ods. 2 nahradiť statický údaj o polovici prostriedkov v čase prvého príkazu dynamickým a bankou evidovaným limitom. Rovnaké prostriedky nemožno opakovane zaťažiť novou polovičnou blokáciou, ale polovica nových prírastkov má zostať postihnuteľná. Tento limit sa neuplatní pri účte vedenom výlučne na meno povinného podľa pripomienky 17.</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99a odsek 4 znie:</w:t>
              <w:br/>
            </w:r>
            <w:r>
              <w:rPr>
                <w:b w:val="off"/>
                <w:color w:val="000000"/>
                <w:rFonts w:ascii="Times New Roman" w:hAnsi="Times New Roman" w:cs="Times New Roman" w:eastAsia="Times New Roman"/>
                <w:sz w:val="24"/>
              </w:rPr>
              <w:t>„(4) Ak sa na tom istom účte vykonáva viac exekúcií podľa odseku 2, banka uplatňuje obmedzenie podľa odseku 3 spoločne na všetky tieto exekúcie. Postihnuteľnú časť peňažných prostriedkov tvorí súčet polovice peňažných prostriedkov na účte v čase doručenia prvého príkazu a polovice každého neskoršieho prírastku peňažných prostriedkov po zohľadnení § 104. Banka túto časť priebežne znižuje o sumy, ktoré vyplatila exekútorom, a o sumy, ktorých blokovanie bolo zrušené. Doručenie ďalšieho príkazu nezakladá oprávnenie opätovne blokovať nepostihnuteľnú časť tých istých peňažných prostriedkov. Poradie uspokojenia sa spravuje § 97.“.</w:t>
              <w:br/>
            </w:r>
            <w:r>
              <w:rPr>
                <w:b w:val="off"/>
                <w:color w:val="000000"/>
                <w:rFonts w:ascii="Times New Roman" w:hAnsi="Times New Roman" w:cs="Times New Roman" w:eastAsia="Times New Roman"/>
                <w:sz w:val="24"/>
              </w:rPr>
              <w:t>§ 99a sa dopĺňa odsekom 5, ktorý znie:</w:t>
              <w:br/>
            </w:r>
            <w:r>
              <w:rPr>
                <w:b w:val="off"/>
                <w:color w:val="000000"/>
                <w:rFonts w:ascii="Times New Roman" w:hAnsi="Times New Roman" w:cs="Times New Roman" w:eastAsia="Times New Roman"/>
                <w:sz w:val="24"/>
              </w:rPr>
              <w:t>„(5) Pri exekúcii podľa odseku 2 banka vedie evidenciu postihnuteľnej a nepostihnuteľnej časti peňažných prostriedkov. Pri prevode peňažných prostriedkov medzi účtami vedenými tou istou bankou, na ktoré sa uplatňuje obmedzenie podľa odseku 3, sa zachová ich evidovaný režim tohto obmedzenia. Takto prevedené prostriedky sa len z dôvodu prevodu nepovažujú za nový prírastok na účely určenia limitu podľa odseku 4. Na účet vedený výlučne na meno povinného sa zachovanie polovičného limitu podľa tohto odseku nevzťahuje. Banka poskytne exekútorovi na jeho žiadosť údaje o blokovanej sume a o spôsobe určenia jej limitu.“.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pri účte manžela povinného a spoločnom účte predchádza kumulácii blokácií nad zákonnú hranicu a trvalému zmrazeniu postihnuteľnej sumy na stave z prvého dňa. Prvý následok by porušoval ochranu manžela, druhý by vytváral neodôvodnenú imunitu neskorších príjmov. Pri účte vedenom výlučne na meno povinného sa uplatní odlišný rozsah postihu podľa pripomienky 17.</w:t>
              <w:br/>
            </w:r>
            <w:r>
              <w:rPr>
                <w:b w:val="off"/>
                <w:color w:val="000000"/>
                <w:rFonts w:ascii="Times New Roman" w:hAnsi="Times New Roman" w:cs="Times New Roman" w:eastAsia="Times New Roman"/>
                <w:sz w:val="24"/>
              </w:rPr>
              <w:t>Údaje o prírastkoch, výberoch a súbežných príkazoch má banka v reálnom čase. Ich operatívne sledovanie nemožno preniesť na exekútora, ktorý tieto transakcie nevykonáva a často sa o platbe dozvie až po jej poukázaní. Jednotný bankový výpočet navyše predíde rozdielnym pokynom viacerých exekútorov k tej istej sume.</w:t>
              <w:br/>
            </w:r>
            <w:r>
              <w:rPr>
                <w:b w:val="off"/>
                <w:color w:val="000000"/>
                <w:rFonts w:ascii="Times New Roman" w:hAnsi="Times New Roman" w:cs="Times New Roman" w:eastAsia="Times New Roman"/>
                <w:sz w:val="24"/>
              </w:rPr>
              <w:t>Technický štandard má osobitne riešiť identifikáciu už chránených prostriedkov. Zákonná hranica nemôže byť zamieňaná s pravidlom, že pri každom príkaze možno nanovo blokovať polovicu zostatku vrátane už raz chránenej polovice. Exekútor musí mať možnosť spoľahnúť sa na výpočet banky, ak nemá konkrétny dôvod pochybovať o jeho správnosti. Zachovanie evidovaného režimu pri prevodoch v rámci banky sa viaže len na účty podliehajúce limitu podľa § 99a ods. 3 a neobnovuje tento limit na účte vedenom výlučne na meno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34 v spojení s bodom 33</w:t>
              <w:br/>
            </w:r>
            <w:r>
              <w:rPr>
                <w:b w:val="off"/>
                <w:color w:val="000000"/>
                <w:rFonts w:ascii="Times New Roman" w:hAnsi="Times New Roman" w:cs="Times New Roman" w:eastAsia="Times New Roman"/>
                <w:sz w:val="24"/>
              </w:rPr>
              <w:t>19. Vzťah polovičného limitu a prostriedkov podľa paragrafu 104</w:t>
              <w:br/>
            </w:r>
            <w:r>
              <w:rPr>
                <w:b w:val="off"/>
                <w:color w:val="000000"/>
                <w:rFonts w:ascii="Times New Roman" w:hAnsi="Times New Roman" w:cs="Times New Roman" w:eastAsia="Times New Roman"/>
                <w:sz w:val="24"/>
              </w:rPr>
              <w:t>K bodu 34 v spojení s bodom 33.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pri účte manžela povinného a spoločnom účte podľa § 99a ods. 2 ustanoviť, že suma podľa § 104 predstavuje minimálnu ochranu zahrnutú do chránenej časti zostatku, nie automaticky ďalšiu sumu odpočítavanú od už nepostihnuteľnej polovice. Prostriedky výlučne patriace manželovi, ktoré sa vylúčili z exekúcie, sa do základu na určenie polovice nezahŕňajú. Pri účte vedenom výlučne na meno povinného sa uplatní § 104 bez polovičného limitu.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104 sa dopĺňa odsekom 4, ktorý znie:</w:t>
              <w:br/>
            </w:r>
            <w:r>
              <w:rPr>
                <w:b w:val="off"/>
                <w:color w:val="000000"/>
                <w:rFonts w:ascii="Times New Roman" w:hAnsi="Times New Roman" w:cs="Times New Roman" w:eastAsia="Times New Roman"/>
                <w:sz w:val="24"/>
              </w:rPr>
              <w:t>„(4) Pri exekúcii podľa § 99a ods. 2 a 3 sa peňažné prostriedky nepodliehajúce exekúcii podľa odsekov 1 a 2 započítajú do nepostihnuteľnej časti peňažných prostriedkov. Blokovaná suma nesmie presiahnuť polovicu peňažných prostriedkov, na ktoré sa obmedzenie vzťahuje, ani rozdiel medzi ich celkovou sumou a sumou peňažných prostriedkov nepodliehajúcich exekúcii podľa odsekov 1 a 2. Do základu na určenie polovice sa nezapočítajú peňažné prostriedky, o ktorých bolo právoplatne rozhodnuté, že nepatria do spoločného imania manželov ani povinnému. Ak sa uplatňuje odsek 3, peňažné prostriedky na dotknutom účte nemožno postihnúť. Pri postupe podľa § 99a ods. 1 sa uplatnia odseky 1 a 2 bez obmedzenia postihu na polovicu podľa § 99a ods.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koordinačného pravidla nie je zrejmé, či sa najprv odpočíta celá suma podľa § 104 a následne ešte polovica zvyšku, alebo či sa uplatnia dve samostatné hranice. Rôzny výklad pri rovnakom zostatku znamená rozdielnu vymožiteľnosť a nepredvídateľné zodpovednostné riziko exekútora a banky.</w:t>
              <w:br/>
            </w:r>
            <w:r>
              <w:rPr>
                <w:b w:val="off"/>
                <w:color w:val="000000"/>
                <w:rFonts w:ascii="Times New Roman" w:hAnsi="Times New Roman" w:cs="Times New Roman" w:eastAsia="Times New Roman"/>
                <w:sz w:val="24"/>
              </w:rPr>
              <w:t>Navrhovaný mechanizmus chráni obe zákonné hranice a zabraňuje ich neodôvodnenému sčítavaniu. Ak je na účte podľa § 99a ods. 2 suma 1 000 eur a ochrana podľa § 104 predstavuje 300 eur, možno postihnúť najviac 500 eur. Ak ochrana podľa § 104 predstavuje 700 eur, možno postihnúť najviac 300 eur. Nejde teda o zníženie zákonnej základnej ochrany, ale o zákaz dvojitého započítania tej istej ochrannej funkcie.</w:t>
              <w:br/>
            </w:r>
            <w:r>
              <w:rPr>
                <w:b w:val="off"/>
                <w:color w:val="000000"/>
                <w:rFonts w:ascii="Times New Roman" w:hAnsi="Times New Roman" w:cs="Times New Roman" w:eastAsia="Times New Roman"/>
                <w:sz w:val="24"/>
              </w:rPr>
              <w:t>Pri účte manžela povinného a spoločnom účte treba oddeliť prostriedky, ktoré nepatria do spoločného majetku ani povinnému a boli z exekúcie vylúčené. Pri nich nejde o výpočet chránenej polovice, ale o absenciu predmetu postihu. Výpočet vykoná banka z údajov, ktoré jej boli riadne oznámené alebo určené exekútorom v medziach zákona. Tento mechanizmus sa neprenáša na účet vedený výlučne na meno povinného, pri ktorom sa uplatní osobitný postup podľa pripomienky 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113b ods. 1 k bodu 36</w:t>
              <w:br/>
            </w:r>
            <w:r>
              <w:rPr>
                <w:b w:val="off"/>
                <w:color w:val="000000"/>
                <w:rFonts w:ascii="Times New Roman" w:hAnsi="Times New Roman" w:cs="Times New Roman" w:eastAsia="Times New Roman"/>
                <w:sz w:val="24"/>
              </w:rPr>
              <w:t>20. Odstránenie absolútnej imunity obchodného podielu manžela</w:t>
              <w:br/>
            </w:r>
            <w:r>
              <w:rPr>
                <w:b w:val="off"/>
                <w:color w:val="000000"/>
                <w:rFonts w:ascii="Times New Roman" w:hAnsi="Times New Roman" w:cs="Times New Roman" w:eastAsia="Times New Roman"/>
                <w:sz w:val="24"/>
              </w:rPr>
              <w:t>K bodu 36, § 113b ods. 1.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vypustiť absolútnu imunitu obchodného podielu manžela povinného a ustanoviť postup, ktorý umožní jeho speňaženie bez automatického zániku účasti manžela v spoločnosti a pri zachovaní limitu podľa § 303 OZ.</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113b ods. 1 navrhovaná druhá veta znie:</w:t>
              <w:br/>
            </w:r>
            <w:r>
              <w:rPr>
                <w:b w:val="off"/>
                <w:color w:val="000000"/>
                <w:rFonts w:ascii="Times New Roman" w:hAnsi="Times New Roman" w:cs="Times New Roman" w:eastAsia="Times New Roman"/>
                <w:sz w:val="24"/>
              </w:rPr>
              <w:t>„Ak obchodný podiel manžela povinného patrí do spoločného imania manželov, možno ho za podmienok podľa § 303 ods. 2 Občianskeho zákonníka postihnúť na uspokojenie pohľadávky veriteľa len jedného z manželov.“.</w:t>
              <w:br/>
            </w:r>
            <w:r>
              <w:rPr>
                <w:b w:val="off"/>
                <w:color w:val="000000"/>
                <w:rFonts w:ascii="Times New Roman" w:hAnsi="Times New Roman" w:cs="Times New Roman" w:eastAsia="Times New Roman"/>
                <w:sz w:val="24"/>
              </w:rPr>
              <w:t>§ 113b sa dopĺňa odsekom 10, ktorý znie:</w:t>
              <w:br/>
            </w:r>
            <w:r>
              <w:rPr>
                <w:b w:val="off"/>
                <w:color w:val="000000"/>
                <w:rFonts w:ascii="Times New Roman" w:hAnsi="Times New Roman" w:cs="Times New Roman" w:eastAsia="Times New Roman"/>
                <w:sz w:val="24"/>
              </w:rPr>
              <w:t>„(10) Pri exekúcii podľa odseku 1 druhej vety je manžel povinného účastníkom konania v rozsahu postihu obchodného podielu. Doručenie exekučného príkazu nemá za následok zánik jeho účasti v obchodnej spoločnosti. Na speňaženie obchodného podielu sa primerane použijú odsek 6 a ustanovenia o predaji hnuteľných vecí. Pri použití výťažku sa postupuje podľa § 166a. Ustanovenia osobitného zákona, ktoré vylučujú nadobudnutie účasti určitou osobou, tým nie sú dotknuté.“.</w:t>
              <w:br/>
            </w:r>
            <w:r>
              <w:rPr>
                <w:b w:val="off"/>
                <w:color w:val="000000"/>
                <w:rFonts w:ascii="Times New Roman" w:hAnsi="Times New Roman" w:cs="Times New Roman" w:eastAsia="Times New Roman"/>
                <w:sz w:val="24"/>
              </w:rPr>
              <w:t>V príslušnom článku implementačného zákona upravujúcom účasť v obchodnej spoločnosti sa doplní toto ustanovenie: „Doručenie exekučného príkazu na postihnutie obchodného podielu manžela povinného podľa § 113b ods. 10 Exekučného poriadku nemá za následok zánik jeho účasti v obchodnej spoločnosti.“.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292 ods. 3 OZ výslovne zahŕňa za ustanovených podmienok obchodný podiel do spoločného imania. Absolútne procesné vyňatie tejto hodnoty zo všetkých prípadov postihu pre výlučný dlh vytvára medzeru medzi hmotným a procesným právom. Majetok vložený do spoločnosti manžela by získal vyššiu ochranu než rovnaká hodnota ponechaná na účte alebo použitá na kúpu nehnuteľnosti.</w:t>
              <w:br/>
            </w:r>
            <w:r>
              <w:rPr>
                <w:b w:val="off"/>
                <w:color w:val="000000"/>
                <w:rFonts w:ascii="Times New Roman" w:hAnsi="Times New Roman" w:cs="Times New Roman" w:eastAsia="Times New Roman"/>
                <w:sz w:val="24"/>
              </w:rPr>
              <w:t>Odôvodnený záujem nezrušiť účasť manžela automaticky možno zabezpečiť osobitným režimom realizácie. Nie je potrebné chrániť samotnú majetkovú hodnotu pred veriteľmi bez ohľadu na jej pôvod. Návrh preto zachováva postih spoločnej hodnoty a odstraňuje nežiaduci automatický korporačný následok.</w:t>
              <w:br/>
            </w:r>
            <w:r>
              <w:rPr>
                <w:b w:val="off"/>
                <w:color w:val="000000"/>
                <w:rFonts w:ascii="Times New Roman" w:hAnsi="Times New Roman" w:cs="Times New Roman" w:eastAsia="Times New Roman"/>
                <w:sz w:val="24"/>
              </w:rPr>
              <w:t>Pripomienka nepožaduje možnosť postihovať výlučný podiel nedlžiaceho manžela. Ak povinný účelovo prevedie svoj výlučný majetok na manžela alebo na jeho spoločnosť, ide o odlišnú otázku neúčinnosti dispozície alebo odporovania podľa § 61d EP a § 551 a nasl. OZ. Samotný pôvod prostriedkov bez ďalšieho neoprávňuje exekútora ignorovať právnu subjektivitu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 136 ods. 1 súvisiace doplnenie § 125 ods. 3 a a § 140 ods. 2 písm. a)</w:t>
              <w:br/>
            </w:r>
            <w:r>
              <w:rPr>
                <w:b w:val="off"/>
                <w:color w:val="000000"/>
                <w:rFonts w:ascii="Times New Roman" w:hAnsi="Times New Roman" w:cs="Times New Roman" w:eastAsia="Times New Roman"/>
                <w:sz w:val="24"/>
              </w:rPr>
              <w:t>21. Elektronické dražby hnuteľných vecí a nehnuteľností</w:t>
              <w:br/>
            </w:r>
            <w:r>
              <w:rPr>
                <w:b w:val="off"/>
                <w:color w:val="000000"/>
                <w:rFonts w:ascii="Times New Roman" w:hAnsi="Times New Roman" w:cs="Times New Roman" w:eastAsia="Times New Roman"/>
                <w:sz w:val="24"/>
              </w:rPr>
              <w:t>K § 125 ods. 1 a § 136 ods. 1 EP; súvisiace doplnenie § 125 ods. 3 a § 140 ods. 2 písm. a).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SR je posledným štátom v Európe s absentujúcou úpravou elektronických dražieb. Žiadame teda výslovne umožniť elektronické vykonanie exekučnej dražby hnuteľných vecí aj nehnuteľností; podrobnosti ustanoví vykonávací predpis ministerstva vydaný po dohode s komorou. Úprava má rozšíriť okruh záujemcov, obmedziť priestor na osobný nátlak a dohody potláčajúce dražobnú súťaž a umožniť spoľahlivé spätné overenie podaní a výsledku dražby.</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125 ods. 1 a § 136 ods. 1 sa za prvú vetu vkladajú tri nové vety, ktoré znejú:</w:t>
              <w:br/>
            </w:r>
            <w:r>
              <w:rPr>
                <w:b w:val="off"/>
                <w:color w:val="000000"/>
                <w:rFonts w:ascii="Times New Roman" w:hAnsi="Times New Roman" w:cs="Times New Roman" w:eastAsia="Times New Roman"/>
                <w:sz w:val="24"/>
              </w:rPr>
              <w:t>„Dražbu možno vykonať aj elektronicky prostredníctvom elektronického dražobného systému. Podrobnosti o vykonaní elektronickej dražby, najmä o registrácii dražiteľov, zverejnení jej podmienok, prijímaní a potvrdzovaní podaní, určení ich poradia, začatí a skončení dražby, postupe pri technických poruchách a vyhotovení, uchovávaní a sprístupňovaní záznamu o jej priebehu ustanoví všeobecne záväzný právny predpis, ktorý vydá ministerstvo po dohode s komorou.“.</w:t>
              <w:br/>
            </w:r>
            <w:r>
              <w:rPr>
                <w:b w:val="off"/>
                <w:color w:val="000000"/>
                <w:rFonts w:ascii="Times New Roman" w:hAnsi="Times New Roman" w:cs="Times New Roman" w:eastAsia="Times New Roman"/>
                <w:sz w:val="24"/>
              </w:rPr>
              <w:t>V § 125 ods. 3 sa na konci pripája táto veta:</w:t>
              <w:br/>
            </w:r>
            <w:r>
              <w:rPr>
                <w:b w:val="off"/>
                <w:color w:val="000000"/>
                <w:rFonts w:ascii="Times New Roman" w:hAnsi="Times New Roman" w:cs="Times New Roman" w:eastAsia="Times New Roman"/>
                <w:sz w:val="24"/>
              </w:rPr>
              <w:t>„Pri elektronickej dražbe sa namiesto miesta konania dražby uvádza adresa webového sídla, na ktorom sa dražba vykoná, a zverejnia sa aj podmienky registrácie a účasti dražiteľov, čas začatia dražby a podmienky jej skončenia vrátane predlžovania.“.</w:t>
              <w:br/>
            </w:r>
            <w:r>
              <w:rPr>
                <w:b w:val="off"/>
                <w:color w:val="000000"/>
                <w:rFonts w:ascii="Times New Roman" w:hAnsi="Times New Roman" w:cs="Times New Roman" w:eastAsia="Times New Roman"/>
                <w:sz w:val="24"/>
              </w:rPr>
              <w:t>V § 140 ods. 2 písmeno a) znie:</w:t>
              <w:br/>
            </w:r>
            <w:r>
              <w:rPr>
                <w:b w:val="off"/>
                <w:color w:val="000000"/>
                <w:rFonts w:ascii="Times New Roman" w:hAnsi="Times New Roman" w:cs="Times New Roman" w:eastAsia="Times New Roman"/>
                <w:sz w:val="24"/>
              </w:rPr>
              <w:t>„a) čas a miesto dražby; pri elektronickej dražbe adresu webového sídla, na ktorom sa dražba vykoná, podmienky registrácie a účasti dražiteľov, čas začatia dražby a podmienky jej skončenia vrátane predlžovania,“.</w:t>
              <w:br/>
            </w:r>
            <w:r>
              <w:rPr>
                <w:b w:val="off"/>
                <w:color w:val="000000"/>
                <w:rFonts w:ascii="Times New Roman" w:hAnsi="Times New Roman" w:cs="Times New Roman" w:eastAsia="Times New Roman"/>
                <w:sz w:val="24"/>
              </w:rPr>
              <w:t>V nadväzujúcej úprave žiadame zosúladiť pravidlá o mieste konania, zápisnici, priebehu dražby, príklepe a zaplatení najvyššieho podania s elektronickou formou. Zákonné pravidlá o osobách vylúčených z dražby, predkupnom práve, zábezpeke, námietkach a súdnej kontrole zostávajú použiteľné. Vykonávací predpis môže upraviť technický postup ich uplatnenia, nemôže však meniť ich zákonné podmienky ani účinky.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Exekučný poriadok pri predaji hnuteľných vecí vychádza z dražby konanej v mieste, kde sa veci nachádzajú, alebo u exekútora a neobsahuje výslovný a ucelený procesný rámec elektronickej exekučnej dražby. Navrhované doplnenie vytvorí jednoznačný zákonný základ pre elektronickú formu pri oboch spôsoboch predaja. Ide o možnosť, ktorú exekútor zvolí podľa povahy majetku a okolností exekúcie. Údaj o fyzickom mieste dražby preto musí pri elektronickej forme nahradiť internetová adresa a vopred dostupné pravidlá účasti.</w:t>
              <w:br/>
            </w:r>
            <w:r>
              <w:rPr>
                <w:b w:val="off"/>
                <w:color w:val="000000"/>
                <w:rFonts w:ascii="Times New Roman" w:hAnsi="Times New Roman" w:cs="Times New Roman" w:eastAsia="Times New Roman"/>
                <w:sz w:val="24"/>
              </w:rPr>
              <w:t>Účasť bez potreby cestovania môže sprístupniť dražbu širšiemu okruhu záujemcov a podporiť skutočnú cenovú súťaž. Vyšší dosiahnutý výťažok slúži uspokojeniu oprávneného aj zníženiu zostávajúceho dlhu povinného. Verejné sledovanie podaní, ich presné časové poradie a záznam chránený pred zmenou zvyšujú transparentnosť a umožňujú kontrolu postupu exekútora aj prevádzkovateľa systému.</w:t>
              <w:br/>
            </w:r>
            <w:r>
              <w:rPr>
                <w:b w:val="off"/>
                <w:color w:val="000000"/>
                <w:rFonts w:ascii="Times New Roman" w:hAnsi="Times New Roman" w:cs="Times New Roman" w:eastAsia="Times New Roman"/>
                <w:sz w:val="24"/>
              </w:rPr>
              <w:t>Oddelenie dražiteľov v priestore a ich označenie navonok identifikátormi, z ktorých nemožno zistiť totožnosť, obmedzujú možnosti priameho zastrašovania, ponúk odmeny za neprihadzovanie alebo koordinácie podaní v dražobnej miestnosti. Totožnosť musí byť pritom overená pre exekútora a dostupná pri zákonnej kontrole. Elektronická forma preto pôsobí preventívne spolu s overením totožnosti, kontrolou podaní a možnosťou preskúmať záznam.</w:t>
              <w:br/>
            </w:r>
            <w:r>
              <w:rPr>
                <w:b w:val="off"/>
                <w:color w:val="000000"/>
                <w:rFonts w:ascii="Times New Roman" w:hAnsi="Times New Roman" w:cs="Times New Roman" w:eastAsia="Times New Roman"/>
                <w:sz w:val="24"/>
              </w:rPr>
              <w:t xml:space="preserve">Porovnateľný model sa používa v Českej republike. Ministerstvo spravedlnosti ČR vo svojom prehľade exekúcie predajom nehnuteľností opisuje overenie totožnosti, označenie dražiteľov navonok identifikátormi, predlžovanie dražby pri záverečných podaniach a záznam jednotlivých príhozov s časom a označením dražiteľa. Tieto prvky poskytujú konkrétny vzor pre vykonávaciu úpravu. </w:t>
              <w:br/>
            </w:r>
            <w:r>
              <w:rPr>
                <w:b w:val="off"/>
                <w:color w:val="000000"/>
                <w:rFonts w:ascii="Times New Roman" w:hAnsi="Times New Roman" w:cs="Times New Roman" w:eastAsia="Times New Roman"/>
                <w:sz w:val="24"/>
              </w:rPr>
              <w:t>Zákonné splnomocnenie a vykonávací predpis musia nadobudnúť účinnosť súčasne, aby bola elektronická dražba od začiatku reálne použiteľná. Pri súbežnom prijatí pripomienky 24 o práve výkupu je rozhodujúci okamih začatia elektronickej dražby uvedený v oznámení alebo dražobnej vyhláške; právo výkupu nemožno ponechať otvorené počas elektronickej súťaže až do príklepu.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127, 128 a 157 EP</w:t>
              <w:br/>
            </w:r>
            <w:r>
              <w:rPr>
                <w:b w:val="off"/>
                <w:color w:val="000000"/>
                <w:rFonts w:ascii="Times New Roman" w:hAnsi="Times New Roman" w:cs="Times New Roman" w:eastAsia="Times New Roman"/>
                <w:sz w:val="24"/>
              </w:rPr>
              <w:t>22. Prednosť pozostalostného veriteľa v rozvrhu</w:t>
              <w:br/>
            </w:r>
            <w:r>
              <w:rPr>
                <w:b w:val="off"/>
                <w:color w:val="000000"/>
                <w:rFonts w:ascii="Times New Roman" w:hAnsi="Times New Roman" w:cs="Times New Roman" w:eastAsia="Times New Roman"/>
                <w:sz w:val="24"/>
              </w:rPr>
              <w:t>Nadväzujúca pripomienka k § 127, § 128 a § 157 EP.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výslovne premietnuť § 1881 OZ do procesných pravidiel rozvrhu bez narušenia poradia záložných práv. Exekútor musí mať zákonný podklad na zadržanie a rozdelenie výťažku, ak sa stretne pozostalostná pohľadávka a osobný nezabezpečený dlh dediča.</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128 sa dopĺňa odsekom 4, ktorý znie:</w:t>
              <w:br/>
            </w:r>
            <w:r>
              <w:rPr>
                <w:b w:val="off"/>
                <w:color w:val="000000"/>
                <w:rFonts w:ascii="Times New Roman" w:hAnsi="Times New Roman" w:cs="Times New Roman" w:eastAsia="Times New Roman"/>
                <w:sz w:val="24"/>
              </w:rPr>
              <w:t>„(4) Pri rozdelení výťažku z predaja veci nadobudnutej dedením sa primerane použije § 157 o prednosti pozostalostnej pohľadávky. Exekútor pred rozdelením výťažku oznámi známym dotknutým veriteľom, že právo na prednosť môžu uplatniť do 15 dní od doručenia oznámenia. Do uplynutia tejto lehoty exekútor zadrží len sumu potrebnú na uspokojenie známych pozostalostných pohľadávok.“.</w:t>
              <w:br/>
            </w:r>
            <w:r>
              <w:rPr>
                <w:b w:val="off"/>
                <w:color w:val="000000"/>
                <w:rFonts w:ascii="Times New Roman" w:hAnsi="Times New Roman" w:cs="Times New Roman" w:eastAsia="Times New Roman"/>
                <w:sz w:val="24"/>
              </w:rPr>
              <w:t>§ 157 sa dopĺňa odsekom 6, ktorý znie:</w:t>
              <w:br/>
            </w:r>
            <w:r>
              <w:rPr>
                <w:b w:val="off"/>
                <w:color w:val="000000"/>
                <w:rFonts w:ascii="Times New Roman" w:hAnsi="Times New Roman" w:cs="Times New Roman" w:eastAsia="Times New Roman"/>
                <w:sz w:val="24"/>
              </w:rPr>
              <w:t>„(6) Pri rozvrhu výťažku z predaja veci nadobudnutej dedením sa veriteľ pozostalostnej pohľadávky, ktorý riadne uplatnil právo na prednosť podľa § 1881 Občianskeho zákonníka, uspokojí pred nezabezpečenými veriteľmi iných ako pozostalostných pohľadávok. Poradie uspokojenia zo záložného práva a úhrada nevyhnutných nákladov zachovania a speňaženia veci tým nie sú dotknuté. Pozostalostné pohľadávky sa navzájom uspokojujú v poradí podľa odseku 1. Veriteľ uvedie dôvod pozostalostnej pohľadávky a označí dôkazy o jej povahe najneskôr na rozvrhovom pojednávaní. Pri spornosti pohľadávky sa postupuje podľa § 44 a § 162.“.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1881 OZ výslovne dáva pozostalostnému veriteľovi právo žiadať prednosť pred nezabezpečeným veriteľom inej než pozostalostnej pohľadávky. Všeobecné poradie EP však vychádza aj z iných kritérií a samo neurčuje techniku uplatnenia tejto osobitnej prednosti. Bez doplnenia sa exekútor dostane medzi protichodné požiadavky veriteľov s rizikom, že ktorýkoľvek z možných výkladov bude neskôr napadnutý.</w:t>
              <w:br/>
            </w:r>
            <w:r>
              <w:rPr>
                <w:b w:val="off"/>
                <w:color w:val="000000"/>
                <w:rFonts w:ascii="Times New Roman" w:hAnsi="Times New Roman" w:cs="Times New Roman" w:eastAsia="Times New Roman"/>
                <w:sz w:val="24"/>
              </w:rPr>
              <w:t>Zachovanie poradia záložných práv je výslovným príkazom OZ. Procesná prednosť preto nemôže paušálne preskočiť zabezpečených veriteľov ani poprieť náklady samotného speňaženia. Pri nezabezpečených nárokoch sa však musí prejaviť reálnym právom na výťažok, nie iba možnosťou následne žalovať jeho príjemcu.</w:t>
              <w:br/>
            </w:r>
            <w:r>
              <w:rPr>
                <w:b w:val="off"/>
                <w:color w:val="000000"/>
                <w:rFonts w:ascii="Times New Roman" w:hAnsi="Times New Roman" w:cs="Times New Roman" w:eastAsia="Times New Roman"/>
                <w:sz w:val="24"/>
              </w:rPr>
              <w:t>Pripomienka sa nevzťahuje na každý majetok dediča. Viaže sa na výťažok veci z dedičstva a na riadne uplatnenie prednosti. Exekútor nemá povinnosť viesť neobmedzené pátranie po neznámych veriteľoch; využije údaje z konania o dedičstve a z prihlášok. Spornú povahu pohľadávky rozhodne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166a k bodu 42</w:t>
              <w:br/>
            </w:r>
            <w:r>
              <w:rPr>
                <w:b w:val="off"/>
                <w:color w:val="000000"/>
                <w:rFonts w:ascii="Times New Roman" w:hAnsi="Times New Roman" w:cs="Times New Roman" w:eastAsia="Times New Roman"/>
                <w:sz w:val="24"/>
              </w:rPr>
              <w:t>23. Zadržanie a rozvrh výťažku zo spoločného majetku</w:t>
              <w:br/>
            </w:r>
            <w:r>
              <w:rPr>
                <w:b w:val="off"/>
                <w:color w:val="000000"/>
                <w:rFonts w:ascii="Times New Roman" w:hAnsi="Times New Roman" w:cs="Times New Roman" w:eastAsia="Times New Roman"/>
                <w:sz w:val="24"/>
              </w:rPr>
              <w:t>K bodu 42, § 166a.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nevydávať polovicu hrubého výťažku manželovi automaticky pred rozvrhom. Exekútor musí najprv zohľadniť náklady realizácie, vecné zabezpečenie a nároky, pri ktorých zákon umožňuje uspokojenie z celej hodnoty majetku. Zároveň sa musí zabrániť tomu, aby tvrdený spoločný charakter dlhu bez titulu voči obom manželom nahradil exekučný titul.</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166a odsek 3 znie:</w:t>
              <w:br/>
            </w:r>
            <w:r>
              <w:rPr>
                <w:b w:val="off"/>
                <w:color w:val="000000"/>
                <w:rFonts w:ascii="Times New Roman" w:hAnsi="Times New Roman" w:cs="Times New Roman" w:eastAsia="Times New Roman"/>
                <w:sz w:val="24"/>
              </w:rPr>
              <w:t>„(3) Výťažok z predaja veci patriacej do spoločného imania manželov sa do jeho rozvrhnutia uchováva na osobitnom účte exekútora. Exekútor z výťažku najprv odpočíta preukázané nevyhnutné náklady bezprostredne spojené s ocenením a predajom veci. Pri rozvrhu zohľadní pohľadávky zabezpečené záložným právom k celej veci v rozsahu, v ktorom záložné právo podľa zákona oprávňuje na uspokojenie z celej hodnoty veci, a pohľadávky, na ktorých splnenie sú exekučným titulom zaviazaní obaja manželia. Všetky prihlásené pohľadávky zaradí do poradia podľa ustanovení upravujúcich príslušný spôsob exekúcie. Spoločný charakter dlhu ani oprávnenie na uspokojenie z celej hodnoty veci nezakladajú prednosť pred pohľadávkou, ktorej zákon priznáva skoršie poradie.“.</w:t>
              <w:br/>
            </w:r>
            <w:r>
              <w:rPr>
                <w:b w:val="off"/>
                <w:color w:val="000000"/>
                <w:rFonts w:ascii="Times New Roman" w:hAnsi="Times New Roman" w:cs="Times New Roman" w:eastAsia="Times New Roman"/>
                <w:sz w:val="24"/>
              </w:rPr>
              <w:t>§ 166a sa dopĺňa odsekmi 4 až 6, ktoré znejú:</w:t>
              <w:br/>
            </w:r>
            <w:r>
              <w:rPr>
                <w:b w:val="off"/>
                <w:color w:val="000000"/>
                <w:rFonts w:ascii="Times New Roman" w:hAnsi="Times New Roman" w:cs="Times New Roman" w:eastAsia="Times New Roman"/>
                <w:sz w:val="24"/>
              </w:rPr>
              <w:t>„(4) Pri postupnom uspokojovaní pohľadávok v zákonnom poradí možno na uspokojenie pohľadávok veriteľov len jedného z manželov vrátane trov ich vymáhania použiť najviac polovicu hodnoty, ktorá zostáva po zohľadnení nárokov s prednostným poradím oprávňujúcich na postih celej veci. Použitím tohto ustanovenia nemožno zmeniť zákonné poradie pohľadávok ani prekročiť celkový limit podľa § 303 ods. 2 Občianskeho zákonníka. Suma zodpovedajúca hodnote použitej na uspokojenie týchto nárokov sa vyplatí druhému manželovi ako jeho výlučný majetok. Zvyšok sa vyplatí ako majetok patriaci do spoločného imania manželov.</w:t>
              <w:br/>
            </w:r>
            <w:r>
              <w:rPr>
                <w:b w:val="off"/>
                <w:color w:val="000000"/>
                <w:rFonts w:ascii="Times New Roman" w:hAnsi="Times New Roman" w:cs="Times New Roman" w:eastAsia="Times New Roman"/>
                <w:sz w:val="24"/>
              </w:rPr>
              <w:t>(5) Ak sa z toho istého výťažku uspokojujú aj pohľadávky veriteľov len druhého manžela, exekútor ich zohľadní v príslušnej časti hodnoty výťažku. Tú istú časť výťažku nemožno použiť na uspokojenie viackrát ani prekročiť zákonný rozsah postihu. Oprávnenie na uspokojenie musí vyplývať z exekučného titulu alebo zo záložného práva; samotné tvrdenie o spoločnom charaktere dlhu oprávnenie na uspokojenie nezakladá.</w:t>
              <w:br/>
            </w:r>
            <w:r>
              <w:rPr>
                <w:b w:val="off"/>
                <w:color w:val="000000"/>
                <w:rFonts w:ascii="Times New Roman" w:hAnsi="Times New Roman" w:cs="Times New Roman" w:eastAsia="Times New Roman"/>
                <w:sz w:val="24"/>
              </w:rPr>
              <w:t>(6) Výťažok sa manželovi vyplatí až po schválení rozvrhu alebo po právoplatnom vyriešení námietky týkajúcej sa jeho nároku. Na spornú časť výťažku sa primerane použije § 44; ostatná časť výťažku sa vyplatí bez zbytočného odkladu. Pri predaji hnuteľných vecí sa na rozvrh použijú § 127 a § 128 s odchýlkami podľa odsekov 3 až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Automatická výplata polovice celej dosiahnutej ceny pred rozvrhom by mohla odčerpať aj hodnotu, ktorá kryje platne zriadené záložné právo k celej veci alebo pohľadávku vykonateľnú proti obom manželom. Neskoršia korekcia by už vyžadovala vrátenie vyplatených peňazí a vytvárala zodpovednostné riziko exekútora.</w:t>
              <w:br/>
            </w:r>
            <w:r>
              <w:rPr>
                <w:b w:val="off"/>
                <w:color w:val="000000"/>
                <w:rFonts w:ascii="Times New Roman" w:hAnsi="Times New Roman" w:cs="Times New Roman" w:eastAsia="Times New Roman"/>
                <w:sz w:val="24"/>
              </w:rPr>
              <w:t>§ 303 ods. 3 OZ zároveň nevytvára vždy nárok manžela na presnú polovicu výťažku do jeho výlučného majetku. Viaže vznik výlučného majetku na rovnakú hodnotu, aká sa použila na výlučný dlh druhého manžela. Ak sa zo zostatku 100 použije na tento dlh 40, druhých 40 prechádza do výlučného majetku a 20 zostáva spoločných. Procesný text musí tento rozdiel zachytiť.</w:t>
              <w:br/>
            </w:r>
            <w:r>
              <w:rPr>
                <w:b w:val="off"/>
                <w:color w:val="000000"/>
                <w:rFonts w:ascii="Times New Roman" w:hAnsi="Times New Roman" w:cs="Times New Roman" w:eastAsia="Times New Roman"/>
                <w:sz w:val="24"/>
              </w:rPr>
              <w:t>Rozvrh musí rešpektovať povahu aj poradie jednotlivých nárokov. SKE preto žiada explicitnú metodiku koordinácie oboch veličín. Úprava nemôže vyžadovať, aby exekútor sám bez sporu a dokazovania určoval spoločný charakter dlhu len podľa vyjadrenia prihlasovateľa. Pri nezabezpečenej pohľadávke má byť bezpečným procesným kritériom titul proti obom manželom; pri vecnom zabezpečení rozsah účinkov záložného práva.</w:t>
              <w:br/>
            </w:r>
            <w:r>
              <w:rPr>
                <w:b w:val="off"/>
                <w:color w:val="000000"/>
                <w:rFonts w:ascii="Times New Roman" w:hAnsi="Times New Roman" w:cs="Times New Roman" w:eastAsia="Times New Roman"/>
                <w:sz w:val="24"/>
              </w:rPr>
              <w:t>Priame náklady na zachovanie a speňaženie spoločného predmetu sa musia odlíšiť od nákladov vymáhania výlučného dlhu. Náklady jeho realizácie vznikajú v záujme vytvorenia celého výťažku. Ich prenesenie výlučne na časť dostupnú osobnému veriteľovi by mohlo ekonomicky znemožniť predaj aj pri majetku významnej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166b k bodu 42</w:t>
              <w:br/>
            </w:r>
            <w:r>
              <w:rPr>
                <w:b w:val="off"/>
                <w:color w:val="000000"/>
                <w:rFonts w:ascii="Times New Roman" w:hAnsi="Times New Roman" w:cs="Times New Roman" w:eastAsia="Times New Roman"/>
                <w:sz w:val="24"/>
              </w:rPr>
              <w:t>24. Jednoznačné právo výkupu pred začatím dražby</w:t>
              <w:br/>
            </w:r>
            <w:r>
              <w:rPr>
                <w:b w:val="off"/>
                <w:color w:val="000000"/>
                <w:rFonts w:ascii="Times New Roman" w:hAnsi="Times New Roman" w:cs="Times New Roman" w:eastAsia="Times New Roman"/>
                <w:sz w:val="24"/>
              </w:rPr>
              <w:t>K bodu 42, § 166b.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zjednotiť cenu a okamih výkupu: polovica odhadnej ceny hnuteľnej veci alebo polovica všeobecnej hodnoty nehnuteľnosti podľa znaleckého posudku, pripísaná na účet exekútora najneskôr pred začatím dražby. Právo nesmie zostať otvorené počas dražobnej súťaže až do príklepu.</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V § 166b odseky 2 a 3 znejú:</w:t>
              <w:br/>
            </w:r>
            <w:r>
              <w:rPr>
                <w:b w:val="off"/>
                <w:color w:val="000000"/>
                <w:rFonts w:ascii="Times New Roman" w:hAnsi="Times New Roman" w:cs="Times New Roman" w:eastAsia="Times New Roman"/>
                <w:sz w:val="24"/>
              </w:rPr>
              <w:t>„(2) Oprávnená osoba môže zabrániť predaju veci zložením polovice odhadnej ceny hnuteľnej veci určenej podľa § 122 alebo polovice všeobecnej hodnoty nehnuteľnosti určenej podľa § 138 a § 139 na osobitný účet exekútora pred začatím dražby. Na uplatnenie práva výkupu je rozhodujúce pripísanie celej sumy na osobitný účet exekútora. Suma sa určí rovnako aj pri opätovnej dražbe. Po začatí dražby nemožno právo výkupu uplatniť. Pri inom spôsobe speňaženia možno toto právo uplatniť len do uzavretia zmluvy alebo do prevzatia veci oprávneným.</w:t>
              <w:br/>
            </w:r>
            <w:r>
              <w:rPr>
                <w:b w:val="off"/>
                <w:color w:val="000000"/>
                <w:rFonts w:ascii="Times New Roman" w:hAnsi="Times New Roman" w:cs="Times New Roman" w:eastAsia="Times New Roman"/>
                <w:sz w:val="24"/>
              </w:rPr>
              <w:t>(3) Ak sú splnené podmienky podľa odseku 2, exekútor vec nepredá a vydá oprávnenej osobe potvrdenie o výkupe. Oprávnená osoba nadobúda vlastnícke právo k hnuteľnej veci vydaním potvrdenia o výkupe. Nadobudnutie nehnuteľnosti podlieha schváleniu súdom; schválenie má účinky ako schválenie nadobudnutia podľa § 166 ods. 3. Na zloženú sumu sa použijú ustanovenia o výťažku. Z tejto sumy sa vykupujúcej osobe ďalšia suma podľa § 166a nevypláca.“.</w:t>
              <w:br/>
            </w:r>
            <w:r>
              <w:rPr>
                <w:b w:val="off"/>
                <w:color w:val="000000"/>
                <w:rFonts w:ascii="Times New Roman" w:hAnsi="Times New Roman" w:cs="Times New Roman" w:eastAsia="Times New Roman"/>
                <w:sz w:val="24"/>
              </w:rPr>
              <w:t>§ 166b sa dopĺňa odsekom 5, ktorý znie:</w:t>
              <w:br/>
            </w:r>
            <w:r>
              <w:rPr>
                <w:b w:val="off"/>
                <w:color w:val="000000"/>
                <w:rFonts w:ascii="Times New Roman" w:hAnsi="Times New Roman" w:cs="Times New Roman" w:eastAsia="Times New Roman"/>
                <w:sz w:val="24"/>
              </w:rPr>
              <w:t>„(5) Právo výkupu podľa tohto ustanovenia nemožno uplatniť, ak sa z hodnoty veci uspokojuje aj pohľadávka vykonateľná proti obom manželom alebo pohľadávka zabezpečená záložným právom k celej veci a suma podľa odseku 2 nepostačuje na zachovanie práv takéhoto veriteľa. To neplatí, ak dotknutý veriteľ s výkupom súhlasí alebo ak oprávnená osoba doplatí sumu potrebnú na uspokojenie jeho nároku v rozsahu, v akom by sa uspokojil pri predaji za plnú odhadnú cenu hnuteľnej veci alebo za plnú všeobecnú hodnotu nehnuteľnosti, z ktorej sa určila suma podľa odseku 2. Účinky záložných práv, ktoré podľa zákona nezanikajú, tým nie sú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rozlišovanie odhadnej ceny, polovice odhadnej ceny, najvyššej ponuky a opätovnej dražby nie je vhodným základom rýchleho rozhodnutia exekútora. Ak možno právo uplatniť až do príklepu, vykupujúci môže vyčkať na výsledok súťaže a následne zasiahnuť do očakávania dražiteľov. To znižuje záujem o účasť a prenáša náklady zmarenej dražby na vedenie exekúcie.</w:t>
              <w:br/>
            </w:r>
            <w:r>
              <w:rPr>
                <w:b w:val="off"/>
                <w:color w:val="000000"/>
                <w:rFonts w:ascii="Times New Roman" w:hAnsi="Times New Roman" w:cs="Times New Roman" w:eastAsia="Times New Roman"/>
                <w:sz w:val="24"/>
              </w:rPr>
              <w:t>Pevná suma a objektívne overiteľný okamih jej pripísania umožnia exekútorovi rozhodnúť pred otvorením dražby. Predobrazom je § 166 EP, ktorý rozlišuje prevenciu predaja spoluvlastníckeho podielu od samotnej dražby.</w:t>
              <w:br/>
            </w:r>
            <w:r>
              <w:rPr>
                <w:b w:val="off"/>
                <w:color w:val="000000"/>
                <w:rFonts w:ascii="Times New Roman" w:hAnsi="Times New Roman" w:cs="Times New Roman" w:eastAsia="Times New Roman"/>
                <w:sz w:val="24"/>
              </w:rPr>
              <w:t>Výkup za polovicu ceny je ekonomicky odôvodnený iba v rozsahu, v akom je druhá polovica skutočne chránená pred postihom. Nemôže zrušiť vecné zabezpečenie k celej veci ani zmariť uspokojenie spoločného dlhu vymáhaného proti obom manželom. Koordinácia s pripomienkou 23 je preto nevyhnutná. Navrhovaná výnimka bráni tomu, aby sa právo výkupu zmenilo na nový prostriedok odčerpania zabezpečenej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 až 171 EP nad rámec bodu 4</w:t>
              <w:br/>
            </w:r>
            <w:r>
              <w:rPr>
                <w:b w:val="off"/>
                <w:color w:val="000000"/>
                <w:rFonts w:ascii="Times New Roman" w:hAnsi="Times New Roman" w:cs="Times New Roman" w:eastAsia="Times New Roman"/>
                <w:sz w:val="24"/>
              </w:rPr>
              <w:t>25. Exekučné záložné právo na majetok v spoločnom imaní</w:t>
              <w:br/>
            </w:r>
            <w:r>
              <w:rPr>
                <w:b w:val="off"/>
                <w:color w:val="000000"/>
                <w:rFonts w:ascii="Times New Roman" w:hAnsi="Times New Roman" w:cs="Times New Roman" w:eastAsia="Times New Roman"/>
                <w:sz w:val="24"/>
              </w:rPr>
              <w:t>Nad rámec bodu 4 k § 167 až 171 EP. Zásadná pripomienka.</w:t>
              <w:br/>
            </w:r>
            <w:r>
              <w:rPr>
                <w:b w:val="off"/>
                <w:color w:val="000000"/>
                <w:rFonts w:ascii="Times New Roman" w:hAnsi="Times New Roman" w:cs="Times New Roman" w:eastAsia="Times New Roman"/>
                <w:sz w:val="24"/>
              </w:rPr>
              <w:t>Požadovaná zmena</w:t>
              <w:br/>
            </w:r>
            <w:r>
              <w:rPr>
                <w:b w:val="off"/>
                <w:color w:val="000000"/>
                <w:rFonts w:ascii="Times New Roman" w:hAnsi="Times New Roman" w:cs="Times New Roman" w:eastAsia="Times New Roman"/>
                <w:sz w:val="24"/>
              </w:rPr>
              <w:t>Žiadame výslovne pripustiť zriadenie exekučného záložného práva na nehnuteľnosť v spoločnom imaní manželov aj na zabezpečenie pohľadávky veriteľa len jedného z manželov. Zabezpečenie sa má týkať celej nehnuteľnosti ako právneho predmetu; rozsah následného uspokojenia musí rešpektovať hmotnoprávne obmedzenie.</w:t>
              <w:br/>
            </w:r>
            <w:r>
              <w:rPr>
                <w:b w:val="off"/>
                <w:color w:val="000000"/>
                <w:rFonts w:ascii="Times New Roman" w:hAnsi="Times New Roman" w:cs="Times New Roman" w:eastAsia="Times New Roman"/>
                <w:sz w:val="24"/>
              </w:rPr>
              <w:t>Navrhované paragrafové znenie</w:t>
              <w:br/>
            </w:r>
            <w:r>
              <w:rPr>
                <w:b w:val="off"/>
                <w:color w:val="000000"/>
                <w:rFonts w:ascii="Times New Roman" w:hAnsi="Times New Roman" w:cs="Times New Roman" w:eastAsia="Times New Roman"/>
                <w:sz w:val="24"/>
              </w:rPr>
              <w:t>§ 167 sa dopĺňa odsekom 4, ktorý znie:</w:t>
              <w:br/>
            </w:r>
            <w:r>
              <w:rPr>
                <w:b w:val="off"/>
                <w:color w:val="000000"/>
                <w:rFonts w:ascii="Times New Roman" w:hAnsi="Times New Roman" w:cs="Times New Roman" w:eastAsia="Times New Roman"/>
                <w:sz w:val="24"/>
              </w:rPr>
              <w:t>„(4) Na zabezpečenie pohľadávky veriteľa len jedného z manželov možno za podmienok podľa § 303 ods. 2 Občianskeho zákonníka zriadiť exekučné záložné právo aj na nehnuteľnosť patriacu do spoločného imania manželov. Zriadenie exekučného záložného práva samo osebe nezakladá oprávnenie postihnúť časť výťažku, ktorá podľa zákona patrí manželovi povinného.“.</w:t>
              <w:br/>
            </w:r>
            <w:r>
              <w:rPr>
                <w:b w:val="off"/>
                <w:color w:val="000000"/>
                <w:rFonts w:ascii="Times New Roman" w:hAnsi="Times New Roman" w:cs="Times New Roman" w:eastAsia="Times New Roman"/>
                <w:sz w:val="24"/>
              </w:rPr>
              <w:t>V § 170 sa na konci pripája táto veta: „Pri zriadení exekučného záložného práva podľa § 167 ods. 4 postačuje preukázať, že nehnuteľnosť patrí do spoločného imania manželov.“.</w:t>
              <w:br/>
            </w:r>
            <w:r>
              <w:rPr>
                <w:b w:val="off"/>
                <w:color w:val="000000"/>
                <w:rFonts w:ascii="Times New Roman" w:hAnsi="Times New Roman" w:cs="Times New Roman" w:eastAsia="Times New Roman"/>
                <w:sz w:val="24"/>
              </w:rPr>
              <w:t>V § 172 sa na konci odseku 1 pripája táto veta: „Pri zriadení exekučného záložného práva podľa § 167 ods. 4 postačuje preukázať, že nehnuteľnosť patrí do spoločného imania manželov.“.</w:t>
              <w:br/>
            </w:r>
            <w:r>
              <w:rPr>
                <w:b w:val="off"/>
                <w:color w:val="000000"/>
                <w:rFonts w:ascii="Times New Roman" w:hAnsi="Times New Roman" w:cs="Times New Roman" w:eastAsia="Times New Roman"/>
                <w:sz w:val="24"/>
              </w:rPr>
              <w:t>V § 175 sa na konci pripája táto veta: „Pri zriadení exekučného záložného práva podľa § 167 ods. 4 postačuje preukázať, že nehnuteľnosť patrí do spoločného imania manželov.“.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303 ods. 2 nového OZ pripúšťa za ustanovených podmienok postih spoločného majetku pre výlučnú pohľadávku. Ak zákon pripúšťa realizáciu majetku, musí umožniť aj zachovanie jeho hodnoty pre budúce uspokojenie. Inak medzi zistením majetku a jeho predajom vznikne priestor na účelové dispozície alebo na stratu poradia oprávneného.</w:t>
              <w:br/>
            </w:r>
            <w:r>
              <w:rPr>
                <w:b w:val="off"/>
                <w:color w:val="000000"/>
                <w:rFonts w:ascii="Times New Roman" w:hAnsi="Times New Roman" w:cs="Times New Roman" w:eastAsia="Times New Roman"/>
                <w:sz w:val="24"/>
              </w:rPr>
              <w:t>Spoločné imanie nie je podielovým spoluvlastníctvom. Záložné právo preto nemožno bez ďalšieho formulovať ako zaťaženie neexistujúceho ideálneho podielu jednej polovice. Navrhované riešenie oddeľuje predmet zabezpečenia od rozsahu uhradzovacej funkcie. Zachováva prakticky vykonateľný zápis v katastri a súčasne neobchádza zákonné práva druhého manžela.</w:t>
              <w:br/>
            </w:r>
            <w:r>
              <w:rPr>
                <w:b w:val="off"/>
                <w:color w:val="000000"/>
                <w:rFonts w:ascii="Times New Roman" w:hAnsi="Times New Roman" w:cs="Times New Roman" w:eastAsia="Times New Roman"/>
                <w:sz w:val="24"/>
              </w:rPr>
              <w:t>Zriadenie zabezpečenia neznamená okamžitý predaj ani odňatie užívania. Umožňuje exekútorovi zvoliť menej zaťažujúci postup a poskytnúť povinnému priestor na dobrovoľné plnenie bez zániku reálnej možnosti uspokojenia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 VII</w:t>
              <w:br/>
            </w:r>
            <w:r>
              <w:rPr>
                <w:b w:val="off"/>
                <w:color w:val="000000"/>
                <w:rFonts w:ascii="Times New Roman" w:hAnsi="Times New Roman" w:cs="Times New Roman" w:eastAsia="Times New Roman"/>
                <w:sz w:val="24"/>
              </w:rPr>
              <w:t>K článku CL VII - ZÁSADNÁ PRIPOMIENKA</w:t>
              <w:br/>
            </w:r>
            <w:r>
              <w:rPr>
                <w:b w:val="off"/>
                <w:color w:val="000000"/>
                <w:rFonts w:ascii="Times New Roman" w:hAnsi="Times New Roman" w:cs="Times New Roman" w:eastAsia="Times New Roman"/>
                <w:sz w:val="24"/>
              </w:rPr>
              <w:t>Zákon č. 39/2015 Z. z. o poisťovníctve a o zmene a doplnení niektorých zákonov v znení zákona č. 359/2015 Z. z., zákona č. 437/2015 Z. z., zákona č. 125/2016 Z. z., zákona č. 292/2016 Z. z., zákona č. 339/2016 Z. z., zákona č. 282/2017 Z. z., zákona č. 18/2018 Z. z., zákona č. 109/2018 Z. z., zákona č. 177/2018 Z. z., zákona č. 213/2018 Z. z., zákona č. 214/2018 Z. z., zákona č. 156/2019 Z. z., zákona č. 221/2019 Z. z., zákona č. 281/2019 Z. z., zákona č. 340/2020 Z. z., zákona č. 209/2021 Z. z., zákona č. 310/2021 Z. z., zákona č. 309/2023 Z. z., zákona č. 334/2024 Z. z., zákona č. 187/2025 Z. z., zákona č. 261/2025 Z. z. a zákona č. .../2026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Bod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 § 70a sa vkladá § 70b, ktorý vrátane nadpisu znie:</w:t>
              <w:br/>
            </w:r>
            <w:r>
              <w:rPr>
                <w:b w:val="off"/>
                <w:color w:val="000000"/>
                <w:rFonts w:ascii="Times New Roman" w:hAnsi="Times New Roman" w:cs="Times New Roman" w:eastAsia="Times New Roman"/>
                <w:sz w:val="24"/>
              </w:rPr>
              <w:t>„§ 70b</w:t>
              <w:br/>
            </w:r>
            <w:r>
              <w:rPr>
                <w:b w:val="off"/>
                <w:color w:val="000000"/>
                <w:rFonts w:ascii="Times New Roman" w:hAnsi="Times New Roman" w:cs="Times New Roman" w:eastAsia="Times New Roman"/>
                <w:sz w:val="24"/>
              </w:rPr>
              <w:t>Informácie pre toho, kto uzaviera poistnú zmluvu</w:t>
              <w:br/>
            </w:r>
            <w:r>
              <w:rPr>
                <w:b w:val="off"/>
                <w:color w:val="000000"/>
                <w:rFonts w:ascii="Times New Roman" w:hAnsi="Times New Roman" w:cs="Times New Roman" w:eastAsia="Times New Roman"/>
                <w:sz w:val="24"/>
              </w:rPr>
              <w:t>(1) Pred uzavretím poistnej zmluvy poisťovňa, poisťovňa z iného členského štátu alebo pobočka zahraničnej poisťovne poskytne tomu, kto s ňou uzaviera poistnú zmluvu, najmä tieto údaje:</w:t>
              <w:br/>
            </w:r>
            <w:r>
              <w:rPr>
                <w:b w:val="off"/>
                <w:color w:val="000000"/>
                <w:rFonts w:ascii="Times New Roman" w:hAnsi="Times New Roman" w:cs="Times New Roman" w:eastAsia="Times New Roman"/>
                <w:sz w:val="24"/>
              </w:rPr>
              <w:t>a) obchodné meno poisťovne, poisťovne z iného členského štátu alebo pobočky zahraničnej poisťovne a jej právnu formu,</w:t>
              <w:br/>
            </w:r>
            <w:r>
              <w:rPr>
                <w:b w:val="off"/>
                <w:color w:val="000000"/>
                <w:rFonts w:ascii="Times New Roman" w:hAnsi="Times New Roman" w:cs="Times New Roman" w:eastAsia="Times New Roman"/>
                <w:sz w:val="24"/>
              </w:rPr>
              <w:t>b) názov štátu, kde sa nachádza sídlo poisťovne z iného členského štátu alebo sídlo zahraničnej poisťovne, ktorá uzaviera poistnú zmluvu,</w:t>
              <w:br/>
            </w:r>
            <w:r>
              <w:rPr>
                <w:b w:val="off"/>
                <w:color w:val="000000"/>
                <w:rFonts w:ascii="Times New Roman" w:hAnsi="Times New Roman" w:cs="Times New Roman" w:eastAsia="Times New Roman"/>
                <w:sz w:val="24"/>
              </w:rPr>
              <w:t>c) sídlo poisťovne, poisťovne z iného členského štátu alebo zahraničnej poisťovne a adresu umiestnenia pobočky, ktorá uzaviera poistnú zmluvu.</w:t>
              <w:br/>
            </w:r>
            <w:r>
              <w:rPr>
                <w:b w:val="off"/>
                <w:color w:val="000000"/>
                <w:rFonts w:ascii="Times New Roman" w:hAnsi="Times New Roman" w:cs="Times New Roman" w:eastAsia="Times New Roman"/>
                <w:sz w:val="24"/>
              </w:rPr>
              <w:t>(2) Pri životnom poistení poisťovňa, poisťovňa z iného členského štátu alebo pobočka zahraničnej poisťovne poskytne pred uzavretím poistnej zmluvy tomu, kto s ňou uzaviera poistnú zmluvu, okrem údajov podľa odseku 1 aj tieto ďalšie údaje:</w:t>
              <w:br/>
            </w:r>
            <w:r>
              <w:rPr>
                <w:b w:val="off"/>
                <w:color w:val="000000"/>
                <w:rFonts w:ascii="Times New Roman" w:hAnsi="Times New Roman" w:cs="Times New Roman" w:eastAsia="Times New Roman"/>
                <w:sz w:val="24"/>
              </w:rPr>
              <w:t>a) obsah všetkých poistných plnení a všetkých nárokov vyplývajúcich z poistnej zmluvy,</w:t>
              <w:br/>
            </w:r>
            <w:r>
              <w:rPr>
                <w:b w:val="off"/>
                <w:color w:val="000000"/>
                <w:rFonts w:ascii="Times New Roman" w:hAnsi="Times New Roman" w:cs="Times New Roman" w:eastAsia="Times New Roman"/>
                <w:sz w:val="24"/>
              </w:rPr>
              <w:t>b) poistnú dobu,</w:t>
              <w:br/>
            </w:r>
            <w:r>
              <w:rPr>
                <w:b w:val="off"/>
                <w:color w:val="000000"/>
                <w:rFonts w:ascii="Times New Roman" w:hAnsi="Times New Roman" w:cs="Times New Roman" w:eastAsia="Times New Roman"/>
                <w:sz w:val="24"/>
              </w:rPr>
              <w:t>c) spôsob zániku poistnej zmluvy,</w:t>
              <w:br/>
            </w:r>
            <w:r>
              <w:rPr>
                <w:b w:val="off"/>
                <w:color w:val="000000"/>
                <w:rFonts w:ascii="Times New Roman" w:hAnsi="Times New Roman" w:cs="Times New Roman" w:eastAsia="Times New Roman"/>
                <w:sz w:val="24"/>
              </w:rPr>
              <w:t>d) spôsob platenia poistného a dobu platenia poistného,</w:t>
              <w:br/>
            </w:r>
            <w:r>
              <w:rPr>
                <w:b w:val="off"/>
                <w:color w:val="000000"/>
                <w:rFonts w:ascii="Times New Roman" w:hAnsi="Times New Roman" w:cs="Times New Roman" w:eastAsia="Times New Roman"/>
                <w:sz w:val="24"/>
              </w:rPr>
              <w:t>e) spôsob výpočtu a rozdelenia podielov na výnosoch, ak sú súčasťou poistnej zmluvy,</w:t>
              <w:br/>
            </w:r>
            <w:r>
              <w:rPr>
                <w:b w:val="off"/>
                <w:color w:val="000000"/>
                <w:rFonts w:ascii="Times New Roman" w:hAnsi="Times New Roman" w:cs="Times New Roman" w:eastAsia="Times New Roman"/>
                <w:sz w:val="24"/>
              </w:rPr>
              <w:t>f) spôsob stanovenia odkupnej hodnoty, výšku odkupnej hodnoty a výšku poistnej sumy pri zúžení rozsahu poistenia a rozsah, v akom sú garantované,</w:t>
              <w:br/>
            </w:r>
            <w:r>
              <w:rPr>
                <w:b w:val="off"/>
                <w:color w:val="000000"/>
                <w:rFonts w:ascii="Times New Roman" w:hAnsi="Times New Roman" w:cs="Times New Roman" w:eastAsia="Times New Roman"/>
                <w:sz w:val="24"/>
              </w:rPr>
              <w:t>g) výšku poistného za každé poistenie, osobitne za hlavné poistenie a prípadné doplnkové poistenie,</w:t>
              <w:br/>
            </w:r>
            <w:r>
              <w:rPr>
                <w:b w:val="off"/>
                <w:color w:val="000000"/>
                <w:rFonts w:ascii="Times New Roman" w:hAnsi="Times New Roman" w:cs="Times New Roman" w:eastAsia="Times New Roman"/>
                <w:sz w:val="24"/>
              </w:rPr>
              <w:t>h) pri poistných zmluvách spojených s investičnými fondmi určenie podielových jednotiek, s ktorými je poistné plnenie spojené,</w:t>
              <w:br/>
            </w:r>
            <w:r>
              <w:rPr>
                <w:b w:val="off"/>
                <w:color w:val="000000"/>
                <w:rFonts w:ascii="Times New Roman" w:hAnsi="Times New Roman" w:cs="Times New Roman" w:eastAsia="Times New Roman"/>
                <w:sz w:val="24"/>
              </w:rPr>
              <w:t>i) povahu podkladových aktív pre poistné zmluvy spojené s investičnými fondmi,</w:t>
              <w:br/>
            </w:r>
            <w:r>
              <w:rPr>
                <w:b w:val="off"/>
                <w:color w:val="000000"/>
                <w:rFonts w:ascii="Times New Roman" w:hAnsi="Times New Roman" w:cs="Times New Roman" w:eastAsia="Times New Roman"/>
                <w:sz w:val="24"/>
              </w:rPr>
              <w:t>j) poučenie o práve na odstúpenie od zmluvy vrátane určenia náležitostí a formy oznámenia o odstúpení, spôsobe a mieste doručenia oznámenia o odstúpení a o označení osoby, ktorej sa toto oznámenie doručuje,</w:t>
              <w:br/>
            </w:r>
            <w:r>
              <w:rPr>
                <w:b w:val="off"/>
                <w:color w:val="000000"/>
                <w:rFonts w:ascii="Times New Roman" w:hAnsi="Times New Roman" w:cs="Times New Roman" w:eastAsia="Times New Roman"/>
                <w:sz w:val="24"/>
              </w:rPr>
              <w:t>k) všeobecné informácie o daňových predpisoch, ktoré sa vzťahujú na poistnú zmluvu,</w:t>
              <w:br/>
            </w:r>
            <w:r>
              <w:rPr>
                <w:b w:val="off"/>
                <w:color w:val="000000"/>
                <w:rFonts w:ascii="Times New Roman" w:hAnsi="Times New Roman" w:cs="Times New Roman" w:eastAsia="Times New Roman"/>
                <w:sz w:val="24"/>
              </w:rPr>
              <w:t>l) spôsob vybavovania sťažností toho, kto s poisťovňou, poisťovňou z iného členského štátu alebo pobočkou zahraničnej poisťovne uzaviera poistnú zmluvu, poisteného a oprávnenej osoby,</w:t>
              <w:br/>
            </w:r>
            <w:r>
              <w:rPr>
                <w:b w:val="off"/>
                <w:color w:val="000000"/>
                <w:rFonts w:ascii="Times New Roman" w:hAnsi="Times New Roman" w:cs="Times New Roman" w:eastAsia="Times New Roman"/>
                <w:sz w:val="24"/>
              </w:rPr>
              <w:t>m) právo štátu, ktoré platí pre poistnú zmluvu, v ktorom zmluvné strany nemajú možnosť zvoliť si právo platné pre poistnú zmluvu, alebo právo štátu, ktoré navrhuje poisťovňa z iného členského štátu alebo pobočka zahraničnej poisťovne, ak zmluvné strany majú možnosť zvoliť si právo,</w:t>
              <w:br/>
            </w:r>
            <w:r>
              <w:rPr>
                <w:b w:val="off"/>
                <w:color w:val="000000"/>
                <w:rFonts w:ascii="Times New Roman" w:hAnsi="Times New Roman" w:cs="Times New Roman" w:eastAsia="Times New Roman"/>
                <w:sz w:val="24"/>
              </w:rPr>
              <w:t>n) miesto zverejnenia správy o solventnosti a finančnom stave poisťovne, poisťovne z iného členského štátu alebo pobočky zahraničnej poisťovne,</w:t>
              <w:br/>
            </w:r>
            <w:r>
              <w:rPr>
                <w:b w:val="off"/>
                <w:color w:val="000000"/>
                <w:rFonts w:ascii="Times New Roman" w:hAnsi="Times New Roman" w:cs="Times New Roman" w:eastAsia="Times New Roman"/>
                <w:sz w:val="24"/>
              </w:rPr>
              <w:t>o) ďalšie informácie a poučenia umožňujúce správne pochopiť riziká spojené s poistnou zmluvou, ktoré preberá ten, ktorý s poisťovňou, poisťovňou z iného členského štátu alebo pobočkou zahraničnej poisťovne uzaviera poistnú zmluvu.</w:t>
              <w:br/>
            </w:r>
            <w:r>
              <w:rPr>
                <w:b w:val="off"/>
                <w:color w:val="000000"/>
                <w:rFonts w:ascii="Times New Roman" w:hAnsi="Times New Roman" w:cs="Times New Roman" w:eastAsia="Times New Roman"/>
                <w:sz w:val="24"/>
              </w:rPr>
              <w:t>(3) Počas trvania poistnej zmluvy životného poistenia poisťovňa, poisťovňa z iného členského štátu alebo pobočka zahraničnej poisťovne poskytuje tomu, kto s ňou uzavrel poistnú zmluvu, najmä tieto údaje:</w:t>
              <w:br/>
            </w:r>
            <w:r>
              <w:rPr>
                <w:b w:val="off"/>
                <w:color w:val="000000"/>
                <w:rFonts w:ascii="Times New Roman" w:hAnsi="Times New Roman" w:cs="Times New Roman" w:eastAsia="Times New Roman"/>
                <w:sz w:val="24"/>
              </w:rPr>
              <w:t>a) zmenu obchodného mena poisťovne, poisťovne z iného členského štátu alebo pobočky zahraničnej poisťovne, jej právnej formy a sídla a zmenu adresy umiestnenia pobočky, s ktorou bola poistná zmluva uzavretá,</w:t>
              <w:br/>
            </w:r>
            <w:r>
              <w:rPr>
                <w:b w:val="off"/>
                <w:color w:val="000000"/>
                <w:rFonts w:ascii="Times New Roman" w:hAnsi="Times New Roman" w:cs="Times New Roman" w:eastAsia="Times New Roman"/>
                <w:sz w:val="24"/>
              </w:rPr>
              <w:t>b) zmenu údajov uvedených v odseku 2 písm. a) až j),</w:t>
              <w:br/>
            </w:r>
            <w:r>
              <w:rPr>
                <w:b w:val="off"/>
                <w:color w:val="000000"/>
                <w:rFonts w:ascii="Times New Roman" w:hAnsi="Times New Roman" w:cs="Times New Roman" w:eastAsia="Times New Roman"/>
                <w:sz w:val="24"/>
              </w:rPr>
              <w:t>c) stav podielov na výnosoch za každý rok,</w:t>
              <w:br/>
            </w:r>
            <w:r>
              <w:rPr>
                <w:b w:val="off"/>
                <w:color w:val="000000"/>
                <w:rFonts w:ascii="Times New Roman" w:hAnsi="Times New Roman" w:cs="Times New Roman" w:eastAsia="Times New Roman"/>
                <w:sz w:val="24"/>
              </w:rPr>
              <w:t>d) zmenu všeobecných poistných podmienok a osobitných poistných podmienok.</w:t>
              <w:br/>
            </w:r>
            <w:r>
              <w:rPr>
                <w:b w:val="off"/>
                <w:color w:val="000000"/>
                <w:rFonts w:ascii="Times New Roman" w:hAnsi="Times New Roman" w:cs="Times New Roman" w:eastAsia="Times New Roman"/>
                <w:sz w:val="24"/>
              </w:rPr>
              <w:t>(4) Ak v súvislosti s návrhom na uzavretie poistnej zmluvy v životnom poistení poisťovňa, poisťovňa z iného členského štátu alebo pobočka zahraničnej poisťovne poskytne údaje týkajúce sa možných platieb nad rámec dohodnutých platieb podľa poistnej zmluvy, poisťovňa, poisťovňa z iného členského štátu alebo pobočka zahraničnej poisťovne musí poskytnúť tomu, kto s ňou uzaviera poistnú zmluvu, vzorový prepočet, pri ktorom sa možné poistné plnenie bez zmeny iných častí výpočtu vypočíta s troma rôznymi úrokovými sadzbami; to neplatí, ak ide o poistenie, pri ktorom nevzniká právo na odkupnú hodnotu. Poisťovňa, poisťovňa z iného členského štátu alebo pobočka zahraničnej poisťovne musí jasným a zrozumiteľným spôsobom informovať toho, kto s ňou uzaviera poistnú zmluvu v životnom poistení, že vzorový prepočet je modelovým výpočtom, a zo vzorového prepočtu nevyplývajú osobe žiadne nároky.</w:t>
              <w:br/>
            </w:r>
            <w:r>
              <w:rPr>
                <w:b w:val="off"/>
                <w:color w:val="000000"/>
                <w:rFonts w:ascii="Times New Roman" w:hAnsi="Times New Roman" w:cs="Times New Roman" w:eastAsia="Times New Roman"/>
                <w:sz w:val="24"/>
              </w:rPr>
              <w:t>(5) Pri poistných zmluvách s podielom na výnosoch musí poisťovňa, poisťovňa z iného členského štátu alebo pobočka zahraničnej poisťovne každoročne písomne informovať toho, s kým uzavrela poistnú zmluvu, o stave jeho nárokov vyplývajúcich z poistnej zmluvy vrátane stavu podielu na výnosoch. Ak poisťovňa, poisťovňa z iného členského štátu alebo pobočka zahraničnej poisťovne poskytla údaje o možnom vývoji podielov na zisku podľa odseku 4, musí toho, s kým uzavrela poistnú zmluvu, informovať aj o rozdieloch medzi skutočným stavom a vzorovým prepočtom.</w:t>
              <w:br/>
            </w:r>
            <w:r>
              <w:rPr>
                <w:b w:val="off"/>
                <w:color w:val="000000"/>
                <w:rFonts w:ascii="Times New Roman" w:hAnsi="Times New Roman" w:cs="Times New Roman" w:eastAsia="Times New Roman"/>
                <w:sz w:val="24"/>
              </w:rPr>
              <w:t>(6) Údaje podľa odsekov 1 až 5 musia byť úplné, presné, pravdivé a zrozumiteľné a poskytujú sa písomne v štátnom jazyku Slovenskej republiky. Tieto údaje sa môžu poskytnúť aj v jazyku, ktorý požaduje ten, kto s poisťovňou, poisťovňou z iného členského štátu alebo pobočkou zahraničnej poisťovne uzaviera poistnú zmluvu v životnom poistení, alebo v jazyku štátu, ktorého právo platí pre poistnú zmluvu v životnom poistení, ak zmluvné strany majú možnosť zvoliť si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Poukazujeme na goldplating k čl. 185 Solvency II -  preto navrhujeme vypustenie odseku 3 z návrhu, keďže  čl. 185 ods. 5 a 6 Solvency II nie je viazaný iba na životné poistenie. Článok 185 je zaradený v hlave II, kapitole I, oddiele 5, pododdiele 2 výslovne označenom „Životné poistenie“. Odseky 5 a 6 článku 185 Solvency II nemožno vytrhnúť z jeho systematického rozsahu. Vzťahujú sa len na poistníkov životného poistenia, rovnako ako ostatné odseky článku 185.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Informačné povinnosti pred uzavretím poistnej zmluvy a počas jej trvania sa zaraďujú za ustanovenia o odbornej starostlivosti a informovaní klienta (§ 70) a o odkupnej hodnote (§ 70a). Text zodpovedá čl. 183 až 185 smernice 2009/138/ES. Povinnosť informovať o zmenách počas trvania poistnej zmluvy sa podľa čl. 185 ods. 5 smernice vzťahuje na životné poistenie. Jazyková požiadavka sa ponecháva pre všetky životné poistenia v súlade s čl. 185 smernice (EÚ) 2016/97.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požiadavky na oznamovanie zmien počas trvania zmluvy a jazykové požiadavky rozšíria aj na neživotné poistenie, ide o vedomé vnútroštátne rozšírenie nad rámec čl. 185 Solvency II, ktoré treba osobitne odôvodniť a posúdiť jeho vplyvy. Taká úprava je možná iba ako vedomý goldplating s riadnym odôvodnením a posúdením vplyvov, nie ako konštatovaná priama transpozícia.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Vkladajú sa nové bod 4 a 5, ktorý znejú:</w:t>
              <w:br/>
            </w:r>
            <w:r>
              <w:rPr>
                <w:b w:val="off"/>
                <w:color w:val="000000"/>
                <w:rFonts w:ascii="Times New Roman" w:hAnsi="Times New Roman" w:cs="Times New Roman" w:eastAsia="Times New Roman"/>
                <w:sz w:val="24"/>
              </w:rPr>
              <w:t>„4. § 164 vrátane nadpisu znie:</w:t>
              <w:br/>
            </w:r>
            <w:r>
              <w:rPr>
                <w:b w:val="off"/>
                <w:color w:val="000000"/>
                <w:rFonts w:ascii="Times New Roman" w:hAnsi="Times New Roman" w:cs="Times New Roman" w:eastAsia="Times New Roman"/>
                <w:sz w:val="24"/>
              </w:rPr>
              <w:t>„§ 164</w:t>
              <w:br/>
            </w:r>
            <w:r>
              <w:rPr>
                <w:b w:val="off"/>
                <w:color w:val="000000"/>
                <w:rFonts w:ascii="Times New Roman" w:hAnsi="Times New Roman" w:cs="Times New Roman" w:eastAsia="Times New Roman"/>
                <w:sz w:val="24"/>
              </w:rPr>
              <w:t>Spolupoistenie</w:t>
              <w:br/>
            </w:r>
            <w:r>
              <w:rPr>
                <w:b w:val="off"/>
                <w:color w:val="000000"/>
                <w:rFonts w:ascii="Times New Roman" w:hAnsi="Times New Roman" w:cs="Times New Roman" w:eastAsia="Times New Roman"/>
                <w:sz w:val="24"/>
              </w:rPr>
              <w:t>(1) Poisťovaciu činnosť možno vykonávať aj formou spolupoistenia podľa § 1348 ods. 2 písm. b) a § 1350 Občianskeho zákonníka.</w:t>
              <w:br/>
            </w:r>
            <w:r>
              <w:rPr>
                <w:b w:val="off"/>
                <w:color w:val="000000"/>
                <w:rFonts w:ascii="Times New Roman" w:hAnsi="Times New Roman" w:cs="Times New Roman" w:eastAsia="Times New Roman"/>
                <w:sz w:val="24"/>
              </w:rPr>
              <w:t>(2) V rámci spolupoistenia môže byť poistná zmluva uzavretá medzi poistníkom a viacerými poisťovateľmi, ktorí uzavreli vzájomnú dohodu o spoločnom postupe pri poistení určitých poistných rizík, a to v mene a na účet všetkých poisťovateľov. Touto dohodou o spoločnom postupe možno zriadiť spoločný orgán na plnenie povinností, ktoré by inak vykonával hlavný poisťovateľ.</w:t>
              <w:br/>
            </w:r>
            <w:r>
              <w:rPr>
                <w:b w:val="off"/>
                <w:color w:val="000000"/>
                <w:rFonts w:ascii="Times New Roman" w:hAnsi="Times New Roman" w:cs="Times New Roman" w:eastAsia="Times New Roman"/>
                <w:sz w:val="24"/>
              </w:rPr>
              <w:t>(3) Záväzky vyplývajúce zo spolupoistenia musia byť pri likvidácii spolupoisťovateľa vyporiadané rovnako ako ostatné záväzky vyplývajúce z poistných zmlúv uzavretých týmto spolupoisťovateľom bez ohľadu na štátnu príslušnosť poistníka.</w:t>
              <w:br/>
            </w:r>
            <w:r>
              <w:rPr>
                <w:b w:val="off"/>
                <w:color w:val="000000"/>
                <w:rFonts w:ascii="Times New Roman" w:hAnsi="Times New Roman" w:cs="Times New Roman" w:eastAsia="Times New Roman"/>
                <w:sz w:val="24"/>
              </w:rPr>
              <w:t>(4) V poistnej zmluve nie je možné sa odchýliť od odsekov 1 až 3, a to ani ak sa niektorý poisťovateľ zúčastní na spolupoistení prostredníctvom obchodnej siete založenej v mieste sídla poisťovateľa alebo jeho pobočky, ktorá sa nachádza v inom členskom štáte, ako je členský štát sídla hlavného poisťovateľa, alebo ak sa poistné riziko nachádza v inom členskom štáte ako v Slovenskej republike.“.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Žiadame nevypustiť dnešný § 164 bez úplnej korelácie jeho verejnoprávneho obsahu. NOZ prevzal súkromnoprávne vzťahy medzi účastníkmi spolupoistenia, nenahrádza však verejnoprávne povinnosti poisťovní ani pravidlá dohľadu a neobsahuje úpravu poolových štruktúr, vyporiadania záväzkov pri likvidácii spolupoisťovateľa ani doložku kogentnosti. Ich vypustenie vytvorí regulačné vákuum ohrozujúce fungovanie SJPP a ochranu poistených pri jadrových rizikách. </w:t>
              <w:br/>
            </w:r>
            <w:r>
              <w:rPr>
                <w:b w:val="off"/>
                <w:color w:val="000000"/>
                <w:rFonts w:ascii="Times New Roman" w:hAnsi="Times New Roman" w:cs="Times New Roman" w:eastAsia="Times New Roman"/>
                <w:sz w:val="24"/>
              </w:rPr>
              <w:t>Tieto ustanovenia majú sektorový charakter a ich umiestnenie v sektorovom predpise je systematicky správne. V zákone o poisťovníctve zostanú verejnoprávne pravidlá: prípustnosť spolupoistenia ako formy výkonu poisťovacej činnosti, dohoda o spoločnom postupe a rovnaké vyporiadanie záväzkov zo spolupoistenia pri likvidácii spolupoisťovateľa. § 165 ods. 6 sa vzťahuje len na spolupoistenie veľkých rizík s účasťou poisťovateľov z iných členských štátov (§ 165 ods. 1), preto by bez tohto ustanovenia ostatné spolupoistenie zostalo neupravené.</w:t>
              <w:br/>
            </w:r>
            <w:r>
              <w:rPr>
                <w:b w:val="off"/>
                <w:color w:val="000000"/>
                <w:rFonts w:ascii="Times New Roman" w:hAnsi="Times New Roman" w:cs="Times New Roman" w:eastAsia="Times New Roman"/>
                <w:sz w:val="24"/>
              </w:rPr>
              <w:t>Či je § 164 ods. 4 prevzatý v § 165 ods. 6, by bolo potrebné preukázať úplnou korelačnou tabuľkou všetkých odsekov dnešného § 164.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Slovo „uzatvoriť“ vo všetkých tvaroch sa v celom texte zákona nahrádza slovom „uzavrieť“ v príslušnom tvare a doterajšie slovo „uzatvárať“ vo všetkých tvaroch sa v celom texte zákona nahrádza slovom „uzavierať“ v príslušnom tvare.“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terminológiou v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vložiť nový článok, ktorý znie:                       ZÁSADNÁ PRIPOMIENKA</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Zákon č. 381/2001 Z. z. o povinnom zmluvnom poistení zodpovednosti za škodu spôsobenú prevádzkou motorového vozidla a o zmene a doplnení niektorých zákonov v znení zákona č. 95/2002 Z. z., zákona č. 99/2003 Z. z., zákona č. 430/2003 Z. z., zákona č. 595/2003 Z. z., zákona č. 186/2004 Z. z., zákona č. 645/2004 Z. z., zákona č. 747/2004 Z. z., zákona č. 91/2005 Z. z., zákona č. 188/2006 Z. z., zákona č. 110/2007 Z. z., zákona č. 8/2009 Z. z., zákona č. 144/2010 Z. z., zákona č. 520/2011 Z. z., zákona č. 180/2013 Z. z., zákona č. 39/2015 Z. z., zákona č. 373/2018 Z. z., zákona č. 281/2019 Z. z., zákona č. 177/2024 Z. z. a zákona č. 77/2026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Slová „škoda vrátane inej ujmy“ vo všetkých tvaroch sa v celom texte zákona nahrádzajú slovami „škoda vrátane nemajetkovej škody“ v príslušnom tvare.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o povinnom zmluvnom poistení zodpovednosti ZoPZP sa terminologicky zosúlaďuje s novým Občianskym zákonníkom (NOZ), ktorý pojem „iná ujma“ nepozná a rozlišuje majetkovú a nemajetkovú škodu (§ 639 OZ). NOZ používa pojem škoda ako spoločný pojem pre majetkovú a nemajetkovú škodu a samostatnú kategóriu „inej ujmy“ v doterajšom ponímaní nepreberá. Formulácia „škoda vrátane nemajetkovej škody“ zároveň jednoznačne potvrdzuje, že zmena terminológie nezužuje rozsah PZP ani práva poškodených. Keďže nemajetková škoda sa odčiňuje, len ak to bolo dohodnuté alebo ak to ustanovuje zákon, ZoPZP ju naďalej výslovne zahŕňa do rozsahu krytia. Rozsah poistenia sa nemení. Bez úpravy by sa podľa § 1895 ods. 1 NOZ pojem „iná ujma“ naďalej vykladal vo význame podľa doterajšej právnej úpravy, čo by viedlo k dvojakému výkladu rozsahu krytia. </w:t>
              <w:br/>
            </w:r>
            <w:r>
              <w:rPr>
                <w:b w:val="off"/>
                <w:color w:val="000000"/>
                <w:rFonts w:ascii="Times New Roman" w:hAnsi="Times New Roman" w:cs="Times New Roman" w:eastAsia="Times New Roman"/>
                <w:sz w:val="24"/>
              </w:rPr>
              <w:t xml:space="preserve">Ponechaním súčasného znenia v ZoPZP by vznikal nový tretí pojem „inej ujmy“, ktorý by mohol viesť k novým nárokom poškodených a tiež k tvrdeniu, že nemajetková škoda nie je ZoPZP krytá (a k otázkami či ju poisťovne môžu zmluvne vylúčiť prípadne stanoviť na ňu odlišné limity ako stanovené na škodu). </w:t>
              <w:br/>
            </w:r>
            <w:r>
              <w:rPr>
                <w:b w:val="off"/>
                <w:color w:val="000000"/>
                <w:rFonts w:ascii="Times New Roman" w:hAnsi="Times New Roman" w:cs="Times New Roman" w:eastAsia="Times New Roman"/>
                <w:sz w:val="24"/>
              </w:rPr>
              <w:t xml:space="preserve">Návrh plošnej formulácie zodpovedá legislatívnej technike použitej priamo v návrhu zberného zákona k CSP.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Poznámka pod čiarou k odkazu 1 znie:</w:t>
              <w:br/>
            </w:r>
            <w:r>
              <w:rPr>
                <w:b w:val="off"/>
                <w:color w:val="000000"/>
                <w:rFonts w:ascii="Times New Roman" w:hAnsi="Times New Roman" w:cs="Times New Roman" w:eastAsia="Times New Roman"/>
                <w:sz w:val="24"/>
              </w:rPr>
              <w:t>„1) Zákon č. 39/2015 Z. z. o poisťovníctve a o zmene a doplnení niektorých zákonov v znení neskorších predpisov.</w:t>
              <w:br/>
            </w:r>
            <w:r>
              <w:rPr>
                <w:b w:val="off"/>
                <w:color w:val="000000"/>
                <w:rFonts w:ascii="Times New Roman" w:hAnsi="Times New Roman" w:cs="Times New Roman" w:eastAsia="Times New Roman"/>
                <w:sz w:val="24"/>
              </w:rPr>
              <w:t>Občiansky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poznámky pod čiarou v nadväznosti na NOZ. ZoPZP v § 1 ods. 2 ustanovuje subsidiárne použitie osobitných predpisov. Poznámka pod čiarou musí odkazovať na NOZ, keďže doterajší OZ sa zrušuje. Ide o nevyhnutnú aktualizáciu normatívneho kontextu zákona o PZP.</w:t>
              <w:br/>
            </w:r>
            <w:r>
              <w:rPr>
                <w:b w:val="off"/>
                <w:color w:val="000000"/>
                <w:rFonts w:ascii="Times New Roman" w:hAnsi="Times New Roman" w:cs="Times New Roman" w:eastAsia="Times New Roman"/>
                <w:sz w:val="24"/>
              </w:rPr>
              <w:t>3. V § 3 ods. 1 druhej vete sa slovo „uzatvorená“ nahrádza slovom „uzavretá“.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Terminologické zosúladenie s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4 ods. 2 písm. a) sa slová „inej ujmy“ nahrádzajú slovami „nemajetkovej škody“.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Terminologické zosúladenie v nadväznosti na bod 1. Pojem „iná ujma“ v rozsahu nárokov pri škode na zdraví a usmrtení sa nahrádza pojmom „nemajetková škoda“ (§ 681 a 690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4 ods. 2 písm. c) sa slová „§ 11 ods. 6“ nahrádzajú slovami „§ 11 ods.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vnútorného odkazu v nadväznosti na vypustenie § 11 ods. 5 (bod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Poznámka pod čiarou k odkazu 7 znie:</w:t>
              <w:br/>
            </w:r>
            <w:r>
              <w:rPr>
                <w:b w:val="off"/>
                <w:color w:val="000000"/>
                <w:rFonts w:ascii="Times New Roman" w:hAnsi="Times New Roman" w:cs="Times New Roman" w:eastAsia="Times New Roman"/>
                <w:sz w:val="24"/>
              </w:rPr>
              <w:t>„7) § 176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Aktualizácia poznámky pod čiarou, kde sa doterajší odkaz na § 115 OZ o domácnosti nahrádza odkazom na § 176 NOZ o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Poznámka pod čiarou k odkazu 8 znie:</w:t>
              <w:br/>
            </w:r>
            <w:r>
              <w:rPr>
                <w:b w:val="off"/>
                <w:color w:val="000000"/>
                <w:rFonts w:ascii="Times New Roman" w:hAnsi="Times New Roman" w:cs="Times New Roman" w:eastAsia="Times New Roman"/>
                <w:sz w:val="24"/>
              </w:rPr>
              <w:t>„8) § 673 až 690 Občianskeho zákonníka.</w:t>
              <w:br/>
            </w:r>
            <w:r>
              <w:rPr>
                <w:b w:val="off"/>
                <w:color w:val="000000"/>
                <w:rFonts w:ascii="Times New Roman" w:hAnsi="Times New Roman" w:cs="Times New Roman" w:eastAsia="Times New Roman"/>
                <w:sz w:val="24"/>
              </w:rPr>
              <w:t>Zákon č. 437/2004 Z. z. o náhrade za bolesť a o náhrade za sťaženie spoločenského uplatnenia a o zmene a doplnení zákona Národnej rady Slovenskej republiky č. 273/1994 Z. z. o zdravotnom poistení, financovaní zdravotného poistenia, o zriadení Všeobecnej zdravotnej poisťovne a o zriaďovaní rezortných, odvetvových, podnikových a občianskych zdravotných poisťovní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Aktualizácia poznámky pod čiarou, kde sa doterajší odkaz na § 442 až 449 OZ nahrádza odkazom na § 673 až 690 NOZ, ktoré upravujú spôsob a rozsah náhrady majetkovej škody, nemajetkovú škodu, škodu na veci, škodu na zdraví a pri usmrtení.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6 ods. 1 sa vypúšťajú slová „okrem všeobecných náležitostí podľa osobitného predpisu9)“.</w:t>
              <w:br/>
            </w:r>
            <w:r>
              <w:rPr>
                <w:b w:val="off"/>
                <w:color w:val="000000"/>
                <w:rFonts w:ascii="Times New Roman" w:hAnsi="Times New Roman" w:cs="Times New Roman" w:eastAsia="Times New Roman"/>
                <w:sz w:val="24"/>
              </w:rPr>
              <w:t>Poznámka pod čiarou k odkazu 9 sa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Poznámka č. 9 odkazuje na § 788 až 805 aktuálneho OZ. NOZ preberá inú koncepciu poistnej zmluvy NOZ a neobsahuje výpočet „všeobecných náležitostí“ poistnej zmluvy (§ 1306) a preto nie je možné poukázať na ucelený súbor niekoľkých paragrafov, ktoré by ich stanovovali. Osobitné údaje o vozidle zostanú upravené priamo v § 6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6 sa vypúšťa odsek 2.</w:t>
              <w:br/>
            </w:r>
            <w:r>
              <w:rPr>
                <w:b w:val="off"/>
                <w:color w:val="000000"/>
                <w:rFonts w:ascii="Times New Roman" w:hAnsi="Times New Roman" w:cs="Times New Roman" w:eastAsia="Times New Roman"/>
                <w:sz w:val="24"/>
              </w:rPr>
              <w:t>Doterajšie odseky 3 a 4 sa označujú ako odseky 2 a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 ods. 2 ZoPZP vychádza z koncepcie aktuálneho OZ, podľa ktorej sú všeobecné poistné podmienky súčasťou poistnej zmluvy. NOZ poistné podmienky vôbec neupravuje a nepracuje s týmto pojmom. Neustanovuje ich povinnú existenciu, povinné pripojenie k poistnej zmluve ani pravidlo, že sú automaticky súčasťou poistnej zmluvy. Poisťovateľ sa preto môže rozhodnúť upraviť celý obsah poistného vzťahu priamo v poistnej zmluve a samostatné VPP vôbec nevytvoriť. Po účinnosti NOZ by bez vecného dôvodu zavádzala osobitnú povinnosť iba pre PZP, ktorá nemá obdobu pre ostatné poistné zmluvy, a ktorá nie je potrebná na transpozíciu motorovej smernice ani na ochranu poškodeného.</w:t>
              <w:br/>
            </w:r>
            <w:r>
              <w:rPr>
                <w:b w:val="off"/>
                <w:color w:val="000000"/>
                <w:rFonts w:ascii="Times New Roman" w:hAnsi="Times New Roman" w:cs="Times New Roman" w:eastAsia="Times New Roman"/>
                <w:sz w:val="24"/>
              </w:rPr>
              <w:t>Všeobecné zmluvné podmienky sa stávajú súčasťou zmluvy podľa všeobecných pravidiel (§ 609 NOZ). Povinnosť prenášať do poistných podmienok všetky ustanovenia § 4, 5, 7 až 12 a 15 zahŕňa aj ustanovenia, ktoré neupravujú práva a povinnosti klienta (napríklad oznamovanie údajov kancelárii podľa § 11 ods. 3). Po viacerých novelizáciách zákona to znamená, že by poisťovatelia mali do VPP (ktoré vôbec nemusia existovať) prepisovať aj ustanovenia, ktoré neupravujú zmluvné práva a povinnosti klienta, ale napríklad informačné alebo reportingové povinnosti poisťovateľa voči Slovenskej kancelárii poisťovateľov a tiež kogentné ustanovenia zákona o PZP, ktoré tak či tak platia a zaväzujú poisťovne a klientov. Takéto ustanovenia do poistnej zmluvy a ani do VPP systémovo nepatria a ich prepisovanie klientovi neposkytuje reálnu pridanú hodnotu.</w:t>
              <w:br/>
            </w:r>
            <w:r>
              <w:rPr>
                <w:b w:val="off"/>
                <w:color w:val="000000"/>
                <w:rFonts w:ascii="Times New Roman" w:hAnsi="Times New Roman" w:cs="Times New Roman" w:eastAsia="Times New Roman"/>
                <w:sz w:val="24"/>
              </w:rPr>
              <w:t>Poisťovatelia môžu poistné podmienky naďalej používať. Zákonný rozsah poistenia vyplýva priamo z tohto zákona. Vypustením odseku sa ochrana poistníka ani poisteného neznižuje: kogentný obsah naďalej vyplýva zo ZoPZP a zvyšok z poistnej zmluvy, prípadne z poistných podmienok, ak ich poisťovateľ použije a riadne začlení do zmluvného vzťahu podľa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8 ods. 2 druhá veta znie: „Spôsob platenia poistného, dĺžka poistného obdobia a splatnosť poistného sa určia v poistnej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Nadväzne na bod 9. Spôsob platenia poistného, dĺžka poistného obdobia a splatnosť poistného sa určia v poistnej zmluve, ktorej súčasťou môžu byť aj všeobecné zmluvné podmienky.</w:t>
              <w:br/>
            </w:r>
            <w:r>
              <w:rPr>
                <w:b w:val="off"/>
                <w:color w:val="000000"/>
                <w:rFonts w:ascii="Times New Roman" w:hAnsi="Times New Roman" w:cs="Times New Roman" w:eastAsia="Times New Roman"/>
                <w:sz w:val="24"/>
              </w:rPr>
              <w:t>Keďže NOZ poistné podmienky neupravuje a VPP nemusia existovať, zákon nemôže určenie týchto parametrov (určenie spôsobu platenia poistného, poistného obdobia a splatnosti) viazať výlučne na VPP. Pojem poistná zmluva zahŕňa aj obsah dobrovoľne použitých podmienok, ak boli platne začlenené do zmluvného vzťahu v zmysle inkorporačných pravidiel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9 sa odsek 1 dopĺňa písmenom h), ktoré znie:</w:t>
              <w:br/>
            </w:r>
            <w:r>
              <w:rPr>
                <w:b w:val="off"/>
                <w:color w:val="000000"/>
                <w:rFonts w:ascii="Times New Roman" w:hAnsi="Times New Roman" w:cs="Times New Roman" w:eastAsia="Times New Roman"/>
                <w:sz w:val="24"/>
              </w:rPr>
              <w:t>„h) dňom, keď poisťovateľovi dôjde oznámenie poistníka o zániku jeho poistného záujmu na poistení zodpovednosti.“.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NOZ upravuje zánik poistenia zánikom poistného záujmu (§ 1330) a pri poistení zodpovednosti, ktoré súvisí s vlastníctvom, aj zánik poistenia pri zmene vlastníka dňom oznámenia tejto zmeny (§ 1375 v spojení s § 1382). Poistenie zodpovednosti podľa ZoPZP je spojené s prevádzkou a držbou motorového vozidla a kryje každého, kto za škodu zodpovedá. Jeho zánik je viazaný na objektívne a evidenčne preukázateľné skutočnosti, ktoré kancelária získava z centrálnej evidencie vozidiel.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Automatické uplatnenie § 1330 a 1375 NOZ by spôsobilo neistotu o okamihu zániku poistenia so stavom, keď poistenie zanikne bez vedomia poisťovateľa a kancelárie, a súbeh s dôvodom podľa § 9 ods. 1 písm. b). Preto sa ich použitie vylučuje. Situácie, keď poistník stratí poistný záujem z iného dôvodu, než sú uvedené v § 9 ods. 1 písm. a) až g), rieši nové písmeno h): poistenie zanikne dňom, keď poisťovateľovi dôjde oznámenie poistníka.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Jednotlivé dôvody § 9 ods. 1 nie sú plne nahraditeľné všeobecným zánikom poistného záujmu. Zánik vozidla, prevod držby zapísaný v evidencii, vyradenie z evidencie alebo z cestnej premávky, krádež, vrátenie dokladu pri neevidovanom vozidle a zmena nájomcu predstavujú objektívne a preukázateľné skutočnosti dôležité pre evidenciu PZP a ochranu poškodených. </w:t>
              <w:br/>
            </w:r>
            <w:r>
              <w:rPr>
                <w:b w:val="off"/>
                <w:color w:val="000000"/>
                <w:rFonts w:ascii="Times New Roman" w:hAnsi="Times New Roman" w:cs="Times New Roman" w:eastAsia="Times New Roman"/>
                <w:sz w:val="24"/>
              </w:rPr>
              <w:t>Zároveň však môže poistný záujem zaniknúť aj v situácii, ktorú taxatívny výpočet nezachytáva. Doplnenie všeobecného dôvodu viazaného na dôjdenie oznámenia poisťovateľovi zosúladí PZP s NOZ a zachová právnu istotu o okamihu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Rovnakú kombináciu používa český zákon č. 30/2024 Sb. o pojištění odpovědnosti z provozu vozidla. § 24 upravuje zánik oznámením zániku poistného záujmu, ale zároveň zachováva samostatné objektívne dôvody, najmä zánik vozidla, jeho vyradenie z prevádzky a odcudzenie. Česká právna úprava doplnila evidenčné dôvody o všeobecnú poistno-záujmovú klauzulu s pojmom poistného záujmu.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Poznámka pod čiarou k odkazu 12 znie:</w:t>
              <w:br/>
            </w:r>
            <w:r>
              <w:rPr>
                <w:b w:val="off"/>
                <w:color w:val="000000"/>
                <w:rFonts w:ascii="Times New Roman" w:hAnsi="Times New Roman" w:cs="Times New Roman" w:eastAsia="Times New Roman"/>
                <w:sz w:val="24"/>
              </w:rPr>
              <w:t>„12) Napríklad § 1329, § 1332, § 1333, § 1335, § 1336, § 1338 a § 1339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Aktualizácia poznámky pod čiarou na príklady dôvodov zániku poistenia podľa NOZ, ktoré sa na poistenie zodpovednosti použijú - uplynutie poistnej doby v § 1329, všeobecné výpovede poistenia v § 1332 až 1336, odstúpenie poisťovateľa v § 1338 a zánik po odmietnutí poistného plnenia v § 1339. Neuvádzajú sa dôvody, ktoré ZoPZP stanovuje osobitne (§ 9 ods. 1 písm. h), ods.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 9 odsek 3 znie:</w:t>
              <w:br/>
            </w:r>
            <w:r>
              <w:rPr>
                <w:b w:val="off"/>
                <w:color w:val="000000"/>
                <w:rFonts w:ascii="Times New Roman" w:hAnsi="Times New Roman" w:cs="Times New Roman" w:eastAsia="Times New Roman"/>
                <w:sz w:val="24"/>
              </w:rPr>
              <w:t>„(3) Po vzniku škodovej udalosti môže poisťovateľ a poistník vypovedať poistnú zmluvu s mesačnou výpovednou dobou, a to do jedného mesiaca odo dňa, keď poistníkovi dôjde oznámenie poisťovateľa o skončení prešetrovania škodovej udalosti podľa § 11 ods. 5; poisťovateľ je povinný poistníkovi skončenie prešetrovania oznámiť bez zbytočného odkladu. Poistenie zodpovednosti zanikne uplynutím výpovednej doby.“.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Výpoveď po škodovej udalosti sa zosúlaďuje s § 1334 NOZ. NOZ vychádza z koncepcie, podľa ktorej sa strany môžu kvalifikovane rozhodnúť o ďalšom trvaní poistenia až po oznámení výsledku prešetrovania poistnej udalosti. ZoPZP viaže začiatok jednomesačnej lehoty na oznámenie vzniku škodovej udalosti poisťovateľovi, čo môže viesť k uplynutiu lehoty ešte predtým, ako sú známe rozhodujúce okolnosti, rozsah zodpovednosti a škody a výsledok prešetrovania. Lehota na výpoveď tak nebude plynúť od oznámenia vzniku udalosti, keď ešte nie je známe, či a v akom rozsahu poisťovateľ plní, ale od skončenia prešetrovania. </w:t>
              <w:br/>
            </w:r>
            <w:r>
              <w:rPr>
                <w:b w:val="off"/>
                <w:color w:val="000000"/>
                <w:rFonts w:ascii="Times New Roman" w:hAnsi="Times New Roman" w:cs="Times New Roman" w:eastAsia="Times New Roman"/>
                <w:sz w:val="24"/>
              </w:rPr>
              <w:t>Keďže výsledok prešetrovania sa oznamuje poškodenému (§ 11 ods. 5), poisťovateľ je povinný skončenie prešetrovania oznámiť aj poistníkovi. Od tohto oznámenia plynie lehota. Zosúladenie s NOZ je preto vecne odôvodnené a zabezpečí, aby PZP bez osobitného dôvodu neupravovalo odlišný a menej funkčný okamih začatia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Ponecháva sa pojem škodová udalosť, aby sa právo na výpoveď nezúžilo len na prípady, keď poisťovateľ poskytne poistné 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 9 sa dopĺňa odsekom 5, ktorý znie:</w:t>
              <w:br/>
            </w:r>
            <w:r>
              <w:rPr>
                <w:b w:val="off"/>
                <w:color w:val="000000"/>
                <w:rFonts w:ascii="Times New Roman" w:hAnsi="Times New Roman" w:cs="Times New Roman" w:eastAsia="Times New Roman"/>
                <w:sz w:val="24"/>
              </w:rPr>
              <w:t>„(5) Ustanovenia § 1330 a 1375 Občianskeho zákonníka sa na poistenie zodpovednosti nepoužijú.“.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odôvodnenie k bodu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10 ods. 2 prvej vete sa slová „Vo všeobecných poistných podmienkach“ nahrádzajú slovami „V poistnej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nevyhnutnú nadväzujúcu zmenu na bod 9. VPP po prijatí NOZ nemusia existovať a NOZ ich pojem nedefinuje. Možnosť dohodnúť primerané predĺženie lehôt preto treba viazať na poistnú zmluvu, nie na fakultatívny dokument. Navrhovaná formulácia zahŕňa aj prípad, keď je príslušné pravidlo obsiahnuté vo fakultatívnych riadne začlenených poistných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11 sa vypúšťa odsek 5.</w:t>
              <w:br/>
            </w:r>
            <w:r>
              <w:rPr>
                <w:b w:val="off"/>
                <w:color w:val="000000"/>
                <w:rFonts w:ascii="Times New Roman" w:hAnsi="Times New Roman" w:cs="Times New Roman" w:eastAsia="Times New Roman"/>
                <w:sz w:val="24"/>
              </w:rPr>
              <w:t>Doterajšie odseky 6 až 13 sa označujú ako odseky 5 až 12.</w:t>
              <w:br/>
            </w:r>
            <w:r>
              <w:rPr>
                <w:b w:val="off"/>
                <w:color w:val="000000"/>
                <w:rFonts w:ascii="Times New Roman" w:hAnsi="Times New Roman" w:cs="Times New Roman" w:eastAsia="Times New Roman"/>
                <w:sz w:val="24"/>
              </w:rPr>
              <w:t>Poznámka pod čiarou k odkazu 15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11 ods. 7 sa slová „odseku 6“ nahrádzajú slovami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 11 ods. 8 sa slová „Odseky 6 až 8“ nahrádzajú slovami „Odseky 5 až 7“.</w:t>
              <w:br/>
            </w:r>
            <w:r>
              <w:rPr>
                <w:b w:val="off"/>
                <w:color w:val="000000"/>
                <w:rFonts w:ascii="Times New Roman" w:hAnsi="Times New Roman" w:cs="Times New Roman" w:eastAsia="Times New Roman"/>
                <w:sz w:val="24"/>
              </w:rPr>
              <w:t>Odôvodnenie k bodom 16 až 18:</w:t>
              <w:br/>
            </w:r>
            <w:r>
              <w:rPr>
                <w:b w:val="off"/>
                <w:color w:val="000000"/>
                <w:rFonts w:ascii="Times New Roman" w:hAnsi="Times New Roman" w:cs="Times New Roman" w:eastAsia="Times New Roman"/>
                <w:sz w:val="24"/>
              </w:rPr>
              <w:t>Povinnosť poisťovateľa ustanoviť poistenému právneho zástupcu sa vypúšťa. Ide o obsolentné ustanovenie, ktoré je v ZoPZP od jeho počiatku, ale nezodpovedá skutočnému fungovaniu poistného a advokátskeho vzťahu. Formulácia, podľa ktorej poisťovateľ „ustanoví“ poistenému právneho zástupcu je koncepčne problematická, vytvára nejasnosť, kto je klientom advokáta. Podľa zákona č. 586/2003 Z. z. o advokácii advokát poskytuje právne služby klientovi, je viazaný jeho pokynmi v medziach zákona a musí odmietnuť zastupovanie pri rozpore záujmov. Pravidlo môže vytvoriť konflikt záujmov a aj pochybnosť o nezávislosti advokáta a o rozsahu jeho povinnosti mlčanlivosti. Upravujú sa nadväzujúce vnútorné odkazy.</w:t>
              <w:br/>
            </w:r>
            <w:r>
              <w:rPr>
                <w:b w:val="off"/>
                <w:color w:val="000000"/>
                <w:rFonts w:ascii="Times New Roman" w:hAnsi="Times New Roman" w:cs="Times New Roman" w:eastAsia="Times New Roman"/>
                <w:sz w:val="24"/>
              </w:rPr>
              <w:t xml:space="preserve">Klientom advokáta je poistený a advokát je viazaný jeho pokynmi (§ 18 ods. 1 zákona č. 586/2003 Z. z.). Výber a platenie advokáta poisťovateľom vytvára riziko rozporu záujmov (§ 21 zákona č. 586/2003 Z. z.), najmä v prípadoch, keď poisťovateľ môže mať voči poistenému právo na náhradu poistného plnenia podľa § 12. Vzťah poisteného a poisťovateľa v konaní o náhradu škody upravuje § 1378 NOZ (súčinnosť, pokyny poisťovateľa, náhrada trov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Konflikt sa prejaví najmä v postihových prípadoch, keď je poistený žalovaným a poisťovateľ intervenientom a ich záujmy sa rozchádzajú. Ak advokáta ustanovuje a odmeňuje poisťovateľ, je klientom advokáta poisťovateľ a advokát musí rešpektovať pokyny klienta, má však zastupovať poisteného. Vypustenie ustanovenia nebráni poisťovateľovi poskytnúť súčinnosť alebo uhradiť náklady právneho zastúpenia podľa zmluvy. Odstraňuje len nevyhovujúcu zákonnú konštrukciu. Nový český zákon č. 30/2024 Sb. o pojištění odpovědnosti z provozu vozidla porovnateľnú povinnosť ustanoviť poistenému advokáta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Poznámka pod čiarou k odkazu 15a znie:</w:t>
              <w:br/>
            </w:r>
            <w:r>
              <w:rPr>
                <w:b w:val="off"/>
                <w:color w:val="000000"/>
                <w:rFonts w:ascii="Times New Roman" w:hAnsi="Times New Roman" w:cs="Times New Roman" w:eastAsia="Times New Roman"/>
                <w:sz w:val="24"/>
              </w:rPr>
              <w:t>„15a) § 533 ods. 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Poznámka pod čiarou k odkazu 15ca znie:</w:t>
              <w:br/>
            </w:r>
            <w:r>
              <w:rPr>
                <w:b w:val="off"/>
                <w:color w:val="000000"/>
                <w:rFonts w:ascii="Times New Roman" w:hAnsi="Times New Roman" w:cs="Times New Roman" w:eastAsia="Times New Roman"/>
                <w:sz w:val="24"/>
              </w:rPr>
              <w:t>„15ca) § 1332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Poznámky pod čiarou k odkazom 20 až 22 znejú:</w:t>
              <w:br/>
            </w:r>
            <w:r>
              <w:rPr>
                <w:b w:val="off"/>
                <w:color w:val="000000"/>
                <w:rFonts w:ascii="Times New Roman" w:hAnsi="Times New Roman" w:cs="Times New Roman" w:eastAsia="Times New Roman"/>
                <w:sz w:val="24"/>
              </w:rPr>
              <w:t>„20) § 1379 ods. 4 Občianskeho zákonníka.</w:t>
              <w:br/>
            </w:r>
            <w:r>
              <w:rPr>
                <w:b w:val="off"/>
                <w:color w:val="000000"/>
                <w:rFonts w:ascii="Times New Roman" w:hAnsi="Times New Roman" w:cs="Times New Roman" w:eastAsia="Times New Roman"/>
                <w:sz w:val="24"/>
              </w:rPr>
              <w:t>21) § 1327 ods. 1 a 2 Občianskeho zákonníka.</w:t>
              <w:br/>
            </w:r>
            <w:r>
              <w:rPr>
                <w:b w:val="off"/>
                <w:color w:val="000000"/>
                <w:rFonts w:ascii="Times New Roman" w:hAnsi="Times New Roman" w:cs="Times New Roman" w:eastAsia="Times New Roman"/>
                <w:sz w:val="24"/>
              </w:rPr>
              <w:t>22) § 138 a 158 Občianskeho zákonníka.“.</w:t>
              <w:br/>
            </w:r>
            <w:r>
              <w:rPr>
                <w:b w:val="off"/>
                <w:color w:val="000000"/>
                <w:rFonts w:ascii="Times New Roman" w:hAnsi="Times New Roman" w:cs="Times New Roman" w:eastAsia="Times New Roman"/>
                <w:sz w:val="24"/>
              </w:rPr>
              <w:t>22. Poznámka pod čiarou k odkazu 24 znie:</w:t>
              <w:br/>
            </w:r>
            <w:r>
              <w:rPr>
                <w:b w:val="off"/>
                <w:color w:val="000000"/>
                <w:rFonts w:ascii="Times New Roman" w:hAnsi="Times New Roman" w:cs="Times New Roman" w:eastAsia="Times New Roman"/>
                <w:sz w:val="24"/>
              </w:rPr>
              <w:t>„24) § 2 ods. 2 Občianskeho zákonníka.“.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Aktualizácia poznámok pod čiarou na ustanovenia NOZ o úroku z omeškania (§ 533 ods. 1), lehote na podanie výpovede (§ 1332 ods. 2), priamom nároku poškodeného (§ 1379 ods. 4), povinnostiach pri poistnej udalosti (§ 1327 ods. 1 a 2), premlčaní (§ 138 a 158) a právnických osobách (§ 2 ods. 2).</w:t>
              <w:br/>
            </w:r>
            <w:r>
              <w:rPr>
                <w:b w:val="off"/>
                <w:color w:val="000000"/>
                <w:rFonts w:ascii="Times New Roman" w:hAnsi="Times New Roman" w:cs="Times New Roman" w:eastAsia="Times New Roman"/>
                <w:sz w:val="24"/>
              </w:rPr>
              <w:t>§ 533 ods. 1 NOZ upravuje úrok z omeškania a nahrádza doterajší § 517 ods. 2 OZ.</w:t>
              <w:br/>
            </w:r>
            <w:r>
              <w:rPr>
                <w:b w:val="off"/>
                <w:color w:val="000000"/>
                <w:rFonts w:ascii="Times New Roman" w:hAnsi="Times New Roman" w:cs="Times New Roman" w:eastAsia="Times New Roman"/>
                <w:sz w:val="24"/>
              </w:rPr>
              <w:t>§ 1332 ods,. 2 NOZ upravuje výpoveď poistenia ku koncu poistného obdobia a je obsahovým nástupcom doterajšieho § 800 ods. 1 OZ pre účel informácie podľa § 11 ods. 13 písm. c) zákona o PZP (budúceho § 11 ods. 12 písm. c) zákona o PZP).</w:t>
              <w:br/>
            </w:r>
            <w:r>
              <w:rPr>
                <w:b w:val="off"/>
                <w:color w:val="000000"/>
                <w:rFonts w:ascii="Times New Roman" w:hAnsi="Times New Roman" w:cs="Times New Roman" w:eastAsia="Times New Roman"/>
                <w:sz w:val="24"/>
              </w:rPr>
              <w:t>NOZ v § 1379 ods. 4 stanovuje, že poškodený má priame právo proti poisťovateľovi len vtedy, ak tak ustanovuje osobitný predpis; týmto osobitným predpisom je práve § 15 zákona o PZP. Ide o obsahový ekvivalent doterajšieho odkazu na § 823 OZ.</w:t>
              <w:br/>
            </w:r>
            <w:r>
              <w:rPr>
                <w:b w:val="off"/>
                <w:color w:val="000000"/>
                <w:rFonts w:ascii="Times New Roman" w:hAnsi="Times New Roman" w:cs="Times New Roman" w:eastAsia="Times New Roman"/>
                <w:sz w:val="24"/>
              </w:rPr>
              <w:t>§ 138 a § 158 NOZ upravujú premlčanie nároku na náhradu škody a je priamym obsahovým nástupcom doterajšieho § 106 OZ.</w:t>
              <w:br/>
            </w:r>
            <w:r>
              <w:rPr>
                <w:b w:val="off"/>
                <w:color w:val="000000"/>
                <w:rFonts w:ascii="Times New Roman" w:hAnsi="Times New Roman" w:cs="Times New Roman" w:eastAsia="Times New Roman"/>
                <w:sz w:val="24"/>
              </w:rPr>
              <w:t>§ 2 ods. 2 NOZ je priamy obsahový ekvivalent doterajšieho odkazu na § 18 ods. 2 písm. d)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12 ods. 1 písm. f) sa slová „škodou vrátene inej ujmy“ nahrádzajú slovami „škodou vrátane nemajetkovej škody“.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zrejmej chyby v písaní a terminologické zosúladenie podľa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Za § 28f sa vkladá § 28g, ktorý vrátane nadpisu znie:</w:t>
              <w:br/>
            </w:r>
            <w:r>
              <w:rPr>
                <w:b w:val="off"/>
                <w:color w:val="000000"/>
                <w:rFonts w:ascii="Times New Roman" w:hAnsi="Times New Roman" w:cs="Times New Roman" w:eastAsia="Times New Roman"/>
                <w:sz w:val="24"/>
              </w:rPr>
              <w:t>„§ 28g</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(1) Na výpoveď poistnej zmluvy po škodovej udalosti, ktorá bola poisťovateľovi oznámená pred 1. júlom 2027, sa vzťahuje § 9 ods. 3 v znení účinnom do 30. júna 2027.</w:t>
              <w:br/>
            </w:r>
            <w:r>
              <w:rPr>
                <w:b w:val="off"/>
                <w:color w:val="000000"/>
                <w:rFonts w:ascii="Times New Roman" w:hAnsi="Times New Roman" w:cs="Times New Roman" w:eastAsia="Times New Roman"/>
                <w:sz w:val="24"/>
              </w:rPr>
              <w:t>(2) Ak poisťovateľ ustanovil poistenému právneho zástupcu podľa § 11 ods. 5 v znení účinnom do 30. júna 2027 pred 1. júlom 2027, práva a povinnosti z tohto ustanovenia sa až do skončenia konania spravujú doterajšími predpismi.“.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ustanovenia zabezpečujú, aby sa nové pravidlo o výpovedi nevzťahovalo na škodové udalosti oznámené pred účinnosťou zmeny a aby prebiehajúce zastúpenie poisteného právnym zástupcom ustanoveným poisťovateľom pokračovalo podľa doterajšej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číslovaniu: body 5, 17 a 18 už používajú označenie odsekov § 11 po prečíslovaní podľa bodu 16. Poradie bodov zodpovedá poradiu dotknutých ustanovení v ZoPZP, všeobecná zmena terminológie je v bode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vložiť nový článok, ktorý znie:     ZÁSADNÁ PRIPOMIENKA</w:t>
              <w:br/>
            </w:r>
            <w:r>
              <w:rPr>
                <w:b w:val="off"/>
                <w:color w:val="000000"/>
                <w:rFonts w:ascii="Times New Roman" w:hAnsi="Times New Roman" w:cs="Times New Roman" w:eastAsia="Times New Roman"/>
                <w:sz w:val="24"/>
              </w:rPr>
              <w:t>Zákon č. 186/2009 Z. z. o finančnom sprostredkovaní a finančnom poradenstve a o zmene a doplnení niektorých zákonov v znení zákona č. 129/2010 Z. z., zákona č. 132/2013 Z. z.,            zákona č. 117/2015 Z. z., zákona č. 437/2015 Z. z., zákona č. 91/2016 Z. z., zákona č. 125/2016 Z. z., zákona č.  282/2017 Z. z.,  zákona č.  177/2018 Z. z., zákona č. 214/2018 Z. z.,                       zákona č. 221/2019 Z. z., zákona č. 310/2021 Z. z., zákona č. 187/2025 Z. z., zákona č. 312/2025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Finančný agent a finančný poradca sú zodpovední za škodu spôsobenú porušením povinností pri vykonávaní finančného sprostredkovania alebo finančného poradenstva. Finančný agent a finančný poradca sa vyvinia, ak preukážu, že pri výkone finančného sprostredkovania alebo finančného poradenstva nezanedbali náležitú starostlivosť.“.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zosúlaďuje súkromnoprávnu zodpovednosť finančného agenta a finančného poradcu s koncepciou NOZ. Podľa čl. 11 ods. 1 NOZ sa od osoby, ktorá sa hlási k určitej profesijnej odbornosti, vyžaduje pri konaní v rámci tejto odbornosti náležitá starostlivosť spojená s touto odbornosťou. Náležitá starostlivosť finančného agenta alebo finančného poradcu preto zahŕňa aj dodržanie osobitných odborných, informačných a organizačných povinností podľa tohto zákona a súvisiacich predpisov. Zmena terminológie neznižuje sektorový štandard výkonu finančného sprostredkovania alebo finančného poradenstva, ale začleňuje ho do všeobecného konceptu náležitej starostlivosti podľa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novelizovať ustanovenia osobitných zákonov upravujúcich zodpovednosť za škodu pri výkone regulovaných povolaní a odborných činností. Zosúladiť s ustanoveniami NOZ navrhujeme tak, aby zodpovednosť za škodu vychádzala z porušenia povinností pri výkone príslušnej činnosti a aby sa zodpovedná osoba mohla zbaviť zodpovednosti, ak preukáže, že pri výkone svojej činnosti nezanedbala náležitú starostlivosť.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zosúlaďuje právnu úpravu profesijnej zodpovednosti za škodu pri jednotlivých regulovaných povolaniach s právnou úpravou NOZ. </w:t>
              <w:br/>
            </w:r>
            <w:r>
              <w:rPr>
                <w:b w:val="off"/>
                <w:color w:val="000000"/>
                <w:rFonts w:ascii="Times New Roman" w:hAnsi="Times New Roman" w:cs="Times New Roman" w:eastAsia="Times New Roman"/>
                <w:sz w:val="24"/>
              </w:rPr>
              <w:t>Ide o všeobecnú požiadavku na doplnenie novelizačných bodov k osobitným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15 bod 19</w:t>
              <w:br/>
            </w:r>
            <w:r>
              <w:rPr>
                <w:b w:val="off"/>
                <w:color w:val="000000"/>
                <w:rFonts w:ascii="Times New Roman" w:hAnsi="Times New Roman" w:cs="Times New Roman" w:eastAsia="Times New Roman"/>
                <w:sz w:val="24"/>
              </w:rPr>
              <w:t>Navrhuje sa nové znenie §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Spôsob prejavu vôle</w:t>
              <w:br/>
            </w:r>
            <w:r>
              <w:rPr>
                <w:b w:val="off"/>
                <w:color w:val="000000"/>
                <w:rFonts w:ascii="Times New Roman" w:hAnsi="Times New Roman" w:cs="Times New Roman" w:eastAsia="Times New Roman"/>
                <w:sz w:val="24"/>
              </w:rPr>
              <w:t>(1)	V pracovnoprávnych vzťahoch nemožno právny úkon týkajúci sa vzniku, zmeny a skončenia pracovného pomeru uskutočniť prostredníctvom činnosti automatizovaného systému zamestnávateľa alebo inej osoby bez individuálneho posúdenia oprávnenou fyzickou osobou.</w:t>
              <w:br/>
            </w:r>
            <w:r>
              <w:rPr>
                <w:b w:val="off"/>
                <w:color w:val="000000"/>
                <w:rFonts w:ascii="Times New Roman" w:hAnsi="Times New Roman" w:cs="Times New Roman" w:eastAsia="Times New Roman"/>
                <w:sz w:val="24"/>
              </w:rPr>
              <w:t>(2)	Iný právny úkon v pracovnoprávnych vzťahoch možno uskutočniť prostredníctvom automatizovaného systému, ak je zabezpečená možnosť jeho preskúmania oprávnenou fyzickou osobou. Tým nie je dotknuté použitie automatizovaného systému na technické vyhotovenie, odoslanie, doručenie, evidenciu alebo spracovanie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zákona obsahuje absolútny zákaz uskutočnenia akéhokoľvek právneho úkonu prostredníctvom automatizovaného systému bez rozlíšenia medzi rozhodnutiami s významným dopadom na postavenie zamestnanca a rutinnými alebo technickými úkonmi. Takéto pravidlo môže neprimerane obmedziť elektronické HR procesy zamestnávateľov, hoci návrh nového Občianskeho zákonníka v § 48 výslovne pripúšťa prejav vôle prostredníctvom činnosti automatizovaného systému v moci osoby uskutočňujúcej prejav vôle. Navrhovaná úprava znenia návrhu zákona zachováva požiadavku individuálneho ľudského posúdenia pri právnych úkonoch týkajúcich sa vzniku, zmeny a skončenia pracovného pomeru, teda pri úkonoch s najzávažnejším dopadom na pracovnoprávne postavenie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bod 19</w:t>
              <w:br/>
            </w:r>
            <w:r>
              <w:rPr>
                <w:b w:val="off"/>
                <w:color w:val="000000"/>
                <w:rFonts w:ascii="Times New Roman" w:hAnsi="Times New Roman" w:cs="Times New Roman" w:eastAsia="Times New Roman"/>
                <w:sz w:val="24"/>
              </w:rPr>
              <w:t xml:space="preserve">Navrhuje sa nové znenie § 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Forma právneho úkonu</w:t>
              <w:br/>
            </w:r>
            <w:r>
              <w:rPr>
                <w:b w:val="off"/>
                <w:color w:val="000000"/>
                <w:rFonts w:ascii="Times New Roman" w:hAnsi="Times New Roman" w:cs="Times New Roman" w:eastAsia="Times New Roman"/>
                <w:sz w:val="24"/>
              </w:rPr>
              <w:t>Ak tento zákon alebo iný pracovnoprávny predpis vyžaduje v pracovnoprávnych vzťahoch dodržanie písomnej formy právneho úkonu, v písomnej forme musia byť zaznamenané všetky podstatné náležitosti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„celý právny úkon“ je v pracovnom práve problematický, nakoľko obsah právneho úkonu (práva a povinnosti) sú predmetom úpravy aj v interných predpisoch zamestnávateľa a tieto nebudú môcť byť súčasťou právneho úkonu. Ochrane zamestnanca postačí zachytenie podstatných obsahových náležitostí (predovšetkým mzdových podmienok) v písomnej forme.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32 bod 28</w:t>
              <w:br/>
            </w:r>
            <w:r>
              <w:rPr>
                <w:b w:val="off"/>
                <w:color w:val="000000"/>
                <w:rFonts w:ascii="Times New Roman" w:hAnsi="Times New Roman" w:cs="Times New Roman" w:eastAsia="Times New Roman"/>
                <w:sz w:val="24"/>
              </w:rPr>
              <w:t xml:space="preserve">Navrhuje sa vypustenie § 32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Povaha záväzkov v pracovnoprávnych vzťahoch</w:t>
              <w:br/>
            </w:r>
            <w:r>
              <w:rPr>
                <w:b w:val="off"/>
                <w:color w:val="000000"/>
                <w:rFonts w:ascii="Times New Roman" w:hAnsi="Times New Roman" w:cs="Times New Roman" w:eastAsia="Times New Roman"/>
                <w:sz w:val="24"/>
              </w:rPr>
              <w:t>(1) Zamestnávateľ je zaviazaný zamestnancovi spoločne a nerozdielne s inou osobou, len tak to ustanovuje tento zákon alebo iný pracovnoprávny predpis.</w:t>
              <w:br/>
            </w:r>
            <w:r>
              <w:rPr>
                <w:b w:val="off"/>
                <w:color w:val="000000"/>
                <w:rFonts w:ascii="Times New Roman" w:hAnsi="Times New Roman" w:cs="Times New Roman" w:eastAsia="Times New Roman"/>
                <w:sz w:val="24"/>
              </w:rPr>
              <w:t>nové znenie: (1) Zamestnanec sa nemôže zaviazať zamestnávateľovi spoločne a nerozdielne s inou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Obmedzenie solidarity na strane zamestnávateľa môže znemožniť aj pre zamestnanca výhodné pristúpenie solventnej osoby k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38 ods. 6 bod 33</w:t>
              <w:br/>
            </w:r>
            <w:r>
              <w:rPr>
                <w:b w:val="off"/>
                <w:color w:val="000000"/>
                <w:rFonts w:ascii="Times New Roman" w:hAnsi="Times New Roman" w:cs="Times New Roman" w:eastAsia="Times New Roman"/>
                <w:sz w:val="24"/>
              </w:rPr>
              <w:t xml:space="preserve">Navrhuje sa nové znenie § 38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Zamestnávateľ sa môže so zamestnancom písomne dohodnúť na doručovaní písomností podľa odsekov 1 a 3 elektronickými prostriedkami podpísanými kvalifikovaným alebo zdokonaleným elektronickým podpisom; ustanovenia odsekov 1 až 5 sa nepoužijú. Dohoda podľa prvej vety môže byť vyhotovená v elektronickej podobe a musí byť podpísaná obidvoma stranami kvalifikovaným alebo zdokonaleným elektronickým podpisom, inak je neplatná. Zamestnávateľ doručuje písomnosti zamestnancovi na elektronickú adresu, ktorú zamestnanec určil a ktorá nie je v dispozícii zamestnávateľa. Na doručovanie podľa prvej vety sa primerane použijú ustanovenia Občianskeho zákonníka o pôsobení prejavu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zákona zavádza možnosť elektronického doručovania vybraných pracovnoprávnych písomností, viaže ju však výlučne na kvalifikovaný elektronický podpis na strane zamestnávateľa aj zamestnanca. Takáto podmienka môže praktickú využiteľnosť nového režimu výrazne obmedziť, prípadne z praktického pohľadu takmer vylúčiť, najmä ak zamestnanec alebo budúci zamestnanec kvalifikovaným elektronickým podpisom nedisponuje, čo je v praxi prevažujúci prípad. Pre bežného zamestnanca alebo budúceho zamestnanca je jeho získanie spojené s dodatočnými nákladmi, administratívnou záťažou a technickými požiadavkami, ktoré väčšina osôb nie je ochotná alebo schopná splniť. Požiadavka výlučného použitia kvalifikovaného elektronického podpisu tak môže predstavovať dodatočnú technickú a administratívnu prekážku elektronizácie pracovnoprávnych vzťahov. Zavedenie takejto požiadavky by preto paradoxne mohlo vyznieť nie ako krok vpred v digitalizácii pracovnoprávnych vzťahov, ale naopak ako faktická prekážka širšieho využívania elektronického doručovania. Technologicky neutrálna úprava pritom umožňuje rozvoj elektronických procesov pri súčasnom zachovaní požadovanej úrovne právnej istoty. Porovnateľná právna úprava v okolitých krajinách, napríklad český Zákonník práce, nevychádza z výlučnej požiadavky použitia kvalifikovaného elektronického podpisu a ponecháva širší priestor pre technologicky neutrálne riešenia. V tomto smere ustanovenie § 21 pri uzatváraní pracovnej zmluvy, dohôd o prácach vykonávaných mimo pracovného pomeru, ich zmien, ako aj dohôd o ich skončení prostredníctvom siete alebo služby elektronických komunikácií nekladie žiadnu požiadavku na kvalitu podpisu; ochranu zamestnanca zabezpečuje povinnosťou zamestnávateľa zaslať vyhotovenie na elektronickú adresu zamestnanca, ktorá nie je v dispozícii zamestnávateľa, a právom zamestnanca od pracovnej zmluvy, dohody alebo ich zmien v lehote 7 dní odstúpiť. Poukázať možno aj na osobitnú úpravu elektronického doručovania podľa § 335 a § 337 českého Zákonníka práce, ktorá sa vzťahuje najmä na jednostranné pracovnoprávne úkony a rozlišuje požiadavky na podpis podľa toho, či písomnosť doručuje zamestnávateľ alebo zamestnanec. Návrh zákona tak v porovnaní s českou právnou úpravou, s ktorou slovenská právna úprava pracovnoprávnych vzťahov vykazuje tradične úzku súvislosť, smeruje k výrazne reštriktívnejšiemu riešeniu, ktorého vecné opodstatnenie nie je zrejmé. Návrh nového Občianskeho zákonníka pritom v § 72 a § 73 tiež pracuje so širšou technologicky neutrálnou koncepciou písomnej elektronickej formy. Totožnosť osoby možno spoľahlivo preukázať aj inými spôsobmi než výlučne použitím kvalifikovaného elektronického podpisu. Ochranu zamestnanca možno zabezpečiť súborom požiadaviek vzťahujúcich sa na celý elektronický proces, napríklad preukázaním identity podpisujúcej osoby, integrity a obsahu písomnosti, času jej odoslania a doručenia, ako aj zabezpečením možnosti uchovať dokument na trvanlivom médiu. Uprednostnenie technologicky neutrálneho riešenia by umožnilo efektívnejší rozvoj elektronických procesov a zároveň by podporilo cieľ digitalizácie pracovnoprávnych vzťahov pri zachovaní primeranej úrovne právnej istoty a ochrany zamestnanca. Navrhovaná úprava tak neprináša dlho očakávanú modernizáciu. V domnení ochrany zamestnanca neposkytuje zmluvným stranám dostatočnú flexibilitu pre realizáciu záujmu o digitálnu komunikáciu, ktoré by napokon bolo vykonané na základe dohody.</w:t>
              <w:br/>
            </w:r>
            <w:r>
              <w:rPr>
                <w:b w:val="off"/>
                <w:color w:val="000000"/>
                <w:rFonts w:ascii="Times New Roman" w:hAnsi="Times New Roman" w:cs="Times New Roman" w:eastAsia="Times New Roman"/>
                <w:sz w:val="24"/>
              </w:rPr>
              <w:t>Na zváženie strán by mala byť ponechané aj rozhodnutie, či dohoda musí byť elektronická.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250b bod 129</w:t>
              <w:br/>
            </w:r>
            <w:r>
              <w:rPr>
                <w:b w:val="off"/>
                <w:color w:val="000000"/>
                <w:rFonts w:ascii="Times New Roman" w:hAnsi="Times New Roman" w:cs="Times New Roman" w:eastAsia="Times New Roman"/>
                <w:sz w:val="24"/>
              </w:rPr>
              <w:t>Navrhuje sa vypustenie tohto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Zákonodarcom navrhované doplnenie slovného spojenia „na zamestnávateľa a jeho zamestnancov dotknutých touto situáciou alebo týmto stavom“ predstavuje právnu neistotu pre pracovnoprávne vzťahy, nakoľko vyžaduje posúdenie, či je zamestnávateľ a zamestnanci dotknutí touto situáciou. Právna neistota tak vytvára nepredvídateľnosť aplikácie, zakladá riziko sporného výkladu zákona.</w:t>
              <w:br/>
            </w:r>
            <w:r>
              <w:rPr>
                <w:b w:val="off"/>
                <w:color w:val="000000"/>
                <w:rFonts w:ascii="Times New Roman" w:hAnsi="Times New Roman" w:cs="Times New Roman" w:eastAsia="Times New Roman"/>
                <w:sz w:val="24"/>
              </w:rPr>
              <w:t>V aplikačnej praxi sú po skončení pandémie relevantné iba ustanovenia o skrátení lehôt na oznamovanie rozvrhnutia pracovného času a oznamovania o nariadení čerpania dovolenky (odseky 3 a 4).</w:t>
              <w:br/>
            </w:r>
            <w:r>
              <w:rPr>
                <w:b w:val="off"/>
                <w:color w:val="000000"/>
                <w:rFonts w:ascii="Times New Roman" w:hAnsi="Times New Roman" w:cs="Times New Roman" w:eastAsia="Times New Roman"/>
                <w:sz w:val="24"/>
              </w:rPr>
              <w:t>Zamestnávateľ nebude spôsobilý preukázať „dotknutosť situáciou“ a teda sa fakticky znemožňuje využitie skrátených lehôt na oznamovanie rozvrhu práce a čerpania dovolenky.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k bodu 74 – v § 144a ods. 3 písm. d)</w:t>
              <w:br/>
            </w:r>
            <w:r>
              <w:rPr>
                <w:b w:val="off"/>
                <w:color w:val="000000"/>
                <w:rFonts w:ascii="Times New Roman" w:hAnsi="Times New Roman" w:cs="Times New Roman" w:eastAsia="Times New Roman"/>
                <w:sz w:val="24"/>
              </w:rPr>
              <w:t>V § 144a ods. 3 písm. d) Zákonníka práce, sa navrhuje slová „mladšie ako desať rokov veku“ nahradiť slovami „do dovŕšenia desiateho roka života“; po úprave odsek 3 písm. d)  má znieť:</w:t>
              <w:br/>
            </w:r>
            <w:r>
              <w:rPr>
                <w:b w:val="off"/>
                <w:color w:val="000000"/>
                <w:rFonts w:ascii="Times New Roman" w:hAnsi="Times New Roman" w:cs="Times New Roman" w:eastAsia="Times New Roman"/>
                <w:sz w:val="24"/>
              </w:rPr>
              <w:t>„(3) Ako výkon práce sa na účely dovolenky okrem dôb podľa odseku 2 neposudzuje ani doba</w:t>
              <w:br/>
            </w:r>
            <w:r>
              <w:rPr>
                <w:b w:val="off"/>
                <w:color w:val="000000"/>
                <w:rFonts w:ascii="Times New Roman" w:hAnsi="Times New Roman" w:cs="Times New Roman" w:eastAsia="Times New Roman"/>
                <w:sz w:val="24"/>
              </w:rPr>
              <w:t>d) osobného a celodenného ošetrovania chorého člena rodiny podľa osobitného predpisu, osobnej a celodennej starostlivosti o fyzickú osobu podľa osobitného predpisu, a doba, počas ktorej sa osoba, ktorá sa inak stará o dieťa do dovŕšenia desiateho roka života, podrobila vyšetreniu alebo ošetreniu v zdravotníckom zariadení, ktoré nebolo možné zabezpečiť mimo pracovného času zamestnanca.“.</w:t>
              <w:br/>
            </w:r>
            <w:r>
              <w:rPr>
                <w:b w:val="off"/>
                <w:color w:val="000000"/>
                <w:rFonts w:ascii="Times New Roman" w:hAnsi="Times New Roman" w:cs="Times New Roman" w:eastAsia="Times New Roman"/>
                <w:sz w:val="24"/>
              </w:rPr>
              <w:t xml:space="preserve">Predpokladáme, že za osobitný predpis v § 144a  ods. 3 písm. d) Zákonníka práce sa považuje zákon č. 461/2003 Z. z. o sociálnom poistení v znení neskorších predpisov; z dôvodu jednoznačnosti právnej úpravy navrhujeme zaviesť odkaz s poznámkou pod čiarou na príslušný  zákon. </w:t>
              <w:br/>
            </w:r>
            <w:r>
              <w:rPr>
                <w:b w:val="off"/>
                <w:color w:val="000000"/>
                <w:rFonts w:ascii="Times New Roman" w:hAnsi="Times New Roman" w:cs="Times New Roman" w:eastAsia="Times New Roman"/>
                <w:sz w:val="24"/>
              </w:rPr>
              <w:t>Zároveň poznamenávame, že podľa § 39 ods. 1 písm. b) zákona o sociálnom poistení má nárok na ošetrovné okrem iného osoba, ktorá sa stará o dieťa do dovŕšenia jedenásteho roku veku. V tejto súvislosti navrhujeme vymedzenie veku dieťaťa v § 144a ods. 3 Zákonníka práce zosúladiť s právnou úpravou  zákona č. 461/2003 Z. z. o sociálnom poistení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§1a zákona o advokácii (vyporiadanie SIM)</w:t>
              <w:br/>
            </w:r>
            <w:r>
              <w:rPr>
                <w:b w:val="off"/>
                <w:color w:val="000000"/>
                <w:rFonts w:ascii="Times New Roman" w:hAnsi="Times New Roman" w:cs="Times New Roman" w:eastAsia="Times New Roman"/>
                <w:sz w:val="24"/>
              </w:rPr>
              <w:t>V § 1a sa dopĺňa nový odsek 3, ktorý znie:</w:t>
              <w:br/>
            </w:r>
            <w:r>
              <w:rPr>
                <w:b w:val="off"/>
                <w:color w:val="000000"/>
                <w:rFonts w:ascii="Times New Roman" w:hAnsi="Times New Roman" w:cs="Times New Roman" w:eastAsia="Times New Roman"/>
                <w:sz w:val="24"/>
              </w:rPr>
              <w:t>„Autorizáciou dokumentu je aj spísanie dohody o vyporiadaní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Predkladaná zmena reaguje na materiálnu zložitosť majetkových pomerov, do ktorých manželia v podmienkach súčasného hospodárskeho a technologického prostredia vstupujú, a na nepomer medzi touto zložitosťou a doterajšími formálnymi požiadavkami kladenými na dohodu o vyporiadaní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imanie manželov sa v praxi neobmedzuje na hnuteľné a nehnuteľné veci v tradičnom zmysle. Jeho predmetom môžu byť okrem iného:</w:t>
              <w:br/>
            </w:r>
            <w:r>
              <w:rPr>
                <w:b w:val="off"/>
                <w:color w:val="000000"/>
                <w:rFonts w:ascii="Times New Roman" w:hAnsi="Times New Roman" w:cs="Times New Roman" w:eastAsia="Times New Roman"/>
                <w:sz w:val="24"/>
              </w:rPr>
              <w:t>a) virtuálne aktíva, najmä kryptoaktíva, pri ktorých identifikácia, oceňovanie a samotná existencia v majetkovej sfére manželov závisí od prístupových údajov, ktoré sú podstatne odlišnej povahy ako tradičné dôkazy o vlastníctve;</w:t>
              <w:br/>
            </w:r>
            <w:r>
              <w:rPr>
                <w:b w:val="off"/>
                <w:color w:val="000000"/>
                <w:rFonts w:ascii="Times New Roman" w:hAnsi="Times New Roman" w:cs="Times New Roman" w:eastAsia="Times New Roman"/>
                <w:sz w:val="24"/>
              </w:rPr>
              <w:t>b) investičné nástroje (akcie, dlhopisy, podielové listy, deriváty), ako aj podiely v subjektoch kolektívneho investovania a v alternatívnych investičných fondoch;</w:t>
              <w:br/>
            </w:r>
            <w:r>
              <w:rPr>
                <w:b w:val="off"/>
                <w:color w:val="000000"/>
                <w:rFonts w:ascii="Times New Roman" w:hAnsi="Times New Roman" w:cs="Times New Roman" w:eastAsia="Times New Roman"/>
                <w:sz w:val="24"/>
              </w:rPr>
              <w:t>c) obchodné podiely v obchodných spoločnostiach, podiely v družstvách a nároky vyplývajúce z účasti na nich, vrátane práva na vyplatenie vyrovnacieho podielu, podielu na zisku a podielu na likvidačnom zostatku;</w:t>
              <w:br/>
            </w:r>
            <w:r>
              <w:rPr>
                <w:b w:val="off"/>
                <w:color w:val="000000"/>
                <w:rFonts w:ascii="Times New Roman" w:hAnsi="Times New Roman" w:cs="Times New Roman" w:eastAsia="Times New Roman"/>
                <w:sz w:val="24"/>
              </w:rPr>
              <w:t>d) pohľadávky vrátane podmienených a budúcich pohľadávok;</w:t>
              <w:br/>
            </w:r>
            <w:r>
              <w:rPr>
                <w:b w:val="off"/>
                <w:color w:val="000000"/>
                <w:rFonts w:ascii="Times New Roman" w:hAnsi="Times New Roman" w:cs="Times New Roman" w:eastAsia="Times New Roman"/>
                <w:sz w:val="24"/>
              </w:rPr>
              <w:t>e) predmety priemyselných práv a iných práv duševného vlastníctva (ochranné známky, patenty, úžitkové vzory, dizajny), autorské majetkové práva a licencie, doménové mená a iné nehmotné aktíva s ekonomickou hodnotou;</w:t>
              <w:br/>
            </w:r>
            <w:r>
              <w:rPr>
                <w:b w:val="off"/>
                <w:color w:val="000000"/>
                <w:rFonts w:ascii="Times New Roman" w:hAnsi="Times New Roman" w:cs="Times New Roman" w:eastAsia="Times New Roman"/>
                <w:sz w:val="24"/>
              </w:rPr>
              <w:t xml:space="preserve">f) nároky z poistných zmlúv s kapitálovou alebo investičnou zložkou, nároky z doplnkového dôchodkového sporenia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mnohých prípadoch ani jeden z manželov nedokáže v okamihu uzatvárania dohody bez kvalifikovanej právnej pomoci úplne identifikovať a kategorizovať všetky položky, ktoré do spoločného imania patria, posúdiť ich právny režim, oceniť ich a vyporiadať ich spôsobom, ktorý nebude do budúcnosti zdrojom sporov medzi účastníkmi alebo voči tretím osobám.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právna úprava v § 308 Občianskeho zákonníka vyžaduje pre dohodu o vyporiadaní spoločného imania manželov písomnú formu len v dvoch situáciách – ak je predmetom vyporiadania nehnuteľnosť alebo ak ju uzavierajú manželia ešte počas trvania manželstva. Pre ostatné prípady nestanovuje žiadnu kvalifikovanú formu, hoci zostávajúcim spôsobom vyporiadania je vyporiadanie súdom alebo nastúpenie zákonnej domnienky podľa § 311. Inými slovami, v platnom režime zákon na jednej strane pri zlyhaní dohody zveruje vyporiadanie jednej z najzložitejších majetkových agend rodinného práva výlučne súdu, na strane druhej pri samotnom uzavretí dohody nevyžaduje účasť žiadneho právneho profesionála a nestanovuje žiadnu zvýšenú formálnu náležitosť. Tento nepomer je z hľadiska ochrany manželov, ako aj z hľadiska právnej istoty tretích osôb a verejných registrov, neudržateľný.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dohoda o vyporiadaní spoločného imania manželov mala formu notárskej zápisnice podľa § 47 zákona Slovenskej národnej rady č. 323/1992 Zb. o notároch a notárskej činnosti (Notársky poriadok) v znení neskorších predpisov, alebo formu dokumentu autorizovaného advokátom podľa § 1a zákona č. 586/2003 Z. z. o advokácii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Voľba medzi týmito dvoma formami zachováva manželom autonómiu pri výbere právneho profesionála a zabraňuje monopolizácii agendy. Súčasne sa pri obidvoch formách dosahuje rovnocenná miera právnej istoty – notár aj advokát pri spísaní listiny zodpovedajú za to, že obsah úkonu neodporuje zákonu, neobchádza zákon a neprieči sa dobrým mravom, identifikujú účastníkov a sú za prípadnú škodu spôsobenú výkonom svojej činnosti poistení. Účasť právneho profesionála navyše zaisťuje, že manželia budú pred uzavretím dohody poučení o predmete spoločného imania, o možných nevyporiadaných položkách, o účinkoch domnienky vyporiadania podľa § 311 ods. 2 návrhu a o ďalších právnych dôsledkoch.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sa teda upravuje dikcia § 1a zákona tak, aby pôsobnosť autorizácie nebola jazykovo zúžená iba na zmluvy o prevode nehnuteľnosti, ale výslovne pokrývala aj dohodu o vyporiadaní spoločného imania manželov podľa § 308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 zmeniť a doplniť  znenie § 188 OZ a súvisiace  ustanovenia  ako aj zmeny  zákona č.448/2008 Z.z</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zmeniť a doplniť  znenie § 188 OZ a súvisiace  ustanovenia  ako aj zmeny  zákona č.448/2008 Z.z.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6 sa odsek 3 dopĺňa písmenom e), ktoré znie:</w:t>
              <w:br/>
            </w:r>
            <w:r>
              <w:rPr>
                <w:b w:val="off"/>
                <w:color w:val="000000"/>
                <w:rFonts w:ascii="Times New Roman" w:hAnsi="Times New Roman" w:cs="Times New Roman" w:eastAsia="Times New Roman"/>
                <w:sz w:val="24"/>
              </w:rPr>
              <w:t>„e) prejaviť vážne mienený nesúhlas s poskytovaním celoročnej pobytovej sociálnej služby v zariadení, ak ide o prijímateľa sociálnej služby, ktorý je maloletý, alebo ktorého spôsobilosť na právne úkony je obmedzená v rozsahu, ktorý mu neumožňuje zmeniť bydlisko alebo uzavrieť zmluvu o poskytovaní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 9 sa dopĺňa odsekom 14, ktorý znie:</w:t>
              <w:br/>
            </w:r>
            <w:r>
              <w:rPr>
                <w:b w:val="off"/>
                <w:color w:val="000000"/>
                <w:rFonts w:ascii="Times New Roman" w:hAnsi="Times New Roman" w:cs="Times New Roman" w:eastAsia="Times New Roman"/>
                <w:sz w:val="24"/>
              </w:rPr>
              <w:t>„(14) Poskytovateľ celoročnej pobytovej sociálnej služby v zariadení je povinný bez zbytočného odkladu oznámiť opatrovníkovi a príslušnému súdu alebo zákonnému zástupcovi prejavený nesúhlas prijímateľa sociálnej služby podľa § 6 ods. 3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110bk</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ktorá bola pozbavená spôsobilosti na právne úkony podľa predpisov účinných do 30. júna 2016, ak o zmene alebo zrušení obmedzenia spôsobilosti na právne úkony tejto osoby súd do 30. júna 2026 právoplatne nerozhodol podľa predpisov účinných od 1. júla 2016, sa na účely tohto zákona považuje za osobu s obmedzenou spôsobilosťou na právne úkony v rozsahu, ktorý jej neumožňuje rozhodovať o mieste svojho bydliska a uzavrieť zmluvu o poskytovaní celoročnej pobytovej sociálnej služby v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V prílohe č. 2 kritériu 1.3 sa na konci pripája táto veta: „Poskytovateľ celoročnej pobytovej sociálnej služby v zariadení má vypracovaný aj osobitný  postup pre prípady, ak záujemca o túto sociálnu službu má obmedzenú spôsobilosť na právne úkony alebo čiastočnú spôsobilosť na právne úkony v rozsahu, ktorý mu neumožňuje rozhodovať o mieste svojho bydliska alebo uzavierať zmluvu o poskytovaní sociálnej služby v tomto zariadení, ktorého náležitosťami sú informácie o mieste, spôsobe a obsahu poskytovania sociálnej služby a spôsob zaznamenávania očakávaní a želaní možného budúceho prijímateľa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	V prílohe č. 2 kritériu 1.5 sa slová „maloleté dieťa“ nahrádzajú slovom „maloletý“ a na konci sa pripája táto veta: „U prijímateľa celoročnej pobytovej sociálnej služby v zariadení, ktorý má obmedzenú spôsobilosť na právne úkony alebo čiastočnú spôsobilosť na právne úkony v rozsahu, ktorý mu neumožňuje zmeniť bydlisko alebo uzavrieť zmluvu o poskytovaní sociálnej služby, poskytovateľ priebežne zaznamenáva do individuálneho plánu tohto prijímateľa sociálnej služby aj také jeho prejavy vôle, ktoré môžu mať význam pre vyhodnocovanie prejaveného vážne mieneného nesúhlasu s poskytovaním tejto sociálnej služby; takýto záznam obsahuje informácie najmä o nepochybnom alebo opakujúcom sa prejave vôle, okolnostiach jeho vzniku, spôsobe jeho vyhodnocovania a následných prijatých opatreniach.“.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39.	V prílohe č. 2 kritériu 1.14 sa za prvú vetu vkladá nová druhá veta a tretia veta, ktoré znejú: </w:t>
              <w:br/>
            </w:r>
            <w:r>
              <w:rPr>
                <w:b w:val="off"/>
                <w:color w:val="000000"/>
                <w:rFonts w:ascii="Times New Roman" w:hAnsi="Times New Roman" w:cs="Times New Roman" w:eastAsia="Times New Roman"/>
                <w:sz w:val="24"/>
              </w:rPr>
              <w:t>„Ak ide o osobu s obmedzenou spôsobilosťou na právne úkony alebo čiastočnou spôsobilosťou na právne úkony v rozsahu, ktorý jej neumožňuje zmeniť bydlisko alebo uzavrieť zmluvu o poskytovaní sociálnej služby, ktorej sa poskytuje celoročná pobytová sociálna služba v zariadení, poskytovateľ sociálnej služby priebežne sleduje, aktívne  zisťuje, zaznamenáva a vyhodnocuje prejavy vôle tohto prijímateľa sociálnej služby prijímať túto sociálnu službu. Pri vyhodnocovaní prejavov vôle podľa predchádzajúcej vety  poskytovateľ sociálnej služby prihliada najmä na ich obsah, opakovanosť a okolnosti, za ktorých k nim došlo; ak toto vyhodnotenie nasvedčuje tomu, že ide o prejavený vážne mienený nesúhlas s poskytovaním tejto sociálnej služby, poskytovateľ sociálnej služby postupuje podľa § 9 ods.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ustanovení § 188 odsek 1 OZ absentuje úprava, aby  súd rozhodol, vydal potrebný súhlas/nesúhlas o tom, ak fyzická osoba /prijímateľ  pobytovej sociálnej služby , ktorý má obmedzenú spôsobilosť na právne úkony, prejaví nesúhlas  zotrvať v pobytovom zariadení sociálnych služieb..</w:t>
              <w:br/>
            </w:r>
            <w:r>
              <w:rPr>
                <w:b w:val="off"/>
                <w:color w:val="000000"/>
                <w:rFonts w:ascii="Times New Roman" w:hAnsi="Times New Roman" w:cs="Times New Roman" w:eastAsia="Times New Roman"/>
                <w:sz w:val="24"/>
              </w:rPr>
              <w:t>Ak  totiž osoba s obmedzenou spôsobilosťou na právne úkony je už  umiestnená v pobytovom zariadení sociálnych služieb, vypovedať zmluvu o poskytovaní sociálnych služieb a teda „ukončiť zotrvanie“ tejto osoby v zariadení sociálnej služby môže de iure len opatrovník. Problém nastáva, ak opatrovanec nesúhlasí s jeho umiestnením v zariadení sociálnej služby avšak jeho opatrovník na jeho nesúhlas nereflektuje. V návrhu zmien civilného mimosporového poriadku nenachádzame dostatočné procesné ustanovenia, ktoré by zabezpečovali, že súd sa bude takýmto prípadom zaoberať a že v prípade že umiestnenie nie je v záujme opatrovanca, „zvráti“ súhlas s jeho umiestnením do zariadenia.</w:t>
              <w:br/>
            </w:r>
            <w:r>
              <w:rPr>
                <w:b w:val="off"/>
                <w:color w:val="000000"/>
                <w:rFonts w:ascii="Times New Roman" w:hAnsi="Times New Roman" w:cs="Times New Roman" w:eastAsia="Times New Roman"/>
                <w:sz w:val="24"/>
              </w:rPr>
              <w:t>V súvislosti s prijatím nového OZ vznikla situácia, kde na jednej strane je síce súhlas súdu s poskytovaním celoročnej pobytovej sociálnej služby (so začatím poskytovania tejto SoS) – iniciuje ho opatrovník, lenže o inom je zase rozhodnutie súdu o zotrvaní opatrovanca v konkrétnom celoročnom pobytovom ZSS, ak to opatrovanec preukázateľne a vážne nechce – odmieta v rozpore s názorom opatrovníka, ktorý je ale oprávnený za opatrovanca právne účinným spôsobom jednostranne vypovedať zmluvu o poskytovaní celoročnej pobytovej SoS, resp. uzavrieť s poskytovateľom SoS dohodu o ukončení poskytovania SoS. Toto rozhodnutie súdu o zotrvaní / nezotrvaní opatrovanca v konkrétnom celoročnom pobytovom ZSS (bude ním viazaný opatrovník) by mal iniciovať tento poskytovateľ celoročnej pobytovej SoS – ide aj o zabezpečenie potreby vnútorného súladu a previazanosti s návrhom novely zákona o SS v implementačnom zákone – viď. Čl. CXVIII. Bod 11- § 9 ods. 14 –„Poskytovateľ celoročnej pobytovej sociálnej služby v ZSS je povinný bez zbytočného odkladu oznámiť opatrovníkovi a príslušnému súdu prejavený nesúhlas prijímateľa sociálnej služby podľa § 6 ods. 3 písm e)  (bod 9.) (právo prijímateľa SS prejaviť vážne mienený nesúhlas s poskytovaním celoročnej pobytovej SoS v ZSS, ak ide o prijímateľa SoS, ktorého spôsobilosť na právne úkony je obmedzená v rozsahu, ktorý mu neumožňuje zmeniť bydlisko alebo uzavrieť zmluvu o poskytovaní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Ani v civilnom mimosporovom poriadku nie je ustanovená povinnosť súdu z podnetu poskytovateľa SoS začať toto konanie o zotrvaní / nezotrvaní opatrovanca v konkrétnom celoročnom pobytovom ZSS, nie sú vymedzení účastníci tohto konania, viazanosť  vykonaného dokazovania špecifikami (napr. vypočutie opatrovanca, zamestnancov poskytovateľa SoS o okolnostiach prejavovaného nesúhlasu, lehota na rozhodnutie vo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Podotýkame, že v obdobnej veci už  je existujúca právna úprava a dobrá prax, ktorou je  z právna úprava v Českej republike, konkrétne  § 84a a 84b zákona č-. 292/2013 Sb. o zvláštních řízeních soudních (https://e-sbirka.gov.cz/sb/2013/292?zalozka=text)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95, § 178b</w:t>
              <w:br/>
            </w:r>
            <w:r>
              <w:rPr>
                <w:b w:val="off"/>
                <w:color w:val="000000"/>
                <w:rFonts w:ascii="Times New Roman" w:hAnsi="Times New Roman" w:cs="Times New Roman" w:eastAsia="Times New Roman"/>
                <w:sz w:val="24"/>
              </w:rPr>
              <w:t>Navrhujeme spresniť rozsah informácií a osobných údajov o inom poškodenom, ktoré je zamestnanec povinný oznamovať zamestnávateľovi, tak, aby sa oznamovacia povinnosť vzťahovala výlučne na určitý rozsah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Uvedenú pripomienku uplatňujeme z dôvodu potreby zabezpečenia súladu navrhovanej právnej úpravy so zásadou minimalizácie údajov podľa čl. 5 ods. 1 písm. c) nariadenia Európskeho parlamentu a Rady (EÚ) 2016/679 (ďalej len „GDPR“).</w:t>
              <w:br/>
            </w:r>
            <w:r>
              <w:rPr>
                <w:b w:val="off"/>
                <w:color w:val="000000"/>
                <w:rFonts w:ascii="Times New Roman" w:hAnsi="Times New Roman" w:cs="Times New Roman" w:eastAsia="Times New Roman"/>
                <w:sz w:val="24"/>
              </w:rPr>
              <w:t>Navrhované ustanovenie § 178b bližšie nevymedzuje rozsah informácií, ktoré je zamestnanec povinný oznámiť zamestnávateľovi, keďže používa neurčité slovné spojenie „iné relevantné skutočnosti“. V dôsledku toho môže dochádzať k poskytovaniu a následnému spracúvaniu osobných údajov iného poškodeného, ak je fyzickou osobou, aj v rozsahu presahujúcom nevyhnutnosť na dosiahnutie sledovaného účelu. Z uvedeného dôvodu považujeme za potrebné spresniť rozsah oznamovacej povinnosti tak, aby zodpovedal požiadavkám zásady minimalizácie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XXI bod 14, § 73l ods. 5</w:t>
              <w:br/>
            </w:r>
            <w:r>
              <w:rPr>
                <w:b w:val="off"/>
                <w:color w:val="000000"/>
                <w:rFonts w:ascii="Times New Roman" w:hAnsi="Times New Roman" w:cs="Times New Roman" w:eastAsia="Times New Roman"/>
                <w:sz w:val="24"/>
              </w:rPr>
              <w:t>Navrhujeme prehodnotiť a bližšie vymedziť účel, rozsah a podmienky sprístupňovania informácií z Notárskeho centrálneho registra modifikácií spoločného imania manželov prostredníctvom webového sídla Notárskej komory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Uvedenú pripomienku uplatňujeme z dôvodu potreby zabezpečenia súladu navrhovanej právnej úpravy so zásadou obmedzenia účelu podľa čl. 5 ods. 1 písm. b) GDPR v spojení so zásadou minimalizácie údajov podľa čl. 5 ods. 1 písm. c) GDPR.</w:t>
              <w:br/>
            </w:r>
            <w:r>
              <w:rPr>
                <w:b w:val="off"/>
                <w:color w:val="000000"/>
                <w:rFonts w:ascii="Times New Roman" w:hAnsi="Times New Roman" w:cs="Times New Roman" w:eastAsia="Times New Roman"/>
                <w:sz w:val="24"/>
              </w:rPr>
              <w:t>Navrhované ustanovenie upravuje sprístupňovanie informácií z registra modifikácií spoločného imania manželov prostredníctvom webového sídla Notárskej komory Slovenskej republiky, avšak bližšie nevymedzuje účel ich sprístupňovania ani podmienky prístupu k týmto informáciám. Z navrhovanej právnej úpravy tak nie je dostatočne zrejmé, či je sprístupňovanie osobných údajov neobmedzenému okruhu osôb nevyhnutné a primerané sledovanému účelu. Z uvedeného dôvodu považujeme za potrebné účel sprístupňovania informácií, rozsah sprístupňovaných osobných údajov a podmienky prístupu k nim bližšie vymedziť v navrhovanej právnej úprave a ich nevyhnutnosť odôvodniť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XXI bod 14,  § 73m ods. 6</w:t>
              <w:br/>
            </w:r>
            <w:r>
              <w:rPr>
                <w:b w:val="off"/>
                <w:color w:val="000000"/>
                <w:rFonts w:ascii="Times New Roman" w:hAnsi="Times New Roman" w:cs="Times New Roman" w:eastAsia="Times New Roman"/>
                <w:sz w:val="24"/>
              </w:rPr>
              <w:t>Navrhujeme prehodnotiť a bližšie vymedziť účel, rozsah a podmienky sprístupňovania informácií z Notárskeho centrálneho registra podporných opatrení prostredníctvom webového sídla Notárskej komory Slovenskej republiky, najmä z hľadiska okruhu osôb oprávnených na prístup k týmto informáciám.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Uvedenú pripomienku uplatňujeme z dôvodu potreby zabezpečenia súladu navrhovanej právnej úpravy so zásadou obmedzenia účelu podľa čl. 5 ods. 1 písm. b) GDPR v spojení so zásadou minimalizácie údajov podľa čl. 5 ods. 1 písm. c) GDPR.</w:t>
              <w:br/>
            </w:r>
            <w:r>
              <w:rPr>
                <w:b w:val="off"/>
                <w:color w:val="000000"/>
                <w:rFonts w:ascii="Times New Roman" w:hAnsi="Times New Roman" w:cs="Times New Roman" w:eastAsia="Times New Roman"/>
                <w:sz w:val="24"/>
              </w:rPr>
              <w:t>Navrhované ustanovenie upravuje sprístupňovanie informácií z registra podporných opatrení prostredníctvom webového sídla Notárskej komory Slovenskej republiky, avšak bližšie nevymedzuje účel ich sprístupňovania ani podmienky prístupu k týmto informáciám. Vzhľadom na povahu evidovaných skutočností, ktoré sa týkajú osobných pomerov fyzických osôb a môžu nepriamo vypovedať aj o ich zdravotnom stave, považujeme za potrebné osobitne posúdiť nevyhnutnosť a primeranosť sprístupňovania týchto informácií neobmedzenému okruhu osôb.</w:t>
              <w:br/>
            </w:r>
            <w:r>
              <w:rPr>
                <w:b w:val="off"/>
                <w:color w:val="000000"/>
                <w:rFonts w:ascii="Times New Roman" w:hAnsi="Times New Roman" w:cs="Times New Roman" w:eastAsia="Times New Roman"/>
                <w:sz w:val="24"/>
              </w:rPr>
              <w:t>Z uvedeného dôvodu navrhujeme bližšie vymedziť účel sprístupňovania informácií, rozsah sprístupňovaných osobných údajov a podmienky prístupu k nim v navrhovanej právnej úprave a ich nevyhnutnosť odôvodniť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XXIV, bod 38, §9 ods. 2</w:t>
              <w:br/>
            </w:r>
            <w:r>
              <w:rPr>
                <w:b w:val="off"/>
                <w:color w:val="000000"/>
                <w:rFonts w:ascii="Times New Roman" w:hAnsi="Times New Roman" w:cs="Times New Roman" w:eastAsia="Times New Roman"/>
                <w:sz w:val="24"/>
              </w:rPr>
              <w:t xml:space="preserve">Žiadame v poznámke pod čiarou k odkazu 12ea nahradiť slová „zákon č. 18/2018 Z. z. o ochrane osobných údajov a o zmene a doplnení niektorých zákonov“ slovami „Nariadenie Európskeho parlamentu a Rady (EÚ) 2016/679 z 27. apríla 2016 o ochrane fyzických osôb pri spracúvaní osobných údajov a o voľnom pohybe takýchto údajov, ktorým sa zrušuje smernica 95/46/ES (všeobecné nariadenie o ochrane údajov) v spojení so zákonom č. .../... Z. z. o zabezpečení ochrany fyzických osôb pri spracúvaní osobných údajov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Všeobecným a priamo uplatniteľným právnym predpisom upravujúcim spracúvanie osobných údajov je Nariadenie Európskeho parlamentu a Rady (EÚ) 2016/679 z 27. apríla 2016 (všeobecné nariadenie o ochrane údajov, ďalej len „Nariadenie“). Poznámka pod čiarou preto musí prednostne odkazovať na Nariadenie v spojení s príslušnou národnou úpravou. Ohľadom zákona o zabezpečení ochrany fyzických osôb pri spracúvaní osobných údajov a o zmene a doplnení niektorých zákonov, predmetný zákon má byť účinný od 01.01.2027 (teda pred účinnosťou tohto zákona). V zmysle uvedeného máme za to, že je potrebné odkazovať zákon o zabezpečení ochrany fyzických osôb pri spracúvaní osobných údajov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XXXI, bod 11, §24 ods. 1 písm. a)</w:t>
              <w:br/>
            </w:r>
            <w:r>
              <w:rPr>
                <w:b w:val="off"/>
                <w:color w:val="000000"/>
                <w:rFonts w:ascii="Times New Roman" w:hAnsi="Times New Roman" w:cs="Times New Roman" w:eastAsia="Times New Roman"/>
                <w:sz w:val="24"/>
              </w:rPr>
              <w:t>Novelizačný bod žiadame vypustiť v celom rozsahu. Alternatívne žiadame do § 24 ods. 1 doplniť písm. l), ktoré znie:</w:t>
              <w:br/>
            </w:r>
            <w:r>
              <w:rPr>
                <w:b w:val="off"/>
                <w:color w:val="000000"/>
                <w:rFonts w:ascii="Times New Roman" w:hAnsi="Times New Roman" w:cs="Times New Roman" w:eastAsia="Times New Roman"/>
                <w:sz w:val="24"/>
              </w:rPr>
              <w:t>„l) údaj o tom, či navrhovaný zápis, zmena alebo výmaz práva podlieha alebo nepodlieha režimu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navrhované doplnenie údaja „rodinný stav“ medzi všeobecné identifikačné náležitosti návrhu u každej fyzickej osoby (vrátane slobodných, rozvedených či ovdovených, na ktorých sa režim SIM neaplikuje) predstavuje porušenie zásady minimalizácie osobných údajov podľa čl. 5 ods. 1 písm. c) Nariadenia. Ak je cieľom predkladateľa reflektovať úpravu spoločného imania manželov podľa § 297 nového Občianskeho zákonníka, pre posúdenie podmienok katastrálneho konania nie je podľa názoru úradu relevantný osobný status (rodinný stav) všetkých účastníkov konania, ale výlučne majetkovoprávny režim predmetnej transakcie. Navrhovaná úprava úradu nahrádza plošné a neprimerané vyžadovanie údaja o súkromí adresnou požiadavkou na deklarovanie skutočnosti, či navrhovaný úkon spadá do režimu spoločného imania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XXXI, bod 33, §42 ods. 2 písm. a)</w:t>
              <w:br/>
            </w:r>
            <w:r>
              <w:rPr>
                <w:b w:val="off"/>
                <w:color w:val="000000"/>
                <w:rFonts w:ascii="Times New Roman" w:hAnsi="Times New Roman" w:cs="Times New Roman" w:eastAsia="Times New Roman"/>
                <w:sz w:val="24"/>
              </w:rPr>
              <w:t>Z navrhovaného znenia § 42 ods. 2 písm. a) prvého bodu žiadame vypustiť slová „rodinný stav,“. Súčasne žiadame v § 42 ods. 2 doplniť nové písmeno d), ktoré znie: „d) uvedenie skutočnosti, či právny úkon, ak sa týka fyzickej osoby, podlieha alebo nepodlieha režimu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rovnako ako v predchádzajúcej pripomienke (k bodu upravujúcemu § 24) zásadne nesúhlasí s plošným zavádzaním povinnosti uvádzať „rodinný stav“ účastníkov konania ako obligatórnej náležitosti zmlúv a iných listín pre všetky fyzické osoby (vrátane slobodných, ovdovených a rozvedených). Takýto plošný zber osobných údajov je v príkrom rozpore so zásadou minimalizácie údajov podľa čl. 5 ods. 1 písm. c) Nariadenia. Z tohto dôvodu úrad navrhuje riešenie, ktoré nevyžaduje údaj o súkromí, ale požaduje vo vzťahu k fyzickým osobám výslovnú deklaráciu v danej zmluve alebo inej listine, či predmetný právny úkon podlieha alebo nepodlieha režimu SIM. Vďaka uvedenej úprave bude mať katastrálny úrad jednoznačnú, preskúmateľnú a plne postačujúcu informáciu o povahe transakcie bez toho, aby dochádzalo k nedôvodnému spracúvaniu údajov o súkromí fyzických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LXXIX bodu 11. vlastného materiálu</w:t>
              <w:br/>
            </w:r>
            <w:r>
              <w:rPr>
                <w:b w:val="off"/>
                <w:color w:val="000000"/>
                <w:rFonts w:ascii="Times New Roman" w:hAnsi="Times New Roman" w:cs="Times New Roman" w:eastAsia="Times New Roman"/>
                <w:sz w:val="24"/>
              </w:rPr>
              <w:t xml:space="preserve">V § 53b ods. 4 písm. a) a § 56 ods. 9 písm. a) sa vypúšťajú slová „osobné údaje a“ pričom v 53b ods. 4 písm. a) a § 56 ods. 9 písm. a) sú ponechané iba Identifikačné údaje.  Slovenský právny poriadok a Nariadenie Európskeho parlamentu a Rady (EÚ) 2016/679 z 27. apríla 2016 o ochrane fyzických osôb pri spracúvaní osobných údajov a o voľnom pohybe takýchto údajov, ktorým sa zrušuje smernica 95/46/ES (všeobecné nariadenie o ochrane údajov – ďalej len „ Nariadenie“) nevymedzujú pojem „identifikačné údaje“, obsah tohto slovného spojenia môže byť z vyššie uvedeného dôvodu predmetom sporov a viesť k rozdielnej aplikačnej praxi pri sprístupňovaní osobných údajov. </w:t>
              <w:br/>
            </w:r>
            <w:r>
              <w:rPr>
                <w:b w:val="off"/>
                <w:color w:val="000000"/>
                <w:rFonts w:ascii="Times New Roman" w:hAnsi="Times New Roman" w:cs="Times New Roman" w:eastAsia="Times New Roman"/>
                <w:sz w:val="24"/>
              </w:rPr>
              <w:t xml:space="preserve">Rozsah spracúvaných údajov by mal byť v súlade s príslušnými právnymi predpismi a musí zohľadňovať aj zásadu minimalizácie v zmysle čl. 5 ods. 1  písm. c) Nariadenia. </w:t>
              <w:br/>
            </w:r>
            <w:r>
              <w:rPr>
                <w:b w:val="off"/>
                <w:color w:val="000000"/>
                <w:rFonts w:ascii="Times New Roman" w:hAnsi="Times New Roman" w:cs="Times New Roman" w:eastAsia="Times New Roman"/>
                <w:sz w:val="24"/>
              </w:rPr>
              <w:t>Ponechané slovné spojenie Identifikačné údaje navrhujeme nahradiť znením:</w:t>
              <w:br/>
            </w:r>
            <w:r>
              <w:rPr>
                <w:b w:val="off"/>
                <w:color w:val="000000"/>
                <w:rFonts w:ascii="Times New Roman" w:hAnsi="Times New Roman" w:cs="Times New Roman" w:eastAsia="Times New Roman"/>
                <w:sz w:val="24"/>
              </w:rPr>
              <w:t>Identifikačné údaje v rozsahu meno, priezvisko a adresa bydliska.</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XCVI bodu 12.  a 13  vlastného materiálu</w:t>
              <w:br/>
            </w:r>
            <w:r>
              <w:rPr>
                <w:b w:val="off"/>
                <w:color w:val="000000"/>
                <w:rFonts w:ascii="Times New Roman" w:hAnsi="Times New Roman" w:cs="Times New Roman" w:eastAsia="Times New Roman"/>
                <w:sz w:val="24"/>
              </w:rPr>
              <w:t>Predmetné ustanovenia rovnako obsahuje slovné spojenie „Identifikačné údaje spravovaného veriteľa“, avšak rozsah týchto údajov ďalej nevymedzuje. Pokiaľ zákonodarca nedefinuje rozsah týchto údajov, vzniká otázka, či prevádzkovateľ dokáže jednoznačne určiť, ktoré údaje je oprávnený, prípadne povinný spracúvať, a ktoré už presahujú nevyhnutný rozsah spracúvania. Absencia jednoznačne stanoveného rozsahu spracúvaných osobných údajov z vyššie uvedeného dôvodu môže teoreticky viesť k svojvôli na strane prevádzkovateľa a spôsobovať zmätočnosť a nepredvídateľnosti právnej úpravy. V súvislosti s uvedeným je nutné konštatovať, že príslušné ustanovenia Nariadenia, konkrétne čl. 6 ods. 3 neustanovujú povinnosť zavedenie taxatívne vymedzeného zoznamu spracúvaných údajov, samotná absencia ich výpočtu z tohto dôvodu ešte nemusí nevyhnutne znamenať porušenie Nariadenia alebo vnútroštátneho zákona č. 18/2018 Z. z. o ochrane osobných údajov a o zmene a doplnení niektorých zákonov. Napriek tejto skutočnosti v kontexte zásady zákonnosti, transparentnosti, minimalizácie a obmedzenia spracúvania osobných údajov však odporúčame zavedenie jasných a presných legislatívnych pravidiel upravujúcich rozsah a primerané záruky ochrany dotknutých osôb. Identifikačné údaje sa týkajú v tomto prípade iba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Slovné spojenie “Identifikačné údaje spravovaného veriteľa“ a „identifikačné údaje správcu“ navrhujeme nahradiť znením: </w:t>
              <w:br/>
            </w:r>
            <w:r>
              <w:rPr>
                <w:b w:val="off"/>
                <w:color w:val="000000"/>
                <w:rFonts w:ascii="Times New Roman" w:hAnsi="Times New Roman" w:cs="Times New Roman" w:eastAsia="Times New Roman"/>
                <w:sz w:val="24"/>
              </w:rPr>
              <w:t>„...identifikačné údaje spravovaného veriteľa v rozsahu meno, priezvisko a adresa bydliska...“</w:t>
              <w:br/>
            </w:r>
            <w:r>
              <w:rPr>
                <w:b w:val="off"/>
                <w:color w:val="000000"/>
                <w:rFonts w:ascii="Times New Roman" w:hAnsi="Times New Roman" w:cs="Times New Roman" w:eastAsia="Times New Roman"/>
                <w:sz w:val="24"/>
              </w:rPr>
              <w:t>„...identifikačné údaje správcu v rozsahu meno, priezvisko a adresa bydliska..“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XCVI bodu 24. vlastného materiálu</w:t>
              <w:br/>
            </w:r>
            <w:r>
              <w:rPr>
                <w:b w:val="off"/>
                <w:color w:val="000000"/>
                <w:rFonts w:ascii="Times New Roman" w:hAnsi="Times New Roman" w:cs="Times New Roman" w:eastAsia="Times New Roman"/>
                <w:sz w:val="24"/>
              </w:rPr>
              <w:t>Ustanovenie § 77 sa dopĺňa odsekmi 7 a 8: Doplnené ustanovenie odkazuje na „označenie osoby povinnej túto pohľadávku splniť“, ďalej však nestanovuje na základe akých konkrétnych osobných údajov bude možné túto osobu stotožniť. Osobné údaje každej fyzickej osoby, resp. dotknutej osoby podliehajú právnej ochrane, pričom spracúvanie resp. zverejnenie určitých údajov môže predstavovať rôznu intenzitu zásahu do súkromia. Osobitnú pozornosť je potrebné venovať situáciám, keď sú predmetné osobné údaje spracúvané v štruktúrovanej podobe a prostredníctvom rôznych webových registrov sprístupňované širokému okruhu osôb. Identifikačné údaje sa týkajú v tomto prípade iba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„označenie osoby povinnej túto pohľadávku splniť“ navrhujeme nahradiť znením:</w:t>
              <w:br/>
            </w:r>
            <w:r>
              <w:rPr>
                <w:b w:val="off"/>
                <w:color w:val="000000"/>
                <w:rFonts w:ascii="Times New Roman" w:hAnsi="Times New Roman" w:cs="Times New Roman" w:eastAsia="Times New Roman"/>
                <w:sz w:val="24"/>
              </w:rPr>
              <w:t>„označenie osoby povinnej túto pohľadávku splniť a to v rozsahu meno, priezvisko, dátum narodenia a adresa bydliska“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CXXVI bodu 4. vlastného materiálu</w:t>
              <w:br/>
            </w:r>
            <w:r>
              <w:rPr>
                <w:b w:val="off"/>
                <w:color w:val="000000"/>
                <w:rFonts w:ascii="Times New Roman" w:hAnsi="Times New Roman" w:cs="Times New Roman" w:eastAsia="Times New Roman"/>
                <w:sz w:val="24"/>
              </w:rPr>
              <w:t xml:space="preserve">Predpis dopĺňajú § 33 a 34 : Predmetné ustanovenie normujú náležitosti vzniku poľovníckej organizácie a zápisu poľovníckej organizácie do centrálneho registra. V prípade fyzických osôb v § 33 ods. 2 zavádza povinnosť do návrhu na zápis uviesť osobné údaje zakladateľov v rozsahu meno, priezvisko, rodné číslo, bydlisko, číslo poľovného lístka, a podpisových vzorov zakladateľov. V zmysle § 34 ods. 1 písm. f) bodu 3. ministerstvo vedie centrálny register, súčasťou ktorého majú byť aj osobné údaje štatutárneho orgánu v rozsahu meno, priezvisko, rodné číslo, adresa trvalého pobytu a kontaktné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Rodné číslo v zmysle zákona 301/1995 Z. z. o rodnom čísle predstavuje trvalý identifikačný osobný údaj fyzickej osoby, ktorý zabezpečuje jej jednoznačnosť v informačných systémoch. Napriek skutočnosti, že rodné číslo nepatrí do osobitnej kategórie osobných údajov podľa čl. 9 Nariadenia, nemožno v jeho prípade znižovať požiadavky na zákonnosť a primeranosť jeho spracúvania. Vo veci pripomienkovaného predpisu konštatujeme, že s odkazom na zásadu minimalizácie nie je nevyhnutné, aby súčasťou registra poľovníckych organizácií boli aj rodné čísla fyzických osôb, ktoré takúto organizáciu zakladajú alebo sú oprávnené konať v jej mene z pozície štatutárneho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XL bodu 8. vlastného materiálu</w:t>
              <w:br/>
            </w:r>
            <w:r>
              <w:rPr>
                <w:b w:val="off"/>
                <w:color w:val="000000"/>
                <w:rFonts w:ascii="Times New Roman" w:hAnsi="Times New Roman" w:cs="Times New Roman" w:eastAsia="Times New Roman"/>
                <w:sz w:val="24"/>
              </w:rPr>
              <w:t xml:space="preserve">V poznámke pod čiarou k odkazu 57 navrhujeme nahradiť znenie: „zákon č. 122/2013 Z. z. o ochrane osobných údajov a o zmene a doplnení niektorých zákonov v znení zákona č. 84/2014 Z. z.“ nasledovným znením: „Nariadenie Európskeho parlamentu a Rady (EÚ) 2016/679 z 27. apríla 2016 o ochrane fyzických osôb pri spracúvaní osobných údajov a o voľnom pohybe takýchto údajov, ktorým sa zrušuje smernica 95/46/ES (všeobecné nariadenie o ochrane údajov) 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odkazuje na už dávnejšie neplatnú právnu úpravu (zákon č. 122/2013 Z. z.). Aktuálne platným je zákon č. 18/2018 Z. z. Nakoľko však v oblasti ochrany osobných údajov v súčasnosti prebieha legislatívny proces, a to I. čítanie k novým návrhom zákonov s plánovanou účinnosťou od 1. januára 2027 (v časti s posunutou účinnosťou), a to vládny návrh zákona o zabezpečení ochrany fyzických osôb pri spracúvaní osobných údajov a o zmene a doplnení niektorých zákonov (zákon o ochrane osobných údajov) a vládny návrh zákona o ochrane osobných údajov v trestnej oblasti (parlamentná tlač č. 1451 a 1452), pričom navrhované znenie novely zákona č. 343/2015 Z. z. má nadobudnúť účinnosť až 1. júla 2027, navrhujeme v ďalších štádiách legislatívneho procesu doplniť presné označenie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XL V bodu 2. vlastného materiálu</w:t>
              <w:br/>
            </w:r>
            <w:r>
              <w:rPr>
                <w:b w:val="off"/>
                <w:color w:val="000000"/>
                <w:rFonts w:ascii="Times New Roman" w:hAnsi="Times New Roman" w:cs="Times New Roman" w:eastAsia="Times New Roman"/>
                <w:sz w:val="24"/>
              </w:rPr>
              <w:t>§ 20a ods. 1 písm. a), c) a d) zákona č. 90/2016 Z. z. o úveroch na bývanie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nevyplýva, aký konkrétny rozsah osobných údajov možno poskytnúť podľa nového ustanovenia § 20a ods. 1 písm. a) a d) zákona č. 90/2016 Z. z., čo môže pri praktickej aplikácii týchto ustanovení viesť k rozporu so zásadou minimalizácie údajov, ako aj absenciou nevyhnutnosti. Nie je zrejmé, čo sa rozumie pod pojmom „identifikačné údaje“, v dôsledku čoho môže dochádzať k rôznej interpretácii a aplikačnej praxi pri sprístupňovaní osobných údajov. Údaje sa poskytnú ručiteľovi, záložcovi alebo osobe, ktorá poskytla veriteľovi zabezpečenie prostredníctvom zabezpečovacieho prevodu práva, a to napr. rodné čísla, čísla dokladov totožnosti, kontaktné údaje a prípadne aj identifikačné údaje ďalších osôb. Preto považujeme za potrebné špecifikovať rozsah sprístupňovaných identifikačných údajov (ostatné anonymizovať), pričom tento rozsah by mal byť nevyhnutným na to, aby si oprávnená osoba vedela uplatňovať prípadné regresné nároky a súčasne, aby neboli osobné údaje dotknutej osoby poskytnuté v neprimeranom rozsahu. Na uvedený účel postačuje sprístupnenie osobných údajov v rozsahu meno, priezvisko, adresa trvalého pobytu alebo pobytu a dátum narodenia.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uplatňujeme pripomienku k zrejmej nesprávnosti, ktorá spočíva v duplicitnom uvedení písmena „c)“ v § 20 ods. 1 písm. c) zákona č. 90/2016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XCVII bodu 7. vlastného materiálu</w:t>
              <w:br/>
            </w:r>
            <w:r>
              <w:rPr>
                <w:b w:val="off"/>
                <w:color w:val="000000"/>
                <w:rFonts w:ascii="Times New Roman" w:hAnsi="Times New Roman" w:cs="Times New Roman" w:eastAsia="Times New Roman"/>
                <w:sz w:val="24"/>
              </w:rPr>
              <w:t>§ 48a ods. 1 písm. a) a d) zákona č. 312/2025 Z. z. o spotrebiteľských úveroch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nevyplýva, aký konkrétny rozsah osobných údajov možno poskytnúť podľa nového ustanovenia (§ 48a ods. 1 písm. a) a d) zákona č. 312/2025 Z. z., čo môže pri praktickej aplikácii týchto ustanovení viesť k rozporu so zásadou minimalizácie údajov, ako aj absenciou nevyhnutnosti. Nie je zrejmé, čo sa rozumie pod pojmom „identifikačné údaje“, v dôsledku čoho môže dochádzať k rôznej interpretácii a aplikačnej praxi pri sprístupňovaní osobných údajov. Údaje sa poskytnú ručiteľovi, záložcovi alebo osobe, ktorá poskytla veriteľovi zabezpečenie prostredníctvom zabezpečovacieho prevodu práva, a to napr. rodné čísla, čísla dokladov totožnosti, kontaktné údaje a prípadne aj identifikačné údaje ďalších osôb. Preto považujeme za potrebné špecifikovať rozsah sprístupňovaných identifikačných údajov (ostatné anonymizovať), pričom tento rozsah by mal byť nevyhnutným na to, aby si oprávnená osoba vedela uplatňovať prípadné regresné nároky a súčasne, aby neboli osobné údaje dotknutej osoby poskytnuté v neprimeranom rozsahu. Na uvedený účel postačuje sprístupnenie osobných údajov v rozsahu meno, priezvisko, adresa trvalého pobytu alebo pobytu a dátum narodenia.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vlastného materiálu</w:t>
              <w:br/>
            </w:r>
            <w:r>
              <w:rPr>
                <w:b w:val="off"/>
                <w:color w:val="000000"/>
                <w:rFonts w:ascii="Times New Roman" w:hAnsi="Times New Roman" w:cs="Times New Roman" w:eastAsia="Times New Roman"/>
                <w:sz w:val="24"/>
              </w:rPr>
              <w:t>Zákon č. 160/2015 Z. z. Civilný sporový poriadok v znení zákona č. 87/2017 Z. z., zákona č. 350/2018 Z. z., zákona č. 423/2020 Z. z., zákona č. 211/2021 Z. z., zákona č. 108/2022 Z. z., zákona č. 111/2022 Z. z., zákona č. 150/2022 Z. z., zákona č. 398/2022 Z. z., zákona č. 201/2023 Z. z., zákona č. 261/2023 Z. z., zákona č. 108/2024 Z. z. a zákona č. 148/2026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158 zákona č. 160/2015 Z.z. sa vkladá § 158a,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158a</w:t>
              <w:br/>
            </w:r>
            <w:r>
              <w:rPr>
                <w:b w:val="off"/>
                <w:color w:val="000000"/>
                <w:rFonts w:ascii="Times New Roman" w:hAnsi="Times New Roman" w:cs="Times New Roman" w:eastAsia="Times New Roman"/>
                <w:sz w:val="24"/>
              </w:rPr>
              <w:t>„Súd si môže vyžiadať vyjadrenie Úradu na ochranu osobných údajov Slovenskej republiky, ak predmet konania bezprostredne súvisí s ochranou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vychádza z čl. 58 ods. 5 GDPR a jej cieľom je podporiť účinnú spoluprácu medzi súdmi a Úradom na ochranu osobných údajov Slovenskej republiky v konaniach týkajúcich sa ochrany osobných údajov. Umožnením súdu vyžiadať si odborné vyjadrenie dozorného orgánu sa prispeje k jednotnejšiemu výkladu a aplikácii právnych predpisov na ochranu osobných údajov, čím sa posilní účinnosť ich presadzovania a právna istota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K.čl. VI vlastného materiálu</w:t>
              <w:br/>
            </w:r>
            <w:r>
              <w:rPr>
                <w:b w:val="off"/>
                <w:color w:val="000000"/>
                <w:rFonts w:ascii="Times New Roman" w:hAnsi="Times New Roman" w:cs="Times New Roman" w:eastAsia="Times New Roman"/>
                <w:sz w:val="24"/>
              </w:rPr>
              <w:t>Zákon č. 161/2015 Z. z. Civilný mimosporový poriadok v znení zákona č. 137/2019 Z. z., zákona č. 390/2019 Z. z., zákona č. 68/2021 Z. z., zákona č. 108/2022 Z. z., zákona č. 150/2022 Z. z., zákona č. 338/2022 Z. z., zákona č. 398/2022 Z. z., zákona č. 466/2022 Z. z., zákona č. 8/2023 Z. z., zákona č. 309/2023 Z. z., zákona č. 298/2024 Z. z. a zákona č. 29/2026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36 zákona č. 161/2015 Z.z. sa na konci pripája táto veta: „Súd si môže vyžiadať vyjadrenie Úradu na ochranu osobných údajov Slovenskej republiky, ak predmet konania bezprostredne súvisí s ochranou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vychádza z čl. 58 ods. 5 GDPR a jej cieľom je podporiť účinnú spoluprácu medzi súdmi a Úradom na ochranu osobných údajov Slovenskej republiky v konaniach týkajúcich sa ochrany osobných údajov. Umožnením súdu vyžiadať si odborné vyjadrenie dozorného orgánu sa prispeje k jednotnejšiemu výkladu a aplikácii právnych predpisov na ochranu osobných údajov, čím sa posilní účinnosť ich presadzovania a právna istota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vlastného materiálu</w:t>
              <w:br/>
            </w:r>
            <w:r>
              <w:rPr>
                <w:b w:val="off"/>
                <w:color w:val="000000"/>
                <w:rFonts w:ascii="Times New Roman" w:hAnsi="Times New Roman" w:cs="Times New Roman" w:eastAsia="Times New Roman"/>
                <w:sz w:val="24"/>
              </w:rPr>
              <w:t>Zákon č. 162/2015 Z. z. Správny súdny poriadok v znení zákona č. 88/2017 Z. z., zákona č. 344/2018 Z. z., zákona č. 413/2019 Z. z., zákona č. 423/2020 Z. z., zákona č. 187/2021 Z. z., zákona č. 512/2021 Z. z., zákona č. 150/2022 Z. z., zákona č. 151/2022 Z. z., zákona č. 375/2022 Z. z., zákona č. 398/2022 Z. z., zákona č. 239/2023 Z. z., zákona č. 40/2024 Z. z., zákona č. 289/2024 Z. z., zákona č. 140/2025 Z. z. a zákona č. 69/2026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44 zákona č. 162/2015 Z.z.  sa vkladá § 44a,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44a</w:t>
              <w:br/>
            </w:r>
            <w:r>
              <w:rPr>
                <w:b w:val="off"/>
                <w:color w:val="000000"/>
                <w:rFonts w:ascii="Times New Roman" w:hAnsi="Times New Roman" w:cs="Times New Roman" w:eastAsia="Times New Roman"/>
                <w:sz w:val="24"/>
              </w:rPr>
              <w:t>„Súd si môže vyžiadať vyjadrenie Úradu na ochranu osobných údajov Slovenskej republiky, ak predmet konania bezprostredne súvisí s ochranou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vychádza z čl. 58 ods. 5 GDPR a jej cieľom je podporiť účinnú spoluprácu medzi súdmi a Úradom na ochranu osobných údajov Slovenskej republiky v konaniach týkajúcich sa ochrany osobných údajov. Umožnením súdu vyžiadať si odborné vyjadrenie dozorného orgánu sa prispeje k jednotnejšiemu výkladu a aplikácii právnych predpisov na ochranu osobných údajov, čím sa posilní účinnosť ich presadzovania a právna istota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 bod 13, § 73c</w:t>
              <w:br/>
            </w:r>
            <w:r>
              <w:rPr>
                <w:b w:val="off"/>
                <w:color w:val="000000"/>
                <w:rFonts w:ascii="Times New Roman" w:hAnsi="Times New Roman" w:cs="Times New Roman" w:eastAsia="Times New Roman"/>
                <w:sz w:val="24"/>
              </w:rPr>
              <w:t xml:space="preserve">Pravdepodobne mal zákonodarca na mysli znenie: „Notársky register právnych úkonov pre prípad smrti“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uvedenom znení zrejme došlo pri chybe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 8</w:t>
              <w:br/>
            </w:r>
            <w:r>
              <w:rPr>
                <w:b w:val="off"/>
                <w:color w:val="000000"/>
                <w:rFonts w:ascii="Times New Roman" w:hAnsi="Times New Roman" w:cs="Times New Roman" w:eastAsia="Times New Roman"/>
                <w:sz w:val="24"/>
              </w:rPr>
              <w:t>V § 8 sa doterajší text označuje ako odsek 1 a v odseku 1 sa za slová „záložné právo,“ vkladajú slová „podzáložné právo,“.</w:t>
              <w:br/>
            </w:r>
            <w:r>
              <w:rPr>
                <w:b w:val="off"/>
                <w:color w:val="000000"/>
                <w:rFonts w:ascii="Times New Roman" w:hAnsi="Times New Roman" w:cs="Times New Roman" w:eastAsia="Times New Roman"/>
                <w:sz w:val="24"/>
              </w:rPr>
              <w:t>Paragraf 8 sa dopĺňa odsekom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Ustanovenia tohto zákona o záložnom práve, záložnom veriteľovi a zálohu sa primerane vzťahujú aj na podzáložné právo, ak z jeho povahy alebo z § 8a nevyplýva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 ods. 3</w:t>
              <w:br/>
            </w:r>
            <w:r>
              <w:rPr>
                <w:b w:val="off"/>
                <w:color w:val="000000"/>
                <w:rFonts w:ascii="Times New Roman" w:hAnsi="Times New Roman" w:cs="Times New Roman" w:eastAsia="Times New Roman"/>
                <w:sz w:val="24"/>
              </w:rPr>
              <w:t>Dopĺňa sa  § 8b Podzáložné právo,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je úpadcom záložca podzálohu alebo dlžník zo založenej pohľadávky, podzáložný veriteľ uplatní podzáložné právo prihláškou. V prihláške uvedie okrem údajov podľa tohto zákona aj založenú pohľadávku, jej výšku a záložného veriteľa. Ak založenú pohľadávku prihlásil aj záložný veriteľ, správca ich prihlášky posúdi spoločne.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Podzáložný veriteľ sa uspokojí najviac do výšky nižšej z pohľadávky zabezpečenej podzáložným právom a založenej pohľadávky. Založená pohľadávka sa v konkurze alebo v reštrukturalizácii uspokojí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je úpadcom záložný veriteľ, založená pohľadávka patrí do podstaty a podzáložné právo k nej je zabezpečovacím právom na majetok patriaci do podstaty.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je úpadcom záložca podzálohu, podzáložné právo možno uplatniť voči úpadcovi, len ak mu bol jeho vznik oznámený alebo preukázaný pred vyhlásením konkurzu alebo pred začatím reštrukturalizačného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 výťažku zo speňaženia podzálohu sa najprv uspokojí podzáložný veriteľ do výšky pohľadávky zabezpečenej podzáložným právom, najviac však do výšky založenej pohľadávky; zvyšok výťažku sa vyplatí záložnému veriteľovi.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Odseky 1 až 5 sa nepoužijú, ak sa podľa § 1664 ods. 3 Občianskeho zákonníka ustanovenia o podzáložnom práve nepoužijú.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čl. CXCVI (zákon č. 368/2021 Z. z.)</w:t>
              <w:br/>
            </w:r>
            <w:r>
              <w:rPr>
                <w:b w:val="off"/>
                <w:color w:val="000000"/>
                <w:rFonts w:ascii="Times New Roman" w:hAnsi="Times New Roman" w:cs="Times New Roman" w:eastAsia="Times New Roman"/>
                <w:sz w:val="24"/>
              </w:rPr>
              <w:t>V osobitnej časti dôvodovej správy k čl. CXCVI, ktorým sa novelizuje zákon č. 368/2021 Z. z., navrhujeme vecné odôvodnenie novelizačných bodov 1 a 5 nahradiť novým znením,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1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Novelizačný bod je legislatívno-technickou zmenou, ktorej cieľom je aktualizácia doterajšieho odkazu na § 269 ods. 2 Obchodného zákonníka upravujúceho inštitút nepomenovaných zmlúv novým odkazom na vecne totožné ustanovenie § 602 ods. 2 nového Občianskeho zákonníka. Tento bod reaguje na prijatie nového Občianskeho zákonníka a odstránenie dualizmu občianskoprávnej a obchodnoprávnej úpravy záväzkového práva v nadväznosti na novelizačný článok II bod 57, ktorým sa vypúšťa tretia časť Obchodného zákonníka o obchodných záväzkových vzťahoch (vrátane § 269 ods.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 bodu 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Novelizačný bod predstavuje legislatívno-technickú zmenu vyvolanú prijatím nového Občianskeho zákonníka. Doterajší odkaz na § 116 zákona č. 40/1964 Zb. Občiansky zákonník v znení neskorších predpisov, ktorý obsahoval definíciu pojmu “blízka osoba”, sa nahrádza odkazom na § 4 nového Občianskeho zákonníka preberajúci doterajšiu úpravu tohto právneho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Pôvodné vecné odôvodnenie je neúplné a sčasti nesprávne, keďže v bodoch 1 a 5 nedochádza k aktualizácii poznámok pod čiarou. Súčasne nejde len o aktualizáciu odkazov na ust. Občianskeho zákonníka z dôvodu zrušenia zákona č. 40/1964 Zb., ale v bode 1 je dôvodom aktualizácie zrušenie tretej časti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 písm. g)</w:t>
              <w:br/>
            </w:r>
            <w:r>
              <w:rPr>
                <w:b w:val="off"/>
                <w:color w:val="000000"/>
                <w:rFonts w:ascii="Times New Roman" w:hAnsi="Times New Roman" w:cs="Times New Roman" w:eastAsia="Times New Roman"/>
                <w:sz w:val="24"/>
              </w:rPr>
              <w:t>1.	V § 11 ods. 1 písm. g) navrhujeme nahradiť slovo „ktorých“ textom „a v rámci prevádzky najmä ich prehliadky, údržbu, opravu, modernizáciu, zlepšenie výkonnosti, úpravu,  rekonštrukciu, uplatňovanie práv vyplývajúcich z ich existencie, a ich prípadné odstránenie, vrátane zriaďovania a prevádzkovania obslužných zariadení, ak 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zohľadňuje osobitosti vzniku a dlhodobého prevádzkovania distribučných sústav. Súčasťou týchto sústav sú tisíce elektrických vedení a elektroenergetických zariadení vybudovaných za účinnosti skorších energetických predpisov, podľa ktorých práva k cudzím nehnuteľnostiam vznikali priamo zo zákona pri splnení zákonných podmienok, bez potreby uzatvorenia zmluvy s vlastníkom nehnuteľnosti. Ich vznik nebol podmienený zápisom do evidencie nehnuteľností; napríklad § 26 ods. 1 zákona č. 79/1957 Zb. o výrobe, rozvode a spotrebe elektriny výslovne ustanovoval, že takéto vecné bremená sa nezapisujú do pozemkových kníh. Takto vzniknuté oprávnenia boli zachované nadväzujúcimi energetickými predpismi a ich kontinuitu potvrdzuje aj § 96 ods. 4 zákona o energetike. Pri týchto zariadeniach preto nemožno vychádzať z predpokladu, že obsah oprávnení prevádzkovateľa je alebo môže byť vo všetkých prípadoch upravený zmluvou s vlastníkom dotknutej nehnuteľnosti.</w:t>
              <w:br/>
            </w:r>
            <w:r>
              <w:rPr>
                <w:b w:val="off"/>
                <w:color w:val="000000"/>
                <w:rFonts w:ascii="Times New Roman" w:hAnsi="Times New Roman" w:cs="Times New Roman" w:eastAsia="Times New Roman"/>
                <w:sz w:val="24"/>
              </w:rPr>
              <w:t>Ustanovenie § 1576 ods. 3 nového Občianskeho zákonníka viaže zahrnutie práva modernizácie, zlepšovania výkonnosti, úprav a rekonštrukcie siete, ako aj zriadenia a prevádzkovania obslužného zariadenia, do obsahu služobnosti na výslovnú dohodu. Spoločnosť Západoslovenská distribučná, a.s. štandardne už niekoľko rokov uzatvára s vlastníkmi zaťažených nehnuteľností zmluvy o zriadení vecného bremena, ktoré obsahujú práve takéto vymedzenie práva na prevádzku, údržbu, opravu, modernizáciu, zlepšenie výkonnosti, úpravu a rekonštrukciu. Vo vzťahu k existujúcim zákonným vecným bremenám, ako aj k zákonným služobnostiam, ktoré vzniknú podľa novej právnej úpravy je však potrebné vylúčiť výklad, podľa ktorého by obnova a modernizácia existujúcich energetických zariadení vyžadovala dodatočné zmluvné dojednanie s vlastníkmi dotknutých nehnuteľností. Absencia takéhoto dojednania je dôsledkom  zákonného spôsobu vzniku týchto práv a nemôže byť sama osebe dôvodom na znemožnenie nevyhnutnej obnovy a modernizácie sústavy.</w:t>
              <w:br/>
            </w:r>
            <w:r>
              <w:rPr>
                <w:b w:val="off"/>
                <w:color w:val="000000"/>
                <w:rFonts w:ascii="Times New Roman" w:hAnsi="Times New Roman" w:cs="Times New Roman" w:eastAsia="Times New Roman"/>
                <w:sz w:val="24"/>
              </w:rPr>
              <w:t>Elektrické vedenia tvoria funkčne prepojené celky, ktoré prechádzajú cez množstvo nehnuteľností rôznych vlastníkov a zabezpečujú distribúciu elektriny do stoviek až tisícov odberných miest. Ak by modernizácia takéhoto vedenia závisela od uzatvorenia dohody s každým jednotlivým vlastníkom, nesúhlas čo i len jedného z nich by mohol zablokovať modernizáciu celej linky. Možnosť zabezpečiť bezpečnú a spoľahlivú distribúciu elektriny a obnovovať zariadenia po skončení ich technickej životnosti by tak bola závislá od individuálnej vôle jednotlivého vlastníka, hoci vedenie bolo oprávnene zriadené a prevádzkuje sa na základe zákonného právneho titulu. Takýto dôsledok by bol v rozpore s verejným záujmom na zachovaní a rozvoji distribučnej sústavy a mohol by neprimerane ohroziť plnenie zákonných povinností jej prevádzkovateľa voči odberateľom.</w:t>
              <w:br/>
            </w:r>
            <w:r>
              <w:rPr>
                <w:b w:val="off"/>
                <w:color w:val="000000"/>
                <w:rFonts w:ascii="Times New Roman" w:hAnsi="Times New Roman" w:cs="Times New Roman" w:eastAsia="Times New Roman"/>
                <w:sz w:val="24"/>
              </w:rPr>
              <w:t>Navrhuje sa preto, aby zákon o energetike ako osobitný právny predpis výslovne zahŕňal uvedené činnosti do zákonných oprávnení držiteľa povolenia. Tým sa vytvorí jednoznačný právny základ obnovy, rekonštrukcie a modernizácie oprávnene umiestnených zariadení, ktorý nebude závislý od možnosti dodatočne získať zmluvný súhlas všetkých dotknutých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15</w:t>
              <w:br/>
            </w:r>
            <w:r>
              <w:rPr>
                <w:b w:val="off"/>
                <w:color w:val="000000"/>
                <w:rFonts w:ascii="Times New Roman" w:hAnsi="Times New Roman" w:cs="Times New Roman" w:eastAsia="Times New Roman"/>
                <w:sz w:val="24"/>
              </w:rPr>
              <w:t>V § 11 ods. 15 v poslednej vete navrhujeme nahradiť slovo „osvedčenia“ slovom „povolenia“ (oprava legislatívno-technickej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V § 11 navrhujeme doplniť za odsek 17 nasledovné odseky: </w:t>
              <w:br/>
            </w:r>
            <w:r>
              <w:rPr>
                <w:b w:val="off"/>
                <w:color w:val="000000"/>
                <w:rFonts w:ascii="Times New Roman" w:hAnsi="Times New Roman" w:cs="Times New Roman" w:eastAsia="Times New Roman"/>
                <w:sz w:val="24"/>
              </w:rPr>
              <w:t>(18) Držiteľ povolenia znáša náklady na užívanie, zachovanie a bežné opravy zaťaženej nehnuteľnosti len v rozsahu, v akom boli vyvolané výkonom vecného bremena, a primerane miere jej užívania, pokiaľ sa nedohodne inak. Ustanovenia § 11 ods. 4 až 6 tým nie sú dotknuté.</w:t>
              <w:br/>
            </w:r>
            <w:r>
              <w:rPr>
                <w:b w:val="off"/>
                <w:color w:val="000000"/>
                <w:rFonts w:ascii="Times New Roman" w:hAnsi="Times New Roman" w:cs="Times New Roman" w:eastAsia="Times New Roman"/>
                <w:sz w:val="24"/>
              </w:rPr>
              <w:t>(19) Povinnosť  držiteľa povolenia sprístupniť vlastníkovi zaťaženej nehnuteľnosti dokumentáciu v rozsahu potrebnom na ochranu jeho práv a oprávnených záujmov (odkaz na § 1577 ods. 3 OZ) sa považuje za splnenú poskytnutím informácií o umiestnení, rozsahu a ochrannom pásme a bezpečnostnom pásme energetického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energetických zariadeniach má užívanie cudzej nehnuteľnosti spravidla obmedzený účel a rozsah: spočíva najmä v umiestnení vedenia alebo zariadenia a v nevyhnutnom prístupe na vykonanie prevádzkových činností. Samotná existencia energetického zariadenia preto nemá zakladať povinnosť držiteľa povolenia financovať zachovanie a bežné opravy celej nehnuteľnosti vrátane nákladov, ktoré s výkonom služobnosti nesúvisia.</w:t>
              <w:br/>
            </w:r>
            <w:r>
              <w:rPr>
                <w:b w:val="off"/>
                <w:color w:val="000000"/>
                <w:rFonts w:ascii="Times New Roman" w:hAnsi="Times New Roman" w:cs="Times New Roman" w:eastAsia="Times New Roman"/>
                <w:sz w:val="24"/>
              </w:rPr>
              <w:t xml:space="preserve">Navrhuje sa preto výslovne previazať rozsah nákladovej povinnosti s nákladmi vyvolanými výkonom služobnosti a s mierou skutočného užívania nehnuteľnosti držiteľom povolenia. Tým sa zabezpečí primerané rozdelenie nákladov medzi vlastníka nehnuteľnosti a držiteľa povolenia a predíde sa prenášaniu nákladov na bežné užívanie nehnuteľnosti jej vlastníkom na prevádzkovateľa energetického zariadenia. Súčasne sa zachováva možnosť odlišnej dohody. </w:t>
              <w:br/>
            </w:r>
            <w:r>
              <w:rPr>
                <w:b w:val="off"/>
                <w:color w:val="000000"/>
                <w:rFonts w:ascii="Times New Roman" w:hAnsi="Times New Roman" w:cs="Times New Roman" w:eastAsia="Times New Roman"/>
                <w:sz w:val="24"/>
              </w:rPr>
              <w:t>Navrhovaný odsek 19 nadväzuje na § 1577 ods. 3 Občianskeho zákonníka a konkretizuje spôsob splnenia informačnej povinnosti držiteľa povolenia s prihliadnutím na osobitosti energetických zariadení. Všeobecná úprava viaže sprístupnenie dokumentácie na rozsah nevyhnutný na ochranu záujmov vlastníka, bližšie však neurčuje, akými údajmi možno túto povinnosť splniť. V praxi tak môže dochádzať k rozdielnemu výkladu rozsahu poskytovanej dokumentácie a k požiadavkám na sprístupnenie rozsiahlych technických či prevádzkových podkladov, ktoré sa dotknutej nehnuteľnosti priamo netýkajú.</w:t>
              <w:br/>
            </w:r>
            <w:r>
              <w:rPr>
                <w:b w:val="off"/>
                <w:color w:val="000000"/>
                <w:rFonts w:ascii="Times New Roman" w:hAnsi="Times New Roman" w:cs="Times New Roman" w:eastAsia="Times New Roman"/>
                <w:sz w:val="24"/>
              </w:rPr>
              <w:t>Účelom navrhovanej úpravy je zabezpečiť vlastníkovi konkrétne informácie o umiestnení a rozsahu energetického zariadenia a jeho ochrannom pásme, ktoré mu umožnia identifikovať zásah do jeho nehnuteľnosti a súvisiace obmedzenia jej užívania. Poskytnutie takto vymedzených informácií umožní jednotné plnenie zákonnej povinnosti bez potreby sprístupňovať celú dokumentáciu zariadenia alebo sústavy, ktorá môže obsahovať aj údaje nesúvisiace s nehnuteľnosťou žiadateľa, bezpečnostne citlivé údaje, obchodné tajomstvo alebo informácie týkajúce sa tretích osôb. Navrhované riešenie tak sleduje primerané zosúladenie informačných potrieb vlastníka s ochranou bezpečnosti a spoľahlivosti energetických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článok – zákon č. 211/2000 Z. z. (obchodné tajomstvo, poznámky pod čiarou)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 XLI vložiť nový čl. XLII,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XLII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211/2000 Z. z. o slobodnom prístupe k informáciám a o zmene a doplnení niektorých zákonov (zákon o slobode informácií) v znení zákona č. 543/2002 Z. z., zákona č. 747/2004 Z. z., zákona č. 628/2005 Z. z., zákona č. 20</w:t>
              <w:br/>
            </w:r>
            <w:r>
              <w:rPr>
                <w:b w:val="off"/>
                <w:color w:val="000000"/>
                <w:rFonts w:ascii="Times New Roman" w:hAnsi="Times New Roman" w:cs="Times New Roman" w:eastAsia="Times New Roman"/>
                <w:sz w:val="24"/>
              </w:rPr>
              <w:t>7/2008 Z. z., zákona č. 477/2008 Z. z., zákona č. 145/2010 Z. z., zákona č. 546/2010 Z. z., zákona č. 204/2011 Z. z., zákona č. 220/2011 Z. z., zákona č. 382/2011 Z. z., zákona č. 341/2012 Z. z., zákona č. 340/2015 Z. z., záko</w:t>
              <w:br/>
            </w:r>
            <w:r>
              <w:rPr>
                <w:b w:val="off"/>
                <w:color w:val="000000"/>
                <w:rFonts w:ascii="Times New Roman" w:hAnsi="Times New Roman" w:cs="Times New Roman" w:eastAsia="Times New Roman"/>
                <w:sz w:val="24"/>
              </w:rPr>
              <w:t xml:space="preserve">na č. 125/2016 Z. z., zákona č. 276/2020 Z. z., zákona č. 392/2020 Z. z., zákona č. 373/2021 Z. z., zákona č. 395/2021 Z. z., zákona č. 251/2022 Z. z., zákona č. 428/2022 Z. z., zákona č. 367/2024 Z. z., zákona č. 401/2024 Z. </w:t>
              <w:br/>
            </w:r>
            <w:r>
              <w:rPr>
                <w:b w:val="off"/>
                <w:color w:val="000000"/>
                <w:rFonts w:ascii="Times New Roman" w:hAnsi="Times New Roman" w:cs="Times New Roman" w:eastAsia="Times New Roman"/>
                <w:sz w:val="24"/>
              </w:rPr>
              <w:t>z., uznesenia Ústavného súdu Slovenskej republiky č. 58/2025 Z. z., zákona č. 98/2025 Z. z., zákona č. 109/2025 Z. z. a nálezu Ústavného súdu Slovenskej republiky č. 350/2025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Poznámka pod čiarou k odkazu 7g znie:</w:t>
              <w:br/>
            </w:r>
            <w:r>
              <w:rPr>
                <w:b w:val="off"/>
                <w:color w:val="000000"/>
                <w:rFonts w:ascii="Times New Roman" w:hAnsi="Times New Roman" w:cs="Times New Roman" w:eastAsia="Times New Roman"/>
                <w:sz w:val="24"/>
              </w:rPr>
              <w:t>„7g) § 90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Poznámky pod čiarou k odkazom 13 a 14 znejú:</w:t>
              <w:br/>
            </w:r>
            <w:r>
              <w:rPr>
                <w:b w:val="off"/>
                <w:color w:val="000000"/>
                <w:rFonts w:ascii="Times New Roman" w:hAnsi="Times New Roman" w:cs="Times New Roman" w:eastAsia="Times New Roman"/>
                <w:sz w:val="24"/>
              </w:rPr>
              <w:t>„13) § 4 Občianskeho zákonníka.</w:t>
              <w:br/>
            </w:r>
            <w:r>
              <w:rPr>
                <w:b w:val="off"/>
                <w:color w:val="000000"/>
                <w:rFonts w:ascii="Times New Roman" w:hAnsi="Times New Roman" w:cs="Times New Roman" w:eastAsia="Times New Roman"/>
                <w:sz w:val="24"/>
              </w:rPr>
              <w:t>14) § 207 až 210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Poznámka pod čiarou k odkazu 16 znie:</w:t>
              <w:br/>
            </w:r>
            <w:r>
              <w:rPr>
                <w:b w:val="off"/>
                <w:color w:val="000000"/>
                <w:rFonts w:ascii="Times New Roman" w:hAnsi="Times New Roman" w:cs="Times New Roman" w:eastAsia="Times New Roman"/>
                <w:sz w:val="24"/>
              </w:rPr>
              <w:t>„16) § 104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10 odsek 1 znie:</w:t>
              <w:br/>
            </w:r>
            <w:r>
              <w:rPr>
                <w:b w:val="off"/>
                <w:color w:val="000000"/>
                <w:rFonts w:ascii="Times New Roman" w:hAnsi="Times New Roman" w:cs="Times New Roman" w:eastAsia="Times New Roman"/>
                <w:sz w:val="24"/>
              </w:rPr>
              <w:t>„(1) Informácie označené ako obchodné tajomstvo17) povinná osoba nesprístupní, ak sa obchodné tajomstvo vzťahuje na podnik prevádzkovaný majiteľom obchodného tajomstva pri výkone podnikania.17a)“.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17 a 17a znejú:</w:t>
              <w:br/>
            </w:r>
            <w:r>
              <w:rPr>
                <w:b w:val="off"/>
                <w:color w:val="000000"/>
                <w:rFonts w:ascii="Times New Roman" w:hAnsi="Times New Roman" w:cs="Times New Roman" w:eastAsia="Times New Roman"/>
                <w:sz w:val="24"/>
              </w:rPr>
              <w:t>„17) § 740 až 746 Občianskeho zákonníka, § 264 Trestného zákona.</w:t>
              <w:br/>
            </w:r>
            <w:r>
              <w:rPr>
                <w:b w:val="off"/>
                <w:color w:val="000000"/>
                <w:rFonts w:ascii="Times New Roman" w:hAnsi="Times New Roman" w:cs="Times New Roman" w:eastAsia="Times New Roman"/>
                <w:sz w:val="24"/>
              </w:rPr>
              <w:t>17a) § 8 ods. 1 a § 9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10 ods. 2 úvodnej vete a ods. 3 sa slová „Porušením alebo ohrozením obchodného tajomstva“ nahrádzajú slovami „Neoprávneným sprístupnením obchodného tajomstva“.“.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 XLII až CCXXXII sa označujú ako čl. XLIII až CCXXXIII. V čl. CCXXXIII sa slová „čl. LXVII“ nahrádzajú slovami „čl. LXVIII“ a slová „čl. LXXX“ sa nahrádzajú slovami „čl. LXXXI“.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dôvodovej správy doplniť odôvodnenie nového článku.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 č. 211/2000 Z. z. nemení, hoci jeho ustanovenia a poznámky pod čiarou odkazujú na predpisy, ktoré sa 1. júla 2027 zrušia alebo zmenia. Ide o predpis, ktorý určuje rozsah prístupu verejnosti k informáciám, preto je pri ňom potrebná výslovná úprava a nestačí spoliehať sa na výkladové pravidlá.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 (vzťah obchodného tajomstva k podnikaniu):</w:t>
              <w:br/>
            </w:r>
            <w:r>
              <w:rPr>
                <w:b w:val="off"/>
                <w:color w:val="000000"/>
                <w:rFonts w:ascii="Times New Roman" w:hAnsi="Times New Roman" w:cs="Times New Roman" w:eastAsia="Times New Roman"/>
                <w:sz w:val="24"/>
              </w:rPr>
              <w:t>Podľa § 10 ods. 1 zákona č. 211/2000 Z. z. povinná osoba nesprístupní informácie označené ako obchodné tajomstvo. Pojem obchodného tajomstva doteraz vymedzuje § 17 Obchodného zákonníka, ktorý čl. II bod 8 návrhu vypúšťa. Podľa § 17 ods. 2 Obchodného zákonníka je majiteľom obchodného tajomstva osoba, ktorá oprávnene nakladá s obchodným tajomstvom, „ktoré sa vzťahuje na podnik prevádzkovaný touto osobou pri výkone podnikania podľa § 2 ods. 1“. Podľa § 740 ods. 2 nového Občianskeho zákonníka je majiteľom obchodného tajomstva „fyzická osoba alebo právnická osoba, ktorá oprávnene nakladá s obchodným tajomstvom“, a väzba na podnikanie odpadá.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vypustení § 17 Obchodného zákonníka a pri odkaze na § 740 Občianskeho zákonníka vzniká neistota, či sa pojem „obchodné tajomstvo“ v § 10 zákona č. 211/2000 Z. z. vykladá podľa § 740 ods. 2 Občianskeho zákonníka (bez väzby na podnikanie), alebo podľa § 1895 ods. 1 Občianskeho zákonníka naďalej v doterajšom význame. Ustanovenie § 1894 Občianskeho zákonníka túto otázku nerieši, lebo § 17 Obchodného zákonníka nezrušuje Občiansky zákonník, ale čl. II bod 8 návrhu. Pri prvom výklade by sa na obchodné tajomstvo mohla odvolať aj povinná osoba, ktorá nepodniká (štátny orgán, obec, vyšší územný celok, právnická osoba zriadená zákonom). Pri informáciách, ktoré nespadajú pod demonštratívny výpočet v § 10 ods. 2, by sa tak dôvod na nesprístupnenie rozšíril. Takáto zmena rozsahu práva na informácie podľa čl. 26 Ústavy Slovenskej republiky nie je cieľom návrhu: podľa predkladacej správy sa v dotknutých predpisoch vykonávajú „najmä terminologické a legislatívno-technické zmeny“. Výslovné znenie neistotu odstraňuje. Navrhované znenie zachováva doterajší rozsah obmedzenia, keď ho viaže na podnik prevádzkovaný pri výkone podnikania (§ 8 ods. 1 a § 9 Občianskeho zákonníka). Ochrana obchodného tajomstva tretích osôb (napr. dodávateľov povinnej osoby) a povinných osôb, ktoré podnikajú, sa nemení.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je v súlade so smernicou (EÚ) 2016/943, ktorú § 740 až 746 Občianskeho zákonníka preberajú. Podľa jej čl. 1 ods. 2 písm. a) smernica nemá vplyv na „výkon práva na slobodu prejavu a práva na informácie, ako sa stanovuje v charte“ a podľa písm. c) na „uplatňovanie pravidiel Únie alebo vnútroštátnych pravidiel, ktorými sa od inštitúcií a orgánov Únie alebo vnútroštátnych verejných orgánov požaduje alebo ktoré im umožňujú, aby sprístupnili informácie poskytnuté podnikmi“. Podľa § 741 ods. 2 Občianskeho zákonníka „Obchodné tajomstvo možno získať, využiť alebo sprístupniť, ak to povoľuje zákon, na základe zákona alebo na základe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 (terminológia):</w:t>
              <w:br/>
            </w:r>
            <w:r>
              <w:rPr>
                <w:b w:val="off"/>
                <w:color w:val="000000"/>
                <w:rFonts w:ascii="Times New Roman" w:hAnsi="Times New Roman" w:cs="Times New Roman" w:eastAsia="Times New Roman"/>
                <w:sz w:val="24"/>
              </w:rPr>
              <w:t>Nový Občiansky zákonník nepoužíva pojem „ohrozenie“ obchodného tajomstva. Nedovolené konania vymedzuje ako neoprávnené získanie, využitie alebo sprístupnenie (§ 742). Navrhovaná zmena zosúlaďuje § 10 ods. 2 a 3 s touto terminológiou, aby bolo zrejmé, že ide o sprístupnenie povolené zákonom podľa § 741 ods. 2 Občianskeho zákonníka. Pojem „ohrozenie“ pochádza z § 17 ods. 3 a § 20 Obchodného zákonníka. Trestný čin podľa § 264 Trestného zákona predpokladá vyzradenie tajomstva nepovolanej osobe; sprístupnenie, ktoré podľa § 10 ods. 2 a 3 nie je neoprávnené, nie je ani vyzradením nepovolanej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1 až 4 (poznámky pod čiarou):</w:t>
              <w:br/>
            </w:r>
            <w:r>
              <w:rPr>
                <w:b w:val="off"/>
                <w:color w:val="000000"/>
                <w:rFonts w:ascii="Times New Roman" w:hAnsi="Times New Roman" w:cs="Times New Roman" w:eastAsia="Times New Roman"/>
                <w:sz w:val="24"/>
              </w:rPr>
              <w:t>Poznámky pod čiarou odkazujú na ustanovenia, ktoré sa 1. júla 2027 zrušia alebo vypustia, alebo ktoré už boli zrušené: 7g na § 47a Občianskeho zákonníka (povinne zverejňované zmluvy, nová úprava v § 90), 13 na § 116 (blízka osoba, nová úprava v § 4), 14 na § 11 až 16 (ochrana osobnosti, nová úprava v § 207 až 210), 16 na § 26 až 30 (zákonné zastúpenie, nová úprava v § 104 ods. 2) a 17 na § 17 až 20 Obchodného zákonníka (obchodné tajomstvo, nová úprava v § 740 až 746) a na § 122 zrušeného zákona č. 140/1961 Zb. Trestný zákon (zodpovedajúce ustanovenie je § 264 zákona č. 300/2005 Z. z. Trestný zákon). Návrh takto upravuje poznámky v iných zákonoch (napr. odkaz na § 740 až 746 Občianskeho zákonníka v čl. XI a čl. LXI).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potrebu preveriť novelizáciu zákona č. 211/2000 Z. z. upozornil v pripomienke k ďalším nenovelizovaným predpisom aj Žilinský samosprávny kraj. Táto pripomienka k nej dopĺňa konkrétne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článok sa vkladá podľa chronologického poradia novelizovaných zákonov (bod 27.2 prílohy č. 1 k Legislatívnym pravidlám vlády SR) medzi čl. XLI (zákon č. 146/2000 Z. z.) a čl. XLII (zákon č. 338/2000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20</w:t>
              <w:br/>
            </w:r>
            <w:r>
              <w:rPr>
                <w:b w:val="off"/>
                <w:color w:val="000000"/>
                <w:rFonts w:ascii="Times New Roman" w:hAnsi="Times New Roman" w:cs="Times New Roman" w:eastAsia="Times New Roman"/>
                <w:sz w:val="24"/>
              </w:rPr>
              <w:t>V článku V sa v bode 1 navrhuje v § 20 Civilného sporového poriadku doplniť písmeno e), ale tým pádom je potrebné doplniť, že bodka na konci vety v písmene d) sa mení na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V bod 2 § 22</w:t>
              <w:br/>
            </w:r>
            <w:r>
              <w:rPr>
                <w:b w:val="off"/>
                <w:color w:val="000000"/>
                <w:rFonts w:ascii="Times New Roman" w:hAnsi="Times New Roman" w:cs="Times New Roman" w:eastAsia="Times New Roman"/>
                <w:sz w:val="24"/>
              </w:rPr>
              <w:t>V článku V v bode 2 sa navrhuje vypustiť § 22 Civilného sporového poriadku. Vypustením § 22 z Civilného sporového poriadku sa ruší kauzálna príslušnosť v obchodnoprávnych sporoch. Podľa navrhovaného znenia zákona tak v obvode Bratislavy má mať všeobecnú príslušnosť Mestský súd Bratislava IV (§ 12 ods. 2 CSP). Dôjde tak k značnému zaťaženiu tohto súdu, pričom naopak dôjde k značnému odbremeneniu Mestského súdu Bratislava III, ktorému by ostali len zmenkové spory a šekové spory (§ 23), nekalosútažné konanie a autorskoprávne spory (§ 26), spory z hospodárskej súťaže (§ 27), spory z rozhodcovského konania (§ 28), spory z burzových obchodov (§ 29), agenda registrového súdu (Civilný mimosporový poriadok, zákon o obchodnom registri) a konkurzy a reštrukturalizácie (zákon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Mestský súd Bratislava III by tak bol jediný „obchodný“ súd na Slovensku, ktorý by okrem vyššie uvedených špecifických agiend nebol príslušným pri klasických záväzkovoprávnych sporoch medzi podnikateľmi.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tak vyplýva, že nejde zrejme o zámer predkladateľa návrhu zákona, ale o omyl, respektíve o pozabudnutie na potrebu úpravy spojenia Mestského súdu Bratislava III a Mestského súdu Bratislava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skutočným zámerom zákonodarcu spojenie oboch súdov tak, aby takýto spojený súd vybavoval komplexnú agendu súkromného práva (okrem rodinného práva), bude potrebné toto pretaviť do zmeny v zákone č. 371/2004 Z. z. o sídlach a obvodoch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20 § 289a</w:t>
              <w:br/>
            </w:r>
            <w:r>
              <w:rPr>
                <w:b w:val="off"/>
                <w:color w:val="000000"/>
                <w:rFonts w:ascii="Times New Roman" w:hAnsi="Times New Roman" w:cs="Times New Roman" w:eastAsia="Times New Roman"/>
                <w:sz w:val="24"/>
              </w:rPr>
              <w:t>V článku V bode 20 sa navrhuje doplniť do CSP § 289a. V odseku 1 navrhovaného § 289a treba vypustiť slovo "rušenia". Žalobca sa nedomáha ochrany rušenia držby, ale ochrany držby.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všeobecne</w:t>
              <w:br/>
            </w:r>
            <w:r>
              <w:rPr>
                <w:b w:val="off"/>
                <w:color w:val="000000"/>
                <w:rFonts w:ascii="Times New Roman" w:hAnsi="Times New Roman" w:cs="Times New Roman" w:eastAsia="Times New Roman"/>
                <w:sz w:val="24"/>
              </w:rPr>
              <w:t>K navrhovanej novele Civilného sporového poriadku článkom V navrhujeme ďalšie dve doplnenia: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úprava § 19 CSP - osobitná miestna príslušnosť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19 písm. a) zmeniť tak, že bude znieť „má adresu trvalého pobytu žalobca, ktorý je, alebo ktorý bol zamestnancom, ak ide o individuálny pracovnoprávny 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súčasnom znení CSP je zamestnanec jediný z trojice slabších strán (spotrebiteľ, diskriminovaný, zamestnanec), ktorý nemá tú výhodu, že by mohol podať žalobu na súd podľa svojho trvalého pobytu. Je pritom bežné, že zamestnanec vykonáva prácu v blízkosti svojho trvalého pobytu, ale zamestnávateľ má sídlo inde (veľké množstvo zamestnávateľov má napríklad sídlo v Bratislave, hoci zamestnávajú zamestnancov po celom území Slovenskej republiky). V takom prípade je nútený podať žalobu na všeobecný súd zamestnávateľa. Aktuálne znenie § 19 písm. a) CSP sa týka len žalovaného, a v praxi je v podstate nevyužiteľné.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žalobca už v čase podania žaloby nemusí mať status zamestnanca (ide napríklad o spor o doplatenie mzdy), nepostačovalo by uviesť len to, že ide o žalobcu, ktorý je zamestnancom, ale že môže ísť aj o žalobcu, ktorý zamestnancom bol.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úprava § 41 CSP - skúmanie miestnej príslušnosti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41 CSP navrhujeme upraviť tak, že bude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skúma miestnu príslušnosť iba na námietku žalovaného uplatnenú najneskôr pri prvom procesnom úkone, ktorý mu patrí; výlučnú miestnu príslušnosť a miestnu príslušnosť v spotrebiteľských sporoch, ak je žalovaným spotrebiteľ, skúma aj bez námietky na začiatku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bežnou praxou, že obchodníci (dodávatelia) žalujú spotrebiteľov nie na všeobecnom súde žalovaného, ale na súde v blízkosti svojej adresy sídla, resp. v blízkosti adresy sídla svojho právneho zástupcu. Súd síce môže spotrebiteľa poučiť o možnosti podať námietku miestnej príslušnosti, ale vzhľadom na to, že bežný spotrebiteľ je nie právne vzdelaný, takúto námietku reálne podáva minimum z nich. Do CSP nebola premietnutá úprava § 105 druhej vety OSP, podľa ktorej súd ex offo skúmal miestnu príslušnosť aj v prípade, ak žalobca vystupoval v rôznych veciach opätovne ako žalobca, a takáto prax obchodníkov pri podávaní žalôb počas účinnosti OSP absentovala, resp. bola značne eliminovaná zákonnou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Veľké množstvo spotrebiteľov tak má prakticky sťažené bránenie svojich práv, ak o ich spore koná súd vzdialený aj niekoľko sto kilometrov. A keby aj neskôr zistili, že mohli podať námietku miestnej príslušnosti, súd na takto oneskorenú námietku už nemôže prihliadať, keďže musela byť podaná pri prvom úkone. Za takejto situácie sa množstvo spotrebiteľov na súd na pojednávanie vzhľadom na svoje časové a finančné možnosti vôbec ani nedostaví.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 § 308 ods. 4</w:t>
              <w:br/>
            </w:r>
            <w:r>
              <w:rPr>
                <w:b w:val="off"/>
                <w:color w:val="000000"/>
                <w:rFonts w:ascii="Times New Roman" w:hAnsi="Times New Roman" w:cs="Times New Roman" w:eastAsia="Times New Roman"/>
                <w:sz w:val="24"/>
              </w:rPr>
              <w:t xml:space="preserve">Odporúčame predkladateľovi upraviť znenie poslednej vety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Začatie konania o zrušení právnickej osoby zapíše súd do obchodného registra  alebo príslušný orgán poznamená vo verejnom registri, v ktorom je právnická osoba zapísaná.“.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odôvodňujeme možnou neistotou pri zápise do obchodného registra, kde zákon č. 29/2026 Z. z. predpokladá ako samostatné konanie zápis poznámky, kedy už v súčasnosti účinná dikcia CMP pri začatí konania o zrušení spoločnosti spôsobuje praktické nejasnosti.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odporúčame reflektovať aj v § 90 a 94 zákona č. 29/2026 Z. z. tak, aby bolo jasné, či sa tento údaj zapisuje v konaní o zmene z osobitných dôvodov, konaní o zápise poznámky alebo oboch. V danom prípade zápis údaja v oboch konania dáva zmysel, nakoľko začatie tohto konania môže blokovať určité zápisy v OR, rovnako je však relevantné pre verejnosť mať takýto údaj verejne dostupný (keďže poznámka sa nezverejňuje).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verejnosti – K čl. VI - § 309</w:t>
              <w:br/>
            </w:r>
            <w:r>
              <w:rPr>
                <w:b w:val="off"/>
                <w:color w:val="000000"/>
                <w:rFonts w:ascii="Times New Roman" w:hAnsi="Times New Roman" w:cs="Times New Roman" w:eastAsia="Times New Roman"/>
                <w:sz w:val="24"/>
              </w:rPr>
              <w:t xml:space="preserve">Odporúčame predkladateľovi upraviť uvedené ustanovenie aj v rozsahu informácie odoslanej registru vtedy, ak bolo ukončené konanie o zrušení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analogicky s ustanovením § 309k ods. 3, kde je uvedené pri konaní o neplatnosti právnickej osoby špecificky upravené. Nevidíme dôvod, prečo by v takýchto typoch konania mal byť prístup odlišný.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potrebné reflektovať aj v zákone č. 29/2026 Z. z. v § 90 a 94.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 § 309f</w:t>
              <w:br/>
            </w:r>
            <w:r>
              <w:rPr>
                <w:b w:val="off"/>
                <w:color w:val="000000"/>
                <w:rFonts w:ascii="Times New Roman" w:hAnsi="Times New Roman" w:cs="Times New Roman" w:eastAsia="Times New Roman"/>
                <w:sz w:val="24"/>
              </w:rPr>
              <w:t xml:space="preserve">Odporúčame predkladateľovi vypustiť ustanovenie, nakoľko uvedené nie je technicky možné.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rovnako relevantné v rozsahu pripomienok, kedy konania v zmysle zákona č. 29/2026 Z. z. zahŕňajú aj konanie o zápise poznámky. Poznamenanie v obchodnom registri tak spôsobuje praktické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upraviť relevantným spôsobom aj znenie § 308.</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 309k ods. 2</w:t>
              <w:br/>
            </w:r>
            <w:r>
              <w:rPr>
                <w:b w:val="off"/>
                <w:color w:val="000000"/>
                <w:rFonts w:ascii="Times New Roman" w:hAnsi="Times New Roman" w:cs="Times New Roman" w:eastAsia="Times New Roman"/>
                <w:sz w:val="24"/>
              </w:rPr>
              <w:t>Odporúčame predkladateľovi zápis do obchodného registra reflektovať aj v zákone č. 29/2026 Z. z., a to zápisom v konaní podľa § 90, kde register na základe rozhodnutia súdu zapíše začatie konania do OR bez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dôvod k zápisu začatia tohto konania pristupovať inak, ako je tomu v prípade konania o zrušení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odporúčame ustanovenie upraviť nasledovne:  „Začatie konania o neplatnosti právnickej osoby zapíše súd v obchodnom registri alebo príslušný orgán poznamená vo verejnom registri, v ktorom je právnická osoba zapísaná.“.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odôvodňujeme možnou neistotou pri zápise do obchodného registra, kde zákon č. 29/2026 Z. z. predpokladá ako samostatné konanie zápis poznámky, čo už v súčasnosti pri začatí konania o zrušení spoločnosti spôsobuje praktické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 VI - § 309m</w:t>
              <w:br/>
            </w:r>
            <w:r>
              <w:rPr>
                <w:b w:val="off"/>
                <w:color w:val="000000"/>
                <w:rFonts w:ascii="Times New Roman" w:hAnsi="Times New Roman" w:cs="Times New Roman" w:eastAsia="Times New Roman"/>
                <w:sz w:val="24"/>
              </w:rPr>
              <w:t>Odporúčame predkladateľovi zápis do obchodného registra reflektovať aj v zákone č. 29/2026 Z. z., a to zápisom v konaní podľa § 90, kde register na základe rozhodnutia súdu zapíše začatie konania do OR bez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odporúčame pred slovo „rozhodnutie“ vložiť slovo „právoplatné“, nakoľko len právoplatné rozhodnutie môže byť podkladom pre takýto zápis.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w:t>
              <w:br/>
            </w:r>
            <w:r>
              <w:rPr>
                <w:b w:val="off"/>
                <w:color w:val="000000"/>
                <w:rFonts w:ascii="Times New Roman" w:hAnsi="Times New Roman" w:cs="Times New Roman" w:eastAsia="Times New Roman"/>
                <w:sz w:val="24"/>
              </w:rPr>
              <w:t xml:space="preserve">Odporúčame predkladateľovi reflektovať v zákone č. 29/2026 Z. z. zriadenie zmluvného predkupného práva a obmedzenia nakladať s podielom aj na komanditistu v komanditnej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vychádza tak z ustanovení Obchodného zákonníka, kedy sa na postavenie komanditistu vzťahujú primerane ustanovenia ako spoločnosti s ručením obmedzeným.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rozsahu je relevantné aj to, že ide o prevoditeľný právny predmet a dôvodová správa vyslovene uvádza, že takéto inštitúty je možné aplikovať na každý prevoditeľný predmet.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potrebné reflektovať aj v bode 5 vo vzťahu k návrhu na registráciu.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 – bod 1 písm. j)</w:t>
              <w:br/>
            </w:r>
            <w:r>
              <w:rPr>
                <w:b w:val="off"/>
                <w:color w:val="000000"/>
                <w:rFonts w:ascii="Times New Roman" w:hAnsi="Times New Roman" w:cs="Times New Roman" w:eastAsia="Times New Roman"/>
                <w:sz w:val="24"/>
              </w:rPr>
              <w:t>Odporúčame predkladateľovi reflektovať v bode2, písm. j) aj skutočnosť, že § 1822 ods. 3 Občianskeho zákonníka umožňuje obmedziť nakladanie s obchodným podielom.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 – bod 2</w:t>
              <w:br/>
            </w:r>
            <w:r>
              <w:rPr>
                <w:b w:val="off"/>
                <w:color w:val="000000"/>
                <w:rFonts w:ascii="Times New Roman" w:hAnsi="Times New Roman" w:cs="Times New Roman" w:eastAsia="Times New Roman"/>
                <w:sz w:val="24"/>
              </w:rPr>
              <w:t>Odporúčame predkladateľovi reflektovať, že opatrovník sa podľa Občianskeho zákonníka ustanovuje len zapísanej osobe, ktorá je právnickou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w:t>
              <w:br/>
            </w:r>
            <w:r>
              <w:rPr>
                <w:b w:val="off"/>
                <w:color w:val="000000"/>
                <w:rFonts w:ascii="Times New Roman" w:hAnsi="Times New Roman" w:cs="Times New Roman" w:eastAsia="Times New Roman"/>
                <w:sz w:val="24"/>
              </w:rPr>
              <w:t xml:space="preserve">Odporúčame predkladateľovi v § 76 reflektovať nejasnosť, akým spôsobom sa navrhovateľovi pri osobitnom zosúladení vykonanom pri registrácii  oznamuje táto skutočnosť – či mu má byť doručené len potvrdenie o vykonaní registrácie, alebo potvrdenie o vykonaní osobitného zosúladenia.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relevantné v rozsahu sprievodného zákona, nakoľko osobitným zosúladením sa budú referencovať aj údaje, ktoré sa na základe návrhu na zápis budú zapisovať v zmysle predkladaných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tak doplniť nový novelizačný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76 ods. 5 ods. 5 znie: : „Ak sa osobitné zosúladenie vykonáva súčasne s vykonaním registrácie, ustanovenie § 59 ods. 4 sa použije rovnako.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osobitné zosúladenie vykonáva súčasne s vykonaním registrácie, ustanovenie § 59 ods. 4 sa použije rovnako. Ak sa osobitné zosúladenie vykonáva podľa odsekov 3 a4, potvrdenie o osobitnom zosúladení sa spolu s výpisom z obchodného registra bezodkladne odošle zapísanej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 – bod 8</w:t>
              <w:br/>
            </w:r>
            <w:r>
              <w:rPr>
                <w:b w:val="off"/>
                <w:color w:val="000000"/>
                <w:rFonts w:ascii="Times New Roman" w:hAnsi="Times New Roman" w:cs="Times New Roman" w:eastAsia="Times New Roman"/>
                <w:sz w:val="24"/>
              </w:rPr>
              <w:t xml:space="preserve">Odporúčame predkladateľovi reflektovať všetky konania a ich špecifiká tak, ako to predpokladá návrh zákona v novelizačnom článku k CMP.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je nedostatočná, nakoľko CMP predpokladá zápis určitých skutočností vyplývajúcich zo súdnych rozhodnutí, avšak v novelizačnom článku k zákonu č. 29/2026 Z. z. nie je reflektovaný spôsob zápisu týchto rozhodnutí.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navrhujeme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90 sa odsek 1 dopĺňa písmenami g) až k), ktoré znejú: </w:t>
              <w:br/>
            </w:r>
            <w:r>
              <w:rPr>
                <w:b w:val="off"/>
                <w:color w:val="000000"/>
                <w:rFonts w:ascii="Times New Roman" w:hAnsi="Times New Roman" w:cs="Times New Roman" w:eastAsia="Times New Roman"/>
                <w:sz w:val="24"/>
              </w:rPr>
              <w:t>„g) začalo, bolo ukončené konanie o zrušení spoločnosti alebo nadobudlo právoplatnosť rozhodnutie o zrušení zapísanej osoby,</w:t>
              <w:br/>
            </w:r>
            <w:r>
              <w:rPr>
                <w:b w:val="off"/>
                <w:color w:val="000000"/>
                <w:rFonts w:ascii="Times New Roman" w:hAnsi="Times New Roman" w:cs="Times New Roman" w:eastAsia="Times New Roman"/>
                <w:sz w:val="24"/>
              </w:rPr>
              <w:t>h) začalo, bolo ukončené konanie o neplatnosti  spoločnosti alebo nadobudlo právoplatnosť rozhodnutie o neplatnosti spoločnosti ,</w:t>
              <w:br/>
            </w:r>
            <w:r>
              <w:rPr>
                <w:b w:val="off"/>
                <w:color w:val="000000"/>
                <w:rFonts w:ascii="Times New Roman" w:hAnsi="Times New Roman" w:cs="Times New Roman" w:eastAsia="Times New Roman"/>
                <w:sz w:val="24"/>
              </w:rPr>
              <w:t>i) zaniklo predkupné právo k obchodnému podielu podľa § 1675 Občianskeho zákonníka,</w:t>
              <w:br/>
            </w:r>
            <w:r>
              <w:rPr>
                <w:b w:val="off"/>
                <w:color w:val="000000"/>
                <w:rFonts w:ascii="Times New Roman" w:hAnsi="Times New Roman" w:cs="Times New Roman" w:eastAsia="Times New Roman"/>
                <w:sz w:val="24"/>
              </w:rPr>
              <w:t>j) v konaní o opatreniach pri nedostatočnom obsadení orgánu právnickej osoby bol ustanovený, zmenený alebo odvolaný člen orgánu zapísanej osoby alebo opatrovník zapísanej osoby,</w:t>
              <w:br/>
            </w:r>
            <w:r>
              <w:rPr>
                <w:b w:val="off"/>
                <w:color w:val="000000"/>
                <w:rFonts w:ascii="Times New Roman" w:hAnsi="Times New Roman" w:cs="Times New Roman" w:eastAsia="Times New Roman"/>
                <w:sz w:val="24"/>
              </w:rPr>
              <w:t>l) bolo dedičovi uložené obmedzenie nakladať s podielom podľa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odporúčame predkladateľovi upraviť aj znenie § 90 ods. 2, nakoľko sa takýmto spôsobom zapisujú údaje nielen na základe rozhodnutia, ale aj na základe oznámenia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CCXXIX</w:t>
              <w:br/>
            </w:r>
            <w:r>
              <w:rPr>
                <w:b w:val="off"/>
                <w:color w:val="000000"/>
                <w:rFonts w:ascii="Times New Roman" w:hAnsi="Times New Roman" w:cs="Times New Roman" w:eastAsia="Times New Roman"/>
                <w:sz w:val="24"/>
              </w:rPr>
              <w:t>Odporúčame predkladateľovi adresovať otázku poznačenia začatia konania o zrušení spoločnosti do obchodného registra jasnejšie tak, aby nevznikali výkladové problémy, a to aj v rozsahu pripomienok k čl. 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POPORA SPRÁVY OZ, JUDr. Jozef Štora, naše združenie združuje takmer 270 tisíc bytov v rámci SR. Na správu bytov sa vyslovene špecializujeme a navrhujeme, aby zberným zákonom boli upravené ustanovenia zákona číslo 182/1993 Z.z. o vlastníctve bytov a nebytových priestorov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písm. d)</w:t>
              <w:br/>
            </w:r>
            <w:r>
              <w:rPr>
                <w:b w:val="off"/>
                <w:color w:val="000000"/>
                <w:rFonts w:ascii="Times New Roman" w:hAnsi="Times New Roman" w:cs="Times New Roman" w:eastAsia="Times New Roman"/>
                <w:sz w:val="24"/>
              </w:rPr>
              <w:t>Navrhujeme, aby sa do definície spoločných častí po zlúčení s pojmom spoločné zariadenie doplnili aj :</w:t>
              <w:br/>
            </w:r>
            <w:r>
              <w:rPr>
                <w:b w:val="off"/>
                <w:color w:val="000000"/>
                <w:rFonts w:ascii="Times New Roman" w:hAnsi="Times New Roman" w:cs="Times New Roman" w:eastAsia="Times New Roman"/>
                <w:sz w:val="24"/>
              </w:rPr>
              <w:t>1.	výplne stavebných otvorov obvodovej konštrukcie, nakoľko terajšia prax prináša aplikačné problémy a nejednoznačný výklad k týmto stavebným prvkom a tým neposkytuje vlastníkom dostatočnú právnu istotu pri realizácii obnovy domu vo vzťahu k čerpaniu prostriedkov FPÚaO a použitia úverových produktov ŠFRB nevynímajúc.</w:t>
              <w:br/>
            </w:r>
            <w:r>
              <w:rPr>
                <w:b w:val="off"/>
                <w:color w:val="000000"/>
                <w:rFonts w:ascii="Times New Roman" w:hAnsi="Times New Roman" w:cs="Times New Roman" w:eastAsia="Times New Roman"/>
                <w:sz w:val="24"/>
              </w:rPr>
              <w:t>2.	Zariadenia na meranie spotreby a rozpočítavanie nákladov, nakoľko tieto zariadenia je osoba zodpovedná za správu domu povinná zabezpečovať, evidovať, a užívať k rozpočítavaniu nákladov, a keďže jej je táto povinnosť zverená právnym predpisom, obstarávanie uskutočňuje z prostriedkov FPÚaO a teda obstaráva spoločnú časť domu. Doplnenie BytZ odstráni neistotu a dvojaký výklad, kedy niektoré autority veľmi izolovane posudzujú tieto zariadenia ako súkromné a to aj napriek tomu, že osoba zodpovedná za správu domu nemôže ovplyvniť vôľu vlastníkov a byť zodpovedná za ich správanie. Práve takýto izolovaný výklad je pre výkon práva a povinností vlastníkov škodlivý a jednoznačné zaradenie týchto zariadení do spoločných častí odstráni aplikačné problémy a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písm. k)</w:t>
              <w:br/>
            </w:r>
            <w:r>
              <w:rPr>
                <w:b w:val="off"/>
                <w:color w:val="000000"/>
                <w:rFonts w:ascii="Times New Roman" w:hAnsi="Times New Roman" w:cs="Times New Roman" w:eastAsia="Times New Roman"/>
                <w:sz w:val="24"/>
              </w:rPr>
              <w:t>Navrhujeme doplniť ako príklad domový poriadok, ktorý sa stal najrozšírenejším dokumentom, ktorý bude pod pojmom pravidiel pre užívanie subsumovaný. Umožní to ľahšie pochopenie tohto pojmu a jeho účelu najmä laikom a oddelí ho jednoznačne od pojmu pravidlá pre výkon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 ods. 3 písm. e)</w:t>
              <w:br/>
            </w:r>
            <w:r>
              <w:rPr>
                <w:b w:val="off"/>
                <w:color w:val="000000"/>
                <w:rFonts w:ascii="Times New Roman" w:hAnsi="Times New Roman" w:cs="Times New Roman" w:eastAsia="Times New Roman"/>
                <w:sz w:val="24"/>
              </w:rPr>
              <w:t>Súčasná úprava (teraz ods. 2 písm. e)) hovorí o iných činnostiach ktoré bezprostredne súvisia s užívaním domu ako celku jednotlivými vlastníkmi bytov a nebytových priestorov v dome. Doplnenie viacerých pozemkov je aktuálne s ohľadom na zmeny OZ, avšak pojem iné činnosti je vágny, neurčitý, a spôsobuje oslabenie pozície vlastníkov pri negociácii zmluvných podmienok tým, že osoby zodpovedné za správu domu ho označujú za tzv. nadštandardnú správu a vlastníci tým nemajú právnu istotu, aký rozsah služieb im osoba zodpovedná za správu domu bude skutočne poskytovať. Preto navrhujeme doplniť, na koniec vety text ktorý znie „ ..., ak sú dohodnuté v zmluve o výkone správy alebo zmluve o spoločenstve.“. Tým sa vlastníkom vytvorí priestor na kontrolu rozsahu správy, ktorú osoba zodpovedná za správu domu bude vlastníkom poskytovať a vytvoriť tým jednoznačný rámec vzájomných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7c ods. 3</w:t>
              <w:br/>
            </w:r>
            <w:r>
              <w:rPr>
                <w:b w:val="off"/>
                <w:color w:val="000000"/>
                <w:rFonts w:ascii="Times New Roman" w:hAnsi="Times New Roman" w:cs="Times New Roman" w:eastAsia="Times New Roman"/>
                <w:sz w:val="24"/>
              </w:rPr>
              <w:t>Je potrebné zmeniť slová „odvoláva zhromaždenie“ na „odvolávajú vlastníci bytov a nebytových priestorov“. Možnosť odvolať predsedu výlučne hlasovaním na zhromaždení oslabuje právo vlastníkov rozhodovať o svojom majetku tým, že nepripúšťa odvolávanie prostredníctvom písomného hlasovania, čím vlastníkov stavia do pozície rukojemníkov nutnej účasti na zhromaždeniach, ktorých sa po zavedení najmä elektronického hlasovania zúčastňuje významne menej vlastníkov. Samotný limit nemá žiadny praktický význam a považujeme ho len za pozostatok predchádzajúcich verzií BytZ, ktorý nedopatrením nebol zosúladený so zavedenými možnosťami vlastníkov prijímať rozhodnutia aj inou formou ako na zhromaždení, resp. schôdzi 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7c ods. 5 písm. a)</w:t>
              <w:br/>
            </w:r>
            <w:r>
              <w:rPr>
                <w:b w:val="off"/>
                <w:color w:val="000000"/>
                <w:rFonts w:ascii="Times New Roman" w:hAnsi="Times New Roman" w:cs="Times New Roman" w:eastAsia="Times New Roman"/>
                <w:sz w:val="24"/>
              </w:rPr>
              <w:t>Navrhujeme zmeniť text celého ustanovenia na „zvoláva zhromaždenie a vyhlasuje písomné hlasovanie,“, pričom by ustanoveniu svedčala aj časť na konci, ktorá by za čiarkou znela „ak funkcia predsedu nie je obsadená alebo predseda na žiadosť štvrtiny vlastníkov nekoná.“ Účelom prvej časti návrhu je jasná deklarácia možnosti rady vyhlasovať písomné hlasovanie, ktoré jej vyplýva z ďalších ustanovení  BytZ a zároveň umožniť vlastníkom v celom rozsahu rozhodovať bez ďalšieho limitovania o forme, ktorou chcú prijímať rozhodnutia. Účelom druhej časti nášho návrhu je dosiahnuť presun tejto kompetencie na predsedu spoločenstva, ktorý takouto právomocou bez ďalšieho nedisponuje napriek tomu, že je štatutárny zástupca. Predseda za svoje konanie zodpovedá a ručí svojim majetkom a môže byť vystavený situácii, kedy za vec, za ktorú nesie zodpovednosť, nedokáže bez rady alebo napriek jej účelovému konaniu/nekonaniu nechať vlastníkov o veci hlasovať. Rada je kontrolný orgán a preto by jej takéto oprávnenie nemalo prináležať výlučne, maximálne popri oprávneniu predsedu spoločenstva pre vyváženie kompetencií v spoločenstve.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9 ods. 5 písm. f)</w:t>
              <w:br/>
            </w:r>
            <w:r>
              <w:rPr>
                <w:b w:val="off"/>
                <w:color w:val="000000"/>
                <w:rFonts w:ascii="Times New Roman" w:hAnsi="Times New Roman" w:cs="Times New Roman" w:eastAsia="Times New Roman"/>
                <w:sz w:val="24"/>
              </w:rPr>
              <w:t>Ak sa pod pravidlami pre výkon správy domu rozumejú aj zmluva o výkone správy a zmluva o spoločenstve, považujeme takéto ustanovenie za nadbytočné. Zmluvu každý vlastník obdrží pri jej vzniku alebo zmene a pri prevode vlastníctva od predchádzajúceho vlastníka. Ak ju neobdrží, osoba zodpovedná za správu domu mu je povinná ju vydať resp. jej kópiu. Zverejnením zmluvy v dome si ju nadobúdateľ bytu a nebytového priestoru ťažko prečíta či vypožičia, keď nie je oprávnený vstupovať do domu. Ak zmluva má viac strán, čo bežne máva viac ako 20, v mieste zverejnenia sa s ňou neoboznámi. Navrhujeme ustanovenie vypustiť alebo namiesto slova zverejniť nahradiť ho slovom doručiť každému vlastníkovi kópiu.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9 ods. 6 </w:t>
              <w:br/>
            </w:r>
            <w:r>
              <w:rPr>
                <w:b w:val="off"/>
                <w:color w:val="000000"/>
                <w:rFonts w:ascii="Times New Roman" w:hAnsi="Times New Roman" w:cs="Times New Roman" w:eastAsia="Times New Roman"/>
                <w:sz w:val="24"/>
              </w:rPr>
              <w:t>Takáto úprava odporuje BytZ v iných ustanoveniach a zároveň zaužívanej praxi. Podľa § 7b ods. 4 a § 8 ods. 3 terajšej úpravy sú vlastníkom účtu vlastníci bytov a teda správca vykonáva na účte práva vkladateľa. Preto ponechanie povinnosti pri zmene správcu účet zrušiť a previesť zostatky na účet založený novým správcom, kedy BytZ hrubo zasahuje do vlastníckych práv vlastníkov tým, že im odoberá právo ponechať si účet v banke a zmeniť len disponenta.  Len samotná zmena správcu nijako nezasahuje do majetkových práv vlastníkov, avšak napriek tomu ich navrhovaná úprava núti účet zmeniť. Takýto zásah nepovažujeme za udržateľný a ani ústavne konformný. Navyše dnes banky už bežne účet sprístupnia novému správcovi a pokiaľ to banka nedokáže, nemôže to byť na ujmu vlastníka. Navrhujeme doplniť aktuálnu prax aspoň dispozitívnym ustanovením, kedy sa zavedie možnosť iba zmeniť práva disponenta k účtu v banke.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 9 ods. 8</w:t>
              <w:br/>
            </w:r>
            <w:r>
              <w:rPr>
                <w:b w:val="off"/>
                <w:color w:val="000000"/>
                <w:rFonts w:ascii="Times New Roman" w:hAnsi="Times New Roman" w:cs="Times New Roman" w:eastAsia="Times New Roman"/>
                <w:sz w:val="24"/>
              </w:rPr>
              <w:t>Rozsah zastupovania pred súdom nie je dostatočne opísaný a v praxi vznikajú otázky o tom, v ktorých prípadoch je osoba zodpovedná za správu domu zástupcom ex lege a v ktorých nie je.  Navrhujeme doplniť z dôvodu predvídateľného výkladu právnych noriem a odstránenia pochybností jednoznačné oprávnenie na zastupovanie vlastníkov v súdnych konaniach:</w:t>
              <w:br/>
            </w:r>
            <w:r>
              <w:rPr>
                <w:b w:val="off"/>
                <w:color w:val="000000"/>
                <w:rFonts w:ascii="Times New Roman" w:hAnsi="Times New Roman" w:cs="Times New Roman" w:eastAsia="Times New Roman"/>
                <w:sz w:val="24"/>
              </w:rPr>
              <w:t xml:space="preserve">a)	proti ktorým smeruje návrh na začatie konania podaný vlastníkom bytu alebo nebytového priestoru v dome domáhajúceho sa súdnej ochrany podľa § 14a ods. 12, </w:t>
              <w:br/>
            </w:r>
            <w:r>
              <w:rPr>
                <w:b w:val="off"/>
                <w:color w:val="000000"/>
                <w:rFonts w:ascii="Times New Roman" w:hAnsi="Times New Roman" w:cs="Times New Roman" w:eastAsia="Times New Roman"/>
                <w:sz w:val="24"/>
              </w:rPr>
              <w:t>b)	proti ktorým smeruje návrh na začatie konania o zdržanie sa výkonu záložného práva alebo zákaz výkonu záložného práva podaný iným vlastníkom bytu alebo nebytového priestoru v dome,</w:t>
              <w:br/>
            </w:r>
            <w:r>
              <w:rPr>
                <w:b w:val="off"/>
                <w:color w:val="000000"/>
                <w:rFonts w:ascii="Times New Roman" w:hAnsi="Times New Roman" w:cs="Times New Roman" w:eastAsia="Times New Roman"/>
                <w:sz w:val="24"/>
              </w:rPr>
              <w:t xml:space="preserve">c)	proti ktorým smeruje návrh na začatie konania podaný dodávateľom tovarov a služieb alebo inou osobou vo veci týkajúcej sa správy domu a pozemku, </w:t>
              <w:br/>
            </w:r>
            <w:r>
              <w:rPr>
                <w:b w:val="off"/>
                <w:color w:val="000000"/>
                <w:rFonts w:ascii="Times New Roman" w:hAnsi="Times New Roman" w:cs="Times New Roman" w:eastAsia="Times New Roman"/>
                <w:sz w:val="24"/>
              </w:rPr>
              <w:t>d)	ktorí sa domáhajú úhrady dlhu alebo plnenia inej povinnosti vlastníkom bytu alebo nebytového priestoru v dome,</w:t>
              <w:br/>
            </w:r>
            <w:r>
              <w:rPr>
                <w:b w:val="off"/>
                <w:color w:val="000000"/>
                <w:rFonts w:ascii="Times New Roman" w:hAnsi="Times New Roman" w:cs="Times New Roman" w:eastAsia="Times New Roman"/>
                <w:sz w:val="24"/>
              </w:rPr>
              <w:t>e)	vo veci určenia vecného práva k spoločným častiam, príslušenstvu a pozemku podľa osobitného predpisu alebo práva vyplývajúceho z tohto vecného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v praxi vzniká polemika o tom, do akej miery a pred akým orgánom verejnej moci osoba zodpovedná za správu domu a preto navrhujeme, aby bolo toto ustanovenie nebolo zrušené, nakoľko ustanovenia nového Občianskeho zákonníka neobsahujú ustanovenie obdobné s ust. § 9 ods. 8 BytZ. Okrem toho navrhujeme doplniť, že osoba zodpovedná za správu domu zastupuje vlastníkov v konaní podľa osobitného predpisu (nový Občiansky zákonník, stavebný zákon), ak je predmetom konania spoločná časť domu, príslušenstvo alebo priľahlý pozemok alebo určenie vecného práva k nim. Poukazujeme, že na tento typ konania odkazuje priamo ust. § 1687 ods. 2 zákona č. 260/2026 Z. z. (nového Občianskeho zákonníka), avšak nie je upravené zákonné zastupovanie v týchto sporoch, v ktorých musia byť už z povahy veci účastníkmi konania všetci vlastníci bytov a nebytových priestorov. </w:t>
              <w:br/>
            </w:r>
            <w:r>
              <w:rPr>
                <w:b w:val="off"/>
                <w:color w:val="000000"/>
                <w:rFonts w:ascii="Times New Roman" w:hAnsi="Times New Roman" w:cs="Times New Roman" w:eastAsia="Times New Roman"/>
                <w:sz w:val="24"/>
              </w:rPr>
              <w:t>Okrem toho ide v praxi o súdne spory, ktoré vedú dodávatelia tovarov a služieb s vlastníkmi bytov a nebytových priestorov ako žalovanými o zaplatenie pohľadávok s poukazom na ich právnu zodpovednosť podľa ust. § 9 ods. 2 zákona č. 182/1993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14a ods. 1 Navrhujeme prvú vetu nahradiť vetou „Schôdzu vlastníkov zvoláva a písomné hlasovanie vyhlasuje podľa potreby správca, predseda alebo rada za podmienok upravených týmto zákonom, alebo keď o to požiada aspoň štvrtina vlastníkov bytov a nebytových priestorov v dome.“ </w:t>
              <w:br/>
            </w:r>
            <w:r>
              <w:rPr>
                <w:b w:val="off"/>
                <w:color w:val="000000"/>
                <w:rFonts w:ascii="Times New Roman" w:hAnsi="Times New Roman" w:cs="Times New Roman" w:eastAsia="Times New Roman"/>
                <w:sz w:val="24"/>
              </w:rPr>
              <w:t>Vlastníci vo vysokej miere odmietajú zásah do ich práv tým spôsobom, že povinnosť zúčastňovať sa na správe domu je realizovaná povinnou schôdzou raz za rok napriek tomu, že využívajú vo veľkom rozsahu písomné a elektronické hlasovanie. Správcovia tak nemajú do programu schôdze čo zaradiť, prípadne v krátkom časovom úseku po uplynutí ročnej lehoty plánujú účelovú schôdzu k riešeniu problémov, ktoré riešiť potrebujú v danom čase.  Preto vzniká situácia, keď sa schôdza koná len proforma, prípadne sa jej vlastníci vôbec nezúčastnia. Zároveň by navrhovaná textácia udelila právomoc zvolať schôdzu aj predsedovi spoločenstva, ktorá by mu ako štatutárovi mala patriť. Práva vlastníkov by boli nami navrhovanou úpravou výrazne posilnené a BytZ by bezdôvodne a bezúčelne nezasahoval do ich práv povinným zvolaním schôdze v čase, keď o ňu vlastníci nemajú záujem len preto, že uplynula lehota podľa doterajšieho znenia BytZ.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14a ods. 2 Navrhujeme doterajšie znenie nahradiť nasledovne: „Schôdza vlastníkov alebo začiatok písomného hlasovania sa mu¬sí uskutočniť do 15 dní od doručenia žiadosti as¬poň štvrtiny vlastníkov bytov a nebytových priestorov v dome, pri dodržaní lehoty podľa odseku 3. V žiadosti vlastníci môžu určiť osobu poverenú na konanie v súvislosti so žiadosťou. Ak žiadosť obsahuje program schôdze vlastníkov alebo otázky písomného hlasovania, spôsob hlasovania, miesto a čas konania schôdze vlastníkov alebo termín písomného hlasovania, správca, predseda alebo rada, sú povinní postupovať podľa žiadosti v celom jej rozsahu. Program schôdze vlastníkov, otázky písomného hlasovania, spôsob hlasovania, miesto a čas konania schôdze vlastníkov alebo termín písomného hlasovania možno zmeniť alebo doplniť iba so súhlasom osoby poverenej na konanie v súvislosti so žiadosťou. Ak správca, predseda alebo rada, nepostupujú v zmysle žiadosti štvrtiny vlastníkov v celom jej rozsahu, právo zvolať schôdzu alebo vyhlásiť písomné hlasovanie v zmysle žiadosti vzniká štvrtine vlastníkov, ktorí konajú prostredníctvom osoby poverenej na konanie v súvislosti so žiadosťou.“ </w:t>
              <w:br/>
            </w:r>
            <w:r>
              <w:rPr>
                <w:b w:val="off"/>
                <w:color w:val="000000"/>
                <w:rFonts w:ascii="Times New Roman" w:hAnsi="Times New Roman" w:cs="Times New Roman" w:eastAsia="Times New Roman"/>
                <w:sz w:val="24"/>
              </w:rPr>
              <w:t>Účelom zmeny je odstrániť bezdôvodné zasahovanie BytZ do vôle vlastníkov, kedy títo podľa nami navrhovaného znenia budú môcť určiť termín prijímania rozhodnutia, jeho miesto a obsah takým spôsobom, ktorý bude rešpektovať ich vôľu. Doterajšia úprava limituje vlastníkov tak, že bez ohľadu na požadovaný termín osoba zodpovedná za správu domu vyhlási hlasovanie alebo oznámi konanie schôdze tak, aby sa konali najneskôr 15. deň od doručenia žiadosti. Pri väčších domoch však vlastníci nie sú schopní pripraviť žiadosť štvrtiny vlastníkov tak, aby sa požadovaná schôdza alebo písomné hlasovanie konali v termíne, ktorí im vyhovuje a zároveň bola dodržaná lehota na ich konanie podľa doterajšej úpravy. Zároveň podľa dnes platnej úpravy osoby zodpovedné za správu domu menia čas a miesto konania, program alebo otázky a to aj tak, že ich napr. len doplnia o nové, prípadne úplne zmenia. Zavedenie zákonnej povinnosti rešpektovať vôľu vlastníkov pri žiadosti štvrtiny vlastníkov v celom rozsahu sa výrazne posilní postavenie a ochrana práv vlastníkov a vytvorí zákonný rámec na účinné zamedzenie svojvoľného konania osoby zodpovednej za správu domu.</w:t>
              <w:br/>
            </w:r>
            <w:r>
              <w:rPr>
                <w:b w:val="off"/>
                <w:color w:val="000000"/>
                <w:rFonts w:ascii="Times New Roman" w:hAnsi="Times New Roman" w:cs="Times New Roman" w:eastAsia="Times New Roman"/>
                <w:sz w:val="24"/>
              </w:rPr>
              <w:t xml:space="preserve">Navrhujeme vypustiť § 14b ods. 1 písm. k) BytZ  nakoľko nový Občiansky zákonník neupravuje ustanovenie obdobné § 10 ods. 1 BytZ vrátane jeho poslednej vety o možnosti zohľadniť mieru využívania spoločných častí domu vo výške príspevku do fondu prevádzky, údržby a opráv (viď § 1720 zákona č. 260/2026 Z. z., ktorý nahrádza § 10 ods. 1 BytZ).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14b ods. 1 písm. k) </w:t>
              <w:br/>
            </w:r>
            <w:r>
              <w:rPr>
                <w:b w:val="off"/>
                <w:color w:val="000000"/>
                <w:rFonts w:ascii="Times New Roman" w:hAnsi="Times New Roman" w:cs="Times New Roman" w:eastAsia="Times New Roman"/>
                <w:sz w:val="24"/>
              </w:rPr>
              <w:t>Navrhujeme toto ustanovenie vypustiť s ohľadom na  § 1720 OZ, v ktorom sú platby do fondu prevádzky, údržby a opráv a ponechanie tohto ustanovenia by znamenalo rozpor s uvedeným ustanovením OZ. Táto povinnosť je zatiaľ upravená v § 10 ods. 1, ktorý sa ale zberným zákonom vypúšťa a preto je potrebné vypustiť aj ustanovenie § 14b ods. 1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14b ods. 4 </w:t>
              <w:br/>
            </w:r>
            <w:r>
              <w:rPr>
                <w:b w:val="off"/>
                <w:color w:val="000000"/>
                <w:rFonts w:ascii="Times New Roman" w:hAnsi="Times New Roman" w:cs="Times New Roman" w:eastAsia="Times New Roman"/>
                <w:sz w:val="24"/>
              </w:rPr>
              <w:t>V § 1708 zákona č. 260/2026 Z. z. je upravené, že vlastník bytu a nebytového priestoru rozhoduje ako spoluvlastník o všetkých veciach, ktoré sa týkajú spoločných častí domu, príslušenstva domu a pozemku v súlade s ustanoveniami tohto zákona a osobitného predpisu. Navrhujeme úpravu počítania kvóra pri potrebe dosiahnutia nadpolovičnej väčšiny prítomných hlasov, ktoré sa podľa terajšej úpravy počítajú z celkového množstva prítomných na schôdzi bez ohľadu na to, či hlasovali alebo nehlasovali. Ide o nesúlad princípu počítania kvóra oproti písomnému hlasovaniu, kde platí, že ak niekto nehlasuje, nie je do celkového počtu odovzdaných hlasov započítaný (t. z. takýto hlas je neplatný ex lege). Doterajšia úprava vytvára disproporciu v podmienkach prijímania rozhodnutí a neguje princíp rovnosti oboch spôsobov prijímania rozhodnutí, pričom tento stav je zapríčinený zjavným zanedbaním precíznej úpravy pri ostatných úpravách BytZ. Navrhujeme spojenie „sú prítomní“ spojením „a hlasujú“.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14b ods. 6 V druhej, tretej a štvrtej vete navrhujeme slovo „hlasovania“ nahradiť slovom „rozhodnutia“. Dôvodom nášho návrhu je, že podľa doterajšej úpravy je každé hlasovanie platné a to bez ohľadu na to, či bolo prijaté rozhodnutie. Každé opakovanie hlasovania o tej istej veci do jedného roka teda potrebuje vyššie kvórum, nakoľko podľa platnej judikatúry je prijímanie rozhodnutí vlastníkmi právnym úkonom sui generis a neplatnosť právne úkonu môže posúdiť a rozhodnúť výlučne súd. Ak teda vlastníci podľa doterajšej úpravy hlasujú napríklad o úvere 2/3 väčšinou a chýba im jeden hlas, rozhodnutie teda neprijmú, hlasovanie je platné, nakoľko súd o jeho neplatnosti nerozhodol. Vlastníci po mobilizácii „síl“ a opakovaní hlasovania do jedného roka o tej istej veci potrebujú 4/5 väčšinu, čo nekorešponduje so zámerom zákonodarcu ani podľa dôvodovej správy k dnes platnej úprave  BytZ. Napriek tomu, že toto ustanovenie nie je dotknuté rekodifikáciou OZ, považujeme za kriticky nutné takúto úpravu vykonať bez meškania. Doterajšia úprava ovplyvňuje ekonomiku a hospodárstvo SR tým, že pri väčších objektoch oneskorí alebo úplne zastaví obnovu domu, čo znamená o.i. výpadok príjmov štátu najmä v oblastí daní.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zákonu o vlastníctve bytov a nebytových priestorov , príp. k novému občianskemu zákonníku doplniť otázku zvýšenia kontroly správcov bytových domov, vychádzajúc z aplikačnej praxe v roku 2026 prikladáme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reakciu na jeden z aktuálnych prípadov sprenevery (zneužitia) cca 2,7 miliona Eur (finančný majetok vlastníkov bytov a nebytových priestorov u viac ako 60 bytových domov) z fondu prevádzky, opráv a údržby (ďalej len fond) správcom bytových domov, ktorý si v priebehu kalendárneho mesiaca bez vedomia vlastníkov bytov previedol (doslova za pár sekúnd) tieto finančné zdroje na svoj súkromný účet, kde ich ďalej previedol za účelom pravdepodobne "krátkodobého" investovania do finančných produktov. T. j. za účelom získania súkromného zárobku bez súhlasu a na úkor vlastníkov bytov a nebytových priestorov. Výsledok investovania je, že peniaze zmizli po ich prevedení do investičného produktu, čo je v tomto momente nepodstatná skutočnosť.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navrhujeme doplniť ustanovenia do novely zákona o vlastníctve bytov a nebytových priestorov, resp. do nového občianskeho zákonníka ak hmotnoprávne otázky rieši k zákonu o vlastníctve bytov a nebytových priestorov, kde by sa zamedzilo takýmto vyššie uvedeným praktikám správcov a naopak, aby sa umožnilo vlastníkom bytového domu možnosť investovania do bezpečných finančných produktov, keďže stovky miliónov eur "ležia" v bankách s nulovým úročením. Zároveň by sa zaviedlo povinné predkladanie mesačných a koncoročných výpisov z fondu,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zaviesť princíp dvojitej autorizácie pri prevodoch finančných prostriedkov z fondu, aby správca nemohol vykonať prevod bez súhlasu oprávneného zástupcu vlastníkov bytov a nebytových priestorov,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zaviesť zákonnú povinnosť správcu elektronicky zasielať mesačný výpis z bankového účtu fondu bytovému dôverníkovi, vrátane povinnosti sprístupnenia starších elektronických výpisov,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umožniť vlastníkom bezpečne zhodnocovať prostriedky fondu prostredníctvom krátkodobých bankových produktov alebo vytvoriť štátom garantovaný finančný produkt určený výlučne pre fondy.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pozdravom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M. Jankovičová</w:t>
              <w:br/>
            </w:r>
            <w:r>
              <w:rPr>
                <w:b w:val="off"/>
                <w:color w:val="000000"/>
                <w:rFonts w:ascii="Times New Roman" w:hAnsi="Times New Roman" w:cs="Times New Roman" w:eastAsia="Times New Roman"/>
                <w:sz w:val="24"/>
              </w:rPr>
              <w:t>ENERGETICKÝ OMBUDSMAN o. z.</w:t>
              <w:br/>
            </w:r>
            <w:r>
              <w:rPr>
                <w:b w:val="off"/>
                <w:color w:val="000000"/>
                <w:rFonts w:ascii="Times New Roman" w:hAnsi="Times New Roman" w:cs="Times New Roman" w:eastAsia="Times New Roman"/>
                <w:sz w:val="24"/>
              </w:rPr>
              <w:t>energeticky.ombudsman@gmail.com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§1 ods. 4</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„(4) Vo veciach týkajúcich sa pracovnoprávnych vzťahov neupravených týmto zákonom alebo iným pracovnoprávnym predpisom sa primerane použijú základné princípy a ďalšie ustanovenia Občianskeho zákonníka, ak ich použitie nie je v rozpore so zásadami Zákonníka práce, ochranou zamestnanca ako slabšej strany a povahou pracovnoprávneho vzťahu a ak tento zákon alebo iný pracovnoprávny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„(4) Vo veciach týkajúcich sa pracovnoprávnych vzťahov neupravených týmto zákonom alebo iným pracovnoprávnym predpisom sa primerane použijú základné princípy a ďalšie ustanovenia Občianskeho zákonníka, ak ich použitie nie je v rozpore so základnými zásadami tohto zákona a povahou pracovnoprávneho vzťahu a ak tento zákon alebo iný pracovnoprávny predpis neustanovuje inak. Ustanovenia Občianskeho zákonníka o zodpovednosti za škodu sa nepoužijú,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spája slovo „primerane“ s tromi neurčitými kritériami, ktoré sa obsahovo prekrývajú. Ochrannú funkciu plní už kritérium povahy pracovnoprávneho vzťahu a relatívna kogentnosť pracovnoprávnych predpisov podľa § 1 ods. 6. Samostatné kritérium ochrany zamestnanca ako slabšej strany je preto nadbytočné a vzhľadom na svoju jednostrannú povahu oslabuje predvídateľnosť použitia Občianskeho zákonníka.</w:t>
              <w:br/>
            </w:r>
            <w:r>
              <w:rPr>
                <w:b w:val="off"/>
                <w:color w:val="000000"/>
                <w:rFonts w:ascii="Times New Roman" w:hAnsi="Times New Roman" w:cs="Times New Roman" w:eastAsia="Times New Roman"/>
                <w:sz w:val="24"/>
              </w:rPr>
              <w:t>ZP nepozná pojem „zásady Zákonníka práce“, ale „základné zásady“.</w:t>
              <w:br/>
            </w:r>
            <w:r>
              <w:rPr>
                <w:b w:val="off"/>
                <w:color w:val="000000"/>
                <w:rFonts w:ascii="Times New Roman" w:hAnsi="Times New Roman" w:cs="Times New Roman" w:eastAsia="Times New Roman"/>
                <w:sz w:val="24"/>
              </w:rPr>
              <w:t>Dôvodová správa k bodu 95 uvádza, že ustanovenia NOZ o zodpovednosti za škodu sa na pracovnoprávne vzťahy nepoužijú, návrh to však neobsahuje. ZP naopak selektívne odkazuje na § 670, 672 a 675 až 678 NOZ, z čoho možno a contrario vyvodiť použitie ostatných, napr. § 679 NOZ (odčinenie nemajetkovej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1 § 1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„(6) Ustanovenia tohto zákona alebo iného pracovnoprávneho predpisu možno nahradiť alebo doplniť autonómnym dojednaním len v prospech zamestnanca. Ustanovenia tohto zákona nemožno nahradiť alebo doplniť autonómnym dojednaním podľa prvej vety, ak s prihliadnutím na rozumné usporiadanie vzťahov je zrejmé, že predmetom tohto dojednania nemožno slobodne disponovať alebo sa to prieči zmyslu a účelu zákona a ak ide o autonómne dojednania, ktoré sú v rozpore s dobrými mravmi alebo s verejným poriadkom.“</w:t>
              <w:br/>
            </w:r>
            <w:r>
              <w:rPr>
                <w:b w:val="off"/>
                <w:color w:val="000000"/>
                <w:rFonts w:ascii="Times New Roman" w:hAnsi="Times New Roman" w:cs="Times New Roman" w:eastAsia="Times New Roman"/>
                <w:sz w:val="24"/>
              </w:rPr>
              <w:t>§ 231 ods. 1: „(1) Kolektívna zmluva upravuje pracovné podmienky vrátane mzdových podmienok a podmienky zamestnávania, vzťahy medzi zamestnávateľmi a zamestnancami, vzťahy medzi zamestnávateľmi alebo ich organizáciami a jednou organizáciou alebo viacerými organizáciami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„(6) Ustanovenia tohto zákona alebo iného pracovnoprávneho predpisu možno nahradiť alebo doplniť autonómnym dojednaním, najmä pracovnou zmluvou, inou dohodou medzi zamestnávateľom a zamestnancom alebo kolektívnou zmluvou, len v prospech zamestnanca, ak tento zákon alebo iný pracovnoprávny predpis neustanovuje inak. Ustanovenia tohto zákona alebo iného pracovnoprávneho predpisu nemožno nahradiť alebo doplniť autonómnym dojednaním podľa prvej vety, ak je s prihliadnutím na rozumné usporiadanie vzťahov zrejmé, že predmetom tohto dojednania nemožno slobodne disponovať, alebo ak sa to prieči zmyslu a účelu zákona. Zakázané sú tiež autonómne dojednania, ktoré sú v rozpore s dobrými mravmi alebo s verejným poriadkom.“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 ods. 6 preberá do ZP princíp autonómie vôle podľa čl. 2 ods. 2 NOZ a obmedzuje ho na dojednania v prospech zamestnanca. Z dôvodu právnej istoty ustanovenie navrhujeme upraviť v týchto bodoch:</w:t>
              <w:br/>
            </w:r>
            <w:r>
              <w:rPr>
                <w:b w:val="off"/>
                <w:color w:val="000000"/>
                <w:rFonts w:ascii="Times New Roman" w:hAnsi="Times New Roman" w:cs="Times New Roman" w:eastAsia="Times New Roman"/>
                <w:sz w:val="24"/>
              </w:rPr>
              <w:t>Výhrada zákonom dovolených odchýlok. Prvá veta pripúšťa autonómne dojednanie „len v prospech zamestnanca“ a nepočíta s výnimkami. ZP pritom sám pripúšťa dojednania, ktoré v prospech zamestnanca nie sú. Ide napríklad o peňažnú náhradu za nezotrvanie vo výpovednej dobe (§ 62 ods. 8), konkurenčnú doložku (§ 83a), dohodu o zvýšení kvalifikácie (§ 155), dohodu o hmotnej zodpovednosti (§ 182) a o odchýlky, ktoré zákon zveruje kolektívnej zmluve. Bez výslovnej výhrady by vznikla pochybnosť o ich platnosti a s ňou aj spory o platnosť bežných pracovnoprávnych dokumentov. Preto navrhujeme doplniť „ak tento zákon alebo iný pracovnoprávny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Zosúladenie prvej a druhej vety. Prvá veta sa vzťahuje na ustanovenia „tohto zákona alebo iného pracovnoprávneho predpisu“, druhá už len na ustanovenia „tohto zákona“. Obmedzenia podľa druhej vety by sa tak doslovne nevzťahovali na odchýlky od iných pracovnoprávnych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Vzťah obmedzujúcich podmienok. Druhá veta spája podmienky slovami „a ak“. Pri gramatickom výklade to umožňuje záver, že obmedzenia platia len pri ich súčasnom splnení. Zo čl. 2 ods. 2 NOZ aj z dôvodovej správy pritom vyplýva, že ide o samostatné dôvody. Navrhujeme ich preto oddeliť rovnako ako v čl. 2 ods. 2 NOZ: nedisponovateľnosť a rozpor so zmyslom a účelom zákona spojiť spojkou „alebo“ a zákaz dojednaní v rozpore s dobrými mravmi alebo verejným poriadkom vyjadriť samostatnou vetou.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bod 125 § 231 ods.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231 ods. 1: „(1) Kolektívna zmluva upravuje pracovné podmienky vrátane mzdových podmienok a podmienky zamestnávania, vzťahy medzi zamestnávateľmi a zamestnancami, vzťahy medzi zamestnávateľmi alebo ich organizáciami a jednou organizáciou alebo viacerými organizáciami zamestnancov.“</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V § 231 ods. 1 na konci doplniť slová „výhodnejšie, ako ich upravuje tento zákon alebo iný pracovnoprávny predpis, ak tento zákon alebo iný pracovnoprávny predpis neustanovuje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Kolektívna zmluva ako autonómne dojednanie. Pojem „autonómne dojednanie“ nie je v ZP ani v NOZ definovaný. Dôvodová správa k bodu 125 predpokladá, že zahŕňa aj kolektívnu zmluvu, a na tomto predpoklade stavia vypustenie pravidla o výhodnejšej úprave z § 231 ods. 1. Kolektívnu zmluvu však uzatvára odborový orgán, nie zamestnanec, a má normatívne účinky. Jej zaradenie pod tento pojem preto nie je samozrejmé. Navrhujeme pojem zachovať v súlade s NOZ, ale doplniť demonštratívny výpočet foriem dojednania vrátane kolektívnej zmluvy.</w:t>
              <w:br/>
            </w:r>
            <w:r>
              <w:rPr>
                <w:b w:val="off"/>
                <w:color w:val="000000"/>
                <w:rFonts w:ascii="Times New Roman" w:hAnsi="Times New Roman" w:cs="Times New Roman" w:eastAsia="Times New Roman"/>
                <w:sz w:val="24"/>
              </w:rPr>
              <w:t>Navrhujeme v § 231 ods. 1 zachovať výslovné pravidlo, že kolektívna zmluva upravuje pracovné podmienky výhodnejšie, ako ich upravuje zákon, ak tento zákon alebo iný pracovnoprávny predpis neustanovuje inak. Dôvodová správa k bodu 125 navyše chybne odkazuje na § 1 ods. 4 namiesto § 1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5 § § 7 ods. 2</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„5. V § 7 sa vypúšťa odsek 2. Doterajší odsek 3 sa označuje ako odsek 2.“</w:t>
              <w:br/>
            </w:r>
            <w:r>
              <w:rPr>
                <w:b w:val="off"/>
                <w:color w:val="000000"/>
                <w:rFonts w:ascii="Times New Roman" w:hAnsi="Times New Roman" w:cs="Times New Roman" w:eastAsia="Times New Roman"/>
                <w:sz w:val="24"/>
              </w:rPr>
              <w:t>(Vypúšťa sa text: „Zamestnávateľ vystupuje v pracovnoprávnych vzťahoch vo svojom mene a má zodpovednosť vyplývajúcu z týchto vzťahov. Zamestnávateľom je aj organizačná jednotka zamestnávateľa, ak to ustanovujú osobitné predpisy alebo stanovy podľa osobitného predpisu. Ak je účastníkom pracovnoprávneho vzťahu zamestnávateľ, nemôže ním byť súčasne jeho organizačná jednotka a naopak.“)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 Bod 5 vypustiť a § 7 ods. 2 ponechať v tomto znení:</w:t>
              <w:br/>
            </w:r>
            <w:r>
              <w:rPr>
                <w:b w:val="off"/>
                <w:color w:val="000000"/>
                <w:rFonts w:ascii="Times New Roman" w:hAnsi="Times New Roman" w:cs="Times New Roman" w:eastAsia="Times New Roman"/>
                <w:sz w:val="24"/>
              </w:rPr>
              <w:t>„(2) Zamestnávateľ vystupuje v pracovnoprávnych vzťahoch vo svojom mene a má zodpovednosť vyplývajúcu z týchto vzťahov. Zamestnávateľom môže byť aj organizačná jednotka právnickej osoby, ak jej takéto postavenie priznáva osobitný predpis alebo stanovy podľa osobitného predpisu. Ak je stranou pracovnoprávneho vzťahu právnická osoba, nemôže ňou byť súčasne jej organizačná jednotka a naopak.“</w:t>
              <w:br/>
            </w:r>
            <w:r>
              <w:rPr>
                <w:b w:val="off"/>
                <w:color w:val="000000"/>
                <w:rFonts w:ascii="Times New Roman" w:hAnsi="Times New Roman" w:cs="Times New Roman" w:eastAsia="Times New Roman"/>
                <w:sz w:val="24"/>
              </w:rPr>
              <w:t>Subsidiárne, ak predkladateľ pripomienku neakceptuje, doplniť do prechodných ustanovení: „Organizačná jednotka, ktorá bola k 30. júnu 2027 zamestnávateľom podľa § 7 ods. 2 v znení účinnom do 30. júna 2027, zostáva zamestnávateľom v pracovnoprávnych vzťahoch vzniknutých do tohto dňa; práva a povinnosti z týchto vzťahov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5 vypúšťa celý § 7 ods. 2, teda aj pracovnoprávny základ, podľa ktorého môže byť zamestnávateľom organizačná jednotka. Dôvodová správa k bodom 5 a 6 hovorí len o konaní právnickej osoby; vypustenie pracovnoprávnej subjektivity organizačných jednotiek nezdôvodňuje.</w:t>
              <w:br/>
            </w:r>
            <w:r>
              <w:rPr>
                <w:b w:val="off"/>
                <w:color w:val="000000"/>
                <w:rFonts w:ascii="Times New Roman" w:hAnsi="Times New Roman" w:cs="Times New Roman" w:eastAsia="Times New Roman"/>
                <w:sz w:val="24"/>
              </w:rPr>
              <w:t>Pracovnoprávna subjektivita organizačnej jednotky nie je otázkou všeobecnej právnej subjektivity podľa NOZ. Je to osobitný pracovnoprávny inštitút, ktorý využívajú právnické osoby s rozsiahlou štruktúrou.</w:t>
              <w:br/>
            </w:r>
            <w:r>
              <w:rPr>
                <w:b w:val="off"/>
                <w:color w:val="000000"/>
                <w:rFonts w:ascii="Times New Roman" w:hAnsi="Times New Roman" w:cs="Times New Roman" w:eastAsia="Times New Roman"/>
                <w:sz w:val="24"/>
              </w:rPr>
              <w:t>Pre zamestnávateľa vzniká riziko pre identifikáciu zamestnávateľa v existujúcich pracovných zmluvách, platnosť výpovedí a iných úkonov, kolektívne zmluvy uzavreté na úrovni jednotky aj zodpovednosť za záväzky. Zmena by si vyžiadala hromadné dodatky.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6 § 9, § 10</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9 Právne úkony za zamestnávateľa v pracovnoprávnych vzťahoch môže uskutočniť aj a) zamestnanec písomne poverený zamestnávateľom, b) zamestnanec na základe udeleného plnomocenstva od zamestnávateľa, c) zamestnanec bez výslovného poverenia alebo plnej moci, ak to vyplýva z jeho funkcie určenej organizačným predpisom.</w:t>
              <w:br/>
            </w:r>
            <w:r>
              <w:rPr>
                <w:b w:val="off"/>
                <w:color w:val="000000"/>
                <w:rFonts w:ascii="Times New Roman" w:hAnsi="Times New Roman" w:cs="Times New Roman" w:eastAsia="Times New Roman"/>
                <w:sz w:val="24"/>
              </w:rPr>
              <w:t>§ 10 Ak osoba konajúca za zamestnávateľa prekročila právnym úkonom v pracovnoprávnych vzťahoch svoje oprávnenie, zamestnávateľ nie je právnym úkonom viazaný, ak zamestnanec, voči ktorému sa konalo, vedel alebo musel vedieť, že osoba konajúca za zamestnávateľa svoje oprávnenie prekročila. To isté platí, ak právny úkon urobil zamestnanec zamestnávateľa, ktorý na to nebol oprávnený zo svojej funkcie, ani tým nebol poverený alebo splnomocnený.“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Doterajší text § 9 označiť ako odsek 1; v písmene c) za slová „organizačným predpisom“ vložiť slová „alebo iným vnútorným predpisom zamestnávateľa“ a doplniť odsek 2:</w:t>
              <w:br/>
            </w:r>
            <w:r>
              <w:rPr>
                <w:b w:val="off"/>
                <w:color w:val="000000"/>
                <w:rFonts w:ascii="Times New Roman" w:hAnsi="Times New Roman" w:cs="Times New Roman" w:eastAsia="Times New Roman"/>
                <w:sz w:val="24"/>
              </w:rPr>
              <w:t>„(2) Ustanovením odseku 1 nie je dotknuté oprávnenie zamestnávateľa nechať sa pri uskutočňovaní právnych úkonov v pracovnoprávnych vzťahoch zastúpiť inou osobou podľa ustanovení Občianskeho zákonníka o zastupovaní.“</w:t>
              <w:br/>
            </w:r>
            <w:r>
              <w:rPr>
                <w:b w:val="off"/>
                <w:color w:val="000000"/>
                <w:rFonts w:ascii="Times New Roman" w:hAnsi="Times New Roman" w:cs="Times New Roman" w:eastAsia="Times New Roman"/>
                <w:sz w:val="24"/>
              </w:rPr>
              <w:t>V § 10 druhej vete nahradiť slovo „urobil“ slovom „uskutočnil“ a slová „zamestnanec zamestnávateľa“ slovami „zamestnanec zamestnávateľa alebo iná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Plnomocenstvo sa v § 9 písm. b) spomína len vo vzťahu k zamestnancovi. Vzniká priestor pre výklad a contrario, že externá osoba (advokát, outsourcingová HR spoločnosť, materská spoločnosť v rámci skupiny) za zamestnávateľa konať nemôže. Takýto výklad zaujal Najvyšší súd SR (4Cdo 4/2012) a prekonal ho až nález I. ÚS 155/2017, na ktorý sa odvoláva sama dôvodová správa.</w:t>
              <w:br/>
            </w:r>
            <w:r>
              <w:rPr>
                <w:b w:val="off"/>
                <w:color w:val="000000"/>
                <w:rFonts w:ascii="Times New Roman" w:hAnsi="Times New Roman" w:cs="Times New Roman" w:eastAsia="Times New Roman"/>
                <w:sz w:val="24"/>
              </w:rPr>
              <w:t>Pre zamestnávateľa je zásadné, aby platnosť výpovede, okamžitého skončenia alebo dohody o skončení podpísaných splnomocnencom nebola spochybniteľná. Neplatnosť skončenia znamená riziko náhrady mzdy podľa § 79 ZP.</w:t>
              <w:br/>
            </w:r>
            <w:r>
              <w:rPr>
                <w:b w:val="off"/>
                <w:color w:val="000000"/>
                <w:rFonts w:ascii="Times New Roman" w:hAnsi="Times New Roman" w:cs="Times New Roman" w:eastAsia="Times New Roman"/>
                <w:sz w:val="24"/>
              </w:rPr>
              <w:t>Kompetenčné predpisy sa v praxi nevolajú vždy „organizačný poriadok“; spresnenie predchádza sporom o oprávnenie vedúcich zamestnancov. § 10 používa termín „urobil“, ktorý návrh inde dôsledne nahrádza.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19 § 15</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15 Spôsob prejavu vôle. V pracovnoprávnych vzťahoch právny úkon nemožno uskutočniť prostredníctvom činnosti automatizovaného systému zamestnávateľa alebo inej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 15 Spôsob prejavu vôle</w:t>
              <w:br/>
            </w:r>
            <w:r>
              <w:rPr>
                <w:b w:val="off"/>
                <w:color w:val="000000"/>
                <w:rFonts w:ascii="Times New Roman" w:hAnsi="Times New Roman" w:cs="Times New Roman" w:eastAsia="Times New Roman"/>
                <w:sz w:val="24"/>
              </w:rPr>
              <w:t>(1) V pracovnoprávnych vzťahoch nemožno právny úkon uskutočniť prostredníctvom činnosti automatizovaného systému zamestnávateľa alebo inej osoby, ak o jeho obsahu nerozhodla alebo ho neschválila fyzická osoba oprávnená tento právny úkon uskutočniť; použitie automatizovaného systému pri vyhotovení, spracovaní, podpísaní alebo odoslaní písomnosti, ktorou sa takto schválený právny úkon uskutočňuje,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48 ods. 1 NOZ pripúšťa prejav vôle prostredníctvom automatizovaného systému len vtedy, ak je systém „v moci osoby uskutočňujúcej prejav vôle“. Prejav vôle je teda vždy pripočítateľný konkrétnej osobe, ktorá za jeho obsah zodpovedá. Zamestnanca pred automatizovaným rozhodovaním s právnymi účinkami chráni aj čl. 22 nariadenia (EÚ) 2016/679 (GDPR). Osobitný zákaz v ZP preto nie je nevyhnutný a vytvára v pracovnoprávnych vzťahoch odchýlku od všeobecnej úpravy, ktorú dôvodová správa vecne nezdôvodňuje.</w:t>
              <w:br/>
            </w:r>
            <w:r>
              <w:rPr>
                <w:b w:val="off"/>
                <w:color w:val="000000"/>
                <w:rFonts w:ascii="Times New Roman" w:hAnsi="Times New Roman" w:cs="Times New Roman" w:eastAsia="Times New Roman"/>
                <w:sz w:val="24"/>
              </w:rPr>
              <w:t>Navrhované znenie nerozlišuje medzi situáciou, keď systém sám vytvorí obsah prejavu vôle, a situáciou, keď len technicky realizuje úkon, o ktorom rozhodla oprávnená osoba. Doslovne by sa dalo spochybniť aj hromadné elektronické podpisovanie a odosielanie dodatkov, mzdových výmerov či oznámení schválených oprávnenou osobou. Rovnako by bolo sporné, či zamestnanec môže potvrdiť dodatok v e-HR systéme zamestnávateľa. Navrhovaná formulácia viaže zákaz na absenciu ľudského rozhodnutia, nie na použitie systému.</w:t>
              <w:br/>
            </w:r>
            <w:r>
              <w:rPr>
                <w:b w:val="off"/>
                <w:color w:val="000000"/>
                <w:rFonts w:ascii="Times New Roman" w:hAnsi="Times New Roman" w:cs="Times New Roman" w:eastAsia="Times New Roman"/>
                <w:sz w:val="24"/>
              </w:rPr>
              <w:t>Podpis je súčasťou písomnej formy, nie len technickým úkonom. Jeho automatizované pripojenie je preto prípustné len pri úkone, ktorý oprávnená osoba vopred schválila. Navrhované znenie to výslovne vymedzuje.</w:t>
              <w:br/>
            </w:r>
            <w:r>
              <w:rPr>
                <w:b w:val="off"/>
                <w:color w:val="000000"/>
                <w:rFonts w:ascii="Times New Roman" w:hAnsi="Times New Roman" w:cs="Times New Roman" w:eastAsia="Times New Roman"/>
                <w:sz w:val="24"/>
              </w:rPr>
              <w:t xml:space="preserve">Zákon nevymedzuje, kedy ide o právny úkon a kedy o faktický výkon riadiacej právomoci (pracovné pokyny, plánovanie zmien, prideľovanie úloh) alebo o technickú činnosť (výpočet mzdy, evidencia dochádzky). </w:t>
              <w:br/>
            </w:r>
            <w:r>
              <w:rPr>
                <w:b w:val="off"/>
                <w:color w:val="000000"/>
                <w:rFonts w:ascii="Times New Roman" w:hAnsi="Times New Roman" w:cs="Times New Roman" w:eastAsia="Times New Roman"/>
                <w:sz w:val="24"/>
              </w:rPr>
              <w:t>Navrhované znenie neurčuje následok porušenia zákazu.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nadväznosti na rekodifikáciu súkromného práva je potrebné zosúladiť s novou úpravou aj nasledujúce právne predpisy v oblasti práva duševného vlastníctva, a to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8a, prípadne § 11 a § 12 zákona č. 506/2009 Z. z. o ochranných známkach v znení neskorších predpisov,</w:t>
              <w:br/>
            </w:r>
            <w:r>
              <w:rPr>
                <w:b w:val="off"/>
                <w:color w:val="000000"/>
                <w:rFonts w:ascii="Times New Roman" w:hAnsi="Times New Roman" w:cs="Times New Roman" w:eastAsia="Times New Roman"/>
                <w:sz w:val="24"/>
              </w:rPr>
              <w:t>§ 58, prípadne § 64 zákona č. 185/2015 Z. z. Autorský zákon v znení neskorších predpisov,</w:t>
              <w:br/>
            </w:r>
            <w:r>
              <w:rPr>
                <w:b w:val="off"/>
                <w:color w:val="000000"/>
                <w:rFonts w:ascii="Times New Roman" w:hAnsi="Times New Roman" w:cs="Times New Roman" w:eastAsia="Times New Roman"/>
                <w:sz w:val="24"/>
              </w:rPr>
              <w:t>§ 27, prípadne § 29 zákona č. 444/2002 Z. z. o dizajnoch v znení neskorších predpisov,</w:t>
              <w:br/>
            </w:r>
            <w:r>
              <w:rPr>
                <w:b w:val="off"/>
                <w:color w:val="000000"/>
                <w:rFonts w:ascii="Times New Roman" w:hAnsi="Times New Roman" w:cs="Times New Roman" w:eastAsia="Times New Roman"/>
                <w:sz w:val="24"/>
              </w:rPr>
              <w:t>§ 9, prípadne § 9a, § 10 a § 11 zákona č. 469/2003 Z. z. o označeniach pôvodu výrobkov a zemepisných označeniach výrobkov a o zmene a doplnení niektorých zákonov v znení neskorších predpisov,</w:t>
              <w:br/>
            </w:r>
            <w:r>
              <w:rPr>
                <w:b w:val="off"/>
                <w:color w:val="000000"/>
                <w:rFonts w:ascii="Times New Roman" w:hAnsi="Times New Roman" w:cs="Times New Roman" w:eastAsia="Times New Roman"/>
                <w:sz w:val="24"/>
              </w:rPr>
              <w:t>§ 19, prípadne § 19a a § 20 zákona č. 146/2000 Z. z. o ochrane topografií polovodičových výrobkov v znení neskorších predpisov,</w:t>
              <w:br/>
            </w:r>
            <w:r>
              <w:rPr>
                <w:b w:val="off"/>
                <w:color w:val="000000"/>
                <w:rFonts w:ascii="Times New Roman" w:hAnsi="Times New Roman" w:cs="Times New Roman" w:eastAsia="Times New Roman"/>
                <w:sz w:val="24"/>
              </w:rPr>
              <w:t>§ 32, prípadne § 32a, § 33 a § 34 zákona č. 435/2001 Z. z. o patentoch, dodatkových ochranných osvedčeniach a o zmene a doplnení niektorých zákonov (patentový zákon) v znení neskorších predpisov.</w:t>
              <w:br/>
            </w:r>
            <w:r>
              <w:rPr>
                <w:b w:val="off"/>
                <w:color w:val="000000"/>
                <w:rFonts w:ascii="Times New Roman" w:hAnsi="Times New Roman" w:cs="Times New Roman" w:eastAsia="Times New Roman"/>
                <w:sz w:val="24"/>
              </w:rPr>
              <w:t>§ 19, prípadne § 23 zákona č. 517/2007 Z. z. o úžitkových vzoroch a o zmene a doplnení niektorých zákonov v znení neskorších predpisov,</w:t>
              <w:br/>
            </w:r>
            <w:r>
              <w:rPr>
                <w:b w:val="off"/>
                <w:color w:val="000000"/>
                <w:rFonts w:ascii="Times New Roman" w:hAnsi="Times New Roman" w:cs="Times New Roman" w:eastAsia="Times New Roman"/>
                <w:sz w:val="24"/>
              </w:rPr>
              <w:t>§ 13 zákona č. 202/2009 Z. z. o právnej ochrane odrôd rastlín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Predpisy z oblasti priemysleného vlastníctva možno novelizovať v podstate rovnakým ustanovením, napr. pre § 8a a § 11 zákona o ochranných známkach: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všeobecne o nárokoch</w:t>
              <w:br/>
            </w:r>
            <w:r>
              <w:rPr>
                <w:b w:val="off"/>
                <w:color w:val="000000"/>
                <w:rFonts w:ascii="Times New Roman" w:hAnsi="Times New Roman" w:cs="Times New Roman" w:eastAsia="Times New Roman"/>
                <w:sz w:val="24"/>
              </w:rPr>
              <w:t>(1) Majiteľ ochrannej známky, do ktorého práva sa neoprávnene zasiahlo alebo ktorého právu hrozí neoprávnený zásah, sa môže od rušiteľa domáhať najmä</w:t>
              <w:br/>
            </w:r>
            <w:r>
              <w:rPr>
                <w:b w:val="off"/>
                <w:color w:val="000000"/>
                <w:rFonts w:ascii="Times New Roman" w:hAnsi="Times New Roman" w:cs="Times New Roman" w:eastAsia="Times New Roman"/>
                <w:sz w:val="24"/>
              </w:rPr>
              <w:t>a) určenia existencie tohto zásahu,</w:t>
              <w:br/>
            </w:r>
            <w:r>
              <w:rPr>
                <w:b w:val="off"/>
                <w:color w:val="000000"/>
                <w:rFonts w:ascii="Times New Roman" w:hAnsi="Times New Roman" w:cs="Times New Roman" w:eastAsia="Times New Roman"/>
                <w:sz w:val="24"/>
              </w:rPr>
              <w:t>b) odstránenia a zdržania protiprávneho konania,</w:t>
              <w:br/>
            </w:r>
            <w:r>
              <w:rPr>
                <w:b w:val="off"/>
                <w:color w:val="000000"/>
                <w:rFonts w:ascii="Times New Roman" w:hAnsi="Times New Roman" w:cs="Times New Roman" w:eastAsia="Times New Roman"/>
                <w:sz w:val="24"/>
              </w:rPr>
              <w:t>c) poskytnutia informácií,</w:t>
              <w:br/>
            </w:r>
            <w:r>
              <w:rPr>
                <w:b w:val="off"/>
                <w:color w:val="000000"/>
                <w:rFonts w:ascii="Times New Roman" w:hAnsi="Times New Roman" w:cs="Times New Roman" w:eastAsia="Times New Roman"/>
                <w:sz w:val="24"/>
              </w:rPr>
              <w:t>d) náhrady majetkovej a nemajetkovej ujmy,</w:t>
              <w:br/>
            </w:r>
            <w:r>
              <w:rPr>
                <w:b w:val="off"/>
                <w:color w:val="000000"/>
                <w:rFonts w:ascii="Times New Roman" w:hAnsi="Times New Roman" w:cs="Times New Roman" w:eastAsia="Times New Roman"/>
                <w:sz w:val="24"/>
              </w:rPr>
              <w:t>e) vydania bezdôvodného obohatenia a</w:t>
              <w:br/>
            </w:r>
            <w:r>
              <w:rPr>
                <w:b w:val="off"/>
                <w:color w:val="000000"/>
                <w:rFonts w:ascii="Times New Roman" w:hAnsi="Times New Roman" w:cs="Times New Roman" w:eastAsia="Times New Roman"/>
                <w:sz w:val="24"/>
              </w:rPr>
              <w:t>f) poskytnutia súčinnosti zo strany tretích osôb.</w:t>
              <w:br/>
            </w:r>
            <w:r>
              <w:rPr>
                <w:b w:val="off"/>
                <w:color w:val="000000"/>
                <w:rFonts w:ascii="Times New Roman" w:hAnsi="Times New Roman" w:cs="Times New Roman" w:eastAsia="Times New Roman"/>
                <w:sz w:val="24"/>
              </w:rPr>
              <w:t>(2) Na podmienky uplatnenia jednotlivých nárokov podľa odseku 1 sa obdobne uplatnia ustanovenia § 735 až 739 občianskeho zákonníka, ak tento zákon neustanovie inak.</w:t>
              <w:br/>
            </w:r>
            <w:r>
              <w:rPr>
                <w:b w:val="off"/>
                <w:color w:val="000000"/>
                <w:rFonts w:ascii="Times New Roman" w:hAnsi="Times New Roman" w:cs="Times New Roman" w:eastAsia="Times New Roman"/>
                <w:sz w:val="24"/>
              </w:rPr>
              <w:t>(3) Majiteľovi ochrannej známky patria prostriedky ochrany podľa odseku 1 aj v prípade zásahov, ktoré sa uskutočnili po zverejnení prihlášky; uplatnenie týchto práv je však možné až odo dňa, od ktorého nastávajú účinky zápisu ochrannej známky.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o informačnom nároku</w:t>
              <w:br/>
            </w:r>
            <w:r>
              <w:rPr>
                <w:b w:val="off"/>
                <w:color w:val="000000"/>
                <w:rFonts w:ascii="Times New Roman" w:hAnsi="Times New Roman" w:cs="Times New Roman" w:eastAsia="Times New Roman"/>
                <w:sz w:val="24"/>
              </w:rPr>
              <w:t>(1) Pri neoprávnenom zásahu do práv chránených týmto zákonom môže majiteľ ochrannej známky žiadať, aby mu rušiteľ, alebo tretia osoba zaviazaná k súčinnosti podľa § 735 a 736 občianskeho zákonníka, poskytla najmä</w:t>
              <w:br/>
            </w:r>
            <w:r>
              <w:rPr>
                <w:b w:val="off"/>
                <w:color w:val="000000"/>
                <w:rFonts w:ascii="Times New Roman" w:hAnsi="Times New Roman" w:cs="Times New Roman" w:eastAsia="Times New Roman"/>
                <w:sz w:val="24"/>
              </w:rPr>
              <w:t>a) meno a priezvisko alebo obchodné meno, alebo názov a miesto trvalého pobytu alebo miesto podnikania, alebo sídlo producenta, výrobcu, spracovateľa, skladovateľa, distributéra, dodávateľa, predajcu, zamýšľaného predajcu a iných predchádzajúcich držiteľov tovaru alebo poskytovateľa služieb,</w:t>
              <w:br/>
            </w:r>
            <w:r>
              <w:rPr>
                <w:b w:val="off"/>
                <w:color w:val="000000"/>
                <w:rFonts w:ascii="Times New Roman" w:hAnsi="Times New Roman" w:cs="Times New Roman" w:eastAsia="Times New Roman"/>
                <w:sz w:val="24"/>
              </w:rPr>
              <w:t>b) údaje o vyrobenom, spracovanom, dodanom alebo objednanom množstve a o cene príslušných tovarov alebo služieb.</w:t>
              <w:br/>
            </w:r>
            <w:r>
              <w:rPr>
                <w:b w:val="off"/>
                <w:color w:val="000000"/>
                <w:rFonts w:ascii="Times New Roman" w:hAnsi="Times New Roman" w:cs="Times New Roman" w:eastAsia="Times New Roman"/>
                <w:sz w:val="24"/>
              </w:rPr>
              <w:t>(3) Treťou osobou podľa odsekov 1 sa rozumie aj osoba, ktorá</w:t>
              <w:br/>
            </w:r>
            <w:r>
              <w:rPr>
                <w:b w:val="off"/>
                <w:color w:val="000000"/>
                <w:rFonts w:ascii="Times New Roman" w:hAnsi="Times New Roman" w:cs="Times New Roman" w:eastAsia="Times New Roman"/>
                <w:sz w:val="24"/>
              </w:rPr>
              <w:t>a) má v držbe tovary porušujúce alebo ohrozujúce práva podľa tohto zákona,</w:t>
              <w:br/>
            </w:r>
            <w:r>
              <w:rPr>
                <w:b w:val="off"/>
                <w:color w:val="000000"/>
                <w:rFonts w:ascii="Times New Roman" w:hAnsi="Times New Roman" w:cs="Times New Roman" w:eastAsia="Times New Roman"/>
                <w:sz w:val="24"/>
              </w:rPr>
              <w:t>b) využíva služby, ktoré porušujú alebo ohrozujú práva podľa tohto zákona,</w:t>
              <w:br/>
            </w:r>
            <w:r>
              <w:rPr>
                <w:b w:val="off"/>
                <w:color w:val="000000"/>
                <w:rFonts w:ascii="Times New Roman" w:hAnsi="Times New Roman" w:cs="Times New Roman" w:eastAsia="Times New Roman"/>
                <w:sz w:val="24"/>
              </w:rPr>
              <w:t>c) poskytuje služby využívané v činnostiach spojených s porušovaním alebo ohrozovaním práv podľa tohto zákona alebo</w:t>
              <w:br/>
            </w:r>
            <w:r>
              <w:rPr>
                <w:b w:val="off"/>
                <w:color w:val="000000"/>
                <w:rFonts w:ascii="Times New Roman" w:hAnsi="Times New Roman" w:cs="Times New Roman" w:eastAsia="Times New Roman"/>
                <w:sz w:val="24"/>
              </w:rPr>
              <w:t>d) bola osobou uvedenou v písmenách a) až c) označená ako osoba zúčastnená na výrobe, spracovaní alebo distribúcii tovarov alebo poskytovaní služieb porušujúcich alebo ohrozujúcich práva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oblasti autorského práva, je potrebné upraviť § 58 autorského zákona:</w:t>
              <w:br/>
            </w:r>
            <w:r>
              <w:rPr>
                <w:b w:val="off"/>
                <w:color w:val="000000"/>
                <w:rFonts w:ascii="Times New Roman" w:hAnsi="Times New Roman" w:cs="Times New Roman" w:eastAsia="Times New Roman"/>
                <w:sz w:val="24"/>
              </w:rPr>
              <w:t>(1) Autor, do ktorého práva sa neoprávnene zasiahlo alebo ktorého právu hrozí neoprávnený zásah, sa môže domáhať najmä</w:t>
              <w:br/>
            </w:r>
            <w:r>
              <w:rPr>
                <w:b w:val="off"/>
                <w:color w:val="000000"/>
                <w:rFonts w:ascii="Times New Roman" w:hAnsi="Times New Roman" w:cs="Times New Roman" w:eastAsia="Times New Roman"/>
                <w:sz w:val="24"/>
              </w:rPr>
              <w:t>a) určenia svojho autorstva,</w:t>
              <w:br/>
            </w:r>
            <w:r>
              <w:rPr>
                <w:b w:val="off"/>
                <w:color w:val="000000"/>
                <w:rFonts w:ascii="Times New Roman" w:hAnsi="Times New Roman" w:cs="Times New Roman" w:eastAsia="Times New Roman"/>
                <w:sz w:val="24"/>
              </w:rPr>
              <w:t>b) odstránenia a zdržania protiprávneho konania,</w:t>
              <w:br/>
            </w:r>
            <w:r>
              <w:rPr>
                <w:b w:val="off"/>
                <w:color w:val="000000"/>
                <w:rFonts w:ascii="Times New Roman" w:hAnsi="Times New Roman" w:cs="Times New Roman" w:eastAsia="Times New Roman"/>
                <w:sz w:val="24"/>
              </w:rPr>
              <w:t>c) poskytnutia informácií,</w:t>
              <w:br/>
            </w:r>
            <w:r>
              <w:rPr>
                <w:b w:val="off"/>
                <w:color w:val="000000"/>
                <w:rFonts w:ascii="Times New Roman" w:hAnsi="Times New Roman" w:cs="Times New Roman" w:eastAsia="Times New Roman"/>
                <w:sz w:val="24"/>
              </w:rPr>
              <w:t>d) náhrady majetkovej a nemajetkovej ujmy,</w:t>
              <w:br/>
            </w:r>
            <w:r>
              <w:rPr>
                <w:b w:val="off"/>
                <w:color w:val="000000"/>
                <w:rFonts w:ascii="Times New Roman" w:hAnsi="Times New Roman" w:cs="Times New Roman" w:eastAsia="Times New Roman"/>
                <w:sz w:val="24"/>
              </w:rPr>
              <w:t>e) vydania bezdôvodného obohatenia.</w:t>
              <w:br/>
            </w:r>
            <w:r>
              <w:rPr>
                <w:b w:val="off"/>
                <w:color w:val="000000"/>
                <w:rFonts w:ascii="Times New Roman" w:hAnsi="Times New Roman" w:cs="Times New Roman" w:eastAsia="Times New Roman"/>
                <w:sz w:val="24"/>
              </w:rPr>
              <w:t>f) poskytnutia súčinnosti zo strany tretích osôb,</w:t>
              <w:br/>
            </w:r>
            <w:r>
              <w:rPr>
                <w:b w:val="off"/>
                <w:color w:val="000000"/>
                <w:rFonts w:ascii="Times New Roman" w:hAnsi="Times New Roman" w:cs="Times New Roman" w:eastAsia="Times New Roman"/>
                <w:sz w:val="24"/>
              </w:rPr>
              <w:t>(2) Na podmienky uplatnenia jednotlivých nárokov podľa odseku 1 sa obdobne uplatnia ustanovenia § 735 až 739 občianskeho zákonníka, ak tento zákon neustanovie inak.</w:t>
              <w:br/>
            </w:r>
            <w:r>
              <w:rPr>
                <w:b w:val="off"/>
                <w:color w:val="000000"/>
                <w:rFonts w:ascii="Times New Roman" w:hAnsi="Times New Roman" w:cs="Times New Roman" w:eastAsia="Times New Roman"/>
                <w:sz w:val="24"/>
              </w:rPr>
              <w:t>(3) Poskytnutie informácií podľa ods. 1 zahŕňa aj informácie o pôvode rozmnoženiny alebo sprístupňovaní diela verejnosti alebo napodobeniny diela, o spôsobe a rozsahu jej použitia a o službách porušujúcich právo autora vrátane údajov o</w:t>
              <w:br/>
            </w:r>
            <w:r>
              <w:rPr>
                <w:b w:val="off"/>
                <w:color w:val="000000"/>
                <w:rFonts w:ascii="Times New Roman" w:hAnsi="Times New Roman" w:cs="Times New Roman" w:eastAsia="Times New Roman"/>
                <w:sz w:val="24"/>
              </w:rPr>
              <w:t>1. vlastníkovi, vydavateľovi, výrobcovi, distributérovi, dodávateľovi, prijímateľovi, odosielateľovi, vývozcovi alebo predajcovi rozmnoženiny diela alebo napodobeniny diela alebo o poskytovateľovi služieb,</w:t>
              <w:br/>
            </w:r>
            <w:r>
              <w:rPr>
                <w:b w:val="off"/>
                <w:color w:val="000000"/>
                <w:rFonts w:ascii="Times New Roman" w:hAnsi="Times New Roman" w:cs="Times New Roman" w:eastAsia="Times New Roman"/>
                <w:sz w:val="24"/>
              </w:rPr>
              <w:t>2. vydanom, vyrobenom, dodanom, poskytnutom, prijatom, odoslanom, vyvezenom alebo objednanom množstve alebo cene rozmnoženiny diela, napodobeniny diela alebo služby,</w:t>
              <w:br/>
            </w:r>
            <w:r>
              <w:rPr>
                <w:b w:val="off"/>
                <w:color w:val="000000"/>
                <w:rFonts w:ascii="Times New Roman" w:hAnsi="Times New Roman" w:cs="Times New Roman" w:eastAsia="Times New Roman"/>
                <w:sz w:val="24"/>
              </w:rPr>
              <w:t>3.užívateľoch a poskytovateľoch elektronických komunikačných služieb a služieb poskytujúcich obsah,23)</w:t>
              <w:br/>
            </w:r>
            <w:r>
              <w:rPr>
                <w:b w:val="off"/>
                <w:color w:val="000000"/>
                <w:rFonts w:ascii="Times New Roman" w:hAnsi="Times New Roman" w:cs="Times New Roman" w:eastAsia="Times New Roman"/>
                <w:sz w:val="24"/>
              </w:rPr>
              <w:t>4. rozsahu použitia diela,</w:t>
              <w:br/>
            </w:r>
            <w:r>
              <w:rPr>
                <w:b w:val="off"/>
                <w:color w:val="000000"/>
                <w:rFonts w:ascii="Times New Roman" w:hAnsi="Times New Roman" w:cs="Times New Roman" w:eastAsia="Times New Roman"/>
                <w:sz w:val="24"/>
              </w:rPr>
              <w:t>5. priamom alebo nepriamom majetkovom prospechu súvisiacom s takýmto porušením,</w:t>
              <w:br/>
            </w:r>
            <w:r>
              <w:rPr>
                <w:b w:val="off"/>
                <w:color w:val="000000"/>
                <w:rFonts w:ascii="Times New Roman" w:hAnsi="Times New Roman" w:cs="Times New Roman" w:eastAsia="Times New Roman"/>
                <w:sz w:val="24"/>
              </w:rPr>
              <w:t>(4) Odstránenie následkov zásahu podľa ods. 1 zahŕňa najmä</w:t>
              <w:br/>
            </w:r>
            <w:r>
              <w:rPr>
                <w:b w:val="off"/>
                <w:color w:val="000000"/>
                <w:rFonts w:ascii="Times New Roman" w:hAnsi="Times New Roman" w:cs="Times New Roman" w:eastAsia="Times New Roman"/>
                <w:sz w:val="24"/>
              </w:rPr>
              <w:t>1. zničenie neoprávnene vyhotovenej rozmnoženiny diela alebo napodobeniny diela, jej stiahnutie z obehu alebo z iného použitia alebo</w:t>
              <w:br/>
            </w:r>
            <w:r>
              <w:rPr>
                <w:b w:val="off"/>
                <w:color w:val="000000"/>
                <w:rFonts w:ascii="Times New Roman" w:hAnsi="Times New Roman" w:cs="Times New Roman" w:eastAsia="Times New Roman"/>
                <w:sz w:val="24"/>
              </w:rPr>
              <w:t>2. zničenie materiálov, nástrojov a pomôcok podľa § 60 a 61 použitých pri neoprávnenom zásahu alebo hrozbe neoprávneného zásahu, ich stiahnutie z obehu alebo z iného použitia,</w:t>
              <w:br/>
            </w:r>
            <w:r>
              <w:rPr>
                <w:b w:val="off"/>
                <w:color w:val="000000"/>
                <w:rFonts w:ascii="Times New Roman" w:hAnsi="Times New Roman" w:cs="Times New Roman" w:eastAsia="Times New Roman"/>
                <w:sz w:val="24"/>
              </w:rPr>
              <w:t>(5) Informácie podľa odseku 3 je povinná poskytnúť aj tretia osoba zaviazaná k súčinnosti podľa § 735 a 736 občianskeho zákonníka, najmä osoba, ktorá</w:t>
              <w:br/>
            </w:r>
            <w:r>
              <w:rPr>
                <w:b w:val="off"/>
                <w:color w:val="000000"/>
                <w:rFonts w:ascii="Times New Roman" w:hAnsi="Times New Roman" w:cs="Times New Roman" w:eastAsia="Times New Roman"/>
                <w:sz w:val="24"/>
              </w:rPr>
              <w:t>a) má v držbe rozmnoženinu diela alebo napodobeninu diela,</w:t>
              <w:br/>
            </w:r>
            <w:r>
              <w:rPr>
                <w:b w:val="off"/>
                <w:color w:val="000000"/>
                <w:rFonts w:ascii="Times New Roman" w:hAnsi="Times New Roman" w:cs="Times New Roman" w:eastAsia="Times New Roman"/>
                <w:sz w:val="24"/>
              </w:rPr>
              <w:t>b) využíva služby porušujúce právo autora,</w:t>
              <w:br/>
            </w:r>
            <w:r>
              <w:rPr>
                <w:b w:val="off"/>
                <w:color w:val="000000"/>
                <w:rFonts w:ascii="Times New Roman" w:hAnsi="Times New Roman" w:cs="Times New Roman" w:eastAsia="Times New Roman"/>
                <w:sz w:val="24"/>
              </w:rPr>
              <w:t>c) poskytuje alebo prevádzkuje služby využívané pri porušovaní práv autora,</w:t>
              <w:br/>
            </w:r>
            <w:r>
              <w:rPr>
                <w:b w:val="off"/>
                <w:color w:val="000000"/>
                <w:rFonts w:ascii="Times New Roman" w:hAnsi="Times New Roman" w:cs="Times New Roman" w:eastAsia="Times New Roman"/>
                <w:sz w:val="24"/>
              </w:rPr>
              <w:t>d) bola označená osobou uvedenou v písmenách a) až c) ako osoba zúčastnená na výrobe, spracovaní alebo distribúcii rozmnoženiny diela, napodobeniny diela, na poskytovaní alebo prevádzkovaní služieb porušujúcich právo autora alebo na sprístupňovaní diela verejnosti spôsobom porušujúcim právo autora.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všetkých prípadoch ide len o lepšie previazanie osobitných ustanovení o nárokoch z PDV, ktoré sú teraz všeobecne a subsidiárne upravené v oblasti práva nekalej súťaže v novom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1.	Pripomienka – čl. XXXIII všeobecne 1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pripomienka a nasledovné osobitné pripomienky k spoločnému imaniu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úplne nedostatočná a bude viesť ťažko prekonateľným procesným problémom až nemožnosti v exekúcii postihnúť spoločný majetok manželov na strane povinného, pričom popiera zásady nového Občianskeho zákonníka a je aj v rozpore s účelom Exekučného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výhrada je zvlášť významná, pretože štatisticky sa nová úprava majetkových pomerov manželov týka v priemere 40 % všetkých exekučných konaní povinných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Mimozmluvné dlhy tvoria v priemere 45 % všetkých exekučných konaní. Ostatné druhy výlučného majetku nebolo možné štatisticky získať. Možno však kvalifikovane odhadnúť, že ich môže byť minimálne 5 %. Viac ako 50 % všetkých exekúcií tvoria výlučné dlhy. To znamená, že 20 % všetkých exekúcií je v režime výlučných dlhov a spoločného majetku povinného, kedy možno na výlučné dlhy použiť len polovicu spoločného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v 20 % všetkých exekúcií klesne vymožiteľnosť o 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zmene bezpodielového spoluvlastníctva manželov na spoločné imanie manželov nedochádza len k premenovaniu názvu pojmu, ale k podstatnej zmene jeho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Predmetom bezpodielového spoluvlastníctva manželov sú len to, čo môže byť predmetom vlastníctva (§ 143 OZ), bez ukotvenia žiadnej právnej domnienky. To znamená, že ak nejaká vec má patriť do BSM, tak sa to musí preukazovať.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imanie manželov je súhrn všetkých nadobudnutých právnych predmetov a vzniknutých dlhov manželov za trvania manželstva (§ 20 a § 291 NOZ) – koncipovaný ako vyvrátiteľná právna domnienka s dôkazným bremenom na strane tvrdiaceho. Teda skutočnosť, že predmet patrí do SIM – sa nemusí preukazovať (domnienka rozsahu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 exekučnom konaní zistí, že postihnutá vec patrí do BSM, tak sa manžel povinného stáva účastníkom konania. V praxi sa to týka len nehnuteľností, kde táto skutočnosť vyplýva z katastra nehnuteľností. Ničoho iného.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spoločnom dlhu je manžel povinného dlžníkom v rovnakom rozsahu ako povinný. Z tohto dôvodu je nutné s manželom povinného konať ako s účastníkom konania od začiatku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výlučného dlhu povinného je možné uspokojovať vymáhaný nárok aj zo spoločného majetku, preto je nutné s manželom povinného znovu jednať ako s účastníkom konania od začiatku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novely prakticky vylučuje exekvovať majetok manžela povinného, ktorý je spoločným majetkom. V exekučnom konaní možno zisťovať a zabezpečovať len majetok povinného – nie majetok manžela povinného. Poverenie je vydané na povinného nie na manžela povinného, teda exekútor ani podľa navrhovaného znenia novely nemá oprávnenie na zisťovacie a zabezpečovacie úkony časti spoločného majetku, ktorý nadobudol manžel povinného. Nič na to nezmení ani to, že na zisťovanie má nový nástroj ktorý nemôže použiť – úprava súčinnosti tretích osôb aj pre manžela povinného. Podľa doterajšej úpravy ako aj navrhovanej novely sa na účely exekúcie zisťuje majetok povinného a ak tento majetok by bol súčasťou SIM, tak až potom sa manžel povinného stáva účastníkom konania. Nie je možné za doterajšej ani navrhovanej úpravy zisťovať a zabezpečovať majetok manžela povinného (spoločný majetok, ktorý je evidovaný na jeho osobu), ktorý nie je účastníkom konania. V tomto rozsahu je navrhovaná úprava v rozpore s účelom Exekučného poriadku, teda vymoženia nároku oprávneného z majetku povinného, teda aj zo spoločného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sa nerieši vymáhanie spoločného dlhu od oboch manželov, ak návrh na vykonanie exekúcie smeruje len voči jednému z manželov. Oprávnený ani nemusí vedieť, že povinný má manžela.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exekučného konania je potrebné vyriešiť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výlučný majetok oprávneného, </w:t>
              <w:br/>
            </w:r>
            <w:r>
              <w:rPr>
                <w:b w:val="off"/>
                <w:color w:val="000000"/>
                <w:rFonts w:ascii="Times New Roman" w:hAnsi="Times New Roman" w:cs="Times New Roman" w:eastAsia="Times New Roman"/>
                <w:sz w:val="24"/>
              </w:rPr>
              <w:t xml:space="preserve">2.	spoločný majetok manželov oprávneného, </w:t>
              <w:br/>
            </w:r>
            <w:r>
              <w:rPr>
                <w:b w:val="off"/>
                <w:color w:val="000000"/>
                <w:rFonts w:ascii="Times New Roman" w:hAnsi="Times New Roman" w:cs="Times New Roman" w:eastAsia="Times New Roman"/>
                <w:sz w:val="24"/>
              </w:rPr>
              <w:t xml:space="preserve">3.	výlučný dlh povinného, </w:t>
              <w:br/>
            </w:r>
            <w:r>
              <w:rPr>
                <w:b w:val="off"/>
                <w:color w:val="000000"/>
                <w:rFonts w:ascii="Times New Roman" w:hAnsi="Times New Roman" w:cs="Times New Roman" w:eastAsia="Times New Roman"/>
                <w:sz w:val="24"/>
              </w:rPr>
              <w:t xml:space="preserve">4.	spoločný dlh manželov povinného, </w:t>
              <w:br/>
            </w:r>
            <w:r>
              <w:rPr>
                <w:b w:val="off"/>
                <w:color w:val="000000"/>
                <w:rFonts w:ascii="Times New Roman" w:hAnsi="Times New Roman" w:cs="Times New Roman" w:eastAsia="Times New Roman"/>
                <w:sz w:val="24"/>
              </w:rPr>
              <w:t xml:space="preserve">5.	spoločný majetok manželov povinného, </w:t>
              <w:br/>
            </w:r>
            <w:r>
              <w:rPr>
                <w:b w:val="off"/>
                <w:color w:val="000000"/>
                <w:rFonts w:ascii="Times New Roman" w:hAnsi="Times New Roman" w:cs="Times New Roman" w:eastAsia="Times New Roman"/>
                <w:sz w:val="24"/>
              </w:rPr>
              <w:t xml:space="preserve">6.	výlučný majetok povinného a </w:t>
              <w:br/>
            </w:r>
            <w:r>
              <w:rPr>
                <w:b w:val="off"/>
                <w:color w:val="000000"/>
                <w:rFonts w:ascii="Times New Roman" w:hAnsi="Times New Roman" w:cs="Times New Roman" w:eastAsia="Times New Roman"/>
                <w:sz w:val="24"/>
              </w:rPr>
              <w:t xml:space="preserve">7.	výlučný majetok manžela povinného.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faktory sú ešte multiplikované vznikom, zmenou a zánikom spoločného imania manželov s tým, či sa uskutočnili pred alebo počas exekučného konania. A toto celé je potrebné ešte vyriešiť aj pre staré exekúcie a doterajšie nové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Základná zásada SIM pre exekučné konanie je zásada, že všetky aktíva a pasíva nadobudnuté počas trvania manželstva, s výnimkami výslovne určenými zákonom, tvoria spoločné imanie manželov. Efektívny postup v exekučnom konaní je nasledovný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na vykonanie exekúcie oprávnený uvedie, či pri vymáhanom nároku sa jedná o výlučný alebo o spoločný majetok manželov oprávneného. V prípade spoločného majetku uvedie manžela oprávneného a ak sa jedná o bežný úkon, tak spoločného zástupcu. Exekučný súd musí pri posudzovaní návrhu na vykonanie exekúcie ustáliť, či sa jedná skutočne o bežný úkon oprávneného, ak nie, tak ho vyzve na opravu návrhu. riešenie  bodu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Manželovi oprávneného nie je možné odoprieť účastníctvo vo veci ochrany spoločného majetku, ktorý nemožno označiť za bežný, teda cenný majetok alebo majetok vyššej hodnoty (§ 296 NOZ).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druhej strane sa bude zisťovať, či vymáhaný nárok nepatrí do spoločných dlhov povinného. Ak súd u povinného zistí existenciu manželstva, tak manžela povinného uvedie priamo do poverenia na vykonanie exekúcie. Účastníctvo manžela povinného je dané hneď od začiatku exekúcie, pretože je prakticky nemožné exekvovať nejaký majetok, ktorý by nespadal do spoločného majetku. riešenie  bodu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Voči manželovi povinného v režime SIM nie je možné podľa doterajšej právnej úpravy efektívne viesť exekúciu na spoločný majetok, nakoľko nie je tak označený v poverení na vykonanie exekúcie, a teda exekútor sa voči nemu nemá ako preukázať tretím osobám pri zisťovacích a zabezpečovacích úkonoch alebo pri speňažovaní majetku. Ak má povinný uzavreté manželstvo, tak exekútor nemôže nič reálne postihnúť, bez toho, aby s manželom povinného jednal ako s účastníkom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Voči povinnému a manželovi povinného sa vedú samostatné exekúcie (pluralita exekúcií), aby plynutie jednotlivých lehôt ako aj ich úkony sa vzájomne neovplyvňovali. Povinný s manželom povinného netvoria nerozlučné spoločenstvo.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Exekútor po doručení poverenia na vykonanie exekúcie vydáva upovedomenie o začatí exekúcie, ktoré doručuje povinnému a manželovi povinného. Zároveň zabezpečuje zistený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upovedomení o začatí exekúcie budú účastníci konania poučený o povinnosti, že v danej lehote majú podať vyhlásenie, že vymáhaný nárok je výlučným dlhom a o stave spoločného imania manželov. Ak je vyhlásenie o výlučnom dlhu podané, tak sa považuje za námietky a súd o nich rozhodne. Ak súd určí, že sa jedná o výlučný dlh, tak to nemá vplyv na procesné postavenie manžela povinného. Bude to však znamenať určenie, že z výťažku sa na exekúciu môže použiť len jedna polovica a druhá polovica bude ako výlučný majetok patriť manželovi povinného.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Procesné vyjadrenie možnosti vyvrátenia právnej domnienky tvorby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povinnom vychádzame z domnienky, že jeho zistený majetok, je výlučný majetok (predpoklad § 304 ods. 1 OZ), ak sa nepreukáže opak a okrem prípadu, ak z registrov vyplýva, že sa jedná o spoločný majetok (čo je zároveň zachovanie súčasného modelu), a teda vychádza sa z princípu formálnej pravdy. Ak by sa aj preukázalo, že sa jedná o spoločný majetok, tak jediným procesným dôsledkom pre ďalší postup je len neexistencia prekážok vymáhania na strane manžela povinného, teda márne uplynutie lehoty na podanie návrhu na zastavenie exekúcie alebo jeho zamietnutie,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manželovi povinného vychádzame z opačnej domnienky, že zistený majetok je spoločný majetok, ak sa nepreukáže opak (§ 292 ods. 3 OZ). V prípade, ak by sa malo jednať o výlučný majetok manžela povinného jeho obranou je vylúčenie veci z exekúcie podľa § 44. Teda manžel povinného musí preukazovať, že sa jedná o výlučný majetok.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35 ods. 2</w:t>
              <w:br/>
            </w:r>
            <w:r>
              <w:rPr>
                <w:b w:val="off"/>
                <w:color w:val="000000"/>
                <w:rFonts w:ascii="Times New Roman" w:hAnsi="Times New Roman" w:cs="Times New Roman" w:eastAsia="Times New Roman"/>
                <w:sz w:val="24"/>
              </w:rPr>
              <w:t>Vychádzajúc zo všeobecnej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doterajšej právnej úprave je manžel povinného alebo bývalý manžel povinného účastníkom konania na základe účinku zo zákona. Pri všetkých ostatných účinkoch úkonov alebo zo zákona sa vyžaduje vydanie dodatku k povereniu na vykonanie exekúcie. Aj v tomto prípade sa navrhuje, aby to nebolo inak. Zároveň sa zavádza analógia intra legem pri pojmoch manžel povinného a bývalý manžel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Vydanie dodatku k povereniu  sa normuje pre prípad, ak povinný počas konania uzatvoril manželstvo, inak je táto otázka pokrytá postupom pred vydaním poverenia.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 ods.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Účastníkom konania je aj manžel povinného, bývalý manžel povinného a manžel oprávneného v prípade spoločného majetku oprávneného. Ak sa v tomto zákone používa pojem „povinný“ rozumie sa tým primerane aj pojem „manžel povinného“ alebo „bývalý manžel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35 ods. 4 a 5</w:t>
              <w:br/>
            </w:r>
            <w:r>
              <w:rPr>
                <w:b w:val="off"/>
                <w:color w:val="000000"/>
                <w:rFonts w:ascii="Times New Roman" w:hAnsi="Times New Roman" w:cs="Times New Roman" w:eastAsia="Times New Roman"/>
                <w:sz w:val="24"/>
              </w:rPr>
              <w:t>3.	Pripomienka k čl. XXXIII § 35 ods. 4 a 5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reakcii na novú úpravu § 39a je potrené ustanovenie § 35 ods. 4 a 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35 sa ods. 4 a 5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35 ods. 5</w:t>
              <w:br/>
            </w:r>
            <w:r>
              <w:rPr>
                <w:b w:val="off"/>
                <w:color w:val="000000"/>
                <w:rFonts w:ascii="Times New Roman" w:hAnsi="Times New Roman" w:cs="Times New Roman" w:eastAsia="Times New Roman"/>
                <w:sz w:val="24"/>
              </w:rPr>
              <w:t>4.	Pripomienka k čl. XXXIII  § 35 ods. 5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poslednej vety je v rozpore s hmotným právom – právnou domnienkou rozsahu SIM, podľa ktorej majetok, ktorý manželia nadobudli za trvania manželstva a dlhy, ktoré manželom vznikli za trvania manželstva, patria do spoločného imania manželov – táto skutočnosť sa nepreukazuje. Práve naopak preukazuje sa skutočnosť, že predmet nepatrí do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Ostatný text odseku 5 je len preformulovaná úprava doterajšieho textu (s rozšírením pre exekúciu prikázaním pohľadávky), pričom stále je to úprava pre režim BSM a nevhodná pre SIM.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39a</w:t>
              <w:br/>
            </w:r>
            <w:r>
              <w:rPr>
                <w:b w:val="off"/>
                <w:color w:val="000000"/>
                <w:rFonts w:ascii="Times New Roman" w:hAnsi="Times New Roman" w:cs="Times New Roman" w:eastAsia="Times New Roman"/>
                <w:sz w:val="24"/>
              </w:rPr>
              <w:t>5.	Pripomienka k čl. XXXIII § nový 39a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(i) súd pri vydávaní poverenia nezistil uzatvorenie manželstva v národnom registri, ale manželstvo bolo uzatvorené v zahraničí, (ii) povinný uzatvoril manželstvo v priebehu konania (iii )alebo sa jedná o exekúcie pred touto zmenou a povinný má uzatvorené manželstvo, tak sa exekútorovi dáva možnosť požiadať súd o vydanie dodatku k povereniu na vykonanie exekúcie, ak to bude považovať za potrebné – čo bude skoro v každom prípade – teda vtedy, keď bude postihovať spoločný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Procesne sa normuje zodpovednostná axióma, tak že výlučné dlhy exekútor vymáha hlavne z výlučného majetku povinného (§ 303 NOZ) a až potom zo spoločného majetku. Samozrejme je na uvážení exekútora vzhľadom na primeranosť vymáhaného nároku, zisteného majetku a hlavne možnosti speňaženia ako bude postupovať. Vymožené plnenie, ktorého polovica patrí do výlučného majetku manžela povinného, exekútor zašle na jeho bankový účet. Aby nedošlo k situácii, že banka tieto prostriedky znova zablokuje na exekúciu, tak exekútor elektronicky oznámi banke, že táto suma je vylúčená z exekúcie. Ak však je manžel povinného zaťažený prihlásenými pohľadávkami alebo pohľadávkami, na ktoré musí byť braný ohľad (napr. založené pohľadávky), tak v takom prípade má exekútor nárok na odmenu vychádzajúc zo zásady odplatnosti exekučného konania. Výdavky na speňaženie sa delia v takom prípade na polovicu.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sa, že spoločné dlhy exekútor vymáha zo spoločného majetku povinného a výlučného majetku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Zmluva o spoločnom imaní manželov nemôže byť nástrojom na obchádzanie zákona a znižovanie vymožiteľnosti v exekúcii. Jedná sa o procesné vyjadrenie § 297 ods. 2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35 ods. 4 (účinok neskoršieho vyporiadania BSM na oprávneného počas exekúcie) bolo potrebné prepracovať a systematicky premiestniť do tohto paragrafu. Exekúcia sa vedie na výlučný majetok povinného, spoločný majetok a na výlučný majetok manžela povinného. Bývalý manželia sa stávajú solidárni dlžníci.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sa postup voči bývalému manželovi pri spoločných dlhoch, ak SIM zaniklo pred začatím exekúcie. Bývalý manžel povinného sa stáva účastníkom konania vydaním dodatku k povereniu na vykonanie exekúcie. Exekúcia sa vedie na výlučný majetok povinného, spoločný majetok a na výlučný majetok manžela povinného. Bývalý manželia sa stávajú solidárni dlžníci.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Vychádzame z hmotnoprávnej domnienky, že všetky dlhy sú spoločné dlhy a že spoločné imanie manželov nezaniklo.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povinnom vychádzame z domnienky, že jeho zistený majetok, je výlučný majetok, ak sa nepreukáže opak a okrem prípadu, ak z registrov vyplýva, že sa jedná o spoločný majetok (čo je zároveň zachovanie súčasného modelu), a teda vychádza sa z princípu formálnej pravdy. Ak by sa aj preukázalo, že sa jedná o spoločný majetok, tak jediným procesným dôsledkom pre ďalší postup je len neexistencia prekážok vymáhania na strane manžela povinného, teda márne uplynutie lehoty na podanie návrhu na zastavenie exekúcie alebo jeho zamietnutie,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manželovi povinného vychádzame z opačnej domnienky, že zistený majetok je spoločný majetok, ak sa nepreukáže opak. V prípade, ak by sa malo jednať o výlučný majetok manžela povinného jeho obranou je vylúčenie veci z exekúcie podľa § 44. Teda manžel povinného musí preukazovať, že sa jedná o výlučný majetok.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procesne vyjadriť § 292 ods. 5 NOZ. Jedná sa o prípad, kedy sa vymáha výlučný dlh povinného proti manželovi povinného, tak nemožno viesť exekúciu zrážkami zo mzdy a iných príjmov, nakoľko zrážka sa vykonáva ešte pred momentom, kedy manžel povinného nadobudol možnosť so mzdou alebo iným príjmom nakladať.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Špeciálne sa upravuje právny režim majetku z pohľadu SIM pre pohľadávky výživného ako výlučný dlh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39 sa vkladá § 39a,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39a</w:t>
              <w:br/>
            </w:r>
            <w:r>
              <w:rPr>
                <w:b w:val="off"/>
                <w:color w:val="000000"/>
                <w:rFonts w:ascii="Times New Roman" w:hAnsi="Times New Roman" w:cs="Times New Roman" w:eastAsia="Times New Roman"/>
                <w:sz w:val="24"/>
              </w:rPr>
              <w:t>Spoločné imanie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exekútor zistí, že povinný má uzatvorené manželstvo, požiada súd o vydanie dodatku k povereniu na vykonanie exekúcie na manžela povinného, ak to považuje za potrebné. To isté platí voči bývalému manželovi povinného, ak sa vymáha spoločný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Výlučné dlhy exekútor vymáha hlavne z výlučného majetku povinného a potom zo spoločného majetku, a to primerane k vymáhanému nároku, zistenému majetku, možnosti speňaženia a z dôvodov hodných osobitného zreteľa, najmä ak výlučný majetok povinného slúži na uspokojovanie bytových potrieb rodiny. Na uspokojenie vymáhaného nároku možno použiť najviac prvú polovicu hodnoty postihnutého predmetu spoločného majetku a druhú polovicu exekútor bezhotovostne vyplatí manželovi povinného ako jeho výlučný majetok, a to po zrazení prihlásených pohľadávok alebo pohľadávok, na ktoré musí prihliadať, v lehote rovnakej ako u oprávneného. Exekútor má nárok na odmenu exekútora z vymožených pohľadávok pre oprávnených manžela povinného. Výdavky speňaženia sa v takom prípade delia na polovicu. Exekútor elektronicky oznámi banke manžela povinného, že vyplatená suma na jeho účet nepodlieha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Spoločné dlhy exekútor vymáha zo spoločného majetku povinného, výlučného majetku povinného a výlučného majetku manžela povinného.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Zúženie rozsahu zákonného spoločného imania manželov alebo vyhradenie vzniku spoločného imania ku dňu zániku manželstva zmluvou o spoločnom imaní manželov nemá vplyv na výkon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vymáhaný nárok je spoločným dlhom a spoločné imanie manželov zaniklo po začatí exekúcie, tak neskoršie vyporiadanie spoločného imania manželov, a to ani účinkom zo zákona, nemá právne účinky voči oprávnenému. Povinný, manžel povinného alebo bývalý manžel povinného sú solidárnymi dlžníkmi.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vymáhaný nárok bol spoločným dlhom a spoločné imanie manželov zaniklo pred začatím exekúcie, tak exekútor požiada súd o vydanie dodatku k povereniu na vykonanie exekúcie na manžela povinného alebo bývalého manžela povinného, ak vyporiadané nebolo, a to ani účinkom zo zákona, tak platí, že nemá právne účinky voči oprávnenému. Povinný, manžel povinného alebo bývalý manžel povinného sú solidárnymi dlžníkmi.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Predpokladá sa, že v prípade trvania manželstva povinného je vymáhaný nárok spoločným dlhom a že spoločné imanie manželov nezaniklo, ak sa nepreukáže 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nepreukáže opak alebo ak to nevyplýva zo zápisu v osobitnom registri, pri ktorom sa predpokladá, že údaje v ňom sú záväzné, tak sa predpokladá, že zistený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povinného je jeho výlučným majetkom,</w:t>
              <w:br/>
            </w:r>
            <w:r>
              <w:rPr>
                <w:b w:val="off"/>
                <w:color w:val="000000"/>
                <w:rFonts w:ascii="Times New Roman" w:hAnsi="Times New Roman" w:cs="Times New Roman" w:eastAsia="Times New Roman"/>
                <w:sz w:val="24"/>
              </w:rPr>
              <w:t>b)	manžela povinného je spoločným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vymáhaní výlučného dlhu povinného proti manželovi povinného nemožno viesť exekúciu zrážkami zo mzdy a iných príjmov. To platí rovnako ak manžel povinného nie je uvedený ako osoba povinná z exekučného titulu.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prípade vymáhania pohľadávky na výživnom sa jedná o výlučný dlh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39b</w:t>
              <w:br/>
            </w:r>
            <w:r>
              <w:rPr>
                <w:b w:val="off"/>
                <w:color w:val="000000"/>
                <w:rFonts w:ascii="Times New Roman" w:hAnsi="Times New Roman" w:cs="Times New Roman" w:eastAsia="Times New Roman"/>
                <w:sz w:val="24"/>
              </w:rPr>
              <w:t>6.	Pripomienka k čl. XXXIII § nový 39b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vyriešiť problematiku napadnutia právnej domnienky rozsahu SIM pri spoločných dlhoch manželov. V prípade, ak v lehote do 15 dní od doručenia upovedomenia o začatí exekúcie alebo od vzniku určenej právnej skutočnosti povinný alebo manžel povinného podá vyhlásenie ako skutkového tvrdenia o výlučnom dlhu, tak je potrebné toto vyhlásenie považovať za námietky, o ktorých je potrebné rozhodnúť.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Problematiku výlučného dlhu povinného alebo spoločného dlhu manželov povinnému navrhovaná úprava vôbec nerieši.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39a sa vkladá § 39b,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39b</w:t>
              <w:br/>
            </w:r>
            <w:r>
              <w:rPr>
                <w:b w:val="off"/>
                <w:color w:val="000000"/>
                <w:rFonts w:ascii="Times New Roman" w:hAnsi="Times New Roman" w:cs="Times New Roman" w:eastAsia="Times New Roman"/>
                <w:sz w:val="24"/>
              </w:rPr>
              <w:t>Námietky výlučného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povinný alebo manžel povinného podá v určenej lehote vyhlásenie ako skutkové tvrdenie o výlučnom dlhu, tak sa toto vyhlásenie považuje za námietky výlučného dlhu a exekútor bezodkladne vyzve oprávneného na vyjadrenie sa k námietkam v lehote nie kratšej ako desať dní. Ak sa o skutkové tvrdenie nejedná, tak sa na námietky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oprávnený so zastavením exekúcie súhlasí, exekútor vymáhaný nárok ďalej vymáha ako výlučný dlh, o čom upovedomí účastníkov konania, inak do piatich pracovných dní po uplynutí lehoty na vyjadrenie sa oprávneného exekútor predloží námietky spolu so svojím vyjadrením a prípadným vyjadrením oprávneného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Riadne a včas podané námietky výlučného dlhu majú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prejednanie námietok výlučného dlhu nie je potrebné nariaďovať pojednávanie. Pred rozhodnutím môže súd nariadiť vypočutie určitej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tu dôvod pre výlučný dlh, súd do 30 dní určí, že sa jedná o výlučný dlh; inak námietky zamietne. Ak súd námietky výlučného dlhu zamietol z dôvodu, že námietky boli podané oneskorene, i keď tu dôvod pre výlučný dlh je, manžel povinného má právo domáhať sa vrátenia plnenia žalobou podanou voči oprávnenému.“.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41 ods. 4</w:t>
              <w:br/>
            </w:r>
            <w:r>
              <w:rPr>
                <w:b w:val="off"/>
                <w:color w:val="000000"/>
                <w:rFonts w:ascii="Times New Roman" w:hAnsi="Times New Roman" w:cs="Times New Roman" w:eastAsia="Times New Roman"/>
                <w:sz w:val="24"/>
              </w:rPr>
              <w:t>7.	Pripomienka k čl. XXXIII § 41 ods. 4 nové písm. e)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Povinný ako aj manžel povinného je účastníkom konania od jeho začiatku. V rámci vyhlásenia o majetku je pre výkon exekúcie potrebné, aby vyhlásenie o majetku bolo rozdelené na výlučný majetok povinného, spoločný majetok povinného a výlučný majetok manžela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41 ods. 4 sa za písm. d) vkladá nové písm. 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rozdelenie majetku na výlučný majetok povinného, spoločný majetok a výlučný majetok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48 ods. 3</w:t>
              <w:br/>
            </w:r>
            <w:r>
              <w:rPr>
                <w:b w:val="off"/>
                <w:color w:val="000000"/>
                <w:rFonts w:ascii="Times New Roman" w:hAnsi="Times New Roman" w:cs="Times New Roman" w:eastAsia="Times New Roman"/>
                <w:sz w:val="24"/>
              </w:rPr>
              <w:t>8.	Pripomienka k čl. XXXIII § 48 ods. 3 nové písm. c) a d)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Vychádzame z právnej domnienky, že majetok nadobudnutý za trvania manželstva patrí do spoločného imania manželov. Pričom z nakladania so spoločným imaním sú oprávnení a povinní spoločne a nerozdielne. Bežné nakladanie so spoločným imaním môže vykonávať každý z manželov sám. Avšak ak nejde o bežné nakladanie so spoločným imaním, je potrebný súhlas oboch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upraviť náležitosti návrhu na vykonanie exekúcie, kedy je potrebné v prípade spoločného majetku označiť manžela oprávneného. Pri bežných úkonoch sa uvedie spoločný zástupca. Súd môže v rámci zákonného prieskumu označiť vymáhanie nároku za nie bežný a vyžadovať predloženie poverenia od manžela oprávneného, jeho súhlasu, zmluvy o správe spoločného imania manželov alebo zmluvy o spoločnom imaní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Spoločný oprávnený je riešený v doterajšom písm. c), preto nie je potrebné duplicitne úprava v navrhovanom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aby oprávnený uviedol označenie manžela povinného alebo bývalého manžela povinného, ak je mu tento údaj známy.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 ods. 3 sa za písm. b) vkladá nové písm. c) a d)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označenie manžela oprávneného, ak vymáhaný nárok patrí do spoločného majetku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označenie manžela povinného alebo bývalého manžela povinného, ak je oprávnenému tento údaj známy,“.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c) a d) sa označuje ako písm. e) a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48 ods. 3</w:t>
              <w:br/>
            </w:r>
            <w:r>
              <w:rPr>
                <w:b w:val="off"/>
                <w:color w:val="000000"/>
                <w:rFonts w:ascii="Times New Roman" w:hAnsi="Times New Roman" w:cs="Times New Roman" w:eastAsia="Times New Roman"/>
                <w:sz w:val="24"/>
              </w:rPr>
              <w:t>9.	Pripomienka k čl. XXXIII § 48 ods. 3 nové písm. l)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posúdenie, či platí domnienka rozsahu SIM je potrebné hmotnoprávne zistiť, kedy vznikol vymáhaný nárok a či vznikol pred alebo po vzniku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Postupnosť písmen z iných pripomienok nie je zohľadnená.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 ods. 3 sa za písm. k) vkladá nové písm. l)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 dátum vzniku vymáhaného nároku,“.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l) sa označuje ako písm. 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53 ods. 1</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Vychádzame z právnej domnienky, že dlhy nadobudnuté za trvania manželstva patria do spoločného imania manželov. Exekúcia spoločného majetku manželov automaticky zakladá účastníctvo manžela povinného, preto je z procesných dôvodov nutné túto skutočnosť upraviť hneď na začiatku exekučného konania  začiatku exekúcie ešte pred vydaním poverenia na vykonanie exekúcie. Lebo inak by po zistení existencie manželstva musel exekútor žiadať o dodatok k povereniu na vykonanie exekúcie, čím by sa konanie zbytočne predlžovalo.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sa obmedzí len na jednoduché zistenie existencie manželstva cez evidenciu obyvateľov. Riešenie nevyporiadaného spoločného imania manželov a s tým súvisiace účastníctvo bývalého manžela sa ponecháva na exekútorovi.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53 ods. 1 sa na konci pridáva nová veta, ktorá znie : „Súd v rámci prieskumu zisťuje, či vymáhaný nárok nie je spoločným dlhom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56 ods. 1</w:t>
              <w:br/>
            </w:r>
            <w:r>
              <w:rPr>
                <w:b w:val="off"/>
                <w:color w:val="000000"/>
                <w:rFonts w:ascii="Times New Roman" w:hAnsi="Times New Roman" w:cs="Times New Roman" w:eastAsia="Times New Roman"/>
                <w:sz w:val="24"/>
              </w:rPr>
              <w:t>11.	Pripomienka k čl. XXXIII § 56 ods. 1 nové písm. e) až g)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v rámci zákonného prieskumu zisťuje právny režim majetku a dlhu z pohľadu SIM. V dôsledku domnienky rozsahu SIM sa prieskum obmedzuje len na dátum vzniku vymáhaného nároku z návrhu na vykonanie exekúcie a zisťovanie v evidencii obyvateľstva vznik a zánik manželstva oprávneného a povinného. Výsledok tohto prieskumu sa premietne do obsahu poverenia.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pri prieskume návrhu na vykonanie exekúcie zistí, že povinný má uzatvorené manželstvo, tak sa vychádza z právnej domnienky, že dlhy nadobudnuté za trvania manželstva patria do spoločného imania manželov, čo automaticky zakladá účastníctvo manžela povinného v exekučnom konaní. Preto je potrebné túto skutočnosť premietnuť aj do náležitostí poverenia na vykonanie exekúcie. Označovanie manžela oprávneného, manžela povinného alebo bývalého manžela povinného je obligatórne bez viazanosti na právny režim majetku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platí, že ak vymáhaný nárok vznikol počas zaniknutého SIM, tak súd v poverení uvedie aj bývalého manžela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56 ods. 1 sa za písm. d) vkladá nové písm. e) až g)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manžela oprávneného,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manžela povinného, bývalého manžela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vymáhaného nároku, ako výlučného majetku oprávneného, spoločného majetku oprávneného, výlučného dlhu povinného alebo spoločného dlhu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57 ods. 1</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Procesné spoločenstvo normované CSP ako samostatné spoločenstvo, nerozlučné spoločenstvo alebo nútené spoločenstvo nie je možné aplikovať na povinného a manžela povinného (pozn. rovnako ani pri viacerých povinných solidárne zaviazaných). Z tohto dôvodu je nutné túto procesnú situáciu nanovo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manžela povinného, bývalého manžela povinného ako aj každého povinného, je potrené precizovať, že na osobu každú zvlášť sa začína samostatná exekúcia. Nakoľko sa zavádza analógia intra legem pri manželovi povinného, bývalom manželovi povinnom, tak sa text zjednodušuje.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Jedná sa o stanovenie presnej hranice, kedy sa jednotlivé úkony alebo ich následky pri povinnom a manželovi povinného navzájom „neprelievajú“, napr. pri podanom návrhu na zastavenie exekúcie, návrhu na odklad exekúcie a pod. Čiastkovo možno vychádzať aj analogicky z § 37 ods. 3. Teda aby nedoručenie upovedomenia o začatí exekúcie manželovi povinnému nebránilo vydať exekučný príkaz na povinného pre jeho výlučný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normatívnom texte nie je potrebné explicitne uvádzať manžel povinného, pretože je to riešené v navrhovanom § 33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 ods. 1 sa na konci pridáva nová veta, ktoré znie : „Proti každému povinnému sa začína samostatná exekúcia.“.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60 ods. 4</w:t>
              <w:br/>
            </w:r>
            <w:r>
              <w:rPr>
                <w:b w:val="off"/>
                <w:color w:val="000000"/>
                <w:rFonts w:ascii="Times New Roman" w:hAnsi="Times New Roman" w:cs="Times New Roman" w:eastAsia="Times New Roman"/>
                <w:sz w:val="24"/>
              </w:rPr>
              <w:t>13.	Pripomienka k čl. XXXIII § 60 nový ods. 4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Kreativita účastníkov konania pri obchádzaní zákona je nekonečná. V dôsledku normatívnych zmien je jedna z ďalších možností napr. pri výlučnom majetku oprávneného plnenie povinného alebo manžela povinného priamo manželovi oprávneného, ktorý v danom prípade nie je účastník konania. Na strane oprávneného platí „čo je doma, to sa počíta“ a na strane povinného je podmienkou plnenia „za návrh na zastavenie, aby som ušetril na trovách“. V tejto súvislosti je možné riešiť aj ostatné špekulatívne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60 sa za ods. 3 vkladá nový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Plnenie manželovi oprávneného v prípade vymáhaného nároku ako výlučného majetku oprávneného sa považuje za plnenie prijaté oprávneným. Rovnako sa postupuje najmä pri plnení osoby, ktorá je spriaznenou osobou povinného podľa osobitného predpisu7ad) alebo inej osoby na základe príkazu povinného alebo s jeho vedomím, pri postúpení vymáhaného nároku na povinného alebo na osobu, ktorá je spriaznenou osobou,  pri zániku vymáhaného nároku najmä dohodou, odpustením dlhu alebo vzdaním sa práva, započítaním, splynutím, urovnaním alebo iným spôsobom, ktorý si strany dohodli, alebo ktorý vyplýva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61a ods. 1</w:t>
              <w:br/>
            </w:r>
            <w:r>
              <w:rPr>
                <w:b w:val="off"/>
                <w:color w:val="000000"/>
                <w:rFonts w:ascii="Times New Roman" w:hAnsi="Times New Roman" w:cs="Times New Roman" w:eastAsia="Times New Roman"/>
                <w:sz w:val="24"/>
              </w:rPr>
              <w:t>14.	Pripomienka k čl. XXXIII § 61a ods. 1 písm. c)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upovedomení o začatí exekúcie je potrebné uviesť manžela oprávneného ako aj manžela povinného a bývalého manžela povinného. Aj keď sa normuje k tomu analógia intra legem, je potrebné ich vyslovene uviesť obdobne ako pri poverení na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61a ods. 1 písm. c)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označenie oprávneného, manžela oprávneného, povinného, manžela povinného a ich zástupcov,“.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61a ods. 1</w:t>
              <w:br/>
            </w:r>
            <w:r>
              <w:rPr>
                <w:b w:val="off"/>
                <w:color w:val="000000"/>
                <w:rFonts w:ascii="Times New Roman" w:hAnsi="Times New Roman" w:cs="Times New Roman" w:eastAsia="Times New Roman"/>
                <w:sz w:val="24"/>
              </w:rPr>
              <w:t>15.	Pripomienka k čl. XXXIII § 61a ods. 1 písm. d)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upovedomení o začatí exekúcie je potrebné uviesť právny režim majetku a dlhu z pohľadu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61a ods. 1 písm. d) sa na konci pridávajú slová „ako výlučného majetku oprávneného, spoločného majetku oprávneného, výlučného dlhu povinného alebo spoločného dlhu povinného,“.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61a ods. 1</w:t>
              <w:br/>
            </w:r>
            <w:r>
              <w:rPr>
                <w:b w:val="off"/>
                <w:color w:val="000000"/>
                <w:rFonts w:ascii="Times New Roman" w:hAnsi="Times New Roman" w:cs="Times New Roman" w:eastAsia="Times New Roman"/>
                <w:sz w:val="24"/>
              </w:rPr>
              <w:t>16.	Pripomienka k čl. XXXIII § 61a ods. 1 nové písm. j) a k)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bol exekútor poverený na vykonanie exekúcie aj proti manželovi povinného, tak v rámci upovedomenia o začatí exekúcie je potrebné upraviť poučenie ohľadne výlučného dlhu a spoločného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v § 44 ods. 7 písm.  d) a e) ohľadne námietok manžela povinného pre ochranu jeho výlučného majetku a svojho dielu na spoločnom majetku by mali byť viazané na doručenie upovedomenia o začatí exekúcie podľa § 61a, nakoľko sa navrhuje, aby manžel povinného bol účastníkom konania od začiatku.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61a ods. 1 sa za písm. i) vkladá nové písm. j) a k)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poučenie o povinnosti do 15 dní od doručenia upovedomenia o začatí exekúcie alebo od vzniku určenej právnej skutočnosti podať vyhlásenie ako skutkové tvrdenie, 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vymáhaný nárok je výlučným dlhom, inak platí, že je spoločným dlhom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spoločné imanie manželov zaniklo alebo bolo vyporiadané, inak platí, že spoločné imanie manželov nezaniklo,“,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poučenie o možnosti pre manžela povinného do 15 dní od doručenia upovedomenia o začatí exekúcie podať námietky podľa § 44 ods. 7 písm.  d), že právny predmet je jeho výlučným majetkom a nepatrí do spoločného imania manželov a možnosti podať námietky podľa § 44 ods. 7 písm.  e), že právny predmet nie je výlučným majetkom povinného a patrí do spoločného imania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61f ods. 1</w:t>
              <w:br/>
            </w:r>
            <w:r>
              <w:rPr>
                <w:b w:val="off"/>
                <w:color w:val="000000"/>
                <w:rFonts w:ascii="Times New Roman" w:hAnsi="Times New Roman" w:cs="Times New Roman" w:eastAsia="Times New Roman"/>
                <w:sz w:val="24"/>
              </w:rPr>
              <w:t>Je potrebné reagovať na novú úpravu SIM aj pri úhrade povinného manželovi oprávneného pri plnení dlhu, ktorá je spoločným majetkom, a to v súvislosti s § 60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si zabezpečíme povinnosť oprávneného na zaslanie pomernej časti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61f ods. 1 sa na konci pridáva nová veta, ktoré znie : „Oprávnený alebo manžel oprávneného je povinný 25 % plnenia poukázať exekútorovi do siedmich dní odo dňa jeho prijatia.“.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aj aktualizovať § 60 ods. 2, nakoľko DHP sa zvýšilo z 20 % na 23 %. Teda 24 % nahradiť číslicou 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94 ods. 1</w:t>
              <w:br/>
            </w:r>
            <w:r>
              <w:rPr>
                <w:b w:val="off"/>
                <w:color w:val="000000"/>
                <w:rFonts w:ascii="Times New Roman" w:hAnsi="Times New Roman" w:cs="Times New Roman" w:eastAsia="Times New Roman"/>
                <w:sz w:val="24"/>
              </w:rPr>
              <w:t xml:space="preserve">Je potrebné reagovať na novú úpravu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vymáhania výlučného dlhu od manžela povinného zo spoločného majetku je potrebné pre zjednodušenie exekvovania len polovice pohľadávky na účte manžela povinného spresniť postup banky.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je potrebné rozšíriť formulár elektronického príkazu o príznak právneho režimu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94 ods. 1 sa na konci pripája nové vety „V prípade vymáhania výlučného dlhu sa z účtu manžela povinného odpíše z pohľadávky na účte len prvá polovica prikázanej sumy. Druhá polovica prikázanej sumy je vylúčená z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125 ods. 1</w:t>
              <w:br/>
            </w:r>
            <w:r>
              <w:rPr>
                <w:b w:val="off"/>
                <w:color w:val="000000"/>
                <w:rFonts w:ascii="Times New Roman" w:hAnsi="Times New Roman" w:cs="Times New Roman" w:eastAsia="Times New Roman"/>
                <w:sz w:val="24"/>
              </w:rPr>
              <w:t>19.	Pripomienka k čl. XXXIII § 125 ods. 1 a § 136 ods. 1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je poslednou krajinou v Európskej únii, ktorá nemá upravenú elektronickú dražbu.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125 ods. 1 a § 136 ods. 1 sa vkladá nová druhá veta, ktorá znie „Dražbu možno vykonať elektronicky.“.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144 ods. 3</w:t>
              <w:br/>
            </w:r>
            <w:r>
              <w:rPr>
                <w:b w:val="off"/>
                <w:color w:val="000000"/>
                <w:rFonts w:ascii="Times New Roman" w:hAnsi="Times New Roman" w:cs="Times New Roman" w:eastAsia="Times New Roman"/>
                <w:sz w:val="24"/>
              </w:rPr>
              <w:t>Je potrebné reagovať na novú úpravu SIM. Nie je potrebné vylučovať spriaznené osoby s dlžníkom podľa § 566 ods. 2 NOZ, pretože to už doterajšia úprava pokrýva.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144 ods. 3 sa slová „bezpodielového spoluvlastníctva“ nahrádzajú slovami „spoločného imania“.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167 ods. 4</w:t>
              <w:br/>
            </w:r>
            <w:r>
              <w:rPr>
                <w:b w:val="off"/>
                <w:color w:val="000000"/>
                <w:rFonts w:ascii="Times New Roman" w:hAnsi="Times New Roman" w:cs="Times New Roman" w:eastAsia="Times New Roman"/>
                <w:sz w:val="24"/>
              </w:rPr>
              <w:t>Z dôvodu transformácie BSM na SIM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právnu istotu je potrebné explicitne vyjadriť, že záložné právo je možné zriadiť aj na spoločný majetok pre výlučný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167 sa za ods. 3 vkladá nový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Exekučné záložné právo je možné pre výlučný dlh zriadiť aj na spoločnom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197 ods. 1</w:t>
              <w:br/>
            </w:r>
            <w:r>
              <w:rPr>
                <w:b w:val="off"/>
                <w:color w:val="000000"/>
                <w:rFonts w:ascii="Times New Roman" w:hAnsi="Times New Roman" w:cs="Times New Roman" w:eastAsia="Times New Roman"/>
                <w:sz w:val="24"/>
              </w:rPr>
              <w:t xml:space="preserve">Je potrebné reagovať na novú úpravu SIM násobením nákladov exekútora na zisťovanie, zabezpečenie majetkových a príjmových pomerov manžela povinného, nákladov na poštovné ako aj nákladov speňažovania, teda násobenia nákladov na jedného povinného, tak aby exekútor mal preplatené tieto znásobené náklady.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náklady sú zvlášť vysoké, nakoľko sa štatisticky týka v priemere 40 % všetkých exekučných konaní povinných fyzických osôb, čo spôsobuje značný zásah do vlastníckeho práva exekútora a jeho legitímneho očakávania.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197 ods. 1 sa na konci vkladá nová veta, ktorá znie : „Za každého jedného účastníka konania na strane povinného patrí exekútorovi určená jedna náhrada paušálnych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198 ods. 2</w:t>
              <w:br/>
            </w:r>
            <w:r>
              <w:rPr>
                <w:b w:val="off"/>
                <w:color w:val="000000"/>
                <w:rFonts w:ascii="Times New Roman" w:hAnsi="Times New Roman" w:cs="Times New Roman" w:eastAsia="Times New Roman"/>
                <w:sz w:val="24"/>
              </w:rPr>
              <w:t xml:space="preserve">Je potrebné reagovať na novú úpravu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už bolo uvedené v pripomienke k § 197 ods. 1 dochádza pri manželovi povinného k násobeniu nákladov exekútora, pričom sa vedie samostatná exekúcia na každého povinného (§ 37 ods. 3) zdôraznené v pripomienke k § 57 ods. 1. Pričom je potrebné vyriešiť aj špekulatívne postupy v súvislosti s manželom oprávneného a iné riešené v pripomienke k § 60 nový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riešiť aj situáciu, kedy oprávnený alebo manžel oprávneného si nesplnili povinnosť poukázať exekútorovi pomernú časť prijatého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preformulovať aj ustanovenie o trovách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198 ods.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došlo k zastaveniu exekúcie voči povinnému alebo manželovi povinného, patrí exekútorovi nepoukázaná odmena podľa 61f ods. 1, náhrada paušálnych výdavkov a náhrada nevyhnutných výdavkov, ktoré znáša oprávnený a manžel oprávneného pri spoločnom majetku oprávneného. Ak exekútor pred zastavením exekúcie sčasti vymohol alebo prijal plnenie na uspokojenie vymáhaného nároku, patria mu aj trovy, ktoré si v súlade s § 60 ponechal.“.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199c ods. 1 a 3</w:t>
              <w:br/>
            </w:r>
            <w:r>
              <w:rPr>
                <w:b w:val="off"/>
                <w:color w:val="000000"/>
                <w:rFonts w:ascii="Times New Roman" w:hAnsi="Times New Roman" w:cs="Times New Roman" w:eastAsia="Times New Roman"/>
                <w:sz w:val="24"/>
              </w:rPr>
              <w:t xml:space="preserve">Je potrebné reagovať na novú úpravu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vymáhania spoločného dlhu oprávneného je potrebné rozšíriť osoby zodpovedné z platenia trov exekútora.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199c ods. 1 a 3 sa v prvej vete na konci pripája čiarka a slová „a v prípade spoločného majetku aj manžel oprávneného“.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243r</w:t>
              <w:br/>
            </w:r>
            <w:r>
              <w:rPr>
                <w:b w:val="off"/>
                <w:color w:val="000000"/>
                <w:rFonts w:ascii="Times New Roman" w:hAnsi="Times New Roman" w:cs="Times New Roman" w:eastAsia="Times New Roman"/>
                <w:sz w:val="24"/>
              </w:rPr>
              <w:t xml:space="preserve">Odsek 5 vytvára ultraaktivitu, ktorá je v rozpore s intertemporálnymi normami Nového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1907 ods. 1 NOZ : Veci, práva a iné majetkové hodnoty, ktoré pred účinnosťou tohto zákona tvorili bezpodielové spoluvlastníctvo manželov, sa účinnosťou tohto zákona stávajú súčasťou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1907 ods. 2 NOZ : Dlhy, ktoré vznikli pred účinnosťou tohto zákona a ktoré sú podľa tohto zákona súčasťou spoločného imania manželov, sa účinnosťou tohto zákona stávajú súčasťou spoločného imania manželov. Ak sa v osobitných predpisoch používa pojem „bezpodielové spoluvlastníctvo manželov“, rozumie sa tým „spoločné imanie manželov“ podľa tohto zákona. Uspokojenie pohľadávky veriteľa len jedného z manželov z majetku patriaceho do spoločného imania manželov, sa posudzuje podľa predpisov účinných v čase vzniku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312 ods. 1 NOZ : Záväzok je právny vzťah, z ktorého má veriteľ právo na plnenie od dlžníka (pohľadávka) a dlžník má povinnosť to splniť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Záväzkovoprávny vzťah má minimálne dve strany, ktoré sú v opačnom postavení, a to veriteľa a dlžníka. Predmet záväzkového vzťahu je tvorený dvojicou párov práva a povinnosti. Veriteľ má právo na plnenie (pohľadávku) a dlžník má povinnosť splniť (dlh).   A na druhej strane má veriteľ povinnosť prijať plnenie a dlžník právo plniť. Záväzok má teda dve strany „mince“ pohľadávku a dlh, ktoré sú rovnaké. Preto platí rovnosť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záväzok = pohľadávka = dlh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ktorej sú prvky synonymá.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Pohľadávka veriteľa len jedného z manželov je výlučným dlhom povinného. Avšak návrh § 243r do ultraaktivity zahŕňa aj uspokojovanie spoločných dlhov, čo je v rozpore s hmotnoprávnou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ustanovenia neriešia skutočnosť, že SIM vzniká aj na strane oprávneného. Ak vymáhanie nároku nie je bežným úkonom, tak je potrebné predložiť poverenia od manžela oprávneného, jeho súhlasu, zmluvy o správe spoločného imania manželov alebo zmluvy o spoločnom imaní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je potrebné upraviť účastníctvo manžela povinného, pri vymáhaní spoločného dlhu. Exekútor v lehote 120 dní požiada súd o vydanie dodatku k povereniu na vykonanie exekúcie. Súd v rámci dodatku samozrejme označí všetky náležitosti poverenia vrátane právneho režimu majetku z pohľadu SIM ako aj manžela povinného (a manžela oprávneného). Osobitne sa normuje, že úkony exekútora sú zachované. Teda všetky vydané exekučné príkazy sa realizujú okrem dražieb.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doručení dodatku k povereniu exekútor doručí manželovi povinného pôvodné upovedomenie o začatí exekúcie a samostatné poučenie o podaní vyhlásenia o výlučnom dlhu povinného, zániku SIM alebo jeho vyporiadaní.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243r sa vkladá nový ods, 1,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Tento zákon sa použije aj na exekučné konania začaté pred 1. júlom 2027, ak v ďalších odsekoch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 1 až 5 sa označuje ako ods. 2 až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243r v ods. 6 sa na konci vkladá čiarka a slová „ktorá je výlučným dlhom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243r sa za ods. 6 vkladá nový ods. 7 a 8,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Súd do 120 dní od účinnosti tohto zákona posúdi, či vymáhanie nároku, ktorý je spoločným majetkom oprávneného, je bežným úkonom, inak vyzve oprávneného na predloženie poverenia od manžela oprávneného, jeho súhlasu, zmluvy o správe spoločného imania manželov alebo zmluvy o spoločnom imaní manželov, v lehote nie kratšej ako 15 dní, inak exekúciu zastaví.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k účinnosti tohto zákona sa vymáha spoločný dlh povinného a s manželom povinného nebolo konané ako s účastníkom konania, tak exekútor do 120 dní od účinnosti tohto zákona požiada súd o vydanie dodatku k povereniu na vykonanie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26.	Pripomienka k čl. XXXIII všeobecne 2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pripomienka 2 a nasledovné osobitné pripomienky k výkonu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Občiansky zákonník v § 151j ods. 1 s účinnosťou od 01.01.2005 predpokladal možnosť domáhať sa uspokojenia predajom zálohu podľa Exekučného poriadku. Avšak do dnešného dňa Exekučný poriadok tento postup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Nový Občiansky zákonník v § 1615 ods. 3 predpokladá uspokojenia predajom zálohu podľa osobitných predpisov, teda aj podľa Exekučného poriadku, avšak navrhovaný zberný zákon znovu tento postup v rámci novelizácie Exekučného poriadku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aby sa táto možnosť domáhania uspokojenia predajom zálohu bola v Exekučnom poriadku upravená.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Inak to vyzerá akoby lobby dražobných spoločností opakovane dokázala vylúčiť možnosť vykonania záložného práva prostredníctvom exekúcie. Nie je totiž žiadneho racionálneho dôvodu, aby bolo možné vykonať záložné právo len prostredníctvom dobrovoľnej exekúcie a nie exekúcie. Teda existuje len jeden dôvod, a to, že je to v prospech len dražobných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prípade sa jedná o neprípustné zvýhodňovanie dražobných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34 ods. 4</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Záložcu, ktorý nie je povinný je potrebné upraviť ako účastníka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35 sa za ods. 3 a vkladá nový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je exekúciou postihnutý záloh, ktorý nepatrí povinnému, účastníkom konania, ak ide o tento záloh, je aj záložca s postavením ako povinný. Záložcovi sa doručuje aj upovedomenie o začatí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45 ods. 2</w:t>
              <w:br/>
            </w:r>
            <w:r>
              <w:rPr>
                <w:b w:val="off"/>
                <w:color w:val="000000"/>
                <w:rFonts w:ascii="Times New Roman" w:hAnsi="Times New Roman" w:cs="Times New Roman" w:eastAsia="Times New Roman"/>
                <w:sz w:val="24"/>
              </w:rPr>
              <w:t>28.	Pripomienka k čl. XXXIII § 45 ods. 2 nové písm. o)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Exekučným titulom pre výkon záložného práva je titul zriadenia záložného práva, teda písomná zmluva, schválená dohoda dedičov o vyporiadaní dedičstva, rozhodnutie súdu alebo iného orgánu verejnej moci, alebo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45 ods. 2 sa za písm. n) vkladá nové písm. o),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titul zriadenia záložného práva 7ga)“.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7ga) znie : § 1600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45 ods. 3</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Nakoľko pred vymožením zabezpečenej pohľadávky z titulu zmluvy alebo dohody nedošlo k súdnemu prieskumu, tak je potrebné vymoženie príslušenstva pohľadávky obmedziť rovnako ako pri záväzku z exekučnej notárskej zápisnici.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45 ods. 3 sa pred slovo „vznikol“ vkladajú tieto slová „alebo záväzok zabezpečený titulom zriadenia záložného práva podľa odseku 2 písm. o) okrem rozhodnutia alebo účinku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48 ods. 3</w:t>
              <w:br/>
            </w:r>
            <w:r>
              <w:rPr>
                <w:b w:val="off"/>
                <w:color w:val="000000"/>
                <w:rFonts w:ascii="Times New Roman" w:hAnsi="Times New Roman" w:cs="Times New Roman" w:eastAsia="Times New Roman"/>
                <w:sz w:val="24"/>
              </w:rPr>
              <w:t>30.	Pripomienka k čl. XXXIII § 48 ods. 3 nové písm. l)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na vykonanie exekúcie je potrebné pri predaji zálohu uviesť opis zálohu a označenie záložcu.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 ods. 3 sa za písm. k) vkladá nové písm. l),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 opis zálohu a označenie záložcu.“.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l)  sa označuje ako písm. 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48 ods. 4</w:t>
              <w:br/>
            </w:r>
            <w:r>
              <w:rPr>
                <w:b w:val="off"/>
                <w:color w:val="000000"/>
                <w:rFonts w:ascii="Times New Roman" w:hAnsi="Times New Roman" w:cs="Times New Roman" w:eastAsia="Times New Roman"/>
                <w:sz w:val="24"/>
              </w:rPr>
              <w:t>31.	Pripomienka k čl. XXXIII § 48 ods. 4 nové písm. e)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v rámci zákonného prieskumu musí preskúmať právny titul záväzku, ktorý titul zriadenia záložného práva zabezpečuje.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 ods. 3 sa za písm. d) vkladá nové písm. 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právny titul záväzku, ktorý titul zriadenia záložného práva zabezpečuje a všetky ďalšie súvisiace zmluvné dokumenty vrátane dokumentov, na ktoré právny titul záväzku odkazuje.“.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56 ods. 1</w:t>
              <w:br/>
            </w:r>
            <w:r>
              <w:rPr>
                <w:b w:val="off"/>
                <w:color w:val="000000"/>
                <w:rFonts w:ascii="Times New Roman" w:hAnsi="Times New Roman" w:cs="Times New Roman" w:eastAsia="Times New Roman"/>
                <w:sz w:val="24"/>
              </w:rPr>
              <w:t>32.	Pripomienka k čl. XXXIII § 56 ods. 1 nové písm. h)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transformácie BSM na SIM v reakcii na novú úpravu § 56 ods. 1 nové písm. e) až g) sa navrhuje ustanovenie § 35 ods. 1 doplniť o nové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Poverenie na vykonanie exekúcie pri exekúcii predajom zálohu musí obsahovať opis zálohu.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56 ods. 1 sa za písm. g) vkladá nové písm. h)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opisu zálohu a označenie záložcu,“.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61q ods. 2</w:t>
              <w:br/>
            </w:r>
            <w:r>
              <w:rPr>
                <w:b w:val="off"/>
                <w:color w:val="000000"/>
                <w:rFonts w:ascii="Times New Roman" w:hAnsi="Times New Roman" w:cs="Times New Roman" w:eastAsia="Times New Roman"/>
                <w:sz w:val="24"/>
              </w:rPr>
              <w:t>33.	Pripomienka k čl. XXXIII § 61q ods. 2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61q ods. 2 obsahuje obmedzenie výkonu exekúcie na záloh bez súhlasu záložného veriteľa. Toto obmedzenie bolo pôvodne upravené v § 61a ods. 2 s účinnosťou do 31.03.2017.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obmedzenie je procesným vyjadrením hmotnoprávnej úpravy v § 151h ods. 6 OZ. Ustanovenie § 151h ods. 6 OZ bolo zavedené novelou č. 526/2002 Z. z. Dôvodová správa k tomuto ustanoveniu mlčí. Avšak Zákon o dobrovoľných dražbách má nasledujúce číslo, teda č. 527/2002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výkonu exekúcie na záloh nemá žiadne racionálne vysvetlenie. Avšak ak hneď ďalší prijatý zákon po novele č. 526/2002 Z. z. bol Zákon o dobrovoľných dražbách, tak znemožnenie vykonania exekúcie na záloh alebo jej výrazné sťaženie by znamenalo, že záložný veritelia svoje pohľadávky budú riešiť len prostredníctvom dobrovoľných dražieb. Túto úvahu podporuje aj skutočnosť, že pri dobrovoľných držbách žiadne obmedzenie súhlasu záložného veriteľa neexistuje. Pohľadom späť za vyše 25 rokov je evidentné, že záložný veritelia vykonávali záložné právo len cez dobrovoľné dražby a žiadna – a to je potrebné zvýrazniť – žiadne sa nevykonalo prostredníctvom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prípade sa jedná o neprípustné zvýhodňovanie dražobných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61q sa ods. 2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63 ods. 1</w:t>
              <w:br/>
            </w:r>
            <w:r>
              <w:rPr>
                <w:b w:val="off"/>
                <w:color w:val="000000"/>
                <w:rFonts w:ascii="Times New Roman" w:hAnsi="Times New Roman" w:cs="Times New Roman" w:eastAsia="Times New Roman"/>
                <w:sz w:val="24"/>
              </w:rPr>
              <w:t>34.	Pripomienka k čl. XXXIII § 63 ods. 1 nové písm. g)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domáhať sa uspokojenia predajom zálohu je možné upraviť len ako nový spôsob výkonu exekúcie na peňažné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63 ods. 1 sa za písm. f) vkladá nové písm. g),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predajom zálohu,“.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179a</w:t>
              <w:br/>
            </w:r>
            <w:r>
              <w:rPr>
                <w:b w:val="off"/>
                <w:color w:val="000000"/>
                <w:rFonts w:ascii="Times New Roman" w:hAnsi="Times New Roman" w:cs="Times New Roman" w:eastAsia="Times New Roman"/>
                <w:sz w:val="24"/>
              </w:rPr>
              <w:t>35.	Pripomienka k čl. XXXIII nový § 179a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predpokladanú možnosť domáhať sa uspokojenia predajom zálohu je potrebné vykonať tieto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domáhať sa uspokojenia predajom zálohu je možné upraviť len ako nový spôsob výkonu exekúcie na peňažné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štvrtej časti prvej hlavy sa vkladá nový siedmy diel,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„Siedmy diel</w:t>
              <w:br/>
            </w:r>
            <w:r>
              <w:rPr>
                <w:b w:val="off"/>
                <w:color w:val="000000"/>
                <w:rFonts w:ascii="Times New Roman" w:hAnsi="Times New Roman" w:cs="Times New Roman" w:eastAsia="Times New Roman"/>
                <w:sz w:val="24"/>
              </w:rPr>
              <w:t>Exekúcia predajom zálohu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exekúciu predajom zálohu sa podľa povahy zálohu primerane použijú ustanovenia tohto zákona o exekúcii prikázaním pohľadávky, predajom hnuteľných vecí, predajom cenných papierov predajom nehnuteľností alebo ustanovenia o predaji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61q sa ods. 3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38 ods. 1</w:t>
              <w:br/>
            </w:r>
            <w:r>
              <w:rPr>
                <w:b w:val="off"/>
                <w:color w:val="000000"/>
                <w:rFonts w:ascii="Times New Roman" w:hAnsi="Times New Roman" w:cs="Times New Roman" w:eastAsia="Times New Roman"/>
                <w:sz w:val="24"/>
              </w:rPr>
              <w:t>Úprava reaguje na novú právnu úpravu v Občianskom zákonníku, ktorá oprávňuje veriteľa pozostalostnej pohľadávky viesť exekúciu na majetok poručiteľa v čase, kým dedičstvo nie je potvrdené.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úprava však nerieši plynutie lehôt. Civilný sporový poriadok rieši procesné lehoty tak, že sa prerušujú (§ 65 ods. 2 CSP), pričom právnemu nástupcovi začne plynúť nová procesná lehota.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Správca dedičstva alebo procesný opatrovník nie je právnym nástupcom, preto im nezačne plynúť nová procesná lehota. Plynutie procesných lehôt je preto potrebné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39 ods. 2</w:t>
              <w:br/>
            </w:r>
            <w:r>
              <w:rPr>
                <w:b w:val="off"/>
                <w:color w:val="000000"/>
                <w:rFonts w:ascii="Times New Roman" w:hAnsi="Times New Roman" w:cs="Times New Roman" w:eastAsia="Times New Roman"/>
                <w:sz w:val="24"/>
              </w:rPr>
              <w:t>37.	Pripomienka k čl. XXXIII § 39 ods. 2 písm. b) a c) a § 42 ods. 16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navrhujeme, aby manžel povinného bol účastníkom konania od začiatku exekučného konania alebo v priebehu konania na základe dodatku k povereniu ako aj použitá analógia intra legem (ak sa v tomto zákone používa pojem „povinný“ rozumie sa tým primerane aj pojem „manžel povinného“ alebo „bývalý manžel povinného“), tak navrhovaná úprava je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doterajšej právnej úpravy exekútor nemôže lustrovať majetkové pomery manžela povinného, pretože nie je účastníkom konania. Na tejto skutočnosti sa nič nemení ani po navrhovanej novele.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uviesť, že exekútor má povinnosť sa pri žiadosti o poskytnutie súčinnosti preukázať poverením na vykonanie exekúcie. takúto povinnosť nemá ani správca konkurznej podstaty ani notár ako súdny komisár.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totiž má exekútor preukázať poverením na vykonanie exekúcie a zisťovať majetkové pomery manžela povinného – tak sa preukazuje poverením na povinného nie na manžela povinného – z akého dôvodu by potom tretia osoba mala poskytnúť súčinnosť?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99a</w:t>
              <w:br/>
            </w:r>
            <w:r>
              <w:rPr>
                <w:b w:val="off"/>
                <w:color w:val="000000"/>
                <w:rFonts w:ascii="Times New Roman" w:hAnsi="Times New Roman" w:cs="Times New Roman" w:eastAsia="Times New Roman"/>
                <w:sz w:val="24"/>
              </w:rPr>
              <w:t>38.	Pripomienka k čl. XXXIII § 99a a § 99b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1 je osobitne riešená situácia výlučného dlhu a spoločného majetku pri účte povinného vrátene možnosti podania námietok podľa § 44 ods. 7. Avšak, ak sa s manželom povinného jedná ako s účastníkom konania od začiatku konania, tak poučenie o možnosti podania námietok patrí do upovedomenie o začatí exekúcie, tak ako je uvedené v pripomienke k § 61a ods. 1 nové písm. j) a k). Je nadbytočné riešiť možnosť podania námietok pri každom spôsobe vykonania exekúcie samostatne, keď to môže byť len jedenkrát v upovedomení o začatí exekúcie podľa k § 61a ods. 1. Týmto spôsobom nebude exekúcia x-krát kúskovaná podávaním rôznych námietok.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2 je riešená rovnaká situácia ako v odseku 1 s tým rozdielom, že tu sa jedná spoločný účet povinného o účet manžela povinného. Naviac všeobecný postup je navrhovaný v § 39a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3 a 4 sa rieši postup banky, avšak jednoduchší postup je navrhovaný v § 94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navrhujeme § 99a vypustiť a § 99b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104 ods. 3</w:t>
              <w:br/>
            </w:r>
            <w:r>
              <w:rPr>
                <w:b w:val="off"/>
                <w:color w:val="000000"/>
                <w:rFonts w:ascii="Times New Roman" w:hAnsi="Times New Roman" w:cs="Times New Roman" w:eastAsia="Times New Roman"/>
                <w:sz w:val="24"/>
              </w:rPr>
              <w:t xml:space="preserve">39.	Pripomienka k čl. XXXIII § 104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3 sa normuje vylúčenie pohľadávky na účte manžela povinného, ak oprávneným je manžel povinného alebo maloleté dieťa povinného a manžela povinného, ktoré nemá plnú spôsobilosť na právne úkony. Jediné opodstatnenie tohto obmedzenia je len v prípade, ak sa vymáha pohľadávka na výživnom. Vo všetkých ostatných prípadoch to opodstatnenie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104 ods. 3 sa slová „vedenej podľa § 99a ods. 2“ nahrádzajú slovami „na vymoženie pohľadávky na výživnom“.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105 ods. 4</w:t>
              <w:br/>
            </w:r>
            <w:r>
              <w:rPr>
                <w:b w:val="off"/>
                <w:color w:val="000000"/>
                <w:rFonts w:ascii="Times New Roman" w:hAnsi="Times New Roman" w:cs="Times New Roman" w:eastAsia="Times New Roman"/>
                <w:sz w:val="24"/>
              </w:rPr>
              <w:t xml:space="preserve">40.	Pripomienka k čl. XXXIII § 105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Iná peňažná pohľadávka vzniknutá za trvania manželstva je spoločným majetkom a manžel povinného je účastníkom konania od začiatku konania, z tohto dôvodu je navrhované ustanovenie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105 ods. 4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113b ods. 1</w:t>
              <w:br/>
            </w:r>
            <w:r>
              <w:rPr>
                <w:b w:val="off"/>
                <w:color w:val="000000"/>
                <w:rFonts w:ascii="Times New Roman" w:hAnsi="Times New Roman" w:cs="Times New Roman" w:eastAsia="Times New Roman"/>
                <w:sz w:val="24"/>
              </w:rPr>
              <w:t>41.	Pripomienka k čl. XXXIII § 113b ods. 1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navrhovanej úpravy exekúciou nemožno postihnúť obchodný podiel manžela povinného. Podľa dôvodovej správy sa navrhuje nepripustiť následky v prípade, keď sa vedie exekúcia na výlučný dlh druhého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292 ods. 3 NOZ je podiel manžela v obchodnej spoločnosti alebo družstve súčasťou zákonného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Prvá pripomienka je skutočnosť, že normatívny text nezodpovedá dôvodovej správe, pretože vylúčenie obchodného podielu manžela povinného sa týka aj prípadu, keď je vymáhaný nárok spoločným dlhom, nakoľko sa vyslovene neurčuje, že sa týka len výlučného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pripomienka je, že tento text neprechádza testom proporcionality. Oprávnený má nárok, aby sa jeho pohľadávka, ktorá je výlučným dlhom uspokojovala aj z polovice spoločného majetku. Ak je pre predkladateľa neprijateľné, aby sa zrušovala účasť manžela povinného na spoločnosti, tak mal navrhnúť taký normatívny text, ktorý by zachoval účasť manžela povinného na spoločnosti a zároveň by polovica hodnoty obchodného podielu bola exekvovateľná.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125 ods. 7</w:t>
              <w:br/>
            </w:r>
            <w:r>
              <w:rPr>
                <w:b w:val="off"/>
                <w:color w:val="000000"/>
                <w:rFonts w:ascii="Times New Roman" w:hAnsi="Times New Roman" w:cs="Times New Roman" w:eastAsia="Times New Roman"/>
                <w:sz w:val="24"/>
              </w:rPr>
              <w:t>42.	Pripomienka k čl. XXXIII § 125 ods. 7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záložného práva pre záložného veriteľa je jeho zabezpečovacia a uhradzovacia funkcia. Pre záložného veriteľa je najdôležitejšie, aby jeho pohľadávka bola splatená.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128 ods. 2 sa bez ohľadu na poradie sa uspokoja prednostne pohľadávky, pri ktorých to ustanovuje osobitný predpis. Týmito pohľadávkami sú pohľadávky zabezpečené zádržným a záložným právom. To znamená, že bez ohľadu, či je oprávnený, ktorý inicioval exekučné konanie aj záložným veriteľom, tak výťažok sa uhrádza podľa časového poradia vzniku záložných práv. Z toho vyplýva, že dražba sa vykonáva v prospech prednostného záložného veriteľa, bez ohľadu na to, kto exekúciu inicioval. A preto je logické, že pri predaji má aj zaniknúť záložné právo prednostného záložného veriteľa, a teda aj všetky ostatné záložné práva – rovnako ako pri predaji nehnuteľnosti. Z tohto dôvodu je nesprávne, ak by tieto záložné práva nemali byť dotknuté. V opačnom prípade by založené hnuteľné veci zostali nepredajné, pretože nie je nikoho, kto by kúpil vec zaťaženú záložným právom, ktoré by mohol kedykoľvek realizovať, čím by vydražiteľ prišiel o peniaze aj vydraženú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125 ods. 7 sa vypúšťa čiarka a slová „ustanovenia osobitného predpisu11be) týkajúce sa záložných práv tým nie sú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157 ods. 1</w:t>
              <w:br/>
            </w:r>
            <w:r>
              <w:rPr>
                <w:b w:val="off"/>
                <w:color w:val="000000"/>
                <w:rFonts w:ascii="Times New Roman" w:hAnsi="Times New Roman" w:cs="Times New Roman" w:eastAsia="Times New Roman"/>
                <w:sz w:val="24"/>
              </w:rPr>
              <w:t>43.	Pripomienka k čl. XXXIII § 157 ods. 1 písm. d)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1881 NOZ : Ak bola vec z dedičstva speňažená v exekúcii alebo v konkurze, veriteľ pozostalostnej pohľadávky má právo žiadať, aby bol z výťažku uspokojený pred nezabezpečeným veriteľom inej ako pozostalostnej pohľadávky. Poradie uspokojenia zo záložného práva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nerieši prednosť pozostalostnej pohľadávky. Jej úprava predajom hnuteľných vecí patrí do § 127 ods. 3. Sme toho názoru, že skutočnosť, že ak sa oprávnený pozostalostnej pohľadávky nepričinil o jej vymoženie, tak nemôže byť pri uspokojovaní svojich práv v lepšom postavení ako oprávnený, ktorý inicioval exekučné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Prihlásený veriteľ sa stáva prihlásením pohľadávky oprávneným ako účastníkom konania v časti exekúcie hnuteľných vecí. Ak však pohľadávka tohto oprávneného je pozostalostná pohľadávka a nepožiada o uspokojenie svojej pohľadávky pred nezabezpečeným veriteľom inej ako pozostalostnej pohľadávky – tak sa uspokojuje ako ostatné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157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dosiahnutý výťažok prevyšuje pohľadávku, na ktorú sa vykonáva exekúcia, tak zvyšok výťažku sa vyplatí v tomto poradí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oprávnenému pozostalostnej pohľadávky, ak o to požiadal,</w:t>
              <w:br/>
            </w:r>
            <w:r>
              <w:rPr>
                <w:b w:val="off"/>
                <w:color w:val="000000"/>
                <w:rFonts w:ascii="Times New Roman" w:hAnsi="Times New Roman" w:cs="Times New Roman" w:eastAsia="Times New Roman"/>
                <w:sz w:val="24"/>
              </w:rPr>
              <w:t>b)	oprávnenému prihlásenej pohľadávky.</w:t>
              <w:br/>
            </w:r>
            <w:r>
              <w:rPr>
                <w:b w:val="off"/>
                <w:color w:val="000000"/>
                <w:rFonts w:ascii="Times New Roman" w:hAnsi="Times New Roman" w:cs="Times New Roman" w:eastAsia="Times New Roman"/>
                <w:sz w:val="24"/>
              </w:rPr>
              <w:t>c)	povinnému.“.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153 ods. 1 a 3</w:t>
              <w:br/>
            </w:r>
            <w:r>
              <w:rPr>
                <w:b w:val="off"/>
                <w:color w:val="000000"/>
                <w:rFonts w:ascii="Times New Roman" w:hAnsi="Times New Roman" w:cs="Times New Roman" w:eastAsia="Times New Roman"/>
                <w:sz w:val="24"/>
              </w:rPr>
              <w:t>44.	Pripomienka k čl. XXXIII § 153 ods. 1 a 3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157 ods. 1 písm. c) sa z rozvrhovanej podstaty uspokojujú pohľadávky oprávnených zabezpečené záložným právom podľa poradia rozhodujúceho pre ich uspokojenie, bez ohľadu na to či oprávnený, ktorý inicioval exekučné konanie aj prednostným záložným veriteľom. Z toho vyplýva, že dražba sa vykonáva v prospech prednostného záložného veriteľa bez ohľadu na to, kto exekúciu inicioval. A preto je logické, že pri predaji má zaniknúť záložné právo prednostného záložného veriteľa, a teda aj všetky ostatné záložné práva. K tomuto výkladu dospela prax okresných úradov (ktoré nie sú jednotné v momente zániku záložného práva). V opačnom prípade by založené nehnuteľnosti zostali nepredajné, pretože nie je nikoho, kto by kúpil vec zaťaženú záložným právom, ktoré by mohol kedykoľvek realizovať, čím by vydražiteľ prišiel o peniaze aj vydraženú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153 ods. 1 posledná veta znie : „Záložné práva viaznuce na nehnuteľnosti zanikajú ku dňu kedy sa vydražiteľ stáva vlastníkom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153 sa ods. 4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13d)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157 ods. 1</w:t>
              <w:br/>
            </w:r>
            <w:r>
              <w:rPr>
                <w:b w:val="off"/>
                <w:color w:val="000000"/>
                <w:rFonts w:ascii="Times New Roman" w:hAnsi="Times New Roman" w:cs="Times New Roman" w:eastAsia="Times New Roman"/>
                <w:sz w:val="24"/>
              </w:rPr>
              <w:t>45.	Pripomienka k čl. XXXIII § 157 ods. 1 písm. d) až f)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1881 NOZ : Ak bola vec z dedičstva speňažená v exekúcii alebo v konkurze, veriteľ pozostalostnej pohľadávky má právo žiadať, aby bol z výťažku uspokojený pred nezabezpečeným veriteľom inej ako pozostalostnej pohľadávky. Poradie uspokojenia zo záložného práva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nerieši prednosť pozostalostnej pohľadávky. Jej úprava pri exekúcii predajom nehnuteľnosti patrí do § 157 ods. 1 písm. d). Sme toho názoru, že skutočnosť, že ak sa oprávnený pozostalostnej pohľadávky nepričinil o jej vymoženie, tak nemôže byť pri uspokojovaní svojich práv v lepšom postavení ako oprávnený, ktorý inicioval exekučné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Prihlásený veriteľ sa stáva prihlásením pohľadávky oprávneným ako účastníkom konania v časti exekúcie predajom nehnuteľnosti. Ak však pohľadávka tohto oprávneného je pozostalostná pohľadávka a nepožiada o uspokojenie svojej pohľadávky pred nezabezpečeným veriteľom inej ako pozostalostnej pohľadávky – tak sa uspokojuje ako ostatné pohľadávky podľa § 157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doterajšom poradí písm. d) sú uprednostňované aj pohľadávky na daniach, poplatkoch, clách, poistnom na zdravotné poistenie, poistnom na sociálne poistenie a príspevkoch na starobné dôchodkové sporenie. V tejto súvislosti je potrebné uviesť, že sa jedná o nadmernú ochranu štátu na úkor súkromných pohľadávok. Štát je najväčším vlastníkom. Má najväčšie príjmy. Je preto v príkrom rozpore so všeobecným princípom spravodlivosti, aby jeho pohľadávky mali väčšiu ochranu ako súkromné pohľadávky. Štát určite neskrachuje, ak nebudú jeho pohľadávky zaradené v doterajšej skupine. Avšak pre veriteľa súkromnej pohľadávky je vyplatenie jeho pohľadávky omnoho dôležitejšie.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157 ods. 1 písm. d) až f)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pohľadávka oprávneného vymáhaná v exekúcii,</w:t>
              <w:br/>
            </w:r>
            <w:r>
              <w:rPr>
                <w:b w:val="off"/>
                <w:color w:val="000000"/>
                <w:rFonts w:ascii="Times New Roman" w:hAnsi="Times New Roman" w:cs="Times New Roman" w:eastAsia="Times New Roman"/>
                <w:sz w:val="24"/>
              </w:rPr>
              <w:t>e) pohľadávka oprávneného pozostalostnej pohľadávky, ak o to požiadal,</w:t>
              <w:br/>
            </w:r>
            <w:r>
              <w:rPr>
                <w:b w:val="off"/>
                <w:color w:val="000000"/>
                <w:rFonts w:ascii="Times New Roman" w:hAnsi="Times New Roman" w:cs="Times New Roman" w:eastAsia="Times New Roman"/>
                <w:sz w:val="24"/>
              </w:rPr>
              <w:t>f) ostatné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 166a ods. 2</w:t>
              <w:br/>
            </w:r>
            <w:r>
              <w:rPr>
                <w:b w:val="off"/>
                <w:color w:val="000000"/>
                <w:rFonts w:ascii="Times New Roman" w:hAnsi="Times New Roman" w:cs="Times New Roman" w:eastAsia="Times New Roman"/>
                <w:sz w:val="24"/>
              </w:rPr>
              <w:t>46.	Pripomienka k čl. XXXIII § 166a ods. 2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osobitne upravuje možnosť podania námietok podľa § 44 ods. 7. Avšak, ak sa s manželom povinného jedná ako s účastníkom konania od začiatku konania, tak poučenie o možnosti podania námietok patrí do upovedomenie o začatí exekúcie, tak ako je uvedené v pripomienke k § 61a ods. 1 nové písm. j) a k). Je nadbytočné riešiť možnosť podania námietok pri každom spôsobe vykonania exekúcie samostatne, keď to môže byť len jedenkrát v upovedomení o začatí exekúcie podľa k § 61a ods. 1. Týmto spôsobom nebude exekúcia x-krát kúskovaná podávaním rôznych námietok.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nasledovné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166a sa ods. 2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 3 sa označuje ako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20 až 24  a</w:t>
              <w:br/>
            </w:r>
            <w:r>
              <w:rPr>
                <w:b w:val="off"/>
                <w:color w:val="000000"/>
                <w:rFonts w:ascii="Times New Roman" w:hAnsi="Times New Roman" w:cs="Times New Roman" w:eastAsia="Times New Roman"/>
                <w:sz w:val="24"/>
              </w:rPr>
              <w:t>Navrhujeme v čl. II návrhu zákona vypustiť body 20 až 23 a namiesto čiastkových zmien ustanovení upravujúcich inštitút spoločnosti v kríze vypustiť § 67a až § 67i Obchodného zákonníka vrátane nadpisu „Kríza“.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doplniť čl. II o novelizačný bod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67a až § 67i vrátane nadpisu „Kríza“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bod 24 týkajúci sa § 67j Obchodného zákonníka navrhujeme zachovať, s príslušným prečíslovaním novelizačných bodov. Navrhované zrušenie inštitútu spoločnosti v kríze sa nemá dotknúť zákazu vrátenia vkladu podľa § 67j ani následkov jeho porušenia podľa § 67k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vykonať potrebné súvisiace zmeny v ďalších ustanoveniach Obchodného zákonníka, najmä:</w:t>
              <w:br/>
            </w:r>
            <w:r>
              <w:rPr>
                <w:b w:val="off"/>
                <w:color w:val="000000"/>
                <w:rFonts w:ascii="Times New Roman" w:hAnsi="Times New Roman" w:cs="Times New Roman" w:eastAsia="Times New Roman"/>
                <w:sz w:val="24"/>
              </w:rPr>
              <w:t>1.	V § 121 ods. 2 odstrániť odkaz na § 67c ods. 2 a samostatne upraviť okruh osôb, na ktoré sa vzťahuje požiadavka bezhotovostného poskytovania úverov alebo obdobných plnení spoločnosti, tak, aby zrušením inštitútu krízy nedošlo k neúmyselnému zúženiu osobnej pôsobnosti tohto ustanovenia.</w:t>
              <w:br/>
            </w:r>
            <w:r>
              <w:rPr>
                <w:b w:val="off"/>
                <w:color w:val="000000"/>
                <w:rFonts w:ascii="Times New Roman" w:hAnsi="Times New Roman" w:cs="Times New Roman" w:eastAsia="Times New Roman"/>
                <w:sz w:val="24"/>
              </w:rPr>
              <w:t>2.	V § 217a ods. 2 nahradiť podmienku, podľa ktorej spoločnosť nesmie byť v kríze ani sa do nej dostať v dôsledku rozdelenia kapitálového fondu z príspevkov, primeranou podmienkou založenou na úpadku alebo hroziacom úpadku podľa osobitného predpisu.</w:t>
              <w:br/>
            </w:r>
            <w:r>
              <w:rPr>
                <w:b w:val="off"/>
                <w:color w:val="000000"/>
                <w:rFonts w:ascii="Times New Roman" w:hAnsi="Times New Roman" w:cs="Times New Roman" w:eastAsia="Times New Roman"/>
                <w:sz w:val="24"/>
              </w:rPr>
              <w:t>3.	V § 217a ods. 4 nahradiť odkaz na § 67f ods. 2 a 3 zodpovedajúcou úpravou následkov neoprávneného rozdelenia kapitálového fondu, najmä povinnosti vrátiť neoprávnene poskytnuté plnenie a zodpovednosti členov štatutárneho orgánu. Na tento účel navrhujeme primerane využiť právnu úpravu podľa § 67k Obchodného zákonníka.</w:t>
              <w:br/>
            </w:r>
            <w:r>
              <w:rPr>
                <w:b w:val="off"/>
                <w:color w:val="000000"/>
                <w:rFonts w:ascii="Times New Roman" w:hAnsi="Times New Roman" w:cs="Times New Roman" w:eastAsia="Times New Roman"/>
                <w:sz w:val="24"/>
              </w:rPr>
              <w:t>4.	V § 220o ods. 1 písm. b) nahradiť podmienku založenú na existencii krízy primeranou podmienkou založenou na existencii úpadku alebo hroziaceho úpadku podľa osobitného predpisu, a to aj vo vzťahu k finančnej situácii spoločnosti, ktorá by vznikla v dôsledku odkúpenia akcií.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čl. LXII návrhu zákona, ktorým sa mení a dopĺňa zákon č. 431/2002 Z. z. o účtovníctve, doplniť nový novelizačný bod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28 sa vypúšťa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vypustiť alebo primerane upraviť ostatné ustanovenia Obchodného zákonníka a dotknutých právnych predpisov, ktoré odkazujú na § 67a až § 67i Obchodného zákonníka alebo na inštitút spoločnosti v kríze.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tiež doplniť primerané prechodné ustanovenia, ktoré zabezpečia, že právne následky porušenia zákazu vrátenia plnenia nahrádzajúceho vlastné zdroje, ku ktorému došlo pred účinnosťou navrhovanej zmeny, zostanú zachované a budú sa posudzovať podľa doterajšej právnej úpravy. To sa vzťahuje najmä na už vzniknuté nároky na vrátenie neoprávnene poskytnutého plnenia a na ručenie členov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od účinnosti navrhovanej zmeny sa zákaz vrátenia plnenia podľa doterajšieho § 67f Obchodného zákonníka nemá ďalej uplatňovať ani na financovanie poskytnuté spoločnosti pred týmto dátumom, ak k jeho splateniu dôjde až po účinnosti novej právnej úpravy. Tým nie sú dotknuté obmedzenia vyplývajúce z ostatných právnych predpisov, najmä zo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zrušiť osobitnú právnu úpravu spoločnosti v kríze podľa § 67a až § 67i Obchodného zákonníka, keďže vzhľadom na súčasnú právnu úpravu úpadku, hroziaceho úpadku, preventívnej reštrukturalizácie, podriadenosti pohľadávok spriaznených veriteľov a odporovateľnosti právnych úkonov stratila táto úprava podstatnú časť svojho pôvodného systémového opodstatnenia. Jej zachovanie vytvára paralelný a čiastočne sa prekrývajúci režim regulácie finančných ťažkostí obchodných spoločností, ktorý zvyšuje komplexnosť právnej úpravy, právnu neistotu a administratívnu záťaž pri financovaní obchodných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spoločnosti v kríze bol do Obchodného zákonníka zavedený zákonom č. 87/2015 Z. z. s cieľom chrániť veriteľov pred odčerpávaním majetku spoločnosti prostredníctvom splácania financovania poskytnutého spoločníkmi a ďalšími osobami s osobitným vzťahom k spoločnosti v čase jej nepriaznivej finančnej situácie. Jeho podstatou je dočasné prekvalifikovanie určitých úverov a obdobných plnení na plnenia nahrádzajúce vlastné zdroje a zákaz ich vrátenia počas krízy alebo vtedy, ak by ich vrátenie krízu spôsobilo.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uvedený cieľ ochrany veriteľov zostáva legitímny, od zavedenia inštitútu spoločnosti v kríze došlo k významnému rozvoju slovenskej právnej úpravy predchádzania úpadku a riešenia finančných ťažkostí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prvé, zákon o konkurze a reštrukturalizácii (ďalej len „ZKR“) dnes obsahuje systematickú právnu úpravu hroziaceho úpadku a povinností dlžníka pri jeho predchádzaní. Podľa § 4 ZKR je dlžník v hroziacom úpadku, najmä ak mu hrozí platobná neschopnosť, pričom zákon pri jej posudzovaní vychádza z predpokladaného vývoja finančnej situácie dlžníka v nasledujúcich 12 kalendárnych mesiacoch. Ustanovenie § 4a ZKR zároveň ukladá dlžníkovi povinnosť sústavne sledovať svoju finančnú situáciu, včas identifikovať hroziaci úpadok a prijať vhodné a primerané opatrenia na jeho odvrátenie. Osobitné povinnosti pri hroziacom úpadku sa vzťahujú aj na štatutárny orgán dlžníka, ktorý musí zohľadňovať spoločné záujmy veriteľov a ďalších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č. 111/2022 Z. z. o riešení hroziaceho úpadku bol zároveň vytvorený systém preventívnej reštrukturalizácie, ktorý umožňuje riešiť finančné ťažkosti dlžníka ešte pred vznikom úpadku, s cieľom zachovať životaschopnosť podniku a predísť konkurzu.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druhé, ZKR obsahuje osobitné pravidlá ochrany veriteľov vo vzťahu k pohľadávkam spriaznených osôb. Podľa § 95 ods. 3 ZKR sa pohľadávky, ktoré patria alebo patrili spriazneným veriteľom, uspokojujú v konkurze v poradí podriadených pohľadávok, pričom na ich zabezpečenie sa v zákonom ustanovenom rozsahu neprihliada. Okruh spriaznených osôb pritom vymedzuje § 9 ZKR.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právna úprava zabezpečuje, že spriaznené osoby nemôžu v konkurze uspokojovať svoje pohľadávky na úkor ostatných nezabezpečených veriteľov bez ohľadu na to, či financovanie bolo poskytnuté v čase krízy spoločnosti. Na rozdiel od režimu podľa § 67a až § 67i Obchodného zákonníka teda nie je potrebné skúmať osobitný stav krízy v čase poskytnutia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tretie, ochranu veriteľov dopĺňa inštitút odporovateľnosti právnych úkonov podľa § 57 a nasl. ZKR. Táto právna úprava umožňuje za zákonom ustanovených podmienok odporovať právnym úkonom dlžníka, ktorými došlo k ukráteniu uspokojenia veriteľov, vrátane zvýhodňujúcich právnych úkonov a právnych úkonov bez primeraného protiplnenia. Pri právnych úkonoch uskutočnených v prospech spriaznených osôb zákon ustanovuje osobitné pravidlá ich posudzovania.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 ods. 4 ZKR navyše upravuje obmedzenie selektívneho uspokojovania veriteľov po tom, ako sa dlžník dozvedel alebo pri zachovaní odbornej starostlivosti mohol dozvedieť o svojom úpadku.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mechanizmy spoločne vytvárajú systém ochrany veriteľov pred zvýhodňovaním spriaznených osôb a pred odčerpávaním majetku dlžníka v súvislosti s jeho finančnými ťažkosťami.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Uvedomujeme si, že zákaz vrátenia plnenia nahrádzajúceho vlastné zdroje podľa § 67f Obchodného zákonníka predstavuje osobitný preventívny mechanizmus, ktorý sa uplatňuje už pred začatím insolvenčného konania a ktorý nie je úplne totožný s podriadenosťou pohľadávok alebo odporovateľnosťou právnych úkonov podľa ZKR. Jeho zrušenie preto predstavuje vedomú zmenu doterajšej koncepcie ochrany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však za systematicky vhodnejšie, aby sa ochrana veriteľov pri finančných ťažkostiach spoločnosti sústredila do právnej úpravy úpadku a hroziaceho úpadku, ktorá vychádza z ekonomicky relevantného posudzovania finančnej situácie dlžníka, a nie do paralelného korporačnoprávneho režimu založeného na osobitnom účtovnom ukazovateli. Zároveň zostávajú zachované všeobecné pravidlá zodpovednosti štatutárnych orgánov, ochrany majetku spoločnosti a zákazu nedovolených plnení spoločníkom.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problematické považujeme samostatné kritérium krízy podľa § 67a ods. 2 Obchodného zákonníka, založené na pomere vlastného imania a záväzkov nižšom ako 8 : 100. Tento ukazovateľ nemusí dostatočne vypovedať o skutočnej platobnej schopnosti spoločnosti, jej schopnosti pokračovať v podnikateľskej činnosti ani o reálnom riziku poškodenia veriteľov. Spoločnosť sa tak môže nachádzať v kríze výlučne z dôvodu svojej kapitálovej štruktúry, hoci riadne plní svoje záväzky, disponuje dostatočnou likviditou a jej podnikanie je ekonomicky životaschopné.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kritérium môže neprimerane zasahovať najmä do financovania začínajúcich podnikov, projektových spoločností a spoločností financovaných prevažne prostredníctvom pôžičiek od spoločníkov alebo iných spriaznených osôb. Takéto financovanie predstavuje bežný a legitímny nástroj financovania podnikateľskej činnosti, najmä v rámci podnikateľských skupín a holdingových štruktúr.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posudzovaní pomeru podľa § 67a ods. 2 Obchodného zákonníka navyše do záväzkov vstupuje aj financovanie poskytnuté spriaznenými osobami, ktorých pohľadávky môžu byť v následnom konkurze podriadené podľa § 95 ods. 3 ZKR. Výsledkom je kumulácia obmedzení, pri ktorej sa financovanie poskytnuté spoločníkom najprv podrobuje zákazu splácania počas krízy a následne osobitnému režimu uspokojovania v konkurze.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problematickosť tejto koncepcie upozorňuje aj odborná literatúra. Komentárová literatúra k § 67a až § 67i Obchodného zákonníka a odborný článok prof. Kristiána Csacha „Obchodná spoločnosť v kríze“ (2017) identifikujú viaceré výkladové a aplikačné otázky, najmä pri určení okruhu dotknutých osôb, kvalifikácii plnení hospodársky zodpovedajúcich úveru, posudzovaní predĺženia splatnosti existujúcich záväzkov, započítaní, realizácii zabezpečenia, exekučnom vymáhaní, premlčaní nárokov a aplikácii pravidiel v cezhraničných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viaceré aplikačné problémy možno riešiť výkladom, ich rozsah potvrdzuje značnú komplexnosť osobitného režimu a potrebu zvážiť jeho ďalšie systémové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Podporný argument pre navrhované zrušenie poskytuje aj vývoj nemeckej právnej úpravy. Nemecký zákonodarca v rámci reformy uskutočnenej zákonom Gesetz zur Modernisierung des GmbH-Rechts und zur Bekämpfung von Missbräuchen (MoMiG), účinným od 1. novembra 2008, zrušil dovtedajší režim pôžičiek spoločníkov nahrádzajúcich vlastné imanie (Eigenkapitalersatzrecht), ktorý bol založený na posudzovaní finančnej krízy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k reforme (Deutscher Bundestag, Drucksache 16/6140) bolo cieľom predovšetkým zjednodušenie právnej úpravy, odstránenie paralelného pôsobenia korporačnoprávnych a insolvenčnoprávnych pravidiel a zvýšenie právnej istoty pri financovaní spoločností spoločníkmi.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Nemecký zákonodarca pritom neupustil od ochrany veriteľov, ale zmenil jej koncepciu. Namiesto posudzovania, či konkrétna pôžička predstavovala financovanie nahrádzajúce vlastné imanie v čase krízy, zaviedol všeobecnejší režim podriadenosti pohľadávok z pôžičiek spoločníkov podľa § 39 ods. 1 bodu 5 nemeckého Insolvenzordnung (InsO) a osobitné pravidlá odporovateľnosti ich splácania a zabezpečenia podľa § 135 InsO.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Nemecká reforma tak predstavuje relevantný príklad legislatívneho prístupu, pri ktorom sa upustilo od komplikovaného korporačnoprávneho režimu závislého od preukazovania krízy spoločnosti a ochrana veriteľov sa sústredila predovšetkým do insolvenčného práva. Hoci slovenská a nemecká právna úprava nie sú totožné, uvedené dôvody reformy považujeme za relevantné aj pre slovenské právne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poukazujeme aj na skutočnosť, že slovenská právna úprava neprevzala rakúsky model spoločnosti v kríze v jeho úplnosti. Rakúsky Eigenkapitalersatz-Gesetz (EKEG) pri ekonomickom teste krízy vyžaduje súčasné splnenie dvoch podmienok, a to nízkeho pomeru vlastného imania a fiktívnej doby splatenia dlhov presahujúcej 15 rokov, pričom obsahuje aj ďalšie korektívy. Slovenská právna úprava naproti tomu používa samostatný pomerový test 8 : 100 bez obdobného doplňujúceho ekonomického kritéria.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zrušenie inštitútu spoločnosti v kríze je nevyhnutné vypustiť aj § 28 ods. 6 zákona č. 431/2002 Z. z. o účtovníctve. Toto ustanovenie výslovne ukladá účtovnej jednotke povinnosť dodržiavať zákaz vrátenia plnenia nahrádzajúceho vlastné zdroje, ak je spoločnosť v kríze podľa § 67a Obchodného zákonníka, a zároveň na účely posudzovania krízy osobitne vymedzuje vlastné imanie a záväzky podľa údajov vykazovaných v súvahe účtovnej závierky.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je priamo a výlučne naviazané na existenciu inštitútu spoločnosti v kríze podľa Obchodného zákonníka. Po vypustení § 67a až § 67i Obchodného zákonníka by preto stratilo svoj normatívny základ a praktické opodstatnenie. Jeho ponechanie by zároveň vytváralo neodôvodnený legislatívny nesúlad, keďže zákon o účtovníctve by naďalej odkazoval na zrušený inštitút a ustanovoval povinnosť dodržiavať zákaz, ktorý už Obchodný zákonník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 28 ods. 6 zákona o účtovníctve preto predstavuje nevyhnutnú súvisiacu legislatívno-technickú zmenu. Nemá sa pritom dotknúť ostatných ustanovení § 28 zákona o účtovníctve ani všeobecných povinností účtovných jednotiek pri vedení účtovníctva, oceňovaní majetku a záväzkov a zostavovaní účtovnej závierky.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samostatného inštitútu spoločnosti v kríze nepovažujeme za nevyhnutné ani z hľadiska ochrany základného imania a zákazu nedovolených plnení spoločníkom. Tieto otázky sú samostatne upravené v § 67j a § 67k Obchodného zákonníka, ktoré navrhujeme zachovať. Rovnako navrhujeme zachovať ochranné mechanizmy pri rozdeľovaní kapitálového fondu z príspevkov a pri odkupovaní vlastných akcií, pričom ich podmienky majú byť primerane naviazané na úpadok a hroziaci úpadok podľa ZKR.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zrušenie inštitútu spoločnosti v kríze preto nepovažujeme za rezignáciu na ochranu veriteľov, ale za systémovú zmenu spôsobu jej zabezpečenia. Ochrana pred finančnými ťažkosťami dlžníka by sa mala sústrediť do právnej úpravy úpadku, hroziaceho úpadku a preventívnej reštrukturalizácie, zatiaľ čo ochrana majetku spoločnosti pred nedovolenými plneniami spoločníkom zostane zabezpečená osobitnými ustanoveniami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Zrušením § 67a až § 67i Obchodného zákonníka a súvisiacich ustanovení zákona o účtovníctve by sa odstránila jedna z paralelných vrstiev regulácie financovania obchodných spoločností, zjednodušilo by sa právne prostredie, zvýšila predvídateľnosť právnych následkov financovania poskytovaného spoločníkmi a spriaznenými osobami a vytvorili by sa priaznivejšie podmienky pre vnútroskupinové financovanie a finančnú reštrukturalizáciu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zmenu preto považujeme za systematicky vhodné doplnenie zberného zákona prijímaného v súvislosti s novým Občianskym zákonníkom, ktorým sa prispeje k zjednodušeniu súkromnoprávnej úpravy, odstráneniu neodôvodnených regulačných prekrývaní a posilneniu právnej istoty pri financovaní obchodných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16</w:t>
              <w:br/>
            </w:r>
            <w:r>
              <w:rPr>
                <w:b w:val="off"/>
                <w:color w:val="000000"/>
                <w:rFonts w:ascii="Times New Roman" w:hAnsi="Times New Roman" w:cs="Times New Roman" w:eastAsia="Times New Roman"/>
                <w:sz w:val="24"/>
              </w:rPr>
              <w:t>Navrhujeme upraviť čl. II bod 16 návrhu zákona tak, aby § 66 ods. 6 Obchodného zákonníka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Zmluva medzi členom orgánu spoločnosti a spoločnosťou alebo medzi spoločníkom pri zariaďovaní záležitostí spoločnosti a spoločnosťou (zmluva o výkone funkcie) musí mať písomnú formu a musí ju schváliť valné zhromaždenie spoločnosti alebo písomne všetci spoločníci, ktorí ručia za záväzky spoločnosti neobmedzene. Stanovy akciovej spoločnosti alebo jednoduchej spoločnosti na akcie môžu určiť, že zmluvu medzi členom predstavenstva a spoločnosťou schvaľuje dozorná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má za cieľ zosúladiť § 66 ods. 6 Obchodného zákonníka s novou všeobecnou právnou úpravou právneho vzťahu medzi členom orgánu a právnickou osobou podľa § 224 zákona č. 260/2026 Z. z. Občiansky zákonník, odstrániť duplicitu právnej úpravy a zachovať osobitné požiadavky na formu a schvaľovanie zmlúv medzi obchodnými spoločnosťami a členmi ich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prvé, navrhovaná zmena odstraňuje duplicitu právnej úpravy. Podľa § 224 ods. 2 Občianskeho zákonníka sa na vzájomné práva a povinnosti medzi právnickou osobou a členom jej orgánu primerane použijú ustanovenia o príkaznej zmluve. Nie je preto potrebné, aby Obchodný zákonník opätovne ustanovoval subsidiárnu aplikáciu ustanovení o príkaznej zmluve, ako to predpokladá navrhovaný bod 16 čl. II zberného zákona. Vypustenie tohto odkazu prispeje k systematickejšiemu usporiadaniu právnej úpravy a odstráneniu nadbytočného opakovania všeobecného pravidla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druhé, navrhovaná úprava terminologicky a systematicky zosúlaďuje Obchodný zákonník s novým Občianskym zákonníkom. Namiesto doterajšieho označenia „zmluva o výkone funkcie“ používa všeobecnejšie označenie „zmluva medzi členom orgánu spoločnosti a spoločnosťou“, ktoré zodpovedá terminológii § 224 Občianskeho zákonníka.</w:t>
              <w:br/>
            </w:r>
            <w:r>
              <w:rPr>
                <w:b w:val="off"/>
                <w:color w:val="000000"/>
                <w:rFonts w:ascii="Times New Roman" w:hAnsi="Times New Roman" w:cs="Times New Roman" w:eastAsia="Times New Roman"/>
                <w:sz w:val="24"/>
              </w:rPr>
              <w:t xml:space="preserve">Súčasne zachováva osobitné korporačné požiadavky na písomnú formu zmluvy a jej schválenie príslušným orgánom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zachováva doterajšiu pôsobnosť § 66 ods. 6 Obchodného zákonníka aj na zmluvný vzťah medzi spoločnosťou a spoločníkom pri zariaďovaní záležitostí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tretie, navrhovaná zmena predchádza interpretačným problémom pri aplikácii § 224 ods. 3 Občianskeho zákonníka. Toto ustanovenie umožňuje v zmluve medzi členom orgánu a právnickou osobou dohodnúť primerané použitie pracovnoprávnych predpisov na výkon funkcie člena orgánu, pričom tým nie je dotknutá osobitná právna úprava práv a povinností člena orgánu a vzťah medzi členom orgánu a právnickou osobou sa nepovažuje za pracovnoprávny vzťah.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zabezpečí, že prípadná dohoda o primeranom použití pracovnoprávnych predpisov bude v prípade členov orgánov obchodných spoločností podliehať požiadavke písomnej formy a schválenia príslušným orgánom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štvrté, navrhovaná úprava zachováva osobitné pravidlá pre formu a schvaľovanie zmlúv medzi spoločnosťou a členom jej orgánu pri súčasnom zohľadnení § 224 ods. 4 Občianskeho zákonníka. Toto ustanovenie umožňuje, aby nárok člena orgánu na odmenu vyplýval zo zmluvy uzavretej medzi ním a právnickou osobou, zo zakladateľského úkonu, stanov alebo z rozhodnutia toho, kto člena orgánu ustanovil.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nemení uvedené všeobecné pravidlo vzniku nároku na odmenu, ale zachováva požiadavku, aby zmluva medzi členom orgánu obchodnej spoločnosti a spoločnosťou mala písomnú formu a bola schválená príslušným orgánom spoločnosti. Tým sa zabezpečuje transparentnosť zmluvných vzťahov a preukázateľnosť ich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piate, navrhovaná úprava prispieva k právnej istote pri posudzovaní nároku na obvyklú odplatu podľa § 1042 ods. 1 Občianskeho zákonníka. Podľa uvedeného ustanovenia má príkazník právo na odplatu nielen vtedy, ak bola dohodnutá, ale aj vtedy, ak je obvyklá, najmä s ohľadom na jeho podnikateľskú činnosť alebo povolanie.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subsidiárne použitie ustanovení o príkaznej zmluve podľa § 224 ods. 2 Občianskeho zákonníka môžu vzniknúť pochybnosti o vzťahu tohto všeobecného pravidla k osobitným požiadavkám Obchodného zákonníka na formu a schvaľovanie zmlúv s členmi orgánov obchodných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zachováva jednoznačné pravidlá pre uzatváranie a schvaľovanie zmlúv medzi spoločnosťou a členom jej orgánu. Súčasne ponecháva právne základy vzniku nároku na odmenu podľa § 224 ods. 4 Občianskeho zákonníka nedotknuté. Otázka prípadného uplatnenia pravidla o obvyklej odplate sa tak bude posudzovať s prihliadnutím na všeobecnú právnu úpravu Občianskeho zákonníka a osobitné korporačné pravidlá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šieste, v nadväznosti na navrhovanú zmenu považujeme za potrebné vykonať aj súvisiace terminologické úpravy ostatných ustanovení Obchodného zákonníka. Nový Občiansky zákonník zavádza jednotnú všeobecnú úpravu právneho vzťahu medzi právnickou osobou a členom jej orgánu, pričom subsidiárne použitie ustanovení o príkaznej zmluve vyplýva priamo z § 224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zmenu preto považujeme za systematicky vhodné zosúladenie Obchodného zákonníka s novým Občianskym zákonníkom, ktoré odstraňuje duplicitu právnej úpravy, zabezpečuje terminologickú jednotnosť a súčasne zachováva osobitné požiadavky na formu a schvaľovanie zmluvných vzťahov medzi obchodnými spoločnosťami, členmi ich orgánov a spoločníkmi pri zariaďovaní záležitostí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133, § 194, § 200</w:t>
              <w:br/>
            </w:r>
            <w:r>
              <w:rPr>
                <w:b w:val="off"/>
                <w:color w:val="000000"/>
                <w:rFonts w:ascii="Times New Roman" w:hAnsi="Times New Roman" w:cs="Times New Roman" w:eastAsia="Times New Roman"/>
                <w:sz w:val="24"/>
              </w:rPr>
              <w:t>Navrhujeme doplniť čl. II návrhu zákona o nové novelizačné body, ktorými sa Obchodný zákonník zosúladí s § 221 zákona č. 260/2026 Z. z. Občiansky zákonník a umožní sa, aby funkciu konateľa spoločnosti s ručením obmedzeným, člena predstavenstva a člena dozornej rady akciovej spoločnosti mohla vykonávať aj právnická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tieto zmeny:</w:t>
              <w:br/>
            </w:r>
            <w:r>
              <w:rPr>
                <w:b w:val="off"/>
                <w:color w:val="000000"/>
                <w:rFonts w:ascii="Times New Roman" w:hAnsi="Times New Roman" w:cs="Times New Roman" w:eastAsia="Times New Roman"/>
                <w:sz w:val="24"/>
              </w:rPr>
              <w:t>1.	V § 133 ods. 2 sa slová „len fyzická osoba, ktorá“ nahrádzajú slovami „len osoba, ktorá“.</w:t>
              <w:br/>
            </w:r>
            <w:r>
              <w:rPr>
                <w:b w:val="off"/>
                <w:color w:val="000000"/>
                <w:rFonts w:ascii="Times New Roman" w:hAnsi="Times New Roman" w:cs="Times New Roman" w:eastAsia="Times New Roman"/>
                <w:sz w:val="24"/>
              </w:rPr>
              <w:t>2.	V § 133 ods. 4 sa slová „alebo iných fyzických osôb“ nahrádzajú slovami „alebo iných osôb“.</w:t>
              <w:br/>
            </w:r>
            <w:r>
              <w:rPr>
                <w:b w:val="off"/>
                <w:color w:val="000000"/>
                <w:rFonts w:ascii="Times New Roman" w:hAnsi="Times New Roman" w:cs="Times New Roman" w:eastAsia="Times New Roman"/>
                <w:sz w:val="24"/>
              </w:rPr>
              <w:t>3.	V § 194 ods. 2 sa vypúšťa posledná veta.</w:t>
              <w:br/>
            </w:r>
            <w:r>
              <w:rPr>
                <w:b w:val="off"/>
                <w:color w:val="000000"/>
                <w:rFonts w:ascii="Times New Roman" w:hAnsi="Times New Roman" w:cs="Times New Roman" w:eastAsia="Times New Roman"/>
                <w:sz w:val="24"/>
              </w:rPr>
              <w:t>4.	V § 200 ods. 4 sa vypúšťa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vykonať potrebné súvisiace zmeny v zákone o obchodnom registri a prípadne v nadväzujúcich vykonávacích predpisoch, aby bolo možné do obchodného registra zapisovať právnickú osobu ako konateľa, člena predstavenstva alebo člena dozornej rady obchodnej spoločnosti spolu s fyzickou osobou, ktorá ju pri výkone funkcie zastupuje, v súlade s § 221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260/2026 Z. z. Občiansky zákonník zavádza v § 221 všeobecné pravidlo, podľa ktorého členom orgánu právnickej osoby môže byť aj iná právnická osoba. Ide o významnú zmenu doterajšej koncepcie výkonu funkcií v orgánoch právnických osôb, ktorá umožňuje väčšiu flexibilitu pri ich personálnom obsadzovaní a organizácii správy a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221 ods. 1 Občianskeho zákonníka právnickú osobu pri výkone funkcie člena orgánu zastupuje ňou určená fyzická osoba, ktorá musí spĺňať podmienky na výkon príslušnej funkcie. Ustanovenie § 221 ods. 2 zároveň zabezpečuje transparentnosť tým, že vyžaduje zápis právnickej osoby ako člena orgánu a fyzickej osoby, ktorá ju zastupuje, do príslušného verejného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súčasne zabezpečuje zachovanie osobnej zodpovednosti za výkon funkcie. Podľa § 221 ods. 3 Občianskeho zákonníka sa povinnosti člena orgánu vzťahujú aj na fyzickú osobu, ktorá právnickú osobu v orgáne zastupuje, pričom za porušenie týchto povinností zodpovedajú právnická osoba ako člen orgánu a jej fyzický zástupca spoločne a nerozdielne. Pripustenie právnických osôb do orgánov obchodných spoločností preto neznamená oslabenie zodpovednosti za ich riadenie ani vytvorenie možnosti vyhnúť sa osobnej zodpovednosti prostredníctvom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ustanovenia § 133 ods. 2, § 194 ods. 2 a § 200 ods. 4 Obchodného zákonníka však výslovne obmedzujú výkon funkcie konateľa spoločnosti s ručením obmedzeným, člena predstavenstva a člena dozornej rady akciovej spoločnosti na fyzické osoby. Ich ponechaním by sa v prípade uvedených obchodných spoločností fakticky vylúčila aplikácia všeobecného pravidla podľa § 221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obmedzenie nepovažujeme za opodstatnené, osobitne vzhľadom na to, že nový Občiansky zákonník už obsahuje pravidlá zastupovania právnickej osoby pri výkone funkcie, požiadavky na fyzickú osobu vykonávajúcu funkciu v jej mene, ako aj mechanizmus spoločnej a nerozdielnej zodpovednosti za porušenie povinností člena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zodpovedá aj právnej úprave vo viacerých členských štátoch Európskej únie, napríklad v Českej republike, Belgicku, Luxembursku, Holandsku, Maďarsku a Španielsku, ktoré umožňujú právnickým osobám vykonávať vybrané funkcie v orgánoch obchodných spoločností. Tieto právne úpravy spravidla kombinujú možnosť výkonu funkcie právnickou osobou s identifikáciou fyzickej osoby vykonávajúcej funkciu v jej mene a s pravidlami jej osobnej zodpovednosti.</w:t>
              <w:br/>
            </w:r>
            <w:r>
              <w:rPr>
                <w:b w:val="off"/>
                <w:color w:val="000000"/>
                <w:rFonts w:ascii="Times New Roman" w:hAnsi="Times New Roman" w:cs="Times New Roman" w:eastAsia="Times New Roman"/>
                <w:sz w:val="24"/>
              </w:rPr>
              <w:t>Možnosť účasti právnických osôb v orgánoch obchodných spoločností predpokladá aj európske právo. Článok 47 ods. 1 nariadenia Rady (ES) č. 2157/2001 o stanovách európskej spoločnosti (SE) umožňuje, aby stanovy európskej spoločnosti pripustili právnickú osobu ako člena jej orgánu, pokiaľ tomu nebráni príslušné vnútroštátne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Umožnenie výkonu funkcie člena orgánu obchodnej spoločnosti právnickou osobou prináša viaceré praktické výhody. Predovšetkým zabezpečuje kontinuitu a stabilitu obsadenia orgánov, keďže zmena fyzickej osoby zastupujúcej právnickú osobu nevyžaduje zmenu samotného člena orgánu. To je osobitne významné pri personálnych zmenách v podnikateľských skupinách, investičných spoločnostiach alebo pri správe portfóliových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Ďalšou výhodou je možnosť inštitucionalizácie výkonu funkcie. Právnická osoba ako člen orgánu môže pri výkone svojej funkcie využívať odborné, personálne a administratívne kapacity svojej organizácie vrátane špecializovaných odborníkov na financie, právo, compliance alebo riadenie rizík. Tým sa vytvárajú predpoklady na profesionálnejší a efektívnejší výkon správy a riadenia spoločnosti pri zachovaní osobnej zodpovednosti určenej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zároveň umožňuje efektívnejšie usporiadanie riadenia v rámci podnikateľských skupín, holdingových a cezhraničných investičných štruktúr. Materská alebo iná skupinová spoločnosť môže vykonávať funkciu člena orgánu dcérskej spoločnosti prostredníctvom určenej fyzickej osoby, čím sa podporuje kontinuita riadenia, koordinácia rozhodovacích procesov a jednotné uplatňovanie pravidiel corporate governance.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osoba ako člen orgánu môže taktiež prispieť k administratívnemu zjednodušeniu správy spoločností, centralizácii organizačného zabezpečenia výkonu funkcií a flexibilnejšiemu personálnemu obsadzovaniu orgánov bez potreby opakovanej zmeny samotného člena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Podstatné je, že uvedené výhody sa dosahujú bez oslabenia zodpovednosti za výkon funkcie. Právna úprava podľa § 221 Občianskeho zákonníka zachováva identifikovateľnosť fyzickej osoby, ktorá funkciu skutočne vykonáva, a zakladá jej spoločnú a nerozdielnu zodpovednosť s právnickou osobou. V porovnaní s výkonom funkcie výlučne fyzickou osobou tak môže ísť dokonca o rozšírenie okruhu subjektov zodpovedných za porušenie povinností člena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zabezpečenie praktickej vykonateľnosti navrhovanej úpravy je nevyhnutné vykonať aj zodpovedajúce zmeny právnej úpravy obchodného registra. Tá musí umožňovať zápis právnickej osoby ako člena príslušného orgánu obchodnej spoločnosti a súčasný zápis fyzickej osoby, ktorá ju pri výkone funkcie zastupuje. Rovnako je potrebné zabezpečiť evidenciu a zápis zmien tejto zastupujúcej fyzickej osoby bez toho, aby takáto zmena sama osebe znamenala zánik funkcie právnickej osoby ako člena orgánu. Súvisiaca úprava by mala jednoznačne upraviť aj rozsah zapisovaných údajov a listiny potrebné na preukázanie oprávnenia fyzickej osoby zastupovať právnickú osobu pri výkone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úpravu považujeme za systematicky vhodné doplnenie zberného zákona, ktorým sa zabezpečí dôslednejšie premietnutie novej koncepcie Občianskeho zákonníka do obchodného práva, pri súčasnom zachovaní požiadaviek na riadny výkon funkcie a ochranu spoločnosti, jej spoločníkov, akcionárov a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29 § 34a až § 34c</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34a Odpustenie dlhu a vzdanie sa práva (1) Zamestnanec nemôže zamestnávateľa zbaviť povinnosti poskytnúť mu mzdu alebo náhradu mzdy, náhradu za pracovnú pohotovosť, odmenu z dohody o práci vykonávanej mimo pracovného pomeru, odstupné, odchodné, cestovných náhrad a iných peňažných plnení vyplývajúcich zo zákona alebo z kolektívnej zmluvy. (2) Zamestnanec sa nemôže vzdať práva na čerpanie dovolenky.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34b Započítanie. V pracovnoprávnych vzťahoch nie je prípustné jednostranné započítanie pohľadávky zamestnávateľa voči zamestnancovi.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34c Urovnanie. Dohoda o urovnaní podľa § 509 Občianskeho zákonníka v pracovnoprávnych vzťahoch musí byť písomná, inak je neplatná.“</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34a ods. 1 nahradiť slová „cestovných náhrad a iných peňažných plnení“ slovami „cestovné náhrady a iné peňažné plnenia“ a doplniť odsek 3:</w:t>
              <w:br/>
            </w:r>
            <w:r>
              <w:rPr>
                <w:b w:val="off"/>
                <w:color w:val="000000"/>
                <w:rFonts w:ascii="Times New Roman" w:hAnsi="Times New Roman" w:cs="Times New Roman" w:eastAsia="Times New Roman"/>
                <w:sz w:val="24"/>
              </w:rPr>
              <w:t>„(3) Odsek 1 sa nevzťahuje na dohodu o urovnaní podľa § 34c, ktorej predmetom sú práva sporné alebo pochybné, ani na dohodu o skončení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34b znie:</w:t>
              <w:br/>
            </w:r>
            <w:r>
              <w:rPr>
                <w:b w:val="off"/>
                <w:color w:val="000000"/>
                <w:rFonts w:ascii="Times New Roman" w:hAnsi="Times New Roman" w:cs="Times New Roman" w:eastAsia="Times New Roman"/>
                <w:sz w:val="24"/>
              </w:rPr>
              <w:t>„Zamestnávateľ môže jednostranne započítať svoju pohľadávku voči pohľadávke zamestnanca na mzdu, náhradu mzdy alebo odmenu z dohody o práci vykonávanej mimo pracovného pomeru len v prípadoch podľa § 131 ods. 2 a v rozsahu podľa § 131 ods. 4; iné započítanie je prípustné len na základe písomnej dohody so zamestnancom.“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34a ods. 1 zakazuje odpustenie dlhu absolútne, teda aj pri skončení pracovného pomeru a pri sporných nárokoch. Dohoda o urovnaní však takmer vždy zahŕňa čiastočné vzdanie sa nároku/nárokov. Zamestnávateľ by nemal istotu, že mimosúdna dohoda alebo súdny zmier v spore o neplatnosť skončenia a náhradu mzdy podľa § 79 je platná; zamestnanec by mohol po uzavretí dohody žalovať rozdiel.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34b je v kolízii so zrážkami bez dohody podľa § 131 ods. 2 ZP (preddavok na mzdu, nevyúčtované preddavky cestovných náhrad, náhrada mzdy za dovolenku, odstupné podľa § 76 ods. 4), ktoré sú vecne započítaním. Je prísnejší než vzor, na ktorý sa dôvodová správa odvoláva: český § 144a ods. 4 započítanie proti mzde pripúšťa v medziach zrážok pri výkone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34a ods. 1 je gramaticky chybné.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33 § 38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Zamestnávateľ sa môže so zamestnancom dohodnúť na doručovaní písomností podľa odsekov 1 a 3 elektronickými prostriedkami podpísaných kvalifikovaným elektronickým podpisom; ustanovenia odsekov 1 až 5 sa nepoužijú. Dohoda podľa prvej vety musí byť vyhotovená v elektronickej podobe a musí byť podpísaná obidvoma stranami kvalifikovaným elektronickým podpisom, inak je neplatná. Zamestnávateľ doručuje písomnosti zamestnancovi na elektronickú adresu, ktorú zamestnanec určil a ktorá nie je v dispozícii zamestnávateľa. Na doručovanie podľa prvej vety sa primerane použijú Občianskeho zákonníka o pôsobení prejavu vôle.“</w:t>
              <w:br/>
            </w:r>
            <w:r>
              <w:rPr>
                <w:b w:val="off"/>
                <w:color w:val="000000"/>
                <w:rFonts w:ascii="Times New Roman" w:hAnsi="Times New Roman" w:cs="Times New Roman" w:eastAsia="Times New Roman"/>
                <w:sz w:val="24"/>
              </w:rPr>
              <w:t>Návrh v pripomienkovom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Zamestnávateľ a zamestnanec sa môžu dohodnúť, že písomnosti podľa odsekov 1 a 3 si môžu doručovať aj elektronickými prostriedkami; takto doručovaná písomnosť musí byť podpísaná kvalifikovaným elektronickým podpisom. Dohoda podľa prvej vety musí byť písomná; ak je vyhotovená v elektronickej podobe, musí byť podpísaná obidvoma stranami kvalifikovaným elektronickým podpisom, inak je neplatná. Zamestnávateľ doručuje písomnosti na elektronickú adresu, ktorú zamestnanec určil a ktorá nie je v dispozícii zamestnávateľa; zamestnanec doručuje písomnosti na elektronickú adresu, ktorú na tento účel určil zamestnávateľ. Na doručovanie elektronickými prostriedkami sa ustanovenia odsekov 1 až 5 nepoužijú; primerane sa použijú ustanovenia Občianskeho zákonníka o pôsobení prejavu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Každá zo strán môže dohodu podľa odseku 6 písomne vypovedať aj bez uvedenia dôvodu; dohoda zaniká dňom dôjdenia výpovede druhej strane, ak vo výpovedi nie je uvedený neskorší deň. Zánik dohody nemá vplyv na účinky doručenia písomností odoslaných pred jej zánikom.“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vylučuje použitie odsekov 1 až 5 bez toho, aby určilo, na aký spôsob doručovania sa vylúčenie vzťahuje. Dá sa preto vyložiť tak, že po uzavretí dohody nemožno písomnosť doručiť ani osobne na pracovisku, ani prostredníctvom poštového podniku. Ak by elektronická adresa zamestnanca prestala byť funkčná, zamestnávateľ by nemal k dispozícii iný spôsob doručenia. To je neprijateľné najmä pri výpovedi a okamžitom skončení pracovného pomeru, kde od včasného doručenia závisí dodržanie lehôt. Navrhujeme preto výslovne ustanoviť, že písomnosti možno doručovať „aj“ elektronickými prostriedkami a že vylúčenie odsekov 1 až 5 sa vzťahuje len na doručovanie týmto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pripustiť aj dohodu o elektronickom doručovaní v listinnej podobe s vlastnoručnými podpismi. Má rovnakú dôkaznú hodnotu a umožňuje dohodnúť elektronické doručovanie už pri uzavretí pracovnej zmluvy. Vylúčenie listinnej formy nie je z hľadiska ochrany zamestnanca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Doručovanie zamestnancom zamestnávateľovi. Navrhované znenie umožňuje dohodnúť elektronické doručovanie aj pri písomnostiach zamestnanca podľa odseku 3, upravuje však len elektronickú adresu, na ktorú doručuje zamestnávateľ. Navrhujeme doplniť, že zamestnanec doručuje na elektronickú adresu, ktorú na tento účel určí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dohody. Navrhované znenie neupravuje, či a ako možno dohodu o elektronickom doručovaní ukončiť. Navrhujeme umožniť každej zo strán dohodu kedykoľvek písomne vypovedať. Zároveň navrhujeme ustanoviť, že jej zánik nemá vplyv na účinky doručenia písomností odoslaných pred jej zánikom. Predíde sa tak sporom o účinnosť úkonov uskutočnených v čase trvania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odkaze na ustanovenia Občianskeho zákonníka o pôsobení prejavu vôle (§ 53 ods. 2 a § 54) chýba slovo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Prechodné ustanovenia</w:t>
              <w:br/>
            </w:r>
            <w:r>
              <w:rPr>
                <w:b w:val="off"/>
                <w:color w:val="000000"/>
                <w:rFonts w:ascii="Times New Roman" w:hAnsi="Times New Roman" w:cs="Times New Roman" w:eastAsia="Times New Roman"/>
                <w:sz w:val="24"/>
              </w:rPr>
              <w:t>Navrhované znenie: Čl. III prechodné ustanovenia k zmenám Zákonníka práce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pripomienkovom konaní: Za § 252[x] vložiť nový paragraf: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(1) Pracovnoprávne vzťahy vzniknuté pred 1. júlom 2027 sa odo dňa 1. júla 2027 spravujú týmto zákonom a Občianskym zákonníkom v znení účinnom od 1. júla 2027, ak nie je ustanovené inak.</w:t>
              <w:br/>
            </w:r>
            <w:r>
              <w:rPr>
                <w:b w:val="off"/>
                <w:color w:val="000000"/>
                <w:rFonts w:ascii="Times New Roman" w:hAnsi="Times New Roman" w:cs="Times New Roman" w:eastAsia="Times New Roman"/>
                <w:sz w:val="24"/>
              </w:rPr>
              <w:t>(2) Vznik pracovnoprávnych vzťahov, právne úkony uskutočnené a práva a povinnosti vzniknuté pred 1. júlom 2027 sa posudzujú podľa predpisov účinných do 30. júna 2027.</w:t>
              <w:br/>
            </w:r>
            <w:r>
              <w:rPr>
                <w:b w:val="off"/>
                <w:color w:val="000000"/>
                <w:rFonts w:ascii="Times New Roman" w:hAnsi="Times New Roman" w:cs="Times New Roman" w:eastAsia="Times New Roman"/>
                <w:sz w:val="24"/>
              </w:rPr>
              <w:t>(4) Premlčacie lehoty, prekluzívne lehoty a doby, ktoré začali plynúť pred 1. júlom 2027, sa až do svojho uplynutia posudzujú podľa predpisov účinných do 30. júna 2027.</w:t>
              <w:br/>
            </w:r>
            <w:r>
              <w:rPr>
                <w:b w:val="off"/>
                <w:color w:val="000000"/>
                <w:rFonts w:ascii="Times New Roman" w:hAnsi="Times New Roman" w:cs="Times New Roman" w:eastAsia="Times New Roman"/>
                <w:sz w:val="24"/>
              </w:rPr>
              <w:t>(5) Písomné poverenia, plnomocenstvá, dohody o zrážkach zo mzdy, dohody o hmotnej zodpovednosti, zmluvy o zriadení záložného práva a dohody o sporných nárokoch udelené alebo uzavreté pred 1. júlom 2027 zostávajú platné a účinné.“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Zberný zákon pri ZP prechodné ustanovenia nemá, hoci ich pri iných zákonoch obsahuje. Podľa § 1893 ods. 3 NOZ sa „iné právne vzťahy“ vzniknuté pred jeho účinnosťou spravujú doterajšími predpismi. Bez osobitnej úpravy nie je jasné, či sa na nové úskony v existujúcich pomeroch subsidiárne použije NOZ, alebo doterajší Občiansky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Zamestnávateľ by tak v rámci jedného podniku musel aplikovať dva režimy podľa dátumu nástupu zamestnanca, a to po desiatky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5 zabezpečí, že zamestnávatelia nebudú musieť k 1. 7. 2027 hromadne preveriť a znovu uzavrieť existujúcu HR dokumentáciu (poverenia podľa doterajšieho § 9 ods. 2, dohody o zrážkach podľa § 20 ods. 2, záložné zmluvy podľa § 20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 z dôvodu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5. § § 7 ods. 2</w:t>
              <w:br/>
            </w:r>
            <w:r>
              <w:rPr>
                <w:b w:val="off"/>
                <w:color w:val="000000"/>
                <w:rFonts w:ascii="Times New Roman" w:hAnsi="Times New Roman" w:cs="Times New Roman" w:eastAsia="Times New Roman"/>
                <w:sz w:val="24"/>
              </w:rPr>
              <w:t>Žiadame doplniť návrh o výslovné prechodné ustanovenie upravujúce pokračovanie pracovnoprávnych vzťahov, ktorých účastníkom je ku dňu predchádzajúcemu účinnosti novely organizačná jednotka zamestnávateľa s postavením zamestnávateľa podľa doterajšieho § 7 ods. 2 Zákonníka práce, ak toto postavenie v dôsledku novely stratí.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že práva a povinnosti z týchto vzťahov prejdú dňom účinnosti novely zo zákona na fyzickú osobu alebo právnickú osobu, ktorej je organizačná jednotka súčasťou, ak osobitný zákon neurčí iného nástupcu. Prechod musí zahŕňať aj práva a povinnosti vzniknuté pred týmto dňom a zachovať kontinuitu zamestnania, pracovné a mzdové podmienky a započítanie dovtedajšieho trvania pracovnoprávneho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výslovne upraviť informačnú povinnosť voči dotknutým zamestnancom a ich zástupcom, následky pre kolektívne zmluvy a postavenie zástupcov zamestnancov a pokračovanie v prebiehajúcich konaniach. Samotná zmena právnej úpravy nemá viesť k potrebe skončenia a opätovného založenia pracovnoprávnych vzťahov ani k strate nadobudnutých práv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o súvisiacu právnu úpravu v kontexte registračných povinností zamestnávateľa pre účely sociálneho zabezpečenia,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 bod 5 návrhu vypúšťa celý § 7 ods. 2 Zákonníka práce vrátane ustanovenia umožňujúceho organizačnej jednotke vystupovať ako samostatný zamestnávateľ na základe osobitného predpisu alebo stanov podľa osobitného predpisu. Návrh však v novelizačnom článku k Zákonníku práce neustanovuje, ako majú pokračovať už existujúce pracovnoprávne vzťahy jednotiek, ktoré po účinnosti novely nebudú mať samostatný právny základ na postavenie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Súvisiaca novela Obchodného zákonníka tento nedostatok neodstraňuje. Novela Obchodného zákonníka a úprava organizačnej zložky a konania jej vedúceho v novom Občianskom zákonníku riešia existenciu organizačného útvaru a zastupovanie podnikateľa, nie výslovné nástupníctvo v pracovnoprávnych vzťahoch doterajšieho samostatného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všeobecné prechodné pravidlo v § 1893 nového Občianskeho zákonníka výslovne neurčuje účinky vypustenia § 7 ods. 2 Zákonníka práce na existujúcu pracovnoprávnu subjektivitu organizačných jednotiek a osobu prípadného nástupcu. Ponechanie tejto otázky iba na výklad vytvára neistotu, kto bude povinný prideľovať prácu, vyplácať mzdu a uspokojovať už vzniknuté práva zamestnancov a kto bude oprávnený uskutočňovať pracovnoprávne úkony či vystupovať v prebiehajúcich sporoch.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Výslovná prechodná úprava je preto potrebná na zabezpečenie právnej istoty a ochrany zamestnanca ako slabšej strany. Navrhované riešenie nemá zasiahnuť do postavenia jednotiek, ktoré majú vlastnú právnu subjektivitu alebo ktorých samostatné postavenie zamestnávateľa bude naďalej vyplývať z osobitného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jadro prechodného ustanovenia</w:t>
              <w:br/>
            </w:r>
            <w:r>
              <w:rPr>
                <w:b w:val="off"/>
                <w:color w:val="000000"/>
                <w:rFonts w:ascii="Times New Roman" w:hAnsi="Times New Roman" w:cs="Times New Roman" w:eastAsia="Times New Roman"/>
                <w:sz w:val="24"/>
              </w:rPr>
              <w:t>„Ak organizačná jednotka, ktorá bola do 30. júna 2027 zamestnávateľom podľa § 7 ods. 2 v znení účinnom do 30. júna 2027, od 1. júla 2027 nespĺňa podmienky na postavenie zamestnávateľa, práva a povinnosti z jej pracovnoprávnych vzťahov prechádzajú 1. júla 2027 na fyzickú osobu alebo právnickú osobu, ktorej je súčasťou, ak osobitný zákon neustanovuje inak. Prechod sa vzťahuje aj na práva a povinnosti vzniknuté pred týmto dňom. Pracovnoprávne vzťahy tým nezanikajú a ich doterajšie trvanie, ako aj práva zamestnancov z nich vyplývajúce zostávajú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50 § 61 ods. 4</w:t>
              <w:br/>
            </w:r>
            <w:r>
              <w:rPr>
                <w:b w:val="off"/>
                <w:color w:val="000000"/>
                <w:rFonts w:ascii="Times New Roman" w:hAnsi="Times New Roman" w:cs="Times New Roman" w:eastAsia="Times New Roman"/>
                <w:sz w:val="24"/>
              </w:rPr>
              <w:t xml:space="preserve">Návrh pripomienky - k čl. III, bod 50 (§ 61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 61 ods. 4 Zákonníka práce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 61 ods. 4 Zákonníka práce upravuje osobitný pracovnoprávny inštitút odvolania už doručenej výpovede, ktorý je založený na súhlase druhej strany a nevyžaduje existenciu zákonného dôvodu. Jeho účelom je umožniť stranám zachovať pracovný pomer napriek predchádzajúcemu doručeniu výpovede.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nový Občiansky zákonník upravuje zrušenie právneho úkonu ako osobitný právny inštitút, ktorý možno uplatniť zo zákonom ustanovených dôvodov, najmä pri bezprávnej vyhrážke, ľsti alebo omyle (§ 91 až § 94). Podľa § 99 Občianskeho zákonníka ide o jednostranný prejav vôle konajúcej osoby, ktorý nevyžaduje súhlas adresáta právneho úkonu, pričom zrušený právny úkon sa podľa § 101 Občianskeho zákonníka považuje za neplatný od počiatku. Navrhovaný § 16c ods. 1 Zákonníka práce pritom výslovne pripúšťa zrušenie právneho úkonu v pracovnoprávnych vzťahoch z dôvodov podľa § 91 až § 94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rovnakého pojmu „zrušenie“ v § 61 ods. 4 Zákonníka práce preto môže vyvolávať interpretačné pochybnosti. Pri doslovnom výklade navrhovaného ustanovenia by totiž zrušenie výpovede mohlo byť podmienené súhlasom druhej strany aj v prípade, ak táto strana konajúcu osobu úmyselne uviedla do omylu alebo voči nej použila bezprávnu vyhrážku. Takýto výklad by viedol k neprijateľnému dôsledku, keď by osoba, ktorá sama spôsobila vadu vôle, mohla odmietnutím súhlasu zabrániť zrušeniu právneho úkonu. Tým by bol popretý účel inštitútu zrušiteľnosti právnych úkonov a oslabená ochrana zamestnanca ako slabšej strany pracovnoprávneho vzťahu. V praxi bežne dochádza k situáciám, keď jedna zo strán po doručení výpovede prehodnotí svoje rozhodnutie a druhá strana súhlasí s jej odvolaním, pričom spoločným zámerom strán je pokračovanie existujúceho pracovného pomeru bez akejkoľvek zmeny. Vylúčenie takejto možnosti by znamenalo, že pracovný pomer by sa napriek zhodnej vôli oboch strán skončil a jeho pokračovanie by si vyžadovalo uzavretie novej pracovnej zmluvy. Takýto dôsledok by bol neodôvodnený, formalistický a v rozpore s požiadavkou zachovania stability a kontinuity pracovnoprávnych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doterajšieho pojmu „odvolanie výpovede“ preto považujeme za terminologicky a systematicky presnejšie riešenie, ktoré umožní jednoznačne odlíšiť dva samostatné právne mechanizmy s rozdielnymi predpokladmi a právnymi účinkami. Súčasne sa tým zachová možnosť strán na základe vzájomného súhlasu odvolať už doručenú výpoveď bez potreby preukazovania zákonného dôvodu zrušiteľnosti a bez zásahu do kontinuity existujúceho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20 § 16c</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V čl. III bode 20 navrhujeme doplniť § 16c o nový odsek 4, ktorý znie:</w:t>
              <w:br/>
            </w:r>
            <w:r>
              <w:rPr>
                <w:b w:val="off"/>
                <w:color w:val="000000"/>
                <w:rFonts w:ascii="Times New Roman" w:hAnsi="Times New Roman" w:cs="Times New Roman" w:eastAsia="Times New Roman"/>
                <w:sz w:val="24"/>
              </w:rPr>
              <w:t>„(4) Na zánik práva zrušiť právny úkon podľa odseku 1 sa použije § 102 Občianskeho zákonníka.“</w:t>
              <w:br/>
            </w:r>
            <w:r>
              <w:rPr>
                <w:b w:val="off"/>
                <w:color w:val="000000"/>
                <w:rFonts w:ascii="Times New Roman" w:hAnsi="Times New Roman" w:cs="Times New Roman" w:eastAsia="Times New Roman"/>
                <w:sz w:val="24"/>
              </w:rPr>
              <w:t>V čl. III bode 23 navrhujeme v § 19 za slová „uvedených v“ vložiť slová „§ 16c ods. 4,“.</w:t>
              <w:br/>
            </w:r>
            <w:r>
              <w:rPr>
                <w:b w:val="off"/>
                <w:color w:val="000000"/>
                <w:rFonts w:ascii="Times New Roman" w:hAnsi="Times New Roman" w:cs="Times New Roman" w:eastAsia="Times New Roman"/>
                <w:sz w:val="24"/>
              </w:rPr>
              <w:t>Súčasne navrhujeme v § 16c ods. 1 nahradiť slová „tento zákona“ slovami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16c Zákonníka práce zavádza inštitút zrušenia právneho úkonu v nadväznosti na novú koncepciu zrušiteľnosti právnych úkonov podľa § 91 až 103 Občianskeho zákonníka. Návrh však výslovne neupravuje časové obmedzenie práva na zrušenie právneho úkonu, pričom navrhovaný § 19 Zákonníka práce obsahuje taxatívny výpočet prípadov preklúzie, ktorý nezahŕňa právo na zrušenie právneho úkonu podľa § 16c v spojení s § 102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102 Občianskeho zákonníka právo zrušiť právny úkon zaniká, ak oprávnená osoba právny úkon nezruší do šiestich mesiacov odo dňa, keď sa dozvedela o dôvode zrušiteľnosti, najneskôr však do troch rokov od uskutočnenia právneho úkonu. Ide o hmotnoprávnu prekluzívnu lehotu, v ktorej musí oprávnená osoba uskutočniť jednostranný prejav vôle o zrušení právneho úkonu podľa § 99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taxatívnu formuláciu navrhovaného § 19 Zákonníka práce môže vzniknúť výkladová neistota, či sa prekluzívna lehota podľa § 102 Občianskeho zákonníka uplatní aj v pracovnoprávnych vzťahoch. Navrhujeme preto jej použitie výslovne potvrdiť v § 16c a zodpovedajúcim spôsobom doplniť § 19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je potrebné rozlišovať medzi lehotou na zrušenie právneho úkonu podľa § 102 Občianskeho zákonníka a dvojmesačnou lehotou na súdne uplatnenie neplatnosti skončenia pracovného pomeru podľa § 77 Zákonníka práce. Ide o dva odlišné právne mechanizmy. Zatiaľ čo zrušenie právneho úkonu podľa § 99 Občianskeho zákonníka sa uskutočňuje jednostranným prejavom vôle voči dotknutej osobe, § 77 Zákonníka práce upravuje súdne uplatnenie neplatnosti skončenia pracovného pomeru.</w:t>
              <w:br/>
            </w:r>
            <w:r>
              <w:rPr>
                <w:b w:val="off"/>
                <w:color w:val="000000"/>
                <w:rFonts w:ascii="Times New Roman" w:hAnsi="Times New Roman" w:cs="Times New Roman" w:eastAsia="Times New Roman"/>
                <w:sz w:val="24"/>
              </w:rPr>
              <w:t>Nepovažujeme preto za odôvodnené automaticky podriadiť samotné právo na zrušenie právneho úkonu dvojmesačnej lehote podľa § 77 Zákonníka práce. Takéto riešenie by mohlo viesť k zániku práva na zrušenie právneho úkonu ešte predtým, ako sa oprávnená osoba dozvie o dôvode jeho zrušiteľnosti, najmä v prípadoch ľsti alebo omylu.</w:t>
              <w:br/>
            </w:r>
            <w:r>
              <w:rPr>
                <w:b w:val="off"/>
                <w:color w:val="000000"/>
                <w:rFonts w:ascii="Times New Roman" w:hAnsi="Times New Roman" w:cs="Times New Roman" w:eastAsia="Times New Roman"/>
                <w:sz w:val="24"/>
              </w:rPr>
              <w:t>Súčasne však vzniká otázka vzájomného vzťahu oboch lehôt, najmä ak dôjde k zrušeniu právneho úkonu, ktorým sa skončil pracovný pomer, až po uplynutí dvojmesačnej lehoty podľa § 77 Zákonníka práce. V takom prípade nie je jednoznačné, či zrušenie právneho úkonu môže vyvolať právne následky spojené s neplatným skončením pracovného pomeru napriek uplynutiu lehoty na jeho súdne uplatnenie.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predkladateľ tento vzťah výslovne objasnil v dôvodovej správe, pričom je potrebné rešpektovať osobitný režim súdneho preskúmania skončenia pracovného pomeru a súčasne zachovať účel inštitútu zrušiteľnosti právnych úkonov podľa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má zabezpečiť jednoznačné časové obmedzenie práva na zrušenie právneho úkonu, odstrániť interpretačné pochybnosti vyplývajúce z taxatívneho znenia § 19 Zákonníka práce a posilniť právnu istotu zamestnancov aj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16c</w:t>
              <w:br/>
            </w:r>
            <w:r>
              <w:rPr>
                <w:b w:val="off"/>
                <w:color w:val="000000"/>
                <w:rFonts w:ascii="Times New Roman" w:hAnsi="Times New Roman" w:cs="Times New Roman" w:eastAsia="Times New Roman"/>
                <w:sz w:val="24"/>
              </w:rPr>
              <w:t>Navrhovaný § 16c Zákonníka práce zavádza inštitút zrušenia právneho úkonu v nadväznosti na novú koncepciu zrušiteľnosti právnych úkonov podľa § 91 až 103 Občianskeho zákonníka. Návrh však výslovne neupravuje časové obmedzenie práva na zrušenie právneho úkonu, pričom navrhovaný § 19 Zákonníka práce obsahuje taxatívny výpočet prípadov preklúzie, ktorý nezahŕňa právo na zrušenie právneho úkonu podľa § 16c v spojení s § 102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102 Občianskeho zákonníka právo zrušiť právny úkon zaniká, ak oprávnená osoba právny úkon nezruší do šiestich mesiacov odo dňa, keď sa dozvedela o dôvode zrušiteľnosti, najneskôr však do troch rokov od uskutočnenia právneho úkonu, ak zákon neustanovuje inak. Ide o hmotnoprávne prekluzívne lehoty, v ktorých musí oprávnená osoba uskutočniť jednostranný prejav vôle o zrušení právneho úkonu podľa § 99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osobitnú povahu pracovnoprávnych vzťahov považujeme uvedené lehoty za neprimerane dlhé. Pracovnoprávny vzťah je kontinuálnym právnym vzťahom, v rámci ktorého zamestnávateľ a zamestnanec priebežne vykonávajú svoje práva a plnia povinnosti vyplývajúce z jednotlivých pracovnoprávnych úkonov. Pracovná zmluva a dohody o zmene pracovných podmienok vytvárajú právny základ, podľa ktorého sa pracovnoprávny vzťah dlhodobo realizuje.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zrušiť takéto právne úkony s účinkami od počiatku podľa § 101 Občianskeho zákonníka aj po uplynutí niekoľkých rokov od ich uskutočnenia by vytvárala značnú právnu neistotu a mohla by viesť ku komplikovaným právnym a praktickým dôsledkom. Ak by napríklad došlo k zrušeniu dohody o zmene pracovných podmienok po dvoch rokoch jej uplatňovania, bolo by potrebné spätne posudzovať právne následky obdobia, počas ktorého obe strany postupovali podľa dohodnutých podmienok, vrátane otázok vzájomných práv a povinností, poskytnutých plnení a ich prípadného vyrovnania.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Zákonník práce pritom už v súčasnosti pri viacerých právnych úkonoch vychádza z potreby rýchlej stabilizácie pracovnoprávnych vzťahov, čo sa prejavuje najmä v dvojmesačnej prekluzívnej lehote na súdne uplatnenie neplatnosti skončenia pracovného pomeru podľa § 77 Zákonníka práce. Hoci ide o odlišný právny mechanizmus, uvedené ustanovenie vyjadruje význam právnej istoty pri posudzovaní právnych následkov pracovnoprávnych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ustanoviť osobitnú dvojmesačnú subjektívnu lehotu na zrušenie právneho úkonu, ktorá začne plynúť odo dňa, keď sa oprávnená osoba dozvedela o dôvode jeho zrušiteľnosti, a súčasne skrátiť objektívnu lehotu na jeden rok od uskutočnenia právneho úkonu. Takéto riešenie sleduje primerané vyváženie ochrany osoby, ktorej vôľa bola pri uskutočnení právneho úkonu dotknutá, s požiadavkou právnej istoty a stability pracovnoprávnych vzťahov. Subjektívna lehota zabezpečuje oprávnenej osobe možnosť reagovať na zistený dôvod zrušiteľnosti, zatiaľ čo objektívna lehota obmedzuje riziko spätného prehodnocovania právnych následkov dlhodobo uplatňovaných pracovnoprávnych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osobitná úprava je zároveň v súlade s § 102 Občianskeho zákonníka, ktorý výslovne pripúšťa odlišnú zákonnú úpravu lehôt na zrušenie právneho úkonu. Vzhľadom na taxatívnu formuláciu navrhovaného § 19 Zákonníka práce považujeme za potrebné osobitnú prekluzívnu lehotu výslovne ustanoviť v § 16c a zodpovedajúcim spôsobom doplniť § 19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je potrebné rozlišovať medzi lehotou na zrušenie právneho úkonu podľa § 16c Zákonníka práce a dvojmesačnou lehotou na súdne uplatnenie neplatnosti skončenia pracovného pomeru podľa § 77 Zákonníka práce. Zatiaľ čo zrušenie právneho úkonu podľa § 99 Občianskeho zákonníka sa uskutočňuje jednostranným prejavom vôle voči dotknutej osobe, § 77 Zákonníka práce upravuje súdne uplatnenie neplatnosti skončenia pracovného pomeru. Navrhujeme preto, aby predkladateľ vzájomný vzťah oboch právnych mechanizmov výslovne objasnil v dôvodovej správe, pri rešpektovaní osobitného režimu súdneho preskúmania skončenia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má zabezpečiť jednoznačné a pracovnoprávnym vzťahom primerané časové obmedzenie práva na zrušenie právneho úkonu, odstrániť interpretačné pochybnosti vyplývajúce z taxatívneho znenia § 19 Zákonníka práce a posilniť právnu istotu zamestnancov aj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nadväzuje na už uplatnenú zásadnú pripomienku k čl. III, ktorou sa navrhovalo výslovné potvrdenie použitia § 102 Občianskeho zákonníka a jeho premietnutie do § 19 Zákonníka práce. Predstavuje jej vecnú modifikáciu spočívajúcu v návrhu osobitných, kratších prekluzívnych lehôt namiesto priameho použitia lehôt podľa § 102 Občianskeho zákonníka, pričom zachováva pôvodný cieľ odstrániť výkladovú neistotu a zabezpečiť právnu istotu v pracovnoprávnych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342a</w:t>
              <w:br/>
            </w:r>
            <w:r>
              <w:rPr>
                <w:b w:val="off"/>
                <w:color w:val="000000"/>
                <w:rFonts w:ascii="Times New Roman" w:hAnsi="Times New Roman" w:cs="Times New Roman" w:eastAsia="Times New Roman"/>
                <w:sz w:val="24"/>
              </w:rPr>
              <w:t>Predkladaný návrh tzv. vyjadrenia v § 342a CSP považujem len za čiastočné riešenie smerom k zabezpečeniu účinnej proporcionality pri rozhodovaní o neodkladnej ochrane v sporoch z nekalej súťaže a duševného vlastníctva. Dôvodom je hlavne krátke časové "okno" 21 dní od podania návrhu na nariadenie neodkladného opatrenia. O tomto podaní sa ten, kto sa dotknutá osoba (potenciálny odporca) nedozvie inak, ako dopytovaním súdu cez tzv. lustrácie v súdnych registroch, ktoré sú však spoplatnené a pomerne zdĺhavé. Pritom potenciálny odporca môže mať záujem čo najskôr prijať účinné kroky na svoju ochranu, avšak takto je vystavený len opakovanému dopytovaniu a neistote o tom, či a kedy bol návrh proti nemu skutočne podaný. Odporúčam pristúpiť ku komplexnejšiemu a štandardnému procesnému riešeniu (tzv. preventívny list), ktoré navrhujem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(novela CSP + novela zákona o súdnych poplatkoch)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160/2015 Z. z. Civilný sporový poriadok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342 sa vkladá § 342a,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342a</w:t>
              <w:br/>
            </w:r>
            <w:r>
              <w:rPr>
                <w:b w:val="off"/>
                <w:color w:val="000000"/>
                <w:rFonts w:ascii="Times New Roman" w:hAnsi="Times New Roman" w:cs="Times New Roman" w:eastAsia="Times New Roman"/>
                <w:sz w:val="24"/>
              </w:rPr>
              <w:t>Preventívny list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Ten, kto sa dôvodne obáva, že proti nemu bol alebo v blízkej budúcnosti bude podaný návrh na nariadenie neodkladného opatrenia (ďalej ako „žiadateľ“), môže na súde príslušnému na konanie o tomto návrhu podať preventívny list, ktorým požiada o ochranu pred neodkladným opatrením. V preventívnom liste sa popri sa popri všeobecných náležitostiach podania, s výnimkou spisovej značky (§ 127 ods. 2), uvedie označenie osoby, od ktorej možno dôvodne očakávať podanie návrhu na nariadenie neodkladného opatrenia (ďalej len „predpokladaný navrhovateľ“), opísanie rozhodujúcich skutočností, ktoré odôvodňujú obavu z podania návrhu na nariadenie neodkladného opatrenia, informácie o prebiehajúcich súvisiacich súdnych alebo iných konaniach medzi žiadateľom a predpokladaným navrhovateľom a dôvody, pre ktoré by mal byť návrh na nariadenie neodkladného opatrenia, ak bude podaný predpokladaným navrhovateľom, zamietnutý. Ustanovenia o odstraňovaní vád podania sa nepoužijú.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Preventívnym listom môže žiadateľ navrhnúť, aby navrhovateľ zložil zábezpeku do úschovy súdu na náhradu škody alebo inej ujmy vzniknutej neodkladným opatrením (§ 340) alebo aby vykonateľnosť neodkladného opatrenia bola podmienená zložením peňažnej zábezpeky. Pri rozhodovaní o výške peňažnej zábezpeky súd prihliadne na rozsah škody alebo inej ujmy, ktorá môže vzniknúť žiadateľovi, ako aj na majetkové možnosti navrhovateľa s tým, že uloženie povinnosti zložiť zábezpeku nesmie byť podstatnou prekážkou účelného uplatnenia práva. Zo zloženej zábezpeky sa uspokojí žiadateľovi právoplatne priznaná náhrada škody alebo inej ujmy. Povinnosť nahradiť škodu alebo inú ujmu, ktorá nebola z tejto zábezpeky uspokojená, tým nie je dotknutá. Súd vráti zloženú zábezpeku alebo jej pomernú časť navrhovateľovi, ak</w:t>
              <w:br/>
            </w:r>
            <w:r>
              <w:rPr>
                <w:b w:val="off"/>
                <w:color w:val="000000"/>
                <w:rFonts w:ascii="Times New Roman" w:hAnsi="Times New Roman" w:cs="Times New Roman" w:eastAsia="Times New Roman"/>
                <w:sz w:val="24"/>
              </w:rPr>
              <w:t>a) žiadateľ neuplatní nárok na náhradu škody alebo inej ujmy na súde v lehote šiestich mesiacov odo dňa, keď sa dozvedel o vzniku škody alebo inej ujmy, najneskôr však do troch rokov od nariadenia neodkladného opatrenia,</w:t>
              <w:br/>
            </w:r>
            <w:r>
              <w:rPr>
                <w:b w:val="off"/>
                <w:color w:val="000000"/>
                <w:rFonts w:ascii="Times New Roman" w:hAnsi="Times New Roman" w:cs="Times New Roman" w:eastAsia="Times New Roman"/>
                <w:sz w:val="24"/>
              </w:rPr>
              <w:t>b) bola súdu predložená dohoda strán o použití peňažnej zábezpeky alebo</w:t>
              <w:br/>
            </w:r>
            <w:r>
              <w:rPr>
                <w:b w:val="off"/>
                <w:color w:val="000000"/>
                <w:rFonts w:ascii="Times New Roman" w:hAnsi="Times New Roman" w:cs="Times New Roman" w:eastAsia="Times New Roman"/>
                <w:sz w:val="24"/>
              </w:rPr>
              <w:t>c) navrhovateľ bol vo veci samej celkom alebo sčasti úspešný.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 splnené podmienky podľa odseku 1 a je zaplatený súdny poplatok, súd bezodkladne zapíše preventívny list do osobitného súdneho registra (ďalej ako „register preventívnych listov“), prihliadne naň v konaní o návrhu na nariadenie neodkladného opatrenia, ktorý proti žiadateľovi podá predpokladaný navrhovateľ do šiestich mesiacov od podania preventívneho listu</w:t>
              <w:br/>
            </w:r>
            <w:r>
              <w:rPr>
                <w:b w:val="off"/>
                <w:color w:val="000000"/>
                <w:rFonts w:ascii="Times New Roman" w:hAnsi="Times New Roman" w:cs="Times New Roman" w:eastAsia="Times New Roman"/>
                <w:sz w:val="24"/>
              </w:rPr>
              <w:t>a rozhodne o prípadnom návrhu žiadateľa podľa odseku 2. Preventívny list, na ktorý súd prihliadol, sa navrhovateľovi doručí najskôr spolu s uznesením, ktorým súd rozhodol o návrhu na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Slovenskej národnej rady č. 71/1992 Zb. o súdnych poplatkoch a poplatku za výpis z registra trestov v znení neskorších predpisov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 sa za písmeno g) vkladá nové písmeno h), ktoré znie:</w:t>
              <w:br/>
            </w:r>
            <w:r>
              <w:rPr>
                <w:b w:val="off"/>
                <w:color w:val="000000"/>
                <w:rFonts w:ascii="Times New Roman" w:hAnsi="Times New Roman" w:cs="Times New Roman" w:eastAsia="Times New Roman"/>
                <w:sz w:val="24"/>
              </w:rPr>
              <w:t>h) „podaním preventívneho listu podľa Civilného 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Sadzobníku súdnych poplatkov sa v položke 1 za písmeno g) vkladá nové písmeno h), ktoré znie:</w:t>
              <w:br/>
            </w:r>
            <w:r>
              <w:rPr>
                <w:b w:val="off"/>
                <w:color w:val="000000"/>
                <w:rFonts w:ascii="Times New Roman" w:hAnsi="Times New Roman" w:cs="Times New Roman" w:eastAsia="Times New Roman"/>
                <w:sz w:val="24"/>
              </w:rPr>
              <w:t>„h) z preventívneho listu podľa Civilného sporového poriadku ................................... 50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tá istá účinnosť, akú má nadobudnúť celý zákon ( 1. máj 2026). Prechodné ustanovenia nie sú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Stručné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preventívneho listu (Preventive Letter, Protective Letter, Schutzschrift) je v rôznych formách známy z mnohých zahraničných jurisdikcií, najmä Nemecko, Rakúsko, Švajčiarsko, ale aj Belgicko, Holandsko, Dánsko, Fínsko či Švédsko. Jeho základným zmyslom je umožniť predísť nariadeniu ex parte neodkladného opatrenia a to na základe iniciatívy strany, ktorá má dôvodnú obavu, že proti nej bude zo strany konkrétneho navrhovateľa podaný návrh na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Vyvažuje sa tým jednostranný (ex parte) pohľad súdu, ktorý štandardne rozhoduje o návrhu na nariadenie neodkladného opatrenia bez vypočutia druhej strany (§ 329 ods. 1 CSP). Predchádza sa tým aj hroziacim škodám, ktoré môžu vzniknúť neodkladným opatrením (§ 340 CSP). Uplatnenie inštitútu preventívneho listu by nemalo byť obmedzené len na konkrétne typy sporov (typicky spory z nekalého súťažného konania, porušovanie práv duševného vlastníctva), ale malo by byť prípustné v akomkoľvek spore, kde je možné navrhnúť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procesno-administratívne jednoduchý a pritom efektívny postup, keď žiadateľ musí na príslušný súd podať preventívny list so všetkými obligatórnymi náležitosťami a zaplatiť novozavedený súdny poplatok, inak súd nebude vôbec konať. Fakultatívnou náležitosťou preventívneho listu môže byť návrh na zloženie peňažnej zábezpeky na strane navrhovateľa, čo je inštitút známy z oblasti priemyselného vlastníctva (napr. § 34 patentového zákona, § 13 zákona o ochranných známkach). Ak sú obligatórne náležitosti splnené a poplatok je zaplatený, súd zapíše preventívny list do novovytvoreného súdneho registra (vyžaduje sa následná novela Spravovacieho a kancelárskeho poriadku) a prihliadne naň, keď skutočne dôjde k podaniu návrhu na nariadenie neodkladného opatrenia v priebehu primeranej doby (navrhuje sa 6 mesiacov). Takýto postup nebude zbytočne zaťažovať súdy a nespôsobí ani predĺženie konania o návrhu na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ďalšiu odbornú diskusiu a prerokovanie som k dispozícii. JUDr. Tomáš Klinka, advokát, kontakt: tomas.klinka@signum.legal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XLVIII Patentový z. § 32 ods. 3 a 4</w:t>
              <w:br/>
            </w:r>
            <w:r>
              <w:rPr>
                <w:b w:val="off"/>
                <w:color w:val="000000"/>
                <w:rFonts w:ascii="Times New Roman" w:hAnsi="Times New Roman" w:cs="Times New Roman" w:eastAsia="Times New Roman"/>
                <w:sz w:val="24"/>
              </w:rPr>
              <w:t>Osobitné ustanovenia o premlčaní nárokov z neoprávneného zásahu do výlučných práv z patentu odporúčam vypustiť a ponechať režim premlčania na nový Občiansky zákonník. Dôvody doplnenia týchto osobitných ustanovení novelou č. 242/2017 Z.z. (pozri vtedajšiu dôvodovú správu) po prijatí nového Občianskeho zákonníka v zásade odpadli. Za zváženie stojí prípadne jedine ponechanie osobitnej úpravy plynutia premlčacej lehoty: "Pri uplatnení nárokov podľa § 15 ods. 2 nedôjde k premlčaniu skôr ako za tri roky odo dňa, od ktorého nastávajú účinky patentu.". Všetko ostatné ohľadne premlčania by som ponechal na režim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XLVIII, Patentový z. § 11 ods. 11</w:t>
              <w:br/>
            </w:r>
            <w:r>
              <w:rPr>
                <w:b w:val="off"/>
                <w:color w:val="000000"/>
                <w:rFonts w:ascii="Times New Roman" w:hAnsi="Times New Roman" w:cs="Times New Roman" w:eastAsia="Times New Roman"/>
                <w:sz w:val="24"/>
              </w:rPr>
              <w:t>Navrhujem zrušiť bez náhrady odsek 11 v § 11 patentového zákona a vrátiť tak režim nadobúdania práv k vynálezom na verejných vysokých školách a v.v.i. SAV do štandardného zamestnaneckého režimu, ako bol do 31.08.2026. Čím skôr sa táto náprava spraví, tým menšie škodové následky v akademickom sektore prinesie. Dávam do pozornosti nedávny článok s vyjadreniami viacerých zúčastnených subjektov: https://dennikn.sk/5592505/komu-ma-patrit-patent-ci-dielo-novy-rezim-prav-dusevneho-vlastnictva-komplikuje-zivot-vysokym-skolam-a-sav/.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XLVIII, Patentový z. § 12</w:t>
              <w:br/>
            </w:r>
            <w:r>
              <w:rPr>
                <w:b w:val="off"/>
                <w:color w:val="000000"/>
                <w:rFonts w:ascii="Times New Roman" w:hAnsi="Times New Roman" w:cs="Times New Roman" w:eastAsia="Times New Roman"/>
                <w:sz w:val="24"/>
              </w:rPr>
              <w:t>Poznámka pod čiarou v odkaze 4 ohľadne prechodu práva na riešenie odkazuje na ustanovenia "starého" Občianskeho zákonníka, odporúčam aktualizovať.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XLVIII, Patentový z § 22</w:t>
              <w:br/>
            </w:r>
            <w:r>
              <w:rPr>
                <w:b w:val="off"/>
                <w:color w:val="000000"/>
                <w:rFonts w:ascii="Times New Roman" w:hAnsi="Times New Roman" w:cs="Times New Roman" w:eastAsia="Times New Roman"/>
                <w:sz w:val="24"/>
              </w:rPr>
              <w:t>Poznámka pod čiarou v odkaze 4 ohľadne prechodu patentu odkazuje na ustanovenia "starého" Občianskeho zákonníka, odporúčam aktualizovať.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XLVIII § 23 ods. 4</w:t>
              <w:br/>
            </w:r>
            <w:r>
              <w:rPr>
                <w:b w:val="off"/>
                <w:color w:val="000000"/>
                <w:rFonts w:ascii="Times New Roman" w:hAnsi="Times New Roman" w:cs="Times New Roman" w:eastAsia="Times New Roman"/>
                <w:sz w:val="24"/>
              </w:rPr>
              <w:t>V patentovom zákone (§ 23 ods. 4) sa v poznámke pod čiarou k odkazu 10 odkazuje na ustanovenia "starého" Občianskeho zákonníka, odporúčam aktualizovať.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Ekvivalentné pripomienky ako k patentovému zákonu v súvislosti so zamestnaneckým režimom, premlčaním nárokov, prechodom práv a záložným právom uplatňujem aj vo vzťahu k predkladanej novelizácii zákona o ochranných známkach, zákona o dizajnoch, zákona o úžitkových vzoroch, zákona o ochrane topografií polovodičových výrobkov. V záujem nezahlcovania systému 5-násobnými pripomienkami s rovnakým znením to takto považujem za dostatočné. Zároveň vyjadrujem počudovanie nad tým, že gestor týchto zákonov, tzn. Úrad priemyselného vlastníctva SR, k tomuto "zbernému" zákonu neuplatnil žiadnu (!)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XXIV § 2</w:t>
              <w:br/>
            </w:r>
            <w:r>
              <w:rPr>
                <w:b w:val="off"/>
                <w:color w:val="000000"/>
                <w:rFonts w:ascii="Times New Roman" w:hAnsi="Times New Roman" w:cs="Times New Roman" w:eastAsia="Times New Roman"/>
                <w:sz w:val="24"/>
              </w:rPr>
              <w:t>Asociácia vlastníkov bytov navrhuje upraviť písmená d) a k)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spoločnou časťou domu časť domu nevyhnutná na jeho podstatu, prevádzku a bezpečnosť, najmä základy domu, strecha, chodba, obvodové múry, priečelie, vchody, schodištia, terasa, podkrovie, povala, vodorovné nosné a izolačné konštrukcie, zvislé nosné konštrukcie, výplne stavebných otvorov, ako aj miestnosť domu, ktorá je určená na spoločné užívanie a umiestnenie technologických zariadení, najmä práčovne, kotolne, sušiarne alebo kočikárne; ako aj technologické zariadenie, ktoré je určené na spoločné užívanie a slúži výlučne tomuto domu, a to aj keď je umiestnené mimo domu, najmä výťah, zariadenie na výrobu tepla a teplej úžitkovej vody, vzduchotechnika, spoločné elektrické a telekomunikačné rozvody, bleskozvod, komín, vodovodná prípojka, teplonosná prípojka, kanalizačná prípojka, elektrická prípojka, plynová prípojka a telekomunikačná prípojka, ako aj zariadenia na meranie spotreby vody a tepla a zariadenia na rozpočítavanie nákladov na vykurovanie, ak patria do pridruženého spoluvlastníctva vlastníkov bytov a nebytových priestorov v dome; ustanovenia osobitného predpisu²)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k)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pravidlami pre užívanie spoločných častí domu, príslušenstva domu a priľahlého pozemku súbor základných pravidiel, zásad, prípadne iných rozhodnutí prijatých vlastníkmi bytov a nebytových priestorov, spojených s užívaním spoločných častí domu, príslušenstva domu a priľahlého pozemku a s dodržiavaním dobrých mravov nevyhnutných pre spoločenské spolunažívanie; tieto pravidlá môžu byť obsiahnuté aj v domovom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vymedzenie spoločných častí domu v § 2 písm. d) výslovne zahŕňa aj technologické zariadenia slúžiace viacerým domom. Takéto vymedzenie môže vyvolávať nejasnosti pri určovaní ich vlastníckeho režimu, rozsahu správy a zodpovednosti za ich prevádzku, údržbu a 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1688 a § 1689 zákona č. 260/2026 Z. z. Občiansky zákonník je potrebné rozlišovať spoločné časti konkrétneho domu a príslušenstvo domu, ktoré môže slúžiť aj viacerým domom. Samotná skutočnosť, že určité technologické zariadenie zabezpečuje služby pre viacero domov, nepostačuje na jeho zaradenie medzi spoločné časti každého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vypustiť z definície technologického zariadenia spoločnej časti domu jeho výslovné rozšírenie na zariadenia slúžiace viacerým domom. Ich právny režim sa musí posudzovať podľa ustanovení Občianskeho zákonníka a konkrétnych vlastníckych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výplní stavebných otvorov sleduje presnejšie vymedzenie stavebných prvkov, ktoré sa podieľajú na ochrane, bezpečnosti a zachovaní vzhľadu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Výslovné uvedenie zariadení na meranie spotreby vody a tepla a zariadení na rozpočítavanie nákladov na vykurovanie má odstrániť pochybnosti o ich zaradení medzi spoločné časti domu v prípadoch, keď patria do pridruženého spoluvlastníctva vlastníkov bytov a nebytových priestorov. Samotné používanie zariadenia na účely rozpočítavania spotreby alebo nákladov však nemôže automaticky zakladať jeho spoločné vlastníctvo.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Úpravou § 2 písm. k) sa zároveň odstraňuje pojem „spoločné zariadenia domu“, ktorý návrh zákona vypúšťa zo zákonnej terminológie. Doplnenie domového poriadku objasňuje, že pravidlá užívania spoločných častí domu, príslušenstva domu a priľahlého pozemku môžu byť obsiahnuté aj v tomto dokumente. Nezakladá sa tým povinnosť prijať samostatný domový poriadok ani sa neobmedzuje možnosť upraviť tieto pravidlá iným rozhodnutím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 je potrebné čiarku nahradiť spojkou „a“. V čl. I bode 2 je potrebné druhú čiarku nahradiť spojkou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Znenie čl. II bodu 9 je nezrozumiteľné. Je žiadúce aspoň pred slová „ods. 8“ doplniť spojku „v“.  Pre jednoznačnosť je tiež vhodné explicitne uviesť, že ide o § 21 ods. 8, prípadne túto druhú časť (týkajúcu sa zmeny v § 21 ods. 8) vyčleniť do samostatného novelizačného bodu, nakoľko ide o rôzne odseky.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II bod 9 je teda možné upraviť takto: </w:t>
              <w:br/>
            </w:r>
            <w:r>
              <w:rPr>
                <w:b w:val="off"/>
                <w:color w:val="000000"/>
                <w:rFonts w:ascii="Times New Roman" w:hAnsi="Times New Roman" w:cs="Times New Roman" w:eastAsia="Times New Roman"/>
                <w:sz w:val="24"/>
              </w:rPr>
              <w:t>V § 21 ods. 2 sa vypúšťa druhá veta a v § 21 ods. 8 sa slovo „3a“ nahrádza slovami „16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ako 2 samostatné novelizačné body:</w:t>
              <w:br/>
            </w:r>
            <w:r>
              <w:rPr>
                <w:b w:val="off"/>
                <w:color w:val="000000"/>
                <w:rFonts w:ascii="Times New Roman" w:hAnsi="Times New Roman" w:cs="Times New Roman" w:eastAsia="Times New Roman"/>
                <w:sz w:val="24"/>
              </w:rPr>
              <w:t>V § 21 ods. 2 sa vypúšťa druhá veta.</w:t>
              <w:br/>
            </w:r>
            <w:r>
              <w:rPr>
                <w:b w:val="off"/>
                <w:color w:val="000000"/>
                <w:rFonts w:ascii="Times New Roman" w:hAnsi="Times New Roman" w:cs="Times New Roman" w:eastAsia="Times New Roman"/>
                <w:sz w:val="24"/>
              </w:rPr>
              <w:t>V § 21 ods. 8 sa slovo „3a“ nahrádza slovami „16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w:t>
              <w:br/>
            </w:r>
            <w:r>
              <w:rPr>
                <w:b w:val="off"/>
                <w:color w:val="000000"/>
                <w:rFonts w:ascii="Times New Roman" w:hAnsi="Times New Roman" w:cs="Times New Roman" w:eastAsia="Times New Roman"/>
                <w:sz w:val="24"/>
              </w:rPr>
              <w:t>Znenie čl. XCV bodu 2 je chybné, keďže v § 17 ods. 1 zákona č. 757/2004 Z. z. o súdoch sa predmetné slová nenachádzajú. Zrejme malo ísť o § 21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ods. 6</w:t>
              <w:br/>
            </w:r>
            <w:r>
              <w:rPr>
                <w:b w:val="off"/>
                <w:color w:val="000000"/>
                <w:rFonts w:ascii="Times New Roman" w:hAnsi="Times New Roman" w:cs="Times New Roman" w:eastAsia="Times New Roman"/>
                <w:sz w:val="24"/>
              </w:rPr>
              <w:t>Asociácia vlastníkov bytov navrhuje v § 6 ods. 3 písm. e) na konci pripojiť slová "ak sú dohodnuté v zmluve o výkone správy alebo v zmluve o spoločenstve“.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6 ods. 3 písm. e) zahŕňa do správy domu aj „iné činnosti“, ktoré bezprostredne súvisia s užívaním domu ako celku. Ich konkrétny rozsah však zákon nevymedzuje, čo vytvára právnu neistotu pri určovaní obsahu a rozsahu výkonu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neurčitosť sťažuje vlastníkom uplatňovanie ich vlastníckych práv, najmä pri kontrole rozsahu poskytovaných činností a posudzovaní, či si osoba zodpovedná za správu domu riadne plní svoje povinnosti. Zároveň umožňuje, aby niektoré činnosti boli označované za nadštandardné služby, hoci vlastníci môžu oprávnene očakávať ich poskytovanie v rámci dohodnutého výkonu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druhej strane právna neistota vytvára aj nepodložené očakávania vlastníkov, že výkon správy automaticky zahŕňa všetky činnosti, ktoré by mohli v súvislosti s užívaním domu potrebovať, bez ohľadu na to, či sú dohodnuté v zmluve o výkone správy alebo v zmluve o spoločenstve.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smeruje k jednoznačnému zmluvnému vymedzeniu týchto činností. Vlastníkom umožní poznať a ovplyvniť rozsah poskytovaných služieb a osobe zodpovednej za správu domu poskytne jasný rámec jej zmluvných povinností. Tým sa posilní právna istota oboch strán a predíde sporom o rozsah výkonu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sa vzťahuje výlučne na činnosti podľa § 6 ods. 3 písm. e) a nedotýka sa povinností osoby zodpovednej za správu domu, ktoré jej vyplývajú priamo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w:t>
              <w:br/>
            </w:r>
            <w:r>
              <w:rPr>
                <w:b w:val="off"/>
                <w:color w:val="000000"/>
                <w:rFonts w:ascii="Times New Roman" w:hAnsi="Times New Roman" w:cs="Times New Roman" w:eastAsia="Times New Roman"/>
                <w:sz w:val="24"/>
              </w:rPr>
              <w:t>Návrhom zákona sa v čl. XCV bode 1 ruší obchodnoprávne grémium na Mestskom súde Košice (§ 15 ods. 1 zákona č. 757/2004 Z. z. o súdoch) a taktiež sa obchodnoprávne kolégium na Najvyššom súde SR zlučuje s občianskoprávnym kolégiom.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tak vhodné zvážiť aj vypustenie, resp. zrušenie funkcie podpredsedu Mestského súdu Košice pre obchodnoprávnu agendu v § 39 ods. 2 zákona č. 757/2004 Z. z. o súdoch. Rovnako je na zváženie aj vypustenie slov „obchodnoprávna agenda“ v § 3 ods. 5 zákona č. 757/2004 Z. z. o súdoch.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k čl. XCV</w:t>
              <w:br/>
            </w:r>
            <w:r>
              <w:rPr>
                <w:b w:val="off"/>
                <w:color w:val="000000"/>
                <w:rFonts w:ascii="Times New Roman" w:hAnsi="Times New Roman" w:cs="Times New Roman" w:eastAsia="Times New Roman"/>
                <w:sz w:val="24"/>
              </w:rPr>
              <w:t>V dôvodovej správe v osobitnej časti k čl. XCV je preklep v slove „vpúšťa“ (správne má byť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V čl. IX bode 8 vo vkladanom znení (v úvodzovkách) chýba značka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V čl. IX bode 3 (§ 6 ods. 4) je potrebné v skratke „o.z.“ doplniť medzeru takto: „o.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w:t>
              <w:br/>
            </w:r>
            <w:r>
              <w:rPr>
                <w:b w:val="off"/>
                <w:color w:val="000000"/>
                <w:rFonts w:ascii="Times New Roman" w:hAnsi="Times New Roman" w:cs="Times New Roman" w:eastAsia="Times New Roman"/>
                <w:sz w:val="24"/>
              </w:rPr>
              <w:t>V čl. XXI bode 14 § 73l ods. 5 je vhodné za slovo „sprístupní“ doplniť slovo „každému“. Ide o spresnenie, že tieto údaje budú verejne prístupné komukoľvek.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V čl. XXXIII bode 42 § 166a ods. 2 je vhodné za slová „Exekútor doručí upovedomenie o začatí exekúcie“ doplniť slovo „aj“. Ide o zosúladenie s čl. XXXIII bodom 31 (§ 96 ods. 2) a bodom 33 § 99a ods.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Týmto návrhom zákona sa má novelizovať katastrálny zákon (čl. XXXI) a zároveň aj Exekučný poriadok (čl. XXXIII). Pri tejto príležitosti vhodné vyriešiť rozpor medzi týmito zákonmi v súvislosti s lehotou na zápis exekučného záložného práva. Podľa § 168 ods. 4 Exekučného poriadku je okresný úrad povinný zapísať exekučné záložné právo dňom doručenia exekučného príkazu. Podľa § 43 ods. 1 písm. b) katastrálneho zákona je však lehota na vykonanie záznamu až 60 dní (exekučné záložné právo sa do katastra nehnuteľností zapisuje záznamom).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rozpor je vhodné odstrániť a do § 43 ods. 1 katastrálneho zákona doplniť nové písmeno napr. v tomto znení: „v deň doručenia exekučného príkazu, ktorým sa zriaďuje exekučné záložné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V čl. VI bode 45 § 305 ods. 1 je vhodnejšie zachovať doterajšie znenie § 305 ods. 1 a 2 Civilného mimosporového poriadku:</w:t>
              <w:br/>
            </w:r>
            <w:r>
              <w:rPr>
                <w:b w:val="off"/>
                <w:color w:val="000000"/>
                <w:rFonts w:ascii="Times New Roman" w:hAnsi="Times New Roman" w:cs="Times New Roman" w:eastAsia="Times New Roman"/>
                <w:sz w:val="24"/>
              </w:rPr>
              <w:t>„(1) Na konanie v niektorých veciach právnických osôb je kauzálne príslušný registrový súd podľa osobitného predpisu.</w:t>
              <w:br/>
            </w:r>
            <w:r>
              <w:rPr>
                <w:b w:val="off"/>
                <w:color w:val="000000"/>
                <w:rFonts w:ascii="Times New Roman" w:hAnsi="Times New Roman" w:cs="Times New Roman" w:eastAsia="Times New Roman"/>
                <w:sz w:val="24"/>
              </w:rPr>
              <w:t>(2) Na konanie je miestne príslušný registrový súd podľa adresy sídla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„Na konanie v niektorých veciach právnických osôb je kauzálne príslušný okresný súd v sídle krajského súdu, v ktorého obvode má právnická osoba sídlo“ naznačuje, že upravuje len kauzálnu príslušnosť, avšak v skutočnosti v sebe zmiešava kauzálnu aj miestnu príslušnosť, tieto je však potrebné odlišovať.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sa v procesných kódexoch (Civilný sporový poriadok a Civilný mimosporový poriadok) doposiaľ nikde nepoužíva pojem „okresný súd v sídle krajského súdu“ a nie je vhodné ho zavádzať.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čl. II</w:t>
              <w:br/>
            </w:r>
            <w:r>
              <w:rPr>
                <w:b w:val="off"/>
                <w:color w:val="000000"/>
                <w:rFonts w:ascii="Times New Roman" w:hAnsi="Times New Roman" w:cs="Times New Roman" w:eastAsia="Times New Roman"/>
                <w:sz w:val="24"/>
              </w:rPr>
              <w:t>V dôvodovej správe k čl. II bodu 53 je vhodné do zátvorky doplniť označenie ustanovenia, ktorého sa tento bod týka (§ 220w ods. 8), ako to je aj pri ostatných bodoch.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7c ods. 2, 3 a 5</w:t>
              <w:br/>
            </w:r>
            <w:r>
              <w:rPr>
                <w:b w:val="off"/>
                <w:color w:val="000000"/>
                <w:rFonts w:ascii="Times New Roman" w:hAnsi="Times New Roman" w:cs="Times New Roman" w:eastAsia="Times New Roman"/>
                <w:sz w:val="24"/>
              </w:rPr>
              <w:t>Asociácia vlastníkov bytov navrhuje v § 7c vykonať tieto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odseku 2 sa slová „Predsedu volí zhromaždenie“ nahrádzajú slovami „Predsedu volia vlastníci bytov a nebytových priestorov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odseku 3 sa slová „Predsedu odvoláva zhromaždenie“ nahrádzajú slovami „Predsedu odvolávajú vlastníci bytov a nebytových priestorov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odseku 5 sa vypúšťa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odsekov 2 a 3 zosúlaďuje ustanovenia o voľbe a odvolaní predsedu spoločenstva s § 14b ods. 1 písm. b), podľa ktorého o voľbe a odvolaní predsedu rozhodujú vlastníci bytov a nebytových priestorov v dome nadpolovičnou väčšinou hlasov všetkých 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ktoré priznáva túto pôsobnosť zhromaždeniu, môže vyvolávať nejasnosti o spôsobe prijímania rozhodnutí. Hoci zhromaždenie tvoria všetci vlastníci bytov a nebytových priestorov v dome, používanie označenia tohto orgánu môže navodzovať nesprávny dojem, že voľbu alebo odvolanie predsedu možno uskutočniť iba na jeho zasadnutí.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výslovne ustanoviť, že predsedu volia a odvolávajú vlastníci bytov a nebytových priestorov v dome. Tým sa jednoznačne vyjadrí, že ide o rozhodovanie vlastníkov, ktoré sa môže uskutočniť na schôdzi vlastníkov alebo písomným hlasovaním. Navrhovaná úprava nemení potrebnú väčšinu hlasov ani funkčné obdobie predsedu.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 7c ods. 5 písm. a) vychádza z postavenia rady ako dozorného orgánu spoločenstva. Jej úlohou je predovšetkým kontrolovať činnosť spoločenstva, vedenie účtovníctva a ďalších dokladov a navrhovať opatrenia na nápravu zistených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Zvolávanie zhromaždenia nepatrí svojou povahou medzi kontrolné činnosti rady. Organizovanie rozhodovania vlastníkov má zabezpečovať predseda spoločenstva ako jeho štatutárny orgán, pričom musí byť zachované aj oprávnenie zákonom určenej časti vlastníkov iniciovať rozhodovanie a za ustanovených podmienok ho samostatne zorganizovať.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odstrániť povinnosť zvolávať zhromaždenie najmenej raz ročne. Potreba rozhodovania vlastníkov sa má odvíjať od konkrétnych záležitostí správy domu, nie od povinnosti uskutočniť zasadnutie v pravidelnom ročnom intervale. Vlastníci pritom naďalej musia rozhodovať o otázkach, ktoré zákon vyhradzuje do ich pôsobnosti, bez ohľadu na to, či sa rozhodovanie uskutoční na schôdzi vlastníkov alebo písomným hlasovaním.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si vyžadujú zodpovedajúce zosúladenie ustanovení § 14a ods. 1, ktoré upravujú zvolávanie schôdze vlastníkov a vyhlasovanie písomného hlasovania.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CXI, CXXXV a CLXI</w:t>
              <w:br/>
            </w:r>
            <w:r>
              <w:rPr>
                <w:b w:val="off"/>
                <w:color w:val="000000"/>
                <w:rFonts w:ascii="Times New Roman" w:hAnsi="Times New Roman" w:cs="Times New Roman" w:eastAsia="Times New Roman"/>
                <w:sz w:val="24"/>
              </w:rPr>
              <w:t>V čl. CXI bodoch 3 a 6, čl. CXXXV a čl. CLXI je potrebné slovo „číslica“ nahradiť slovom „číslovka“ a slovo „číslicou“ nahradiť slovom „číslovkou“. Použitie slova „číslica“ je chybné, keďže slovom číslica sa označuje len jeden znak, resp. jedna cifra v čísle (napr. číslo 123 sa skladá z číslic 1,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čl. CXI bode 3 je potrebné odstrániť dvojbodku.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Znenie čl. XXXI bodu 8 [§ 8 ods. 1 písm. c) katastrálneho zákona] je zmätočné.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ustanovení sa zavádza legislatívna skratka „vkladová listina“, ktorá vo svojej definícii obsahuje aj pojem „verejná listina“ (konkrétne v tvare „verejných listín“).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týmto ustanovením zavádza aj ďalšia legislatívna skratka „verejná listina“, hoci tento pojem („verejná listina“) je už použitý v predtým definovanej legislatívnej skratke „vkladová listina“.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tak spôsobuje zmätočnosť tohto ustanovenia a je potrebné ho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Do čl. XXXI doplniť nasledujúce body na legislatívno-technické opravy v katastrálnom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22 ods. 5 sa slová „V katastrálnom konaní sa postupuje podľa všeobecných predpisov o správnom konaní,7) ak“ nahrádzajú slovami „Na katastrálne konanie sa vzťahuje správny poriadok,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77 ods. 9 sa slová „vzťahujú všeobecné predpisy o správnom konaní,7)“ nahrádzajú slovami „vzťahuje správny poriadok,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 Na správny poriadok je potrebné odkazovať pomocou jeho skráteného označenia. Zároveň je potrebné formuláciu § 22 ods. 5 zosúladiť so zaužívanou formuláciou („na konanie sa vzťahuje správny poriadok“ a nie „v konaní sa postupuje podľa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V súvislosti s čl. XXXI bodom 14 (§ 28 ods. 3 katastrálneho zákona) vzniká otázka, aký je jeho vzťah k ustanoveniu § 29 katastrálneho zákona a či sa § 29 nestáva nadbytočným a nie je namieste ho vypustiť alebo preformulovať. Napríklad je otázne, čo presne vlastne znamená „vykonanie vkladu“.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Navrhujem upraviť čl. XXXI bod 25 (nový § 31a ods. 2 katastrálneho zákona). Nejaví sa ako vhodné, aby na podanie určovacej žaloby na súd bola vyzývaná vždy a bezvýnimočne vyzývaná len tá zmluvná strana, ktorá odstúpila od zmluvy. Odstúpenie od zmluvy (alebo podľa nového Občianskeho zákonníka aj zrušenie právneho úkonu) vo väčšine prípadov predstavuje reakciu jednej zmluvnej strany na porušenie povinnosti druhej zmluvnej strany. Zmluvná strana, ktorá porušila povinnosť, tak získava výhodu spočívajúcu v tom, že môže neuznať platnosť odstúpenia od zmluvy a jednostranne tak zabrániť, aby sa v katastrálnom, resp. vkladovom konaní priznali účinky tomuto odstúpeniu s tým následkom, že odstupujúca zmluvná strana sa musí svojho práva domáhať súdnou cestou.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Vhodnejšie je upraviť toto ustanovenie po vzore sporov o dedičské právo (§ 194 Civilného mimosporového poriadku), kde súd (resp. notár) vyzýva na podanie určovacej žaloby toho účastníka, koho právo sa javí ako menej pravdepodobné. Teda v katastrálnom konaní by okresný úrad predbežne posúdil, koho právo sa javí ako menej pravdepodobné a na podanie žaloby by vyzval práve takého účastníka, ktorého právo sa javí ako menej pravdepodobné.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tomto mieste je tiež vhodné poznamenať, že nie je možné súhlasiť s názorom predkladateľa uvedeným v dôvodovej správe k čl. XXXI bodu 25, že správne orgány nie sú oprávnené riešiť spory. Takýto názor nemá oporu v Správnom poriadku. Práve naopak, v správnych konaniach s viacerými účastníkmi celkom logicky môže nastať medzi účastníkmi spor a správny orgán sa s ním musí vysporiadať a rozhodnúť ho, napríklad ako predbežnú otázku. Podľa § 40 Správneho poriadku sú správne orgány oprávnené si urobiť úsudok o predbežnej otázke (ak o nej nebolo právoplatne rozhodnuté príslušným orgánom).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predbežnú otázku sa v prípade katastrálneho, resp. vkladového konania môže považovať aj otázka platnosti odstúpenia od zmluvy. Preto nič nebráni tomu, aby dokonca platnosť odstúpenia od zmluvy posudzoval aj sám okresný úrad priamo vo konaní o vklade (čo by však nebránilo tomu, aby sa účastník domáhal svojho práva aj na súde žalobou o určenie vlastníckeho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 xml:space="preserve">Vítam snahu predkladateľa explicitne zaviesť do Exekučného poriadku procesnoprávny základ na postihovanie majetku na základe odporovacích rozsudkov o určení neúčinnosti právneho úkonu (čl. XXXIII bod 14), keď doteraz Exekučný poriadok vôbec nepočítal s touto možnosťou. Avšak návrh zákona je v tomto ohľade nedostatočný a nedáva odpoveď na dôležité otázky, ktoré vznikajú pri postihovaní majetku na základe odporovacieho rozsudku a ktoré sú v aplikačnej praxi rozhodované častokrát odlišne a protichodne.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najmä o otázku, aké postavenie a práva má v exekúcii vlastník takejto veci (ktorý je odlišný od povinného). Je nepochybné, že na základe odporovacích rozsudkov sa nepostihuje majetok povinného, ale majetok vo vlastníctve tretej osoby. Tieto osoby by pri exekučnom postihu svojho majetku mali mať rovnaké práva ako povinný.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preto potrebné v Exekučnom poriadku vyjasniť aj túto otázku, a to ideálne vo všeobecných ustanoveniach, ako je napr. § 35 Exekučného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v čl. XXXIII bode 4 (§ 35 ods. 4 EP) sa v súvislosti so spoločným imaním manželov stanovuje, že vo vzťahu k určitému majetku v spoločnom imaní sa koná s manželom povinného „v rozsahu, v ktorom sa koná s povinným“.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podobné ustanovenie je potrebné doplniť aj pre prípady, kedy sa postihuje majetok vo vlastníctve tretej osoby na základe odporovacieho rozsudku.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ustanovenie by mohlo znieť napr. takto:</w:t>
              <w:br/>
            </w:r>
            <w:r>
              <w:rPr>
                <w:b w:val="off"/>
                <w:color w:val="000000"/>
                <w:rFonts w:ascii="Times New Roman" w:hAnsi="Times New Roman" w:cs="Times New Roman" w:eastAsia="Times New Roman"/>
                <w:sz w:val="24"/>
              </w:rPr>
              <w:t>„Ak sa postihuje majetok na základe právoplatného rozsudku, ktorým oprávnený úspešne odporoval právnemu úkonu dlžníka, koná sa vo vzťahu k postihovanému majetku s jeho vlastníkom v rozsahu, v ktorom sa koná s povinným.“.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ustanovenie by sa zároveň malo primerane použiť aj na postih majetku tretej osoby podľa § 61d ods. 2 Exekučného poriadku a podľa § 169 a § 174 Exekučného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V čl. XXXIII bode 34 § 104 ods. 2 je potrebné slovo „odpísaním“ nahradiť slovom „prikázaním“. Správne ide o exekúciu prikázaním pohľadávky z účtu (nie odpísaním). Takáto formulácia je použitá aj v odseku 1, ako aj v iných ustanoveniach Exekučného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Je potrebné novelizovať aj § 94 ods. 2 Exekučného poriadku, ktorý odkazuje na vkladové účty. Vkladové účty boli doteraz upravené v Obchodnom zákonníku, avšak v článku II dochádza k vypusteniu celej záväzkovej časti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1914 nového Občianskeho zákonníka (zákon č. 260/2026 Z. z.) platí: „Na vkladový účet, ktorý je vedený ku dňu nadobudnutia účinnosti tohto zákona, sa od tohto dňa použijú ustanovenia tohto zákona o inom ako platobnom účte.“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V Exekučnom poriadku je legislatívna skratka „príkaz na začatie exekúcie“ definovaná až 3-krát, a to v § 66 ods. 1 písm. b), § 95 ods. 1 písm. a) a § 108 ods. 1 písm. a), teda vo všetkých troch ustanoveniach sa nachádzajú slová „(ďalej len „príkaz na začatie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znenie s opakovane zadefinovanou rovnakou legislatívnou skratkou je zjavne v rozpore so základnými zásadami tvorby právnych predpisov aj Legislatívnymi pravidlami vlády SR a spôsobuje zmätočnosť právneho predpisu. Tento nedostatok je potrebné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Znenie čl. V bodu 20 § 289a odseku 1 je zmätočné, keďže odkazuje na odseky 2 až 6, avšak tento paragraf má len 4 odseky.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V čl. V bode 27 § 342a odseku 4 je vhodné buď vypustiť slovo „najskôr“, alebo slová „Vyjadrenie sa navrhovateľovi doručí najskôr spolu s uznesením“ nahradiť slovami „Vyjadrenie stačí navrhovateľovi doručiť najskôr spolu s uznesením“.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Touto formuláciou sa umožní, aby súd v prípade, že to bude považovať za potrebné, zaslal vyjadrenie navrhovateľovi aj 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čl. V bodu 27 (nový § 342a Civilného sporového poriadku): Nie je zrejmé, či sa toto ustanovenie má vzťahovať len na neodkladné opatrenia veciach práva duševného vlastníctva a nekalej súťaže, alebo na všetky neodkladné opatrenia. V nadpise tohto paragrafu sa totiž odkazuje len na „práva duševného vlastníctva a nekalej súťaže“, avšak zo samotného znenia tohto paragrafu nevyplýva, že sa mal vzťahovať len na neodkladné opatrenia veciach práva duševného vlastníctva a nekalej súťaže. Je preto potrebné zosúladiť nadpis a znenie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 xml:space="preserve">V čl. XXXIII bode 14 (nový § 44 ods. 10 Exekučného poriadku) je vhodné vypustiť druhú vetu („Na námietku tejto osoby podľa odseku 1 sa neprihliada; odseky 2 až 6 sa nepoužijú.“).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môžu nastať prípady, kedy bude objektívne sporné, či sa na určitú vec/majetok vzťahuje odporovací rozsudok alebo nie. V takýchto prípadoch tak bude rovnako sporné aj to, či sa má na námietku prihliadať, a je otázne, kto by v takom prípade mal posudzovať a rozhodovať o tom, či sa na námietku prihliada alebo nie (exekútor alebo exekučný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Exekučný poriadok pritom nepozná iný mechanizmus, ako by sa taký spor dal vyriešiť a jediná možnosť je práve námietka podľa § 44 a prípadne aj vylučovacia žaloba. Je preto vhodné vypustiť vetu o neprihliadaní na námietku.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podaná nedôvodná námietka, nič nebráni tomu, aby sa vybavila štandardným postupom. Zároveň už podľa súčasného znenia § 44 ods. 5 Exekučného poriadku platí, že exekučný súd môže sám rozhodnúť o námietke bez toho, aby vyzýval na podanie vylučovanej žaloby. Pri zjavne nedôvodných a obštrukčných námietkach tak prichádza do úvahy práve tento zjednodušený postup, ktorý je „šetrnejší“ k právam dotknutej osoby, než úplne vylúčenie možnosti námietok, resp. neprihladanie na námietku bez toho, aby sa o nej rozhodlo.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7c ods. 5</w:t>
              <w:br/>
            </w:r>
            <w:r>
              <w:rPr>
                <w:b w:val="off"/>
                <w:color w:val="000000"/>
                <w:rFonts w:ascii="Times New Roman" w:hAnsi="Times New Roman" w:cs="Times New Roman" w:eastAsia="Times New Roman"/>
                <w:sz w:val="24"/>
              </w:rPr>
              <w:t>Asociácia vlastníkov bytov navrhuje v § 7c ods. 5 vypustiť písmeno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Rada spoločenstva je dozorným orgánom, ktorého úlohou je kontrolovať činnosť spoločenstva a navrhovať opatrenia na odstránenie zistených nedostatkov. Zvolávanie zhromaždenia však nepredstavuje kontrolnú činnosť, ale organizačnú činnosť súvisiacu s výkonom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zmenou sa odstraňuje nesystémové spojenie kontrolných a výkonných právomocí rady. Zvolávanie zhromaždenia má patriť predsedovi spoločenstva ako jeho štatutárnemu orgánu, ktorý riadi činnosť spoločenstva a zodpovedá za výkon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celého písmena a) je nevyhnutné, pretože samotným odstránením povinnosti zvolávať zhromaždenie najmenej raz ročne by rade naďalej zostala právomoc zvolávať zhromaždenie.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neobmedzuje kontrolné právomoci rady vrátane jej oprávnenia navrhovať odvolanie predsedu. Zároveň vytvára predpoklad na jednoznačné rozdelenie právomocí medzi predsedu a 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upraviť aj ust. § 14a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w:t>
              <w:br/>
            </w:r>
            <w:r>
              <w:rPr>
                <w:b w:val="off"/>
                <w:color w:val="000000"/>
                <w:rFonts w:ascii="Times New Roman" w:hAnsi="Times New Roman" w:cs="Times New Roman" w:eastAsia="Times New Roman"/>
                <w:sz w:val="24"/>
              </w:rPr>
              <w:t>V čl. XXXIII bode 16 (§ 61d ods. 2 Exekučného poriadku) vypustiť slová „ak ide o nakladanie s majetkom v prospech osoby, ktorá je spriaznenou osobou povinného podľa osobitného predpisu7ad) a ktorá o prebiehajúcej exekúcii vedela alebo pri vynaložení náležitej starostlivosti musela vedieť“.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slová majú za následok, že ak povinný poruší zákaz nakladať s majetkom a majetok prevedie na tretiu osobu, ktorá nie je blízkou, resp. spriaznenou osobou povinného, tak uvedený majetok už nie je možné postihnúť v exekúcii. Tým sa umožňuje povinnému jednoducho zmariť vykonanie exekúcie a zákaz nakladania s majetkom sa stáva prakticky „bezzubý“.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dávam do pozornosti aj českú právnu úpravu § 44a ods. 1 exekučního řádu (zákon č. 120/2001 Sb.) a je na zváženie, či by sa nemala prevziať: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„Nerozhodl-li exekutor podle § 44 odst. 4 jinak, nesmí povinný po doručení vyrozumění nakládat se svým majetkem včetně nemovitostí a majetku patřícího do společného jmění manželů, vyjma běžné obchodní a provozní činnosti, uspokojování základních životních potřeb svých a osob, ke kterým má vyživovací povinnost, a udržování a správy majetku. Právní jednání, kterým povinný porušil tuto povinnost, je neplatné. Právní jednání se však považuje za platné, pokud námitku neplatnosti nevznese exekutor, oprávněný, nebo přihlášený věřitel, aby zajistili uspokojení vymáhané pohledávky. Právní účinky vznesení námitky neplatnosti nastávají od účinnosti právního jednání, dojde-li exekuční příkaz nebo jiný projev vůle exekutora, oprávněného, nebo přihlášeného věřitele všem účastníkům právního jednání, k němuž exekutor, oprávněný nebo přihlášený věřitel vznesl námitku neplatnosti.“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XCVIII</w:t>
              <w:br/>
            </w:r>
            <w:r>
              <w:rPr>
                <w:b w:val="off"/>
                <w:color w:val="000000"/>
                <w:rFonts w:ascii="Times New Roman" w:hAnsi="Times New Roman" w:cs="Times New Roman" w:eastAsia="Times New Roman"/>
                <w:sz w:val="24"/>
              </w:rPr>
              <w:t>Do zákona č. 36/2005 Z. z. o rodine je potrebné doplniť ustanovenie, ktoré by výslovne upravovalo dôvody zániku ústavnej starostlivosti, najmä nadobudnutím plnej spôsobilosti na právne úkony. Obdobné ustanovenie sa v zákone o rodine už nachádza pri náhradnej osobnej starostlivosti (§ 47 ods. 1) a pri pestúnskej starostlivosti (§ 52 ods. 1), avšak pri ústavnej starostlivosti takéto ustanovenie chýba a je potrebné ho doplniť. Ako sa uvádza aj v dôvodovej správe k čl. XCVIII bodu 28, je potrebné zabezpečiť, aby „sa osobitné ochranné režimy zákona viazané na postavenie maloletého dieťaťa neuplatňovali na osobu, ktorá už nadobudla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čl. XCVIII je preto potrebné doplniť nasledujúci novelizačný bod napr. v tomto znení:</w:t>
              <w:br/>
            </w:r>
            <w:r>
              <w:rPr>
                <w:b w:val="off"/>
                <w:color w:val="000000"/>
                <w:rFonts w:ascii="Times New Roman" w:hAnsi="Times New Roman" w:cs="Times New Roman" w:eastAsia="Times New Roman"/>
                <w:sz w:val="24"/>
              </w:rPr>
              <w:t>„V § 55 sa pred odsek 1 vkladá nový odsek 1, ktorý znie:</w:t>
              <w:br/>
            </w:r>
            <w:r>
              <w:rPr>
                <w:b w:val="off"/>
                <w:color w:val="000000"/>
                <w:rFonts w:ascii="Times New Roman" w:hAnsi="Times New Roman" w:cs="Times New Roman" w:eastAsia="Times New Roman"/>
                <w:sz w:val="24"/>
              </w:rPr>
              <w:t>„Ústavná starostlivosť zaniká</w:t>
              <w:br/>
            </w:r>
            <w:r>
              <w:rPr>
                <w:b w:val="off"/>
                <w:color w:val="000000"/>
                <w:rFonts w:ascii="Times New Roman" w:hAnsi="Times New Roman" w:cs="Times New Roman" w:eastAsia="Times New Roman"/>
                <w:sz w:val="24"/>
              </w:rPr>
              <w:t>a) nadobudnutím plnej spôsobilosti dieťaťa na právne úkony,</w:t>
              <w:br/>
            </w:r>
            <w:r>
              <w:rPr>
                <w:b w:val="off"/>
                <w:color w:val="000000"/>
                <w:rFonts w:ascii="Times New Roman" w:hAnsi="Times New Roman" w:cs="Times New Roman" w:eastAsia="Times New Roman"/>
                <w:sz w:val="24"/>
              </w:rPr>
              <w:t>b) smrťou maloletého dieťaťa,</w:t>
              <w:br/>
            </w:r>
            <w:r>
              <w:rPr>
                <w:b w:val="off"/>
                <w:color w:val="000000"/>
                <w:rFonts w:ascii="Times New Roman" w:hAnsi="Times New Roman" w:cs="Times New Roman" w:eastAsia="Times New Roman"/>
                <w:sz w:val="24"/>
              </w:rPr>
              <w:t>c) umiestnením maloletého dieťaťa do ochrannej výchovy alebo nástupom do výkonu trestu odňatia slobody,</w:t>
              <w:br/>
            </w:r>
            <w:r>
              <w:rPr>
                <w:b w:val="off"/>
                <w:color w:val="000000"/>
                <w:rFonts w:ascii="Times New Roman" w:hAnsi="Times New Roman" w:cs="Times New Roman" w:eastAsia="Times New Roman"/>
                <w:sz w:val="24"/>
              </w:rPr>
              <w:t>d) rozhodnutím súdu o zrušení ústavnej starostlivosti.“.</w:t>
              <w:br/>
            </w:r>
            <w:r>
              <w:rPr>
                <w:b w:val="off"/>
                <w:color w:val="000000"/>
                <w:rFonts w:ascii="Times New Roman" w:hAnsi="Times New Roman" w:cs="Times New Roman" w:eastAsia="Times New Roman"/>
                <w:sz w:val="24"/>
              </w:rPr>
              <w:t>Doterajšie odseky 1 až 3 sa označujú ako odseky 2 až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čl. CII</w:t>
              <w:br/>
            </w:r>
            <w:r>
              <w:rPr>
                <w:b w:val="off"/>
                <w:color w:val="000000"/>
                <w:rFonts w:ascii="Times New Roman" w:hAnsi="Times New Roman" w:cs="Times New Roman" w:eastAsia="Times New Roman"/>
                <w:sz w:val="24"/>
              </w:rPr>
              <w:t>V dôvodovej správe k čl. CII bodu 4 je posledná veta [„Podstatné je tiež jednoznačne upraviť, že všetky ustanovenia o plnoletých fyzických osobách (osobný rozsah, práva, povinnosti...) sa vzťahujú na všetky osoby, ktoré nie sú fyzickou osobou mladšou ako 18 rokov veku, ktorá nenadobudla plnú spôsobilosť na právne úkony, t. j. ktorá nie je dieťaťom.“] ťažko zrozumiteľná vzhľadom na použitý dvojitý zápor. Je preto vhodné doplniť aj „pozitívne“ vymedzenie plnoletej osoby, že za plnoletú osobu sa považuje osoba, ktorá buď dosiahla vek 18 rokov alebo ešte pred dosiahnutím tohto veku nadobudla plnú spôsobilosť na právne úkony rozhodnutím súdu alebo uzavretím manželstva.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dôvodovej správe sa na viacerých miestach odkazuje na metodické usmernenie Ministerstva spravodlivosti Slovenskej republiky o tvorbe osobitných predpisov nadväzujúcich na Občiansky zákonník, a tiež na metodiku Ministerstva spravodlivosti Slovenskej republiky k príprave a spracovaniu implementačného zákona k novému Občianskemu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zákona však neboli priložené tieto metodické usmernenia a ani sa v dôvodovej správe nikde neuvádza, kde sú tieto usmernenia zverejnené. Tieto usmernenia sa nedajú nájsť ani na webovej stránke Ministerstva spravodlivosti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žiadúce buď tieto metodické usmernenia priložiť k návrhu zákona alebo ich aspoň zverejniť na webe MS SR a do dôvodovej správy doplniť odkaz, kde sú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8a ods. 4</w:t>
              <w:br/>
            </w:r>
            <w:r>
              <w:rPr>
                <w:b w:val="off"/>
                <w:color w:val="000000"/>
                <w:rFonts w:ascii="Times New Roman" w:hAnsi="Times New Roman" w:cs="Times New Roman" w:eastAsia="Times New Roman"/>
                <w:sz w:val="24"/>
              </w:rPr>
              <w:t>Asociácia vlastníkov bytov navrhuje v § 8a ods. 4 nahradiť poslednú vetu touto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podľa § 9 ods. 6 vyžaduje prevod zostatku finančných prostriedkov na účet domu zriadený novým správcom alebo spoločenstvom a správca tento prevod nevykoná najneskôr v deň skončenia správy, je povinný zaplatiť na tento účet úroky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zaplatiť úroky z omeškania má byť viazaná výlučne na porušenie zákonnej povinnosti previesť finančné prostriedky pri skončení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9 ods. 6 umožňuje pri zmene správcu zachovať existujúci účet domu, ak to banka umožňuje, a zmeniť iba osobu oprávnenú s účtom disponovať. V takom prípade nedochádza k prevodu finančných prostriedkov na iný účet a nevzniká ani dôvod na uplatnenie úrokov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zosúlaďuje obe ustanovenia. Zachováva ochranu vlastníkov v prípadoch, keď je prevod finančných prostriedkov povinný, a zároveň vylučuje sankciu za nevykonanie prevodu, ktorý zákon nevyžaduje.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V § 43 ods. 1 písm. c) katastrálneho zákona je potrebné preformulovať slová „konania o výmaze záložného práva“. Neexistuje konanie o výmaze záložného práva, katastrálny zákon takéto nepozná. Zápis práv k nehnuteľnostiam prebieha buď v konaní o vklade alebo v konaní o zázname, teda aj výmaz záložného práva môže prebehnúť len v jednom z týchto dvoch typov konaní. Týmto ustanovením sa zjavne rozumie konanie o zázname, v rámci ktorého sa má vymazať záložné právo z dôvodu jeho zániku zo zákona, najmä z dôvodu splnenia a zániku zabezpečenej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čl. XXXI je preto potrebné doplniť novelizačný bod napr. v tomto znení: V § 43 ods. 1 písm. c) sa slová „konania o výmaze záložného práva“ nahrádzajú slovami „konania o zázname, ak ide o výmaz záložného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Znenie čl. III bodu 6 § 8 sa zdá byť v rozpore s novým Občianskym zákonníkom a nie je jasné, aký je vlastne zámer predkladateľa. Nový Občiansky zákonník rozlišuje plnoletosť (ktorá sa nadobúda dosiahnutím 18 rokov) a plnú spôsobilosť na právne úkony. Plnú spôsobilosť na právne úkony je možné nadobudnúť plnoletosťou, teda dosiahnutím 18 rokov, alebo aj pred dosiahnutím 18 rokov, a to rozhodnutím súdu alebo uzavretím manželstva. Teda aj osoby mladšie ako 18 rokov môžu mať plnú spôsobilosť na právne úkony a tieto osoby tak nemajú zákonného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preto zrejmé, prečo sa v Zákonníku práce (odchýlne od nového Občianskeho zákonníku) stanovuje, že „Plná spôsobilosť fyzickej osoby na právne úkony v pracovnoprávnych vzťahoch ako zamestnávateľ vzniká plnoletosťou; dovtedy za ňu koná zákonný zástupca“.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otázka, akú spôsobilosť podľa Zákonníka práce budú mať osoby mladšie ako 18 rokov, ktoré podľa nového Občianskeho zákonníka nadobudli plnú spôsobilosť na právne úkony (pred dosiahnutím 18 rokov) rozhodnutím súdu alebo uzavretím manželstva.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8b ods. 1</w:t>
              <w:br/>
            </w:r>
            <w:r>
              <w:rPr>
                <w:b w:val="off"/>
                <w:color w:val="000000"/>
                <w:rFonts w:ascii="Times New Roman" w:hAnsi="Times New Roman" w:cs="Times New Roman" w:eastAsia="Times New Roman"/>
                <w:sz w:val="24"/>
              </w:rPr>
              <w:t>Asociácia vlastníkov bytov navrhuje v § 8b ods. 1 písm. f) nahradiť slová „podľa potreby, najmenej raz za rok, alebo“ slovami „podľa potreby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zvolávať schôdzu vlastníkov najmenej raz ročne bez ohľadu na existenciu záležitostí vyžadujúcich ich spoločné rozhodovanie predstavuje zbytočnú administratívnu a organizačnú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Schôdza vlastníkov má slúžiť predovšetkým na prerokovanie záležitostí týkajúcich sa správy domu a prijímanie rozhodnutí vlastníkov. Jej povinné každoročné zvolávanie samo osebe nezaručuje účasť vlastníkov ani prijatie potrebných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ponecháva správcovi povinnosť zvolávať schôdzu podľa potreby a na žiadosť zákonom určenej časti vlastníkov. Nedotýka sa informačných povinností správcu ani práva vlastníkov rozhodovať o záležitostiach správy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zároveň nadväzuje na navrhované zmeny § 7c ods. 5 písm. a) a § 14a ods. 1, ktorých cieľom je odstrániť povinnú každoročnú periodicitu schôdzí bez obmedzenia práv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novým Občianskym zákonníkom je potrebné novelizovať aj zákon č. 219/1996 Z. z., konkrétne § 12 ods. 2, ktorý v súčasnosti znie: „Za porušenie zákazu v § 2 ods. 2 a 3 maloletou osobou môže obec uložiť zákonnému zástupcovi maloletého pokutu do výšky 33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nového Občianskeho zákonníka však maloleté osoby, teda osoby mladšie ako 18 rokov, môžu nadobudnúť plnú spôsobilosť na právne úkony aj pred dosiahnutím 18 rokov (teda pred dosiahnutím plnoletosti) a takéto osoby už logicky nemajú žiadneho zákonného zástupcu. V uvedenom ustanovení je preto potrebné za slová „maloletou osobou“ doplniť čiarku a slová „ktorá nenadobudla plnú spôsobilosť na právne úkony“ (prípadne inak vhodne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novelizovať aj § 11 ods. 4 druhú vetu zákona č. 377/2004 Z. z., ktorá znie: „Priestupky podľa odseku 1 písm. e) sa prejednávajú so zákonným zástupcom osoby mladšej ako 18 rokov, ktorá porušila zákaz fajčenia podľa § 7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aj v tomto prípade je potrebné zohľadniť, že aj osoby mladšie ako 18 rokov už môžu mať plnú spôsobilosť na právne úkony, a teda nemajú žiadneho zákonného zástupcu.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14b ods. 4</w:t>
              <w:br/>
            </w:r>
            <w:r>
              <w:rPr>
                <w:b w:val="off"/>
                <w:color w:val="000000"/>
                <w:rFonts w:ascii="Times New Roman" w:hAnsi="Times New Roman" w:cs="Times New Roman" w:eastAsia="Times New Roman"/>
                <w:sz w:val="24"/>
              </w:rPr>
              <w:t>Asociácia vlastníkov bytov navrhuje nahradiť § 14b ods. 4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 veciach, ktoré nie sú upravené v odsekoch 1 až 3, je na prijatie rozhodnutia potrebná nadpolovičná väčšina platných hlasov odovzdaných za návrh alebo proti návrhu na schôdzi vlastníkov alebo pri písomnom hlasovaní.“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viaže potrebnú väčšinu na počet vlastníkov prítomných na schôdzi alebo zúčastnených na písomnom hlasovaní. Do základu na výpočet potrebnej väčšiny sa tak započítavajú aj vlastníci, ktorí sa zdržali hlasovania, hoci nehlasovali ani za návrh, ani proti nemu.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zo zásady, že o prijatí rozhodnutia majú rozhodovať platné hlasy odovzdané za návrh a proti návrhu. Zdržanie sa hlasovania preto nemá mať rovnaký účinok ako hlas proti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Potrebná väčšina sa bude určovať výlučne zo súčtu platných hlasov za návrh a proti návrhu. Vlastníci, ktorí sa hlasovania nezúčastnili alebo sa zdržali hlasovania, sa do tohto základu nezapočítajú.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sa vzťahuje rovnako na rozhodovanie na schôdzi vlastníkov aj pri písomnom hlasovaní. Požadované väčšiny pri rozhodovaní podľa odsekov 1 až 3 zostávajú nedotknuté.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Predkladateľ sa v čl. V bode 27 (nový § 342a Civilného sporového poriadku) zrejme snaží reagovať na častú prax súdov, keď vydávajú neodkladné opatrenia ex parte, teda bez vyjadrenia žalovaného. Riešenie v návrhu zákona je však absolútne nedostatočné a do určitej miery dokonca aj kontraproduktívne, keď by mohlo ešte viac legitimizovať a podporiť súdy vo vydávaní ex parte neodkladných opatrení.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si uvedomiť, že vydávanie neodkladných opatrení ex parte (bez vyjadrenia protistrany) je nežiadúce a zasahuje do práva na spravodlivý proces, najmä právo na rovnosť zbraní, a preto by sa využívať len v naozaj výnimočných a neodkladných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 parte neodkladné opatrenia, ak už sú vydané, by rozhodne nemali trvať neurčitý čas, ale ich trvanie by malo byť len dočasné na stanovený čas. V rámci tohto času by žalovaný mal dostať možnosť vyjadriť sa a následne po vyjadrení oboch strán by mal ešte sám súd prvej inštancie znovu rozhodnúť o tom, či vydanie neodkladného opatrenia je opodstatnené alebo nie (resp. či má už vydané neodkladné opatrenie predĺžiť alebo sa má zrušiť). Žalovaný by teda nemal byť odkázaný len na podanie odvolania, ako je to v súčasnosti. Podľa súčasnej právnej úpravy v CSP a praxe žalobca ako navrhovateľ má v podstate 2 príležitosti na vyjadrenie na 2 rôznych súdnych inštanciách (v návrhu na neodkladné opatrenie a v prípade zamietnutia aj v odvolaní), zatiaľ čo žalovaný má takúto možnosť len jednu, a to v odvolaní proti uzneseniu o nariadení neodkladného opatrenia. Takáto právna úprava a prax potenciálne porušuje právo na spravodlivý proces a princíp kontradiktórnosti a rovnosť zbraní a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potrebné novelizovať ustanovenia Civilného sporového poriadku v zmysle ako bolo uvedené vyššie, teda aby ex parte neodkladné opatrenia (bez predchádzajúceho vyjadrenia žalovaného) mohli byť súdom vydané len vo výnimočných a odôvodnených prípadoch, a aby ich trvanie bolo len obmedzené len na určitý čas, a aby po doručení ex parte neodkladného opatrenia žalovanému mal žalovaný právo sa vyjadriť a aby následne súd prvej inštancie opätovne rozhodol o tom, či neodkladné opatrenie bude trvať naďalej alebo sa má zrušiť, pričom proti takémuto rozhodnutiu by malo byť prípustné odvolanie, ako v súčasnosti.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14b ods. 6</w:t>
              <w:br/>
            </w:r>
            <w:r>
              <w:rPr>
                <w:b w:val="off"/>
                <w:color w:val="000000"/>
                <w:rFonts w:ascii="Times New Roman" w:hAnsi="Times New Roman" w:cs="Times New Roman" w:eastAsia="Times New Roman"/>
                <w:sz w:val="24"/>
              </w:rPr>
              <w:t>Asociácia vlastníkov bytov navrhuje v § 14b ods. 6 vypustiť druhú a tretiu vetu a v poslednej vete nahradiť slová „od platného hlasovania o tej istej veci“ slovami „od prijatia predchádzajúceho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 14b ods. 1 a 2 už vyžadujú na prijatie rozhodnutí kvalifikované väčšiny hlasov všetkých vlastníkov bytov a nebytových priestorov v dome. Ich ďalšie sprísňovanie pri opakovanom rozhodovaní o tej istej veci neprimerane obmedzuje možnosť vlastníkov zmeniť svoje predchádzajúce rozhodnutie.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Vlastníci musia mať možnosť prehodnotiť prijaté rozhodnutie, najmä ak sa zmenili okolnosti, objavili sa nové skutočnosti alebo sa pôvodné rozhodnutie ukázalo ako nevhodné. Ak zákon na prijatie rozhodnutia vyžaduje určitú väčšinu hlasov, táto väčšina má postačovať aj na jeho zmenu.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rozhodovaní podľa § 14b ods. 4 sa navrhuje zachovať požiadavku nadpolovičnej väčšiny hlasov všetkých vlastníkov, ak sa o tej istej veci opätovne rozhoduje do jedného roka. Toto pravidlo chráni stabilitu rozhodnutí, ktoré mohli byť prijaté aj pomerne malým počtom hlasujúcich 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Jednoročná lehota však musí začať plynúť až od prijatia predchádzajúceho rozhodnutia, nie od samotného uskutočnenia hlasovania. Ak sa pri predchádzajúcom hlasovaní neprijalo rozhodnutie, neexistuje rozhodnutie, ktorého zmena by odôvodňovala požiadavku zvýšenej väčšiny.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bol predložený na pripomienkové konanie v rozpore s § 7 ods. 1 písm. i) zákona č. 400/2015 Z. z. o tvorbe právnych predpisov a o Zbierke zákonov Slovenskej republiky a čl. 18 ods. 1 písm. j) Legislatívnych pravidiel vlády SR, keďže k nemu neboli priložené konsolidované znenia novelizovaných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potrebné odstrániť tento nedostatok a opätovne predložiť návrh zákona na pripomienkové konanie v súlade so zákonom č. 400/2015 Z. z. a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 14 ods. 1</w:t>
              <w:br/>
            </w:r>
            <w:r>
              <w:rPr>
                <w:b w:val="off"/>
                <w:color w:val="000000"/>
                <w:rFonts w:ascii="Times New Roman" w:hAnsi="Times New Roman" w:cs="Times New Roman" w:eastAsia="Times New Roman"/>
                <w:sz w:val="24"/>
              </w:rPr>
              <w:t>Asociácia vlastníkov bytov navrhuje v § 14 ods. 1 vypustiť slová „; elektronické hlasovanie nemožno uplatniť, ak písomné hlasovanie vyhlasuje štvrtina vlastníkov bytov a nebytových priestorov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elektronického hlasovania pri písomnom hlasovaní vyhlásenom štvrtinou vlastníkov neodôvodnene obmedzuje možnosti vlastníkov uplatniť svoje hlasovacie právo. Spôsob hlasovania by nemal závisieť od toho, kto písomné hlasovanie vyhlásil.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14a ods. 5 zabezpečuje elektronické hlasovanie spoločenstvo alebo správca, ak vlastník prejaví záujem hlasovať elektronicky. Nie je preto dôvod vylučovať túto možnosť iba v prípade, keď písomné hlasovanie vyhlási štvrtina 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odstraňuje uvedené obmedzenie bez toho, aby štvrtine vlastníkov ukladala povinnosť zabezpečovať elektronické hlasovanie. Táto povinnosť zostáva spoločenstvu alebo správcovi pri zachovaní zákonných požiadaviek na jeho vykonanie.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aby bol tento návrh zákona po vyhodnotení a zapracovaní pripomienok opätovne predložený na pripomienkové konanie. Tento návrh zákona je mimoriadne rozsiahly, obsahuje 232 novelizačných článkov na 266 stranách. Ide o tzv. zberný, resp. implementačný zákon k novému Občianskemu zákonníku, ktorým sa novelizuje takmer všetky platné zákony, teda zasahuje do prakticky celého právneho poriadku. Na posúdenie dopadov takto rozsiahleho a dôležitého zákona a zaslanie pripomienok nepostačuje tak krátka lehota na zaslanie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tento návrh zákona bol predložený na pripomienkové konanie ešte predtým, ako bol v Zbierke zákonov SR vyhlásený nový Občiansky zákonník, teda ešte predtým, ako bolo známe finálne znenie nového Občianskeho zákonníka. Nový Občiansky zákonník (zákon č. 260/2026 Z. z.) bol v Zbierke zákonov SR vyhlásený až 30. októbra 2026, teda len krátko pred koncom pripomienkového konania, konkrétne len 5 pracovných dní pred posledným dňom lehoty na zaslanie pripomienok (6. novembra 2026). Takto krátka doba je v prípade takto rozsiahleho a významného zákona absolútne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k návrhu zákona neboli priložené ani konsolidované znenia novelizovaných zákonov, čo je v rozpore s § 7 ods. 1 písm. i) zákona č. 400/2015 Z. z. o tvorbe právnych predpisov a o Zbierke zákonov Slovenskej republiky a čl. 18 ods. 1 písm. j) Legislatívnych pravidiel vlády SR. Tento nedostatok taktiež značne sťažuje riadne posúdenie návrhu zákona a jeho dopadov a spracovanie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si dovoľujem apelovať na predkladateľa, aby k tomuto návrhu zákona prebehlo aj druhé kolo pripomienkového konania, a to aspoň v skrátenej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XCI nad rámec návrhu</w:t>
              <w:br/>
            </w:r>
            <w:r>
              <w:rPr>
                <w:b w:val="off"/>
                <w:color w:val="000000"/>
                <w:rFonts w:ascii="Times New Roman" w:hAnsi="Times New Roman" w:cs="Times New Roman" w:eastAsia="Times New Roman"/>
                <w:sz w:val="24"/>
              </w:rPr>
              <w:t>V § 21 odsek 2 zákona č. 580/2004 Z. z. navrhujeme na konci pripojiť vetu, ktorá znie:</w:t>
              <w:br/>
            </w:r>
            <w:r>
              <w:rPr>
                <w:b w:val="off"/>
                <w:color w:val="000000"/>
                <w:rFonts w:ascii="Times New Roman" w:hAnsi="Times New Roman" w:cs="Times New Roman" w:eastAsia="Times New Roman"/>
                <w:sz w:val="24"/>
              </w:rPr>
              <w:t xml:space="preserve">„Uplatnením práva vymáhať v premlčacej lehote podľa predchádzajúcej vety na príslušnom orgáne, premlčacia lehota počas trvania tohto konania neplynie.“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Pohľadávky na poistnom na verejné zdravotné poistenie majú verejnoprávny charakter, ktorých účelom je zabezpečenie fungovania systému verejného zdravotného poistenia. Na ich vznik, zmenu a zánik preto nemožno aplikovať ustanovenia súkromnoprávnych predpisov, čo vyplýva aj z ustálenej aplikačnej praxe Najvyššieho súdu Slovenskej republiky. Platná právna úprava premlčania zákona č.  580/2004 Z. z. o zdravotnom poistení a o zmene zákona o poisťovníctve v znení neskorších predpisov v súčasnosti neupravuje spočívanie premlčacej lehoty, čo v aplikačnej praxi vedie k situáciám, keď počas prebiehajúceho exekučného konania uplynie premlčacia lehota na uplatnenie práva vymáhať poistné. K týmto situáciám dochádza najmä pri zastavení exekúcie exekútorom podľa § 61n ods. 1 písm. d) zákona č. 233/1995 Z. z. o súdnych exekútoroch a exekučnej činnosti (Exekučný poriadok) v znení neskorších predpisov. Zdravotné poisťovne tak v dôsledku uplynutia premlčacej lehoty strácajú možnosť opätovne efektívne uplatniť svoje pohľadávky v exekučnom konaní. Absencia právnej úpravy spočívania premlčacej lehoty počas výkonu exekúcie má za následok znevýhodnenie zdravotných poisťovní pri uplatňovaní ich pohľadávok, a to aj v prípadoch, keď konajú včas a v súlade so zákonom. Takto nastavený právny stav zároveň neodôvodnene zvýhodňuje povinné osoby v exekučnom konaní, ktoré môžu profitovať z plynutia času. Zavedením spočívania premlčacej lehoty počas exekučného konania sa odstráni aplikačný problém a zabezpečí sa efektívne uplatňovanie pohľadávok na verejnom zdravotnom poistení.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XCII bo 10 § § 85d ods. 3</w:t>
              <w:br/>
            </w:r>
            <w:r>
              <w:rPr>
                <w:b w:val="off"/>
                <w:color w:val="000000"/>
                <w:rFonts w:ascii="Times New Roman" w:hAnsi="Times New Roman" w:cs="Times New Roman" w:eastAsia="Times New Roman"/>
                <w:sz w:val="24"/>
              </w:rPr>
              <w:t>V súvislosti so zmenou ustanovenia § 85 d odsek 3 navrhujeme zmenu ustanovenia:</w:t>
              <w:br/>
            </w:r>
            <w:r>
              <w:rPr>
                <w:b w:val="off"/>
                <w:color w:val="000000"/>
                <w:rFonts w:ascii="Times New Roman" w:hAnsi="Times New Roman" w:cs="Times New Roman" w:eastAsia="Times New Roman"/>
                <w:sz w:val="24"/>
              </w:rPr>
              <w:t>-	§ 27 ods. 2 písm. a) zákona č. 580/2004 Z. z. v Čl. XCI,</w:t>
              <w:br/>
            </w:r>
            <w:r>
              <w:rPr>
                <w:b w:val="off"/>
                <w:color w:val="000000"/>
                <w:rFonts w:ascii="Times New Roman" w:hAnsi="Times New Roman" w:cs="Times New Roman" w:eastAsia="Times New Roman"/>
                <w:sz w:val="24"/>
              </w:rPr>
              <w:t>-	§ 6 ods. 9 zákona č. 581/2004 Z. z. v Čl. XCII,</w:t>
              <w:br/>
            </w:r>
            <w:r>
              <w:rPr>
                <w:b w:val="off"/>
                <w:color w:val="000000"/>
                <w:rFonts w:ascii="Times New Roman" w:hAnsi="Times New Roman" w:cs="Times New Roman" w:eastAsia="Times New Roman"/>
                <w:sz w:val="24"/>
              </w:rPr>
              <w:t>-	§ 56 ods. 1 zákona č. 581/2004 Z. z. v Čl. XCII,</w:t>
              <w:br/>
            </w:r>
            <w:r>
              <w:rPr>
                <w:b w:val="off"/>
                <w:color w:val="000000"/>
                <w:rFonts w:ascii="Times New Roman" w:hAnsi="Times New Roman" w:cs="Times New Roman" w:eastAsia="Times New Roman"/>
                <w:sz w:val="24"/>
              </w:rPr>
              <w:t>-	§ 85d ods. 1 a 2 zákona č. 581/2004 Z. z. v Čl. XCII.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d)</w:t>
              <w:br/>
            </w:r>
            <w:r>
              <w:rPr>
                <w:b w:val="off"/>
                <w:color w:val="000000"/>
                <w:rFonts w:ascii="Times New Roman" w:hAnsi="Times New Roman" w:cs="Times New Roman" w:eastAsia="Times New Roman"/>
                <w:sz w:val="24"/>
              </w:rPr>
              <w:t>Do definície spoločných častí domu navrhujeme výslovne zahrnúť aj meradlá spotreby tepla studenej a teplej vody a pomerové rozdeľovače vykurovacích nákladov v dome vrátane rádiových modulov a zberníc, ktorých údaje slúžia na rozpočítavanie nákladov v dome, a to aj vtedy, keď sú umiestnené v jednotlivých bytoch alebo nebytových priestoroch.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meradlá napriek umiestneniu v jednotlivých bytoch a nebytových priestoroch, plnia spoločnú funkciu pre dom. Ich údaje slúžia ako podklad  na určenie podielu jednotlivých vlastníkov na celkových nákladoch na teplo a vodu. Z funkčného hľadiska preto tvoria súčasť spoločného systému merania a rozpočítavania. Výslovné zaradenie týchto meradiel medzi spoločné časti domu by odstránilo výkladové nejasnosti týkajúce sa ich právneho postavenia a vytvorilo by jednoznačný základ pre jednotné zabezpečovanie ich obstarania, prevádzky a údržby a výmeny v rámci domu. Rozhodujúcim kritériom by bola ich funkcia pre spoločné rozpočítanie nákladov, nie miesto ich inštalácie.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2</w:t>
              <w:br/>
            </w:r>
            <w:r>
              <w:rPr>
                <w:b w:val="off"/>
                <w:color w:val="000000"/>
                <w:rFonts w:ascii="Times New Roman" w:hAnsi="Times New Roman" w:cs="Times New Roman" w:eastAsia="Times New Roman"/>
                <w:sz w:val="24"/>
              </w:rPr>
              <w:t>Navrhujeme doplniť o text: Tie časti zmluvy o spoločenstve alebo zmluvy o výkone správy, ktoré sú v rozpore s ustanoveniami § 1720 a 1723 Občianskeho zákonníka, sú po uplynutí tejto lehoty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jednoznačne ustanovuje právny následok nesplnenia povinnosti zosúladiť zmluvy  v určenej lehote.  Doplnením sa posilní právna istota vlastníkov, správcov a spoločenstiev a zabezpečí sa jednotné uplatňovanie zákonnej úpravy splatnosti aj v prípadoch, keď k formálnej zmene zmluvy v stanovenej lehote nedôjde.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 ods. 1</w:t>
              <w:br/>
            </w:r>
            <w:r>
              <w:rPr>
                <w:b w:val="off"/>
                <w:color w:val="000000"/>
                <w:rFonts w:ascii="Times New Roman" w:hAnsi="Times New Roman" w:cs="Times New Roman" w:eastAsia="Times New Roman"/>
                <w:sz w:val="24"/>
              </w:rPr>
              <w:t>Navrhujeme vypustiť povinnosť správcu zvolať schôdzu vlastníkov najmenej raz ročne, upravenú v ustanovení 14a ods.1  a ponechať povinnosť zvolať schôdzu podľa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Povinné každoročné zvolávanie schôdze vlastníkov nenapĺňa z našich skúseností svoj účel z dôvodu dlhodobo nízkej účasti vlastníkov bytov. Pri rozhodovaní o otázkach, ktoré vyžadujú nadpolovičnú väčšinu hlasov všetkých vlastníkov bytov a nebytových priestorov, prípadne vyššie kvórum, spravidla nie je možné dosiahnuť výsledok na schôdzi vlastníkov a aj tak musí dôjsť k písomnému hlasovaniu.</w:t>
              <w:br/>
            </w:r>
            <w:r>
              <w:rPr>
                <w:b w:val="off"/>
                <w:color w:val="000000"/>
                <w:rFonts w:ascii="Times New Roman" w:hAnsi="Times New Roman" w:cs="Times New Roman" w:eastAsia="Times New Roman"/>
                <w:sz w:val="24"/>
              </w:rPr>
              <w:t>Zvolávanie schôdzí podľa skutočných potrieb domu umožní účelnejšiu správu. Navrhovaná zmena sa má týkať výlučne každoročného zvolávania schôdze, pri zachovaní povinnosti zvolať ju na zákonom ustanovenú žiadosť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j)</w:t>
              <w:br/>
            </w:r>
            <w:r>
              <w:rPr>
                <w:b w:val="off"/>
                <w:color w:val="000000"/>
                <w:rFonts w:ascii="Times New Roman" w:hAnsi="Times New Roman" w:cs="Times New Roman" w:eastAsia="Times New Roman"/>
                <w:sz w:val="24"/>
              </w:rPr>
              <w:t>K vymedzeniu pojmu “pravidlá pre výkon správy domu” upravené v § 2 písm. j) a k povinnosti správcu zverejňovať tieto pravidlá v dome, navrhujeme jednoznačne určiť obsah a rozsah , resp. túto povinnosť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je príliš všeobecné. Nie je zrejmé, či má správca zverejňovať všetky ustanovenia zmluvy, alebo iba ich časť. Domnievame sa, že sa jedná o duplicitu povinností na strane správcu.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 11 ods. 1 písm. g)</w:t>
              <w:br/>
            </w:r>
            <w:r>
              <w:rPr>
                <w:b w:val="off"/>
                <w:color w:val="000000"/>
                <w:rFonts w:ascii="Times New Roman" w:hAnsi="Times New Roman" w:cs="Times New Roman" w:eastAsia="Times New Roman"/>
                <w:sz w:val="24"/>
              </w:rPr>
              <w:t>V § 11 ods. 1 písm. g) navrhujeme nahradiť slovo „ktorých“ textom „a v rámci prevádzky najmä ich prehliadky, údržbu, opravu, modernizáciu, zlepšenie výkonnosti, úpravu,  rekonštrukciu, uplatňovanie práv vyplývajúcich z ich existencie, a ich prípadné odstránenie, vrátane zriaďovania a prevádzkovania obslužných zariadení, ak 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zohľadňuje osobitosti vzniku a dlhodobého prevádzkovania distribučných sústav. Súčasťou týchto sústav sú tisíce elektrických vedení a elektroenergetických zariadení vybudovaných za účinnosti skorších energetických predpisov, podľa ktorých práva k cudzím nehnuteľnostiam vznikali priamo zo zákona pri splnení zákonných podmienok, bez potreby uzatvorenia zmluvy s vlastníkom nehnuteľnosti. Ich vznik nebol podmienený zápisom do evidencie nehnuteľností; napríklad § 26 ods. 1 zákona č. 79/1957 Zb. o výrobe, rozvode a spotrebe elektriny výslovne ustanovoval, že takéto vecné bremená sa nezapisujú do pozemkových kníh. Takto vzniknuté oprávnenia boli zachované nadväzujúcimi energetickými predpismi a ich kontinuitu potvrdzuje aj § 96 ods. 4 zákona o energetike. Pri týchto zariadeniach preto nemožno vychádzať z predpokladu, že obsah oprávnení prevádzkovateľa je alebo môže byť vo všetkých prípadoch upravený zmluvou s vlastníkom dotknutej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1576 ods. 3 nového Občianskeho zákonníka viaže zahrnutie práva modernizácie, zlepšovania výkonnosti, úprav a rekonštrukcie siete, ako aj zriadenia a prevádzkovania obslužného zariadenia, do obsahu služobnosti na výslovnú dohodu. Spoločnosť Západoslovenská distribučná, a.s. štandardne už niekoľko rokov uzatvára s vlastníkmi zaťažených nehnuteľností zmluvy o zriadení vecného bremena, ktoré obsahujú práve takéto vymedzenie práva na prevádzku, údržbu, opravu, modernizáciu, zlepšenie výkonnosti, úpravu a rekonštrukciu. Vo vzťahu k existujúcim zákonným vecným bremenám, ako aj k zákonným služobnostiam, ktoré vzniknú podľa novej právnej úpravy je však potrebné vylúčiť výklad, podľa ktorého by obnova a modernizácia existujúcich energetických zariadení vyžadovala dodatočné zmluvné dojednanie s vlastníkmi dotknutých nehnuteľností. Absencia takéhoto dojednania je dôsledkom  zákonného spôsobu vzniku týchto práv a nemôže byť sama osebe dôvodom na znemožnenie nevyhnutnej obnovy a modernizácie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Elektrické vedenia tvoria funkčne prepojené celky, ktoré prechádzajú cez množstvo nehnuteľností rôznych vlastníkov a zabezpečujú distribúciu elektriny do stoviek až tisícov odberných miest. Ak by modernizácia takéhoto vedenia závisela od uzatvorenia dohody s každým jednotlivým vlastníkom, nesúhlas čo i len jedného z nich by mohol zablokovať modernizáciu celej linky. Možnosť zabezpečiť bezpečnú a spoľahlivú distribúciu elektriny a obnovovať zariadenia po skončení ich technickej životnosti by tak bola závislá od individuálnej vôle jednotlivého vlastníka, hoci vedenie bolo oprávnene zriadené a prevádzkuje sa na základe zákonného právneho titulu. Takýto dôsledok by bol v rozpore s verejným záujmom na zachovaní a rozvoji distribučnej sústavy a mohol by neprimerane ohroziť plnenie zákonných povinností jej prevádzkovateľa voči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 aby zákon o energetike ako osobitný právny predpis výslovne zahŕňal uvedené činnosti do zákonných oprávnení držiteľa povolenia. Tým sa vytvorí jednoznačný právny základ obnovy, rekonštrukcie a modernizácie oprávnene umiestnených zariadení, ktorý nebude závislý od možnosti dodatočne získať zmluvný súhlas všetkých dotknutých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 11 ods. 15</w:t>
              <w:br/>
            </w:r>
            <w:r>
              <w:rPr>
                <w:b w:val="off"/>
                <w:color w:val="000000"/>
                <w:rFonts w:ascii="Times New Roman" w:hAnsi="Times New Roman" w:cs="Times New Roman" w:eastAsia="Times New Roman"/>
                <w:sz w:val="24"/>
              </w:rPr>
              <w:t>V § 11 ods. 15 v poslednej vete navrhujeme nahradiť slovo „osvedčenia“ slovom „povolenia“ (oprava legislatívno-technickej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V § 11 navrhujeme doplniť za odsek 17 nasledovné odseky: </w:t>
              <w:br/>
            </w:r>
            <w:r>
              <w:rPr>
                <w:b w:val="off"/>
                <w:color w:val="000000"/>
                <w:rFonts w:ascii="Times New Roman" w:hAnsi="Times New Roman" w:cs="Times New Roman" w:eastAsia="Times New Roman"/>
                <w:sz w:val="24"/>
              </w:rPr>
              <w:t>(18) Držiteľ povolenia znáša náklady na užívanie, zachovanie a bežné opravy zaťaženej nehnuteľnosti len v rozsahu, v akom boli vyvolané výkonom vecného bremena, a primerane miere jej užívania, pokiaľ sa nedohodne inak. Ustanovenia § 11 ods. 4 až 6 tým nie sú dotknuté.</w:t>
              <w:br/>
            </w:r>
            <w:r>
              <w:rPr>
                <w:b w:val="off"/>
                <w:color w:val="000000"/>
                <w:rFonts w:ascii="Times New Roman" w:hAnsi="Times New Roman" w:cs="Times New Roman" w:eastAsia="Times New Roman"/>
                <w:sz w:val="24"/>
              </w:rPr>
              <w:t>(19) Povinnosť  držiteľa povolenia sprístupniť vlastníkovi zaťaženej nehnuteľnosti dokumentáciu v rozsahu potrebnom na ochranu jeho práv a oprávnených záujmov (odkaz na § 1577 ods. 3 OZ) sa považuje za splnenú poskytnutím informácií o umiestnení, rozsahu a ochrannom pásme a bezpečnostnom pásme energetického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energetických zariadeniach má užívanie cudzej nehnuteľnosti spravidla obmedzený účel a rozsah: spočíva najmä v umiestnení vedenia alebo zariadenia a v nevyhnutnom prístupe na vykonanie prevádzkových činností. Samotná existencia energetického zariadenia preto nemá zakladať povinnosť držiteľa povolenia financovať zachovanie a bežné opravy celej nehnuteľnosti vrátane nákladov, ktoré s výkonom služobnosti nesúvisia.</w:t>
              <w:br/>
            </w:r>
            <w:r>
              <w:rPr>
                <w:b w:val="off"/>
                <w:color w:val="000000"/>
                <w:rFonts w:ascii="Times New Roman" w:hAnsi="Times New Roman" w:cs="Times New Roman" w:eastAsia="Times New Roman"/>
                <w:sz w:val="24"/>
              </w:rPr>
              <w:t xml:space="preserve">Navrhuje sa preto výslovne previazať rozsah nákladovej povinnosti s nákladmi vyvolanými výkonom služobnosti a s mierou skutočného užívania nehnuteľnosti držiteľom povolenia. Tým sa zabezpečí primerané rozdelenie nákladov medzi vlastníka nehnuteľnosti a držiteľa povolenia a predíde sa prenášaniu nákladov na bežné užívanie nehnuteľnosti jej vlastníkom na prevádzkovateľa energetického zariadenia. Súčasne sa zachováva možnosť odlišnej dohody. </w:t>
              <w:br/>
            </w:r>
            <w:r>
              <w:rPr>
                <w:b w:val="off"/>
                <w:color w:val="000000"/>
                <w:rFonts w:ascii="Times New Roman" w:hAnsi="Times New Roman" w:cs="Times New Roman" w:eastAsia="Times New Roman"/>
                <w:sz w:val="24"/>
              </w:rPr>
              <w:t>Navrhovaný odsek 19 nadväzuje na § 1577 ods. 3 Občianskeho zákonníka a konkretizuje spôsob splnenia informačnej povinnosti držiteľa povolenia s prihliadnutím na osobitosti energetických zariadení. Všeobecná úprava viaže sprístupnenie dokumentácie na rozsah nevyhnutný na ochranu záujmov vlastníka, bližšie však neurčuje, akými údajmi možno túto povinnosť splniť. V praxi tak môže dochádzať k rozdielnemu výkladu rozsahu poskytovanej dokumentácie a k požiadavkám na sprístupnenie rozsiahlych technických či prevádzkových podkladov, ktoré sa dotknutej nehnuteľnosti priamo netýkajú.</w:t>
              <w:br/>
            </w:r>
            <w:r>
              <w:rPr>
                <w:b w:val="off"/>
                <w:color w:val="000000"/>
                <w:rFonts w:ascii="Times New Roman" w:hAnsi="Times New Roman" w:cs="Times New Roman" w:eastAsia="Times New Roman"/>
                <w:sz w:val="24"/>
              </w:rPr>
              <w:t>Účelom navrhovanej úpravy je zabezpečiť vlastníkovi konkrétne informácie o umiestnení a rozsahu energetického zariadenia a jeho ochrannom pásme, ktoré mu umožnia identifikovať zásah do jeho nehnuteľnosti a súvisiace obmedzenia jej užívania. Poskytnutie takto vymedzených informácií umožní jednotné plnenie zákonnej povinnosti bez potreby sprístupňovať celú dokumentáciu zariadenia alebo sústavy, ktorá môže obsahovať aj údaje nesúvisiace s nehnuteľnosťou žiadateľa, bezpečnostne citlivé údaje, obchodné tajomstvo alebo informácie týkajúce sa tretích osôb. Navrhované riešenie tak sleduje primerané zosúladenie informačných potrieb vlastníka s ochranou bezpečnosti a spoľahlivosti energetických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14-20, 22-23</w:t>
              <w:br/>
            </w:r>
            <w:r>
              <w:rPr>
                <w:b w:val="off"/>
                <w:color w:val="000000"/>
                <w:rFonts w:ascii="Times New Roman" w:hAnsi="Times New Roman" w:cs="Times New Roman" w:eastAsia="Times New Roman"/>
                <w:sz w:val="24"/>
              </w:rPr>
              <w:t>§ 14 až 20 a § 22 až 23 – Prokúra a obchodné meno</w:t>
              <w:br/>
            </w:r>
            <w:r>
              <w:rPr>
                <w:b w:val="off"/>
                <w:color w:val="000000"/>
                <w:rFonts w:ascii="Times New Roman" w:hAnsi="Times New Roman" w:cs="Times New Roman" w:eastAsia="Times New Roman"/>
                <w:sz w:val="24"/>
              </w:rPr>
              <w:t>Text pripomienky (vecná a nadväznostná):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8 sa navrhuje úplné vypustenie § 14 až § 20 (prokúra, konanie podnikateľa) a v bode 10 vypustenie § 22 a § 23 (konanie pri predaji podniku,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na rozpor s novelizačným bodom 36: V bode 36 sa v § 139 ods. 2 navrhuje doplniť: „ani prokurista“. Ak sa inštitút prokúry z Obchodného zákonníka kompletne vypúšťa a presúva do Občianskeho zákonníka, je nevyhnutné zabezpečiť terminologickú a vecnú prepojenosť tak, aby bolo zrejmé, či pojem „prokurista“ v § 139 ods. 2 odkazuje na príslušné ustanovenie Občianskeho zákonníka, alebo či má byť celá úprava obmedzení členov dozornej rady a prokuristov zosúladená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66 ods. 9</w:t>
              <w:br/>
            </w:r>
            <w:r>
              <w:rPr>
                <w:b w:val="off"/>
                <w:color w:val="000000"/>
                <w:rFonts w:ascii="Times New Roman" w:hAnsi="Times New Roman" w:cs="Times New Roman" w:eastAsia="Times New Roman"/>
                <w:sz w:val="24"/>
              </w:rPr>
              <w:t xml:space="preserve">- k bodu 18 a bodu 28 </w:t>
              <w:br/>
            </w:r>
            <w:r>
              <w:rPr>
                <w:b w:val="off"/>
                <w:color w:val="000000"/>
                <w:rFonts w:ascii="Times New Roman" w:hAnsi="Times New Roman" w:cs="Times New Roman" w:eastAsia="Times New Roman"/>
                <w:sz w:val="24"/>
              </w:rPr>
              <w:t>§ 66 ods. 9 a § 70 ods. 5 – Vylúčenie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(koncepčná):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ustanovenia znejú:</w:t>
              <w:br/>
            </w:r>
            <w:r>
              <w:rPr>
                <w:b w:val="off"/>
                <w:color w:val="000000"/>
                <w:rFonts w:ascii="Times New Roman" w:hAnsi="Times New Roman" w:cs="Times New Roman" w:eastAsia="Times New Roman"/>
                <w:sz w:val="24"/>
              </w:rPr>
              <w:t>§ 66 ods. 9: „Ustanovenia Občianskeho zákonníka o nedostatkoch rozhodnutí orgánov právnickej osoby sa nepoužijú na obchodné spoločnosti a družstvo.“</w:t>
              <w:br/>
            </w:r>
            <w:r>
              <w:rPr>
                <w:b w:val="off"/>
                <w:color w:val="000000"/>
                <w:rFonts w:ascii="Times New Roman" w:hAnsi="Times New Roman" w:cs="Times New Roman" w:eastAsia="Times New Roman"/>
                <w:sz w:val="24"/>
              </w:rPr>
              <w:t>§ 70 ods. 5: „Ustanovenia Občianskeho zákonníka o likvidácii právnickej osoby sa nepoužijú na obchodné spoločnosti a družstvo.“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legislatívnej techniky je takéto negatívne vymedzenie správne, pretože Obchodný zákonník má pre neplatnosť rozhodnutí orgánov (napr. § 131 pri s.r.o., § 183 pri a.s.) a likvidáciu (§ 70 až § 75l) vlastnú komplexnú úpravu.</w:t>
              <w:br/>
            </w:r>
            <w:r>
              <w:rPr>
                <w:b w:val="off"/>
                <w:color w:val="000000"/>
                <w:rFonts w:ascii="Times New Roman" w:hAnsi="Times New Roman" w:cs="Times New Roman" w:eastAsia="Times New Roman"/>
                <w:sz w:val="24"/>
              </w:rPr>
              <w:t>Je však nevyhnutné precizovať, či sa vylúčenie týka aj všeobecných procesných následkov neplatnosti (napr. absolútna vs. relatívna neplatnosť, zdanlivé právne úkony / ničotnosť – non-negotium), ktoré osobitná úprava Obchodného zákonníka výslovne nerieši a doteraz sa subsidiárne odvodzovali z občianskoprávneho základu.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70 ods. 5</w:t>
              <w:br/>
            </w:r>
            <w:r>
              <w:rPr>
                <w:b w:val="off"/>
                <w:color w:val="000000"/>
                <w:rFonts w:ascii="Times New Roman" w:hAnsi="Times New Roman" w:cs="Times New Roman" w:eastAsia="Times New Roman"/>
                <w:sz w:val="24"/>
              </w:rPr>
              <w:t xml:space="preserve">- k bodu 18 a bodu 28 </w:t>
              <w:br/>
            </w:r>
            <w:r>
              <w:rPr>
                <w:b w:val="off"/>
                <w:color w:val="000000"/>
                <w:rFonts w:ascii="Times New Roman" w:hAnsi="Times New Roman" w:cs="Times New Roman" w:eastAsia="Times New Roman"/>
                <w:sz w:val="24"/>
              </w:rPr>
              <w:t>§ 66 ods. 9 a § 70 ods. 5 – Vylúčenie Občianskeho zákonníka</w:t>
              <w:br/>
            </w:r>
            <w:r>
              <w:rPr>
                <w:b w:val="off"/>
                <w:color w:val="000000"/>
                <w:rFonts w:ascii="Times New Roman" w:hAnsi="Times New Roman" w:cs="Times New Roman" w:eastAsia="Times New Roman"/>
                <w:sz w:val="24"/>
              </w:rPr>
              <w:t>Text pripomienky (koncepčná):</w:t>
              <w:br/>
            </w:r>
            <w:r>
              <w:rPr>
                <w:b w:val="off"/>
                <w:color w:val="000000"/>
                <w:rFonts w:ascii="Times New Roman" w:hAnsi="Times New Roman" w:cs="Times New Roman" w:eastAsia="Times New Roman"/>
                <w:sz w:val="24"/>
              </w:rPr>
              <w:t>Navrhované ustanovenia znejú:</w:t>
              <w:br/>
            </w:r>
            <w:r>
              <w:rPr>
                <w:b w:val="off"/>
                <w:color w:val="000000"/>
                <w:rFonts w:ascii="Times New Roman" w:hAnsi="Times New Roman" w:cs="Times New Roman" w:eastAsia="Times New Roman"/>
                <w:sz w:val="24"/>
              </w:rPr>
              <w:t>§ 66 ods. 9: „Ustanovenia Občianskeho zákonníka o nedostatkoch rozhodnutí orgánov právnickej osoby sa nepoužijú na obchodné spoločnosti a družstvo.“</w:t>
              <w:br/>
            </w:r>
            <w:r>
              <w:rPr>
                <w:b w:val="off"/>
                <w:color w:val="000000"/>
                <w:rFonts w:ascii="Times New Roman" w:hAnsi="Times New Roman" w:cs="Times New Roman" w:eastAsia="Times New Roman"/>
                <w:sz w:val="24"/>
              </w:rPr>
              <w:t>§ 70 ods. 5: „Ustanovenia Občianskeho zákonníka o likvidácii právnickej osoby sa nepoužijú na obchodné spoločnosti a družstvo.“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legislatívnej techniky je takéto negatívne vymedzenie správne, pretože Obchodný zákonník má pre neplatnosť rozhodnutí orgánov (napr. § 131 pri s.r.o., § 183 pri a.s.) a likvidáciu (§ 70 až § 75l) vlastnú komplexnú úpravu.</w:t>
              <w:br/>
            </w:r>
            <w:r>
              <w:rPr>
                <w:b w:val="off"/>
                <w:color w:val="000000"/>
                <w:rFonts w:ascii="Times New Roman" w:hAnsi="Times New Roman" w:cs="Times New Roman" w:eastAsia="Times New Roman"/>
                <w:sz w:val="24"/>
              </w:rPr>
              <w:t>Je však nevyhnutné precizovať, či sa vylúčenie týka aj všeobecných procesných následkov neplatnosti (napr. absolútna vs. relatívna neplatnosť, zdanlivé právne úkony / ničotnosť – non-negotium), ktoré osobitná úprava Obchodného zákonníka výslovne nerieši a doteraz sa subsidiárne odvodzovali z občianskoprávneho základu.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67c ods. 2</w:t>
              <w:br/>
            </w:r>
            <w:r>
              <w:rPr>
                <w:b w:val="off"/>
                <w:color w:val="000000"/>
                <w:rFonts w:ascii="Times New Roman" w:hAnsi="Times New Roman" w:cs="Times New Roman" w:eastAsia="Times New Roman"/>
                <w:sz w:val="24"/>
              </w:rPr>
              <w:t>- k bodom 20 a 24  a k bodu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67c ods. 2 písm. b) a § 67j ods. 4 písm. a) – Spoločnosť v kríze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(vecná):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inštitúte spoločnosti v kríze sa pomer vlastného imania a záväzkov (krytie) mení zo „stotožnenia s pomerom 5“ (resp. 8) na „10“ (bod 20 a bod 24). Rovnako v bode 50 pri jednoduchej spoločnosti na akcie (§ 220ga ods. 4).</w:t>
              <w:br/>
            </w:r>
            <w:r>
              <w:rPr>
                <w:b w:val="off"/>
                <w:color w:val="000000"/>
                <w:rFonts w:ascii="Times New Roman" w:hAnsi="Times New Roman" w:cs="Times New Roman" w:eastAsia="Times New Roman"/>
                <w:sz w:val="24"/>
              </w:rPr>
              <w:t>Ide o výrazné sprísnenie/zmenu kritérií pre posudzovanie, kedy sa obchodná spoločnosť nachádza v kríze. K tejto zmene absentuje hlbšia ekonomická analýza dopadov na podnikateľské prostredie, preto žiadame v osobitnej časti dôvodovej správy detailne zdôvodniť zmenu tohto finančného ukazovateľa.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67j ods. 4</w:t>
              <w:br/>
            </w:r>
            <w:r>
              <w:rPr>
                <w:b w:val="off"/>
                <w:color w:val="000000"/>
                <w:rFonts w:ascii="Times New Roman" w:hAnsi="Times New Roman" w:cs="Times New Roman" w:eastAsia="Times New Roman"/>
                <w:sz w:val="24"/>
              </w:rPr>
              <w:t>- k bodom 20 a 24  a k bodu 50</w:t>
              <w:br/>
            </w:r>
            <w:r>
              <w:rPr>
                <w:b w:val="off"/>
                <w:color w:val="000000"/>
                <w:rFonts w:ascii="Times New Roman" w:hAnsi="Times New Roman" w:cs="Times New Roman" w:eastAsia="Times New Roman"/>
                <w:sz w:val="24"/>
              </w:rPr>
              <w:t>§ 67c ods. 2 písm. b) a § 67j ods. 4 písm. a) – Spoločnosť v kríze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(vecná):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inštitúte spoločnosti v kríze sa pomer vlastného imania a záväzkov (krytie) mení zo „stotožnenia s pomerom 5“ (resp. 8) na „10“ (bod 20 a bod 24). Rovnako v bode 50 pri jednoduchej spoločnosti na akcie (§ 220ga ods. 4).</w:t>
              <w:br/>
            </w:r>
            <w:r>
              <w:rPr>
                <w:b w:val="off"/>
                <w:color w:val="000000"/>
                <w:rFonts w:ascii="Times New Roman" w:hAnsi="Times New Roman" w:cs="Times New Roman" w:eastAsia="Times New Roman"/>
                <w:sz w:val="24"/>
              </w:rPr>
              <w:t>Ide o výrazné sprísnenie/zmenu kritérií pre posudzovanie, kedy sa obchodná spoločnosť nachádza v kríze. K tejto zmene absentuje hlbšia ekonomická analýza dopadov na podnikateľské prostredie, preto žiadame v osobitnej časti dôvodovej správy detailne zdôvodniť zmenu tohto finančného ukazovateľa.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113,119,120,161b,161</w:t>
              <w:br/>
            </w:r>
            <w:r>
              <w:rPr>
                <w:b w:val="off"/>
                <w:color w:val="000000"/>
                <w:rFonts w:ascii="Times New Roman" w:hAnsi="Times New Roman" w:cs="Times New Roman" w:eastAsia="Times New Roman"/>
                <w:sz w:val="24"/>
              </w:rPr>
              <w:t xml:space="preserve">-	k bodom 31, 32, 39 a 52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zrušenia spoločnosti súdom „a nariadiť jej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(zápisová a registrová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ustanoveniach § 113 ods. 6, § 119, § 120 ods. 4, § 161b ods. 2, § 161c ods. 2 a § 220i ods. 6 vypúšťa slová: „a nariadiť jej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zmena bezprostredne súvisí s procesmi na registrovom súde. Pokiaľ súd zrušuje spoločnosť rozhodnutím, musí byť z procesného hľadiska (v nadväznosti na zákon o obchodnom registri č. 29/2026 Z. z. a ZKR) jednoznačne určené, či zrušenie bez nariadenia likvidácie automaticky zakladá postup preverovania majetku súdom (dodatočná likvidácia / osvedčenie o neexistencii majetku), alebo či spoločnosť vstupuje do likvidácie priamo zo zákona dňom právoplatnosti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153 ods. 1</w:t>
              <w:br/>
            </w:r>
            <w:r>
              <w:rPr>
                <w:b w:val="off"/>
                <w:color w:val="000000"/>
                <w:rFonts w:ascii="Times New Roman" w:hAnsi="Times New Roman" w:cs="Times New Roman" w:eastAsia="Times New Roman"/>
                <w:sz w:val="24"/>
              </w:rPr>
              <w:t>-	k bodu 37</w:t>
              <w:br/>
            </w:r>
            <w:r>
              <w:rPr>
                <w:b w:val="off"/>
                <w:color w:val="000000"/>
                <w:rFonts w:ascii="Times New Roman" w:hAnsi="Times New Roman" w:cs="Times New Roman" w:eastAsia="Times New Roman"/>
                <w:sz w:val="24"/>
              </w:rPr>
              <w:t>§ 153 ods. 1 – Vypustenie podielu na zisku pri s.r.o.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37 sa navrhuje: „V § 153 sa vypúšťa odsek 1. Súčasne sa zrušuje označenie odseku 2.“</w:t>
              <w:br/>
            </w:r>
            <w:r>
              <w:rPr>
                <w:b w:val="off"/>
                <w:color w:val="000000"/>
                <w:rFonts w:ascii="Times New Roman" w:hAnsi="Times New Roman" w:cs="Times New Roman" w:eastAsia="Times New Roman"/>
                <w:sz w:val="24"/>
              </w:rPr>
              <w:t>Upozornenie: Ustanovenie § 153 ods. 1 Obchodného zákonníka upravuje základné majetkové právo spoločníka na podiel zo zisku (dividendu):</w:t>
              <w:br/>
            </w:r>
            <w:r>
              <w:rPr>
                <w:b w:val="off"/>
                <w:color w:val="000000"/>
                <w:rFonts w:ascii="Times New Roman" w:hAnsi="Times New Roman" w:cs="Times New Roman" w:eastAsia="Times New Roman"/>
                <w:sz w:val="24"/>
              </w:rPr>
              <w:t>(„Spoločníci majú nárok na podiel zo zisku v pomere zodpovedajúcom ich splateným vkladom...“). Odsek 2 pritom upravuje nárok na likvidačný zostatok.</w:t>
              <w:br/>
            </w:r>
            <w:r>
              <w:rPr>
                <w:b w:val="off"/>
                <w:color w:val="000000"/>
                <w:rFonts w:ascii="Times New Roman" w:hAnsi="Times New Roman" w:cs="Times New Roman" w:eastAsia="Times New Roman"/>
                <w:sz w:val="24"/>
              </w:rPr>
              <w:t>Vypustenie odseku 1 by znamenalo, že Obchodný zákonník by pri spoločnosti s ručením obmedzeným úplne stratil výslovné zákonné pravidlo o práve na podiel na zisku a spôsobe jeho určenia. Ak táto úprava nemá prejsť do iného ustanovenia (§ 123 ObZ), ide o závažnú koncepčnú chybu, ktorá by v praxi spôsobila právny chaos pri rozdeľovaní zisku v s.r.o. Ponechať § 153 ods. 1 v platnom znení, resp.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22</w:t>
              <w:br/>
            </w:r>
            <w:r>
              <w:rPr>
                <w:b w:val="off"/>
                <w:color w:val="000000"/>
                <w:rFonts w:ascii="Times New Roman" w:hAnsi="Times New Roman" w:cs="Times New Roman" w:eastAsia="Times New Roman"/>
                <w:sz w:val="24"/>
              </w:rPr>
              <w:t>K čl. V bod 2</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 22 z CSP nevypúšťať a zachovať kauzálnu príslušnosť  pre obchodnoprávne spory, ktorými  by  boli ( okrem pôvodných obchodnoprávnych  sporov v zmysle navrhovaných prechodných ustanovení)     korporátne spory a  spory z podnikania  v nasledovnom znení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22 vrátane nadpisu znie: </w:t>
              <w:br/>
            </w:r>
            <w:r>
              <w:rPr>
                <w:b w:val="off"/>
                <w:color w:val="000000"/>
                <w:rFonts w:ascii="Times New Roman" w:hAnsi="Times New Roman" w:cs="Times New Roman" w:eastAsia="Times New Roman"/>
                <w:sz w:val="24"/>
              </w:rPr>
              <w:t xml:space="preserve">                                                           „§ 22  </w:t>
              <w:br/>
            </w:r>
            <w:r>
              <w:rPr>
                <w:b w:val="off"/>
                <w:color w:val="000000"/>
                <w:rFonts w:ascii="Times New Roman" w:hAnsi="Times New Roman" w:cs="Times New Roman" w:eastAsia="Times New Roman"/>
                <w:sz w:val="24"/>
              </w:rPr>
              <w:t>Korporátne (firemné) spory a spory z podnikania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sporoch  </w:t>
              <w:br/>
            </w:r>
            <w:r>
              <w:rPr>
                <w:b w:val="off"/>
                <w:color w:val="000000"/>
                <w:rFonts w:ascii="Times New Roman" w:hAnsi="Times New Roman" w:cs="Times New Roman" w:eastAsia="Times New Roman"/>
                <w:sz w:val="24"/>
              </w:rPr>
              <w:t>1.	zo vzťahov medzi zakladateľmi obchodných spoločností, medzi spoločníkom a obchodnou spoločnosťou, ako aj medzi spoločníkmi navzájom, pokiaľ ide o vzťahy týkajúce sa účasti na spoločnosti, ako aj vzťahy zo zmlúv, ktorými sa prevádza podiel spoločníka, medzi štatutárnym orgánom alebo členom štatutárnych a dozorných orgánov spoločnosti a obchodnou spoločnosťou, ako aj vzťahy medzi spoločníkom a obchodnou spoločnosťou pri zariaďovaní záležitostí spoločnosti a záväzkové vzťahy medzi prokuristom a spoločnosťou pri výkone jeho poverenia</w:t>
              <w:br/>
            </w:r>
            <w:r>
              <w:rPr>
                <w:b w:val="off"/>
                <w:color w:val="000000"/>
                <w:rFonts w:ascii="Times New Roman" w:hAnsi="Times New Roman" w:cs="Times New Roman" w:eastAsia="Times New Roman"/>
                <w:sz w:val="24"/>
              </w:rPr>
              <w:t>2.	zo vzťahov medzi zakladateľmi družstva a medzi členom a družstvom, pokiaľ vyplývajú z členského vzťahu v družstve, ako aj zo zmlúv o prevode členských práv a povinností, záväzkové vzťahy medzi členom štatutárneho orgánu a kontrolným orgánom družstva a záväzkové vzťahy medzi prokuristom a družstvom pri výkone jeho poverenia</w:t>
              <w:br/>
            </w:r>
            <w:r>
              <w:rPr>
                <w:b w:val="off"/>
                <w:color w:val="000000"/>
                <w:rFonts w:ascii="Times New Roman" w:hAnsi="Times New Roman" w:cs="Times New Roman" w:eastAsia="Times New Roman"/>
                <w:sz w:val="24"/>
              </w:rPr>
              <w:t>3.	z premien obchodných spoločností a družstiev</w:t>
              <w:br/>
            </w:r>
            <w:r>
              <w:rPr>
                <w:b w:val="off"/>
                <w:color w:val="000000"/>
                <w:rFonts w:ascii="Times New Roman" w:hAnsi="Times New Roman" w:cs="Times New Roman" w:eastAsia="Times New Roman"/>
                <w:sz w:val="24"/>
              </w:rPr>
              <w:t>4.	z predaja a prenájmu podniku,</w:t>
              <w:br/>
            </w:r>
            <w:r>
              <w:rPr>
                <w:b w:val="off"/>
                <w:color w:val="000000"/>
                <w:rFonts w:ascii="Times New Roman" w:hAnsi="Times New Roman" w:cs="Times New Roman" w:eastAsia="Times New Roman"/>
                <w:sz w:val="24"/>
              </w:rPr>
              <w:t>5.	medzi podnikateľmi pri ich podnikateľskej činnosti a v sporoch medzi subjektami verejného práva pri zabezpečovaní verejných potrieb alebo vlastnej prevádzky a podnikateľmi pri ich podnikateľskej činnosti</w:t>
              <w:br/>
            </w:r>
            <w:r>
              <w:rPr>
                <w:b w:val="off"/>
                <w:color w:val="000000"/>
                <w:rFonts w:ascii="Times New Roman" w:hAnsi="Times New Roman" w:cs="Times New Roman" w:eastAsia="Times New Roman"/>
                <w:sz w:val="24"/>
              </w:rPr>
              <w:t xml:space="preserve">6.	z ochrany obchodného mena podnikateľa a obchodného tajomstva, ak nejde o spor z nekalosúťažného konania, kde je daná kauzálna  príslušnosť podľa § 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 na konanie príslušné</w:t>
              <w:br/>
            </w:r>
            <w:r>
              <w:rPr>
                <w:b w:val="off"/>
                <w:color w:val="000000"/>
                <w:rFonts w:ascii="Times New Roman" w:hAnsi="Times New Roman" w:cs="Times New Roman" w:eastAsia="Times New Roman"/>
                <w:sz w:val="24"/>
              </w:rPr>
              <w:t xml:space="preserve">a) Mestský súd Bratislava III pre obvod Krajského súdu v Bratislave, </w:t>
              <w:br/>
            </w:r>
            <w:r>
              <w:rPr>
                <w:b w:val="off"/>
                <w:color w:val="000000"/>
                <w:rFonts w:ascii="Times New Roman" w:hAnsi="Times New Roman" w:cs="Times New Roman" w:eastAsia="Times New Roman"/>
                <w:sz w:val="24"/>
              </w:rPr>
              <w:t xml:space="preserve">b) Mestský súd Košice pre obvod Krajského súdu v Košiciach, </w:t>
              <w:br/>
            </w:r>
            <w:r>
              <w:rPr>
                <w:b w:val="off"/>
                <w:color w:val="000000"/>
                <w:rFonts w:ascii="Times New Roman" w:hAnsi="Times New Roman" w:cs="Times New Roman" w:eastAsia="Times New Roman"/>
                <w:sz w:val="24"/>
              </w:rPr>
              <w:t xml:space="preserve">c) Okresný súd Banská Bystrica pre obvod Krajského súdu v Banskej Bystrici, </w:t>
              <w:br/>
            </w:r>
            <w:r>
              <w:rPr>
                <w:b w:val="off"/>
                <w:color w:val="000000"/>
                <w:rFonts w:ascii="Times New Roman" w:hAnsi="Times New Roman" w:cs="Times New Roman" w:eastAsia="Times New Roman"/>
                <w:sz w:val="24"/>
              </w:rPr>
              <w:t xml:space="preserve">d) Okresný súd Nitra pre obvod Krajského súdu v Nitre, </w:t>
              <w:br/>
            </w:r>
            <w:r>
              <w:rPr>
                <w:b w:val="off"/>
                <w:color w:val="000000"/>
                <w:rFonts w:ascii="Times New Roman" w:hAnsi="Times New Roman" w:cs="Times New Roman" w:eastAsia="Times New Roman"/>
                <w:sz w:val="24"/>
              </w:rPr>
              <w:t xml:space="preserve">e) Okresný súd Prešov pre obvod Krajského súdu v Prešove, </w:t>
              <w:br/>
            </w:r>
            <w:r>
              <w:rPr>
                <w:b w:val="off"/>
                <w:color w:val="000000"/>
                <w:rFonts w:ascii="Times New Roman" w:hAnsi="Times New Roman" w:cs="Times New Roman" w:eastAsia="Times New Roman"/>
                <w:sz w:val="24"/>
              </w:rPr>
              <w:t xml:space="preserve">f) Okresný súd Trenčín pre obvod Krajského súdu v Trenčíne, </w:t>
              <w:br/>
            </w:r>
            <w:r>
              <w:rPr>
                <w:b w:val="off"/>
                <w:color w:val="000000"/>
                <w:rFonts w:ascii="Times New Roman" w:hAnsi="Times New Roman" w:cs="Times New Roman" w:eastAsia="Times New Roman"/>
                <w:sz w:val="24"/>
              </w:rPr>
              <w:t xml:space="preserve">g) Okresný súd Trnava pre obvod Krajského súdu v Trnave, </w:t>
              <w:br/>
            </w:r>
            <w:r>
              <w:rPr>
                <w:b w:val="off"/>
                <w:color w:val="000000"/>
                <w:rFonts w:ascii="Times New Roman" w:hAnsi="Times New Roman" w:cs="Times New Roman" w:eastAsia="Times New Roman"/>
                <w:sz w:val="24"/>
              </w:rPr>
              <w:t xml:space="preserve">h) Okresný súd Žilina pre obvod Krajského súdu v Žiline.“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 § 22 </w:t>
              <w:br/>
            </w:r>
            <w:r>
              <w:rPr>
                <w:b w:val="off"/>
                <w:color w:val="000000"/>
                <w:rFonts w:ascii="Times New Roman" w:hAnsi="Times New Roman" w:cs="Times New Roman" w:eastAsia="Times New Roman"/>
                <w:sz w:val="24"/>
              </w:rPr>
              <w:t xml:space="preserve">Vypustenie CSP odôvodňuje dôvodová správa zrušením Obchodného zákonníka a zjednotením právnej úpravy prijatím nového Občianskeho zákonníka. Prijatím nového Občianskeho zákonníka však nebola dotknutá úprava obchodných spoločností a družstiev v Obchodnom zákonníku a nebola zrušená ani úprava o premenách obchodných spoločností a družstiev. Spory vznikajúce z týchto právnych vzťahov, t.j. medzi spoločnosťami a členmi obchodných spoločností a ich štatutárnymi orgánmi, alebo spory z premien obchodných spoločností riešili doteraz kauzálne príslušné okresné súdy podľa § 22 CSP a funkčne príslušné krajské súdy uvedené v § 34 CSP. Špecializácia súdov na obchodnoprávne spory prebiehala  dlhodobo a bola výsledkom personálneho zabezpečenia súdov vybavujúcich túto agendu, ako aj  čerpania značných finančných prostriedkov z plánu obnovy v súvislosti so súdnou mapou. </w:t>
              <w:br/>
            </w:r>
            <w:r>
              <w:rPr>
                <w:b w:val="off"/>
                <w:color w:val="000000"/>
                <w:rFonts w:ascii="Times New Roman" w:hAnsi="Times New Roman" w:cs="Times New Roman" w:eastAsia="Times New Roman"/>
                <w:sz w:val="24"/>
              </w:rPr>
              <w:t xml:space="preserve">Prijatie nového Občianskeho zákonníka nezakladá rozumný ekonomicky a ani procesný dôvod na to, aby takto vybudovaná špecializácia súdov v rámci firemných (korporátnych) vzťahov, ktorá právna úprava nebola dotknutá prijatím nového Občianskeho zákonníka, nebola naďalej kontinuálne využitá, a teda aby túto agendu aj naďalej nevybavovali tie okresné súdy a odvolacie súdy, ktoré boli na túto agendu špecializované a určené podľa kauzálnej príslušnosti v § 22 CSP a § 34 CSP. Korporátnej úprave systematicky zodpovedá aj problematika sporov z predaja podniku a nájmu podniku. Poukazujeme na to, že aj v zmysle § 9 českého OSŘ (z.č. 99/1963 Sb.) je zachovaná osobitná vecná príslušnosť v uvedených korporátnych veciach, a to napriek tomu, že aj v Českej republike nový Občiansky zákonník nahradil predchádzajúci Obchodný zákonník.  </w:t>
              <w:br/>
            </w:r>
            <w:r>
              <w:rPr>
                <w:b w:val="off"/>
                <w:color w:val="000000"/>
                <w:rFonts w:ascii="Times New Roman" w:hAnsi="Times New Roman" w:cs="Times New Roman" w:eastAsia="Times New Roman"/>
                <w:sz w:val="24"/>
              </w:rPr>
              <w:t>Zrušenie dualizmu záväzkového práva nie je zrušením obchodného práva. Nový Občiansky zákonník preberá úpravu obchodných záväzkových vzťahov a stáva sa všeobecnou úpravou záväzkov aj pre vzťahy medzi podnikateľmi. Obchodný zákonník však naďalej upravuje obchodné spoločnosti, družstvo a ďalšie otázky nielen korporátneho práva, pri ktorých sa osobitná obchodnoprávna úprava zachováva. Obchodné právo ako odvetvie práva, ako aj spory podnikateľov, teda existujú ďalej. Zmena miesta hmotnoprávnej úpravy nemení povahu, zložitosť a  ani hospodársky význam týchto sporov, a preto sama osebe nie je dôvodom na zmenu organizácie súdnictva. Poukazujeme aj na to, že hmotné obchodné záväzkové právo a dualizmus v záväzkovom práve s poukazom na  §  1889 ods. 3   Občianskeho zákonníka    neskončí dňom účinnosti nového kódexu, ale bude sa súdmi aplikovať ešte mnoho rokov. Ide najmä o dlhodobé zmluvy medzi podnikateľmi: rámcové a dodávateľské zmluvy, zmluvy o dielo pri veľkých stavbách, úverové a leasingové zmluvy, zmluvy o obchodnom zastúpení či zmluvy s plnením na desiatky rokov uzavreté podľa Obchodného zákonníka v znení účinnom do 30.júna 2027. Spory z nich budú vznikať aj dlho po roku 2027. Vypustenie § 22 CSP by tak viedlo k paradoxnému stavu. Hmotné právo pre tieto spory zostane nezmenené, no ich prejednanie sa presunie od súdov a sudcov, ktorí ho desaťročia aplikujú, na súdy bez tejto špecializácie. Súčasne budú súdy v prechodnom období súbežne aplikovať dva odlišné režimy záväzkového práva, čo zvyšuje nároky na odbornosť, nie naopak. Aj z pohľadu logiky predkladateľa je preto vypustenie kauzálnej príslušnosti predčasné, keďže dôvod, na ktorý sa odvoláva (zrušenie obchodných záväzkových vzťahov), sa v praxi naplní až o mnoho rokov. Zároveň zdôrazňujeme, že rozsah obchodnoprávnej agendy zostane v zásade rovnaký ako doteraz, preto nevzniknú nároky na prerozdelenie sudcov, spisov ani rozpočtových prostriedkov.</w:t>
              <w:br/>
            </w:r>
            <w:r>
              <w:rPr>
                <w:b w:val="off"/>
                <w:color w:val="000000"/>
                <w:rFonts w:ascii="Times New Roman" w:hAnsi="Times New Roman" w:cs="Times New Roman" w:eastAsia="Times New Roman"/>
                <w:sz w:val="24"/>
              </w:rPr>
              <w:t>Sústredenie obchodnej agendy na vybrané súdy je na Slovensku ustálené od zavedenia Obchodného zákonníka v roku 1991, kedy obchodnoprávne spory rozhodovali pôvodne v prvom stupni krajské súdy, neskôr bola obchodnoprávna agenda v prvom stupni rozdelená medzi krajské súdy (v sporoch do 1 000 000,- Sk) a okresné súdy a následne prešla v prvom stupni v celom rozsahu na okresné súdy. Pritom okresné súdy v sídle kraja sa dlhodobo špecializovali aj na agendu obchodného registra, konkurznú agendu a všetky spory súvisiace s týmto druhom konaní. Civilný sporový poriadok túto koncepciu prevzal v § 22 a reforma súdnej mapy ju s účinnosťou od 1. júna 2023 potvrdila, kedy došlo k vzniku špecializovaných obchodnoprávnych úsekov na ôsmich okresných, resp. mestských súdoch a k vyčleneniu troch krajských súdov ako súdov špecializujúcich sa na obchodnoprávnu agendu. Ide o viac ako tri desaťročia kontinuity, na ktorú je naviazaná personálna, organizačná aj priestorová štruktúra súdov. Vypustenie § 22 CSP by tento vývoj prerušilo bez vecnej analýzy dopadov; dôvodová správa takú analýzu neobsahuje. Zrušenie kauzálnej príslušnosti obchodnoprávnych súdov a rozptýlenie ich agendy medzi všetky okresné, resp. mestské a krajské súdy by znamenalo, že obchodné spory budú prideľované sudcom bez skúseností s touto agendou, často v kombinácii s inými agendami, čo povedie k predĺženiu konaní. Rýchlosť vymáhania nárokov medzi podnikateľmi je pritom priamym faktorom podnikateľského prostredia a hodnotení investičnej atraktivity Slovenska.</w:t>
              <w:br/>
            </w:r>
            <w:r>
              <w:rPr>
                <w:b w:val="off"/>
                <w:color w:val="000000"/>
                <w:rFonts w:ascii="Times New Roman" w:hAnsi="Times New Roman" w:cs="Times New Roman" w:eastAsia="Times New Roman"/>
                <w:sz w:val="24"/>
              </w:rPr>
              <w:t>Navrhujeme preto zachovať osobitnú kauzálnu príslušnosť v § 22 CSP, vrátane funkčnej príslušnosti troch odvolacích súdov v tejto agende podľa § 34 CSP, pretože v uvedenej problematike vymedzenej v navrhovanom znení § 22, t.j. v rámci firemných (korporátnych) sporov nie je dôvod rušiť doteraz vybudovanú špecializáciu v obchodnoprávnych sporoch .</w:t>
              <w:br/>
            </w:r>
            <w:r>
              <w:rPr>
                <w:b w:val="off"/>
                <w:color w:val="000000"/>
                <w:rFonts w:ascii="Times New Roman" w:hAnsi="Times New Roman" w:cs="Times New Roman" w:eastAsia="Times New Roman"/>
                <w:sz w:val="24"/>
              </w:rPr>
              <w:t xml:space="preserve">Vzhľadom k tomu, že uvedenej oblasti sa prijatie nového Občianskeho zákonníka nedotklo, nie je   racionálny dôvod rezignovať na existujúcu špecializáciu v týchto špecifických obchodných vzťahoch a nezachovať doterajšiu kontinuitu s prihliadnutím na finančné prostriedky vynaložené pri materiálnom a personálnom zabezpečení špecializácie súdov v súvislosti s realizáciou súdnej mapy. </w:t>
              <w:br/>
            </w:r>
            <w:r>
              <w:rPr>
                <w:b w:val="off"/>
                <w:color w:val="000000"/>
                <w:rFonts w:ascii="Times New Roman" w:hAnsi="Times New Roman" w:cs="Times New Roman" w:eastAsia="Times New Roman"/>
                <w:sz w:val="24"/>
              </w:rPr>
              <w:t>Zachovania kauzálnej príslušnosti v osobitných sporoch z podnikania je zachovanie kontinuity doteraz vybudovanej špecializácie súdov v rámci obchodnoprávnych vzťahov, ktorá je výsledkom implementácie súdnej mapy, vyčerpania značných finančných prostriedkov z plánu obnovy (Reforma justície) a personálneho obsadenia súdov vybavujúcich túto agendu.  Kauzálna Zjednotenie záväzkovo-právnej časti pre občianskoprávne a pre vzťahy medzi podnikateľmi nevylučuje, aby osobitné súdy, ktoré na túto agendu boli dlhodobo budované a špecializované, riešili spory medzi podnikateľmi pri ich podnikateľskej činnosti alebo so subjektami verejného práva zohľadňujúc tým osobitosti podnikateľských vzťahov, a to ich komplexnosť, zložitosť, rozsiahlosť, dynamiku a značnú hodnotu záväzkov prejednávaných v sporoch medzi podnikateľmi. Vymedzenie kauzálnej príslušnosti prostredníctvom subjektov (podnikateľov a subjektov verejného práva) nevyvoláva zásadnú kolíznu situáciu, vzhľadom na doterajší vývoj judikatúry pri riešení kauzálnej príslušnosti. Prijatím navrhovanej zmeny by došlo k zachovaniu kontinuity a využitiu špecializácie súdov zavedenej v rámci novej súdnej mapy, vrátane personálneho a materiálneho zabezpečenia a vynaložených finančných prostriedkov pri budovaní špecializácie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34 ods. 2 Čl. V § 34 ods. 2</w:t>
              <w:br/>
            </w:r>
            <w:r>
              <w:rPr>
                <w:b w:val="off"/>
                <w:color w:val="000000"/>
                <w:rFonts w:ascii="Times New Roman" w:hAnsi="Times New Roman" w:cs="Times New Roman" w:eastAsia="Times New Roman"/>
                <w:sz w:val="24"/>
              </w:rPr>
              <w:t>K  čl. V  bod  3., 4. a 5.</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3. ,4. a 5.  z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navrhovaným zachovaním kauzálnej príslušnosti v korporátnych sporoch a sporoch z podnikania, navrhujeme, aby sa upustilo od zmeny  § 34 ods. 2 spočívajúcej vo vypustení  § 22 písm. f/ a h/;  d/a g/, ako aj  písm. e/ ( jednotlivo podľa navrhovaných bodov 3.,4.,5.)  z    § 34 ods. 2 písm.  a/, b/ a c/ CSP.   Zachová sa tak aj špecializácia  a funkčná príslušnosť  3 krajských – odvolacích súdov zavedená novou súdnou mapou  pre obchodnoprávne spory, ktorá prispieva k právnej istote, zjednocovaniu judikatúry, hospodárnosti a rýchlosti konania vo vzťahoch medzi podnikateľmi a korporátnych sporoch, i v sporoch zo vzťahov podľa Obchodného zákonníka v znení účinnom do nadobudnutia účinnosti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471f Čl. V § 471f Čl. V § 471f</w:t>
              <w:br/>
            </w:r>
            <w:r>
              <w:rPr>
                <w:b w:val="off"/>
                <w:color w:val="000000"/>
                <w:rFonts w:ascii="Times New Roman" w:hAnsi="Times New Roman" w:cs="Times New Roman" w:eastAsia="Times New Roman"/>
                <w:sz w:val="24"/>
              </w:rPr>
              <w:t>K čl. V  bod 30.  ( CSP)</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znenie § 471f , ktoré sa čísluje ako „ods. 1“,   vložením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2. V sporoch z právnych  vzťahov vzniknutých do 30. júna 2027 a  o právach a povinnostiach  z nich vyplývajúcich, vrátane práv a povinností z porušenia zmlúv uzavretých do 30. júna 2027, ktoré sa spravujú  Obchodným zákonníkom v znení účinnom do 30. júna 2027 (obchodné spory) sa príslušnosť súdov riadi podľa predpisov účinných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odsek 1 navrhovaného § 471f CSP rieši dokončenie už začatých obchodnopávnych sporov, navrhované znenie § 471f ods. 2 rieši príslušnosť v obchodnoprávnych sporoch k vzniku ktorých dôjde podaním žaloby na súd po strate účinnosti niektorých častí  Obchodného zákonníka,  avšak zo vzťahov, ktoré vznikli podľa Obchodného zákonníka. Navrhované znenie § 471f ods. 2 CSP vychádza z kontinuity zachovania vybavovania tejto špecializovanej obchodnoprávnej  agendy na to špecializovanými súdmi, bez toho aby boli zaťažované týmito spormi iné súdy, ktoré takúto špecializovanú agendu nevybavovali.</w:t>
              <w:br/>
            </w:r>
            <w:r>
              <w:rPr>
                <w:b w:val="off"/>
                <w:color w:val="000000"/>
                <w:rFonts w:ascii="Times New Roman" w:hAnsi="Times New Roman" w:cs="Times New Roman" w:eastAsia="Times New Roman"/>
                <w:sz w:val="24"/>
              </w:rPr>
              <w:t xml:space="preserve">    Vzhľadom na existenciu tisícov obchodnoprávnych vzťahov vzniknutých podľa Obchodného zákonníka, z ktorých ešte neboli uplatnené nároky na súde, je objektívny predpoklad existencie tisícov sporov vzniknutých podľa Obchodného zákonníka. Aj po strate  účinnosti Obchodného zákonníka, vzhľadom na roky budovanú špecializáciu konkrétnych súdov v obchodných sporoch, nie je žiaden racionálny, ekonomický a ani procesný dôvod na to, aby tieto spory neprejednávali (nedokončili) súdy vecne, kauzálne, miestne a funkčne príslušné, ktoré boli podľa doterajšej úpravy špecializované na vybavenie obchodnoprávnej agendy, resp. alternatívne  podľa nami navrhovaného nového znenia § 22 CSP. Navrhovaným znením § 471f ods. 2 CSP sa zachová kontinuita pri vybavovaní obchodnoprávnych sporov aj v súlade so zásadou uvedenou v pôvodnom navrhovanom znení § 471f CSP a táto agenda nebude zaťažovať súdy, ktoré na vybavovanie tejto agendy špecializované neboli.</w:t>
              <w:br/>
            </w:r>
            <w:r>
              <w:rPr>
                <w:b w:val="off"/>
                <w:color w:val="000000"/>
                <w:rFonts w:ascii="Times New Roman" w:hAnsi="Times New Roman" w:cs="Times New Roman" w:eastAsia="Times New Roman"/>
                <w:sz w:val="24"/>
              </w:rPr>
              <w:t>Osobitne poukazujeme na prechodné ustanovenia k novému Občianskemu zákonníku,  napr. na § 1893 ods. 3, podľa ktorého,  ak nie je ustanovené inak, spravujú sa iné právne vzťahy (okrem osobných, rodinných a vecných) vzniknuté pred účinnosťou Občianskeho zákonníka ia práva a povinnosti z nich vyplývajúce, vrátane práv a povinností z porušenia zmlúv uzavretých pred účinnosťou tohto zákona, doterajšími predpismi. Obchodné záväzkové vzťahy založené do dňa účinnosti nového Občianskeho zákonníka sa teda budú naďalej spravovať treťou časťou Obchodného zákonníka. Spory z nich budú vznikať aj dlho po roku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305</w:t>
              <w:br/>
            </w:r>
            <w:r>
              <w:rPr>
                <w:b w:val="off"/>
                <w:color w:val="000000"/>
                <w:rFonts w:ascii="Times New Roman" w:hAnsi="Times New Roman" w:cs="Times New Roman" w:eastAsia="Times New Roman"/>
                <w:sz w:val="24"/>
              </w:rPr>
              <w:t>V čl. VI bod 45   - týkajúci sa § 305 CMP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ods. 2 § 305  CMP sa prečísluje  ako ods. 3  a  § 305 sa dopĺňa o nový ods.  2  v tomto znení:</w:t>
              <w:br/>
            </w:r>
            <w:r>
              <w:rPr>
                <w:b w:val="off"/>
                <w:color w:val="000000"/>
                <w:rFonts w:ascii="Times New Roman" w:hAnsi="Times New Roman" w:cs="Times New Roman" w:eastAsia="Times New Roman"/>
                <w:sz w:val="24"/>
              </w:rPr>
              <w:t xml:space="preserve">„§ 305 ods. 2 </w:t>
              <w:br/>
            </w:r>
            <w:r>
              <w:rPr>
                <w:b w:val="off"/>
                <w:color w:val="000000"/>
                <w:rFonts w:ascii="Times New Roman" w:hAnsi="Times New Roman" w:cs="Times New Roman" w:eastAsia="Times New Roman"/>
                <w:sz w:val="24"/>
              </w:rPr>
              <w:t xml:space="preserve">(2) Na konanie o odvolaní v konaniach podľa piatej hlavy druhej časti tohto zákona  je príslušný: </w:t>
              <w:br/>
            </w:r>
            <w:r>
              <w:rPr>
                <w:b w:val="off"/>
                <w:color w:val="000000"/>
                <w:rFonts w:ascii="Times New Roman" w:hAnsi="Times New Roman" w:cs="Times New Roman" w:eastAsia="Times New Roman"/>
                <w:sz w:val="24"/>
              </w:rPr>
              <w:t>a)	Krajský súd v Bratislave, ak odvolanie smeruje proti rozhodnutiu Mestského súdu Bratislava III, Okresného súdu Trnava a Okresného súdu Nitra,</w:t>
              <w:br/>
            </w:r>
            <w:r>
              <w:rPr>
                <w:b w:val="off"/>
                <w:color w:val="000000"/>
                <w:rFonts w:ascii="Times New Roman" w:hAnsi="Times New Roman" w:cs="Times New Roman" w:eastAsia="Times New Roman"/>
                <w:sz w:val="24"/>
              </w:rPr>
              <w:t>b)	Krajský súd v Banskej Bystrici, ak odvolanie smeruje proti rozhodnutiu Okresného súdu  Banská Bystrica, Okresného súdu Trenčín a Okresného súdu Žilina,</w:t>
              <w:br/>
            </w:r>
            <w:r>
              <w:rPr>
                <w:b w:val="off"/>
                <w:color w:val="000000"/>
                <w:rFonts w:ascii="Times New Roman" w:hAnsi="Times New Roman" w:cs="Times New Roman" w:eastAsia="Times New Roman"/>
                <w:sz w:val="24"/>
              </w:rPr>
              <w:t>c)	Krajský súd v Košiciach, ak odvolanie smeruje proti rozhodnutiu Mestského súdu Košice.</w:t>
              <w:br/>
            </w:r>
            <w:r>
              <w:rPr>
                <w:b w:val="off"/>
                <w:color w:val="000000"/>
                <w:rFonts w:ascii="Times New Roman" w:hAnsi="Times New Roman" w:cs="Times New Roman" w:eastAsia="Times New Roman"/>
                <w:sz w:val="24"/>
              </w:rPr>
              <w:t>- zároveň bude príslušnosť  v odvolacej agende v konaniach obchodného registra upravená v novom bode 9 v čl. CCXXIX týkajúceho sa zmien a doplnení  zákona o obchodnom registri  ako uvádzame v pripomienke k čl. CCXXIX  a súčasne  sa vypustí   § 3 ods. 6 CMP.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druhej alternatíve riešenia úpravy príslušnosti  na rozhodovanie o odvolaniach v niektorých veciach právnických osôb  a v konaniach obchodného registra navrhujeme, aby sa príslušnosť v odvolacej agende obchodného registra upravila do zákona o obchodnom registri (v znení ako navrhujeme v pripomienke k čl. CCXXIX) a zároveň by sa upravila príslušnosť pre rozhodovanie o odvolaní v konaniach v niektorých veciach právnických osôb, a to zmenou znenia  § 3 ods. 6 CMP, ktorý ods. 6 by znel:</w:t>
              <w:br/>
            </w:r>
            <w:r>
              <w:rPr>
                <w:b w:val="off"/>
                <w:color w:val="000000"/>
                <w:rFonts w:ascii="Times New Roman" w:hAnsi="Times New Roman" w:cs="Times New Roman" w:eastAsia="Times New Roman"/>
                <w:sz w:val="24"/>
              </w:rPr>
              <w:t xml:space="preserve">(6)  Na konanie o odvolaní v konaniach  podľa piatej hlavy druhej časti tohto zákona   je príslušný: </w:t>
              <w:br/>
            </w:r>
            <w:r>
              <w:rPr>
                <w:b w:val="off"/>
                <w:color w:val="000000"/>
                <w:rFonts w:ascii="Times New Roman" w:hAnsi="Times New Roman" w:cs="Times New Roman" w:eastAsia="Times New Roman"/>
                <w:sz w:val="24"/>
              </w:rPr>
              <w:t>a)	Krajský súd v Bratislave, ak odvolanie smeruje proti rozhodnutiu Mestského súdu Bratislava III, Okresného súdu Trnava a Okresného súdu Nitra,</w:t>
              <w:br/>
            </w:r>
            <w:r>
              <w:rPr>
                <w:b w:val="off"/>
                <w:color w:val="000000"/>
                <w:rFonts w:ascii="Times New Roman" w:hAnsi="Times New Roman" w:cs="Times New Roman" w:eastAsia="Times New Roman"/>
                <w:sz w:val="24"/>
              </w:rPr>
              <w:t>b)	Krajský súd v Banskej Bystrici, ak odvolanie smeruje proti rozhodnutiu Okresného súdu  Banská Bystrica, Okresného súdu Trenčín a Okresného súdu Žilina,</w:t>
              <w:br/>
            </w:r>
            <w:r>
              <w:rPr>
                <w:b w:val="off"/>
                <w:color w:val="000000"/>
                <w:rFonts w:ascii="Times New Roman" w:hAnsi="Times New Roman" w:cs="Times New Roman" w:eastAsia="Times New Roman"/>
                <w:sz w:val="24"/>
              </w:rPr>
              <w:t>c)	Krajský súd v Košiciach, ak odvolanie smeruje proti rozhodnutiu Mestského súdu Košice.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tretej alternatíve riešenia príslušnosti v odvolacej agende v sporoch podľa piatej hlavy druhej časti CMP  a v konaniach obchodného registra navrhujeme zmeniť § 3 ods. 6 CMP, ktorý bude znieť:</w:t>
              <w:br/>
            </w:r>
            <w:r>
              <w:rPr>
                <w:b w:val="off"/>
                <w:color w:val="000000"/>
                <w:rFonts w:ascii="Times New Roman" w:hAnsi="Times New Roman" w:cs="Times New Roman" w:eastAsia="Times New Roman"/>
                <w:sz w:val="24"/>
              </w:rPr>
              <w:t xml:space="preserve">Na konanie o odvolaní v konaniach podľa piatej hlavy druhej časti tohto zákona  a vo veciach obchodného registra podľa osobitného zákona  je príslušný: </w:t>
              <w:br/>
            </w:r>
            <w:r>
              <w:rPr>
                <w:b w:val="off"/>
                <w:color w:val="000000"/>
                <w:rFonts w:ascii="Times New Roman" w:hAnsi="Times New Roman" w:cs="Times New Roman" w:eastAsia="Times New Roman"/>
                <w:sz w:val="24"/>
              </w:rPr>
              <w:t>a)	Krajský súd v Bratislave, ak odvolanie smeruje proti rozhodnutiu Mestského súdu Bratislava III, Okresného súdu Trnava a Okresného súdu Nitra,</w:t>
              <w:br/>
            </w:r>
            <w:r>
              <w:rPr>
                <w:b w:val="off"/>
                <w:color w:val="000000"/>
                <w:rFonts w:ascii="Times New Roman" w:hAnsi="Times New Roman" w:cs="Times New Roman" w:eastAsia="Times New Roman"/>
                <w:sz w:val="24"/>
              </w:rPr>
              <w:t>b)	Krajský súd v Banskej Bystrici, ak odvolanie smeruje proti rozhodnutiu Okresného súdu  Banská Bystrica, Okresného súdu Trenčín a Okresného súdu Žilina,</w:t>
              <w:br/>
            </w:r>
            <w:r>
              <w:rPr>
                <w:b w:val="off"/>
                <w:color w:val="000000"/>
                <w:rFonts w:ascii="Times New Roman" w:hAnsi="Times New Roman" w:cs="Times New Roman" w:eastAsia="Times New Roman"/>
                <w:sz w:val="24"/>
              </w:rPr>
              <w:t>c)	Krajský súd v Košiciach, ak odvolanie smeruje proti rozhodnutiu Mestského súdu Košice.</w:t>
              <w:br/>
            </w:r>
            <w:r>
              <w:rPr>
                <w:b w:val="off"/>
                <w:color w:val="000000"/>
                <w:rFonts w:ascii="Times New Roman" w:hAnsi="Times New Roman" w:cs="Times New Roman" w:eastAsia="Times New Roman"/>
                <w:sz w:val="24"/>
              </w:rPr>
              <w:t>- v tejto alternatíve by sa nový ods. 2 do § 305 nedopĺňal a nedopĺňala by sa  ani úprava príslušnosti  krajských súdov na rozhodovanie o odvolaniach v registrových veciach do zákona o obchodnom registri , ale došlo by pre obe príslušnosti k zmene úpravy § 3 ods. 6 CMP. Zároveň by sa doplnila poznámka k osobitnému zákonu – odkazom na z.č. 29/2026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absenciu explicitnej úpravy o funkčnej príslušnosti odvolacích súdov v konaniach obchodného registra  a v záujme zachovania doterajšej špecializácie odvolacích súdov sa navrhuje doplniť navrhovaný text o § 305 ods. 2 CMP s jednoznačným určením funkčnej príslušnosti odvolacích súdov pri rozhodovaní o odvolaniach proti rozhodnutiam vydaných v konaniach v niektorých veciach  právnických osôb. Zároveň sa navrhuje doplniť CMP   (alternatívne zákon o obchodnom registri) o príslušnosť súdov na konanie o odvolaní vo veciach obchodného registra.</w:t>
              <w:br/>
            </w:r>
            <w:r>
              <w:rPr>
                <w:b w:val="off"/>
                <w:color w:val="000000"/>
                <w:rFonts w:ascii="Times New Roman" w:hAnsi="Times New Roman" w:cs="Times New Roman" w:eastAsia="Times New Roman"/>
                <w:sz w:val="24"/>
              </w:rPr>
              <w:t xml:space="preserve"> Nadobudnutím účinnosti zákona o obchodnom registri totiž nie je upravená príslušnosť krajských súdov na rozhodovanie o odvolaniach v konaniach obchodného registra, pretože aktuálna úprava uvedená v § 3 ods. 6 CMP tým, že štvrtá hlava v druhej časti CMP po účinnosti zákona o obchodnom registri (z.č. 29/2026 Z.z.) zostala vyprázdnená, túto príslušnosť už neupravuje. Preto  je potrebné príslušnosť  3 krajských súdov  na rozhodovanie o odvolaniach v konaniach obchodného registra – upraviť, pričom ponúkame 3 alternatívy riešení: doplnením nového odseku 2 do § 305, so súčasným doplnením zákona o obchodnom registri a vypustením § 3 ods. 6, alebo doplnením zákona o obchodnom registri  spolu so zmenou znenia § 3 ods. 6 CMP  alebo len úpravou znenia § 3 ods. 6 CMP ( bez doplnenia § 305 ods. 2 a zákona o obchodnom registri podľa pripomienky v CCXXIX)  </w:t>
              <w:br/>
            </w:r>
            <w:r>
              <w:rPr>
                <w:b w:val="off"/>
                <w:color w:val="000000"/>
                <w:rFonts w:ascii="Times New Roman" w:hAnsi="Times New Roman" w:cs="Times New Roman" w:eastAsia="Times New Roman"/>
                <w:sz w:val="24"/>
              </w:rPr>
              <w:t>Rovnako treba zjednotiť pojmy uvedené v § 3 ods. 6 CMP  a v novom znení § 305 ods. 1 CMP- "okresný súd so sídlom v obvode krajského súdu"   s pojmom "okresný súd v sídle krajského súdu". Navrhované sú alternatívne riešenia zrejme najvhodnejším by bola úprava § 3  ods. 6  CMP  a terminologické  zosúladenie pojmu okresného súdu so sídlom v obvode KS   s pojmom okresný súd v sídle krajského súdu, resp. registrový súd v novom znení § 305 CMP a § 3 ods. 6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305 ods. 1</w:t>
              <w:br/>
            </w:r>
            <w:r>
              <w:rPr>
                <w:b w:val="off"/>
                <w:color w:val="000000"/>
                <w:rFonts w:ascii="Times New Roman" w:hAnsi="Times New Roman" w:cs="Times New Roman" w:eastAsia="Times New Roman"/>
                <w:sz w:val="24"/>
              </w:rPr>
              <w:t>Cl. VI bod 45 – týkajúci sa § 305 ods. 1 CMP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305  ods. 1 CMP  -  kauzálna príslušnosť v konaniach vo veciach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ustanovenie § 305 ods. 1 CMP s právnou úpravou kauzálnej príslušnosti a terminológiou zákona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pojmu „okresný súd v sídle krajského súdu“ v § 305 ods. 1 CMP môže vyvolávať interpretačné nejasnosti v kontexte aktuálnej organizácie súdnictva a osobitného rozdelenia registrovej agendy. Súčasné používanie pojmov „okresný súd v sídle krajského súdu“ a „registrový súd“ v súvisiacich ustanoveniach môže viesť k pochybnostiam o určení príslušného súdu. CMP používa ( zrejme nie celkom správne ) v § 3 ods. 6 , pojem "okresný súd  so sídlom v obvode krajského súdu" ( čo nie je len registrový súd, ale aj iné okresné súdy v obvode KS), čo by bolo potrebné zosúladiť s aktuálnou úpravou zákona o obchodnom registri č. 29/2026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Terminologicky a vecne zosúladiť § 305 ods. 1 CMP, resp.  aj § 3 ods.6 CMP s právnou úpravou obchodného registra tak, aby bola príslušnosť súdu jednoznačná a nevznikali pochybnosti o rozdelení kompetencií.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309h ods. 5</w:t>
              <w:br/>
            </w:r>
            <w:r>
              <w:rPr>
                <w:b w:val="off"/>
                <w:color w:val="000000"/>
                <w:rFonts w:ascii="Times New Roman" w:hAnsi="Times New Roman" w:cs="Times New Roman" w:eastAsia="Times New Roman"/>
                <w:sz w:val="24"/>
              </w:rPr>
              <w:t>-	Text pripomienky (zásadná vecná pripomienka):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doplniť právnu úpravu doručovania rozhodnutia o výmaze obchodnej spoločnosti tak, aby bol jednoznačne určený okamih jeho účinkov vo vzťahu k výmazu spoločnosti z obchodného registra a aby bola zabezpečená informovanosť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podľa ktorej sa rozhodnutie doručuje iba uložením v spise a nie je proti nemu prípustné odvolanie, nerieši dostatočne informovanie veriteľov, spoločníkov a ďalších dotknutých osôb o výmaze spoločnosti. Zároveň je potrebné jednoznačne upraviť nadväznosť rozhodnutia súdu na technické vykonanie výmazu v obchodnom registri a určiť okamih, ku ktorému nastávajú účinky zániku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povinnosť zverejniť oznámenie o právoplatnosti rozhodnutia v Obchodnom vestníku alebo jednoznačne naviazať účinky zániku spoločnosti na vykonanie výmazu z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309f</w:t>
              <w:br/>
            </w:r>
            <w:r>
              <w:rPr>
                <w:b w:val="off"/>
                <w:color w:val="000000"/>
                <w:rFonts w:ascii="Times New Roman" w:hAnsi="Times New Roman" w:cs="Times New Roman" w:eastAsia="Times New Roman"/>
                <w:sz w:val="24"/>
              </w:rPr>
              <w:t>§ 309f CMP automatizované začatie konania o zrušení obchodnej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automatizovaného začatia konania o zrušení obchodnej spoločnosti o mechanizmus nápravy nesprávneho zápisu poznámky do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Automatizované spracúvanie údajov z obchodného registra a ďalších referenčných registrov môže viesť k nesprávnemu vyhodnoteniu zákonných dôvodov na začatie konania, najmä v dôsledku neaktuálnych, neúplných alebo chybných údajov. Navrhovaná úprava by preto mala výslovne upraviť postup pri zistení, že poznámka o začatí konania bola zapísaná v dôsledku technickej alebo dátovej chyby.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oprávnenie registrového súdu bezodkladne z úradnej moci odstrániť nesprávne zapísanú poznámku a upraviť procesný postup pri náprave takéhoto pochybenia.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304</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 304 písm. g) CMP tak, aby zahŕňal aj konania týkajúce sa poverenia na zvolanie valného zhromaždenia spoločnosti s ručením obmedzeným.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Obchodný zákonník priznáva za zákonom ustanovených podmienok spoločníkom spoločnosti s ručením obmedzeným právo domáhať sa poverenia na zvolanie valného zhromaždenia. Ak § 304 písm. g) CMP výslovne upravuje iba poverenie na zvolanie mimoriadneho valného zhromaždenia akciovej spoločnosti, vzniká pochybnosť o procesnom režime uplatnenia uvedeného práva spoločníkov spoločnosti s ručením obmedzeným.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Upraviť § 304 písm. g) CMP tak, aby sa vzťahoval aj na spoločnosti s ručením obmedzeným a zabezpečoval jednoznačný procesný rámec na uplatnenie práv ich spoločníkov.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309s</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právnu úpravu následkov nezloženia preddavku na dodatočnú likvidáciu a doplniť riešenie situácií, v ktorých po zastavení konania zostane majetok evidovaný na zaniknutú obchodnú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dôjsť k zisteniu majetku obchodnej spoločnosti až po jej výmaze z obchodného registra, pričom hodnota dodatočne zisteného majetku nemusí dosahovať výšku požadovaného preddavku na dodatočnú likvidáciu. Zastavenie konania z dôvodu nezloženia preddavku však samo osebe nerieši právny osud takéhoto majetku, napríklad nehnuteľností naďalej evidovaných v katastri nehnuteľností na zaniknutú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právnu úpravu o jednoznačný postup pri nakladaní s dodatočne zisteným majetkom v prípadoch, keď sa dodatočná likvidácia nevykoná, a zosúladiť ju s právnou úpravou prechodu majetku na štát, ak sú na takýto prechod splnené zákonné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309m</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 309m CMP s právnou úpravou obchodného registra, pokiaľ ide o zápis rozhodnutia o neplatnosti obchodnej spoločnosti a jeho právne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o neplatnosti obchodnej spoločnosti má podľa príslušnej hmotnoprávnej úpravy dôsledky, ktoré treba premietnuť do údajov zapisovaných v obchodnom registri. Ak procesná úprava ukladá súdu povinnosť bezodkladne zapísať rozhodnutie o neplatnosti spoločnosti, je potrebné jednoznačne určiť, akým spôsobom sa táto skutočnosť premietne do registrových údajov a ako sa zabezpečí súlad s právnym režimom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Doplniť § 309m CMP tak, aby jednoznačne upravoval nadväznosť zápisu rozhodnutia o neplatnosti obchodnej spoločnosti na zápis súvisiacich právnych skutočností, najmä vstupu do likvidácie a prípadného ustanovenia likvidátora, v súlade s právnou úpravou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XCV § 15 ods. 1</w:t>
              <w:br/>
            </w:r>
            <w:r>
              <w:rPr>
                <w:b w:val="off"/>
                <w:color w:val="000000"/>
                <w:rFonts w:ascii="Times New Roman" w:hAnsi="Times New Roman" w:cs="Times New Roman" w:eastAsia="Times New Roman"/>
                <w:sz w:val="24"/>
              </w:rPr>
              <w:t>K čl. XCV body 1. a 2.</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sa vypúšťa a bod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Bodmi 1. a 2. má dôjsť k zrušeniu obchodnoprávnych grémií a kolégií. Navrhované zmeny predstavujú zásadný zásah do prejednávania a rozhodovania súdov v sporoch obchodnoprávnej povahy, ako aj do organizačnej štruktúry vo vnútri dotknutých súdov a vo svojom dôsledku znamenajú zánik obchodnoprávnych úsekov na súdoch napriek tomu, že spory obchodnoprávnej povahy budú existovať naďalej (dokonca sa bude na mnohé  aplikovať aj právna úprava Obchodného zákonníka v znení pred účinnosťou nového Občianskeho zákonníka). Obchodné právo netvoria len obchodné zmluvy, ale ide o komplexné právne odvetvie so samostatným statusovým, korporátnym a hospodárskym rozmerom, ktoré si vyžaduje osobitnú špecializáciu a súdnu prax. Vzhľadom na špecifiká, odlišnosti, komplexnosť a odbornosť obchodnoprávnej agendy týmto navrhujeme zachovať doterajší stav v obchodnoprávnej agende, t. j. zachovanie kauzálnej príslušnosti súdov v obchodnoprávnych sporoch a zachovanie obchodnoprávnych grémií a kolégií, resp. prípadné zachovanie grémií a kolégií aj pri zrušení kauzálnej príslušnosti v obchodnoprávnych sporoch, avšak pri zachovaní a jasnom vymedzení registra „Cb“ a „Cob“ (v Spravovacom poriadku pre okresné, krajské a špecializovaný trestný súd), do ktorých sa zapisujú konania obchodnoprávnej povahy. Aj po úplnom  presune zmluvného práva do nového civilného kódexu (avšak pri zachovaní niektorých špecifík pre podnikateľov) zostáva zachovaná takmer celá oblasť korporátneho práva (právo obchodných spoločností a družstiev), zahŕňajúca zakladanie, vznik, zmeny a zánik obchodných spoločností, zodpovednosť členov štatutárnych a dozorných orgánov, spory o neplatnosť uznesení valných zhromaždení a dispozície s obchodnými podielmi. Do obchodnej agendy  patria  aj ďalšie vysoko špecializované oblasti ako konkurzné a reštrukturalizačné právo, právo cenných papierov a finančných trhov, právo priemyselného vlastníctva súvisiace s podnikaním a agenda obchodného registra. Preto aj  špecializované obchodné kolégia  zabezpečujú nevyhnutnú mieru predvídateľnosti, jednotnosti a odbornosti súdnych rozhodnutí .</w:t>
              <w:br/>
            </w:r>
            <w:r>
              <w:rPr>
                <w:b w:val="off"/>
                <w:color w:val="000000"/>
                <w:rFonts w:ascii="Times New Roman" w:hAnsi="Times New Roman" w:cs="Times New Roman" w:eastAsia="Times New Roman"/>
                <w:sz w:val="24"/>
              </w:rPr>
              <w:t>Zachovaním špecializovaných obchodnoprávnych kolégií a grémií sa dosiahne ochrana inštitucionálnej a personálnej špecializácie súdov, zachovanie mechanizmov na zjednocovania judikatúry aj naďalej v špecifických vzťahoch medzi podnikateľmi a v korporátnych veciach. Bude tak zaručené, že  výklad špecifických obchodnoprávnych inštitútov (korporátne právo, cenné papiere, hospodárska súťaž, nekalá súťaž atd) bude zjednocovaný odbornými panelmi so znalosťou zvyklostí a medzinárodného obchodného styku.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XCV § 17 ods. 1</w:t>
              <w:br/>
            </w:r>
            <w:r>
              <w:rPr>
                <w:b w:val="off"/>
                <w:color w:val="000000"/>
                <w:rFonts w:ascii="Times New Roman" w:hAnsi="Times New Roman" w:cs="Times New Roman" w:eastAsia="Times New Roman"/>
                <w:sz w:val="24"/>
              </w:rPr>
              <w:t>K čl. XCV  body 1. a 2.</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Vypúšťa sa bod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Bodmi 1. a 2. má dôjsť k zrušeniu obchodnoprávnych grémií a kolégií. Navrhované zmeny predstavujú zásadný zásah do prejednávania a rozhodovania súdov v sporoch obchodnoprávnej povahy, ako aj do organizačnej štruktúry vo vnútri dotknutých súdov a vo svojom dôsledku znamenajú zánik obchodnoprávnych úsekov na súdoch napriek tomu, že spory obchodnoprávnej povahy budú existovať naďalej (dokonca sa bude na mnohé  aplikovať aj právna úprava Obchodného zákonníka v znení pred účinnosťou nového Občianskeho zákonníka). Obchodné právo netvoria len obchodné zmluvy, ale ide o komplexné právne odvetvie so samostatným statusovým, korporátnym a hospodárskym rozmerom, ktoré si vyžaduje osobitnú špecializáciu a súdnu prax. Vzhľadom na špecifiká, odlišnosti, komplexnosť a odbornosť obchodnoprávnej agendy týmto navrhujeme zachovať doterajší stav v obchodnoprávnej agende, t. j. zachovanie kauzálnej príslušnosti súdov v obchodnoprávnych sporoch a zachovanie obchodnoprávnych grémií a kolégií, resp. prípadné zachovanie grémií a kolégií aj pri zrušení kauzálnej príslušnosti v obchodnoprávnych sporoch, avšak pri zachovaní a jasnom vymedzení registra „Cb“ a „Cob“ (v Spravovacom poriadku pre okresné, krajské a špecializovaný trestný súd), do ktorých sa zapisujú konania obchodnoprávnej povahy. Aj po úplnom  presune zmluvného práva do nového civilného kódexu (avšak pri zachovaní niektorých špecifík pre podnikateľov) zostáva zachovaná takmer celá oblasť korporátneho práva (právo obchodných spoločností a družstiev), zahŕňajúca zakladanie, vznik, zmeny a zánik obchodných spoločností, zodpovednosť členov štatutárnych a dozorných orgánov, spory o neplatnosť uznesení valných zhromaždení a dispozície s obchodnými podielmi. Do obchodnej agendy  patria  aj ďalšie vysoko špecializované oblasti ako konkurzné a reštrukturalizačné právo, právo cenných papierov a finančných trhov, právo priemyselného vlastníctva súvisiace s podnikaním a agenda obchodného registra. Preto aj  špecializované obchodné kolégia  zabezpečujú nevyhnutnú mieru predvídateľnosti, jednotnosti a odbornosti súdnych rozhodnutí .</w:t>
              <w:br/>
            </w:r>
            <w:r>
              <w:rPr>
                <w:b w:val="off"/>
                <w:color w:val="000000"/>
                <w:rFonts w:ascii="Times New Roman" w:hAnsi="Times New Roman" w:cs="Times New Roman" w:eastAsia="Times New Roman"/>
                <w:sz w:val="24"/>
              </w:rPr>
              <w:t>Zachovaním špecializovaných obchodnoprávnych kolégií a grémií sa dosiahne ochrana inštitucionálnej a personálnej špecializácie súdov, zachovanie mechanizmov na zjednocovania judikatúry aj naďalej v špecifických vzťahoch medzi podnikateľmi a v korporátnych veciach. Bude tak zaručené, že  výklad špecifických obchodnoprávnych inštitútov (korporátne právo, cenné papiere, hospodárska súťaž, nekalá súťaž atd) bude zjednocovaný odbornými panelmi so znalosťou zvyklostí a medzinárodného obchodného styku.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CCXXIX § 117</w:t>
              <w:br/>
            </w:r>
            <w:r>
              <w:rPr>
                <w:b w:val="off"/>
                <w:color w:val="000000"/>
                <w:rFonts w:ascii="Times New Roman" w:hAnsi="Times New Roman" w:cs="Times New Roman" w:eastAsia="Times New Roman"/>
                <w:sz w:val="24"/>
              </w:rPr>
              <w:t>V článku CCXXIX, ktorým sa mení a dopĺňa zákon č. 29/2026 Z.z. o obchodnom registri sa dopĺňa bod 9, ktorý znie:</w:t>
              <w:br/>
            </w:r>
            <w:r>
              <w:rPr>
                <w:b w:val="off"/>
                <w:color w:val="000000"/>
                <w:rFonts w:ascii="Times New Roman" w:hAnsi="Times New Roman" w:cs="Times New Roman" w:eastAsia="Times New Roman"/>
                <w:sz w:val="24"/>
              </w:rPr>
              <w:t>Nový bod 9.</w:t>
              <w:br/>
            </w:r>
            <w:r>
              <w:rPr>
                <w:b w:val="off"/>
                <w:color w:val="000000"/>
                <w:rFonts w:ascii="Times New Roman" w:hAnsi="Times New Roman" w:cs="Times New Roman" w:eastAsia="Times New Roman"/>
                <w:sz w:val="24"/>
              </w:rPr>
              <w:t>Text pripomienky (zásadná vecná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 117 ods. 2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konanie o odvolaní proti rozhodnutiu okresného súdu vydanému podľa tohto zákona je príslušný:</w:t>
              <w:br/>
            </w:r>
            <w:r>
              <w:rPr>
                <w:b w:val="off"/>
                <w:color w:val="000000"/>
                <w:rFonts w:ascii="Times New Roman" w:hAnsi="Times New Roman" w:cs="Times New Roman" w:eastAsia="Times New Roman"/>
                <w:sz w:val="24"/>
              </w:rPr>
              <w:t>a)	Krajský súd v Bratislave ak odvolanie smeruje proti rozhodnutiu Mestského súdu Bratislava III, Okresného súdu Trnava a Okresného súdu Nitra,</w:t>
              <w:br/>
            </w:r>
            <w:r>
              <w:rPr>
                <w:b w:val="off"/>
                <w:color w:val="000000"/>
                <w:rFonts w:ascii="Times New Roman" w:hAnsi="Times New Roman" w:cs="Times New Roman" w:eastAsia="Times New Roman"/>
                <w:sz w:val="24"/>
              </w:rPr>
              <w:t>b)	Krajský súd v Banskej Bystrici, ak odvolanie smeruje proti rozhodnutiu Okresného súdu  Banská Bystrica, Okresného súdu Trenčín a Okresného súdu Žilina,</w:t>
              <w:br/>
            </w:r>
            <w:r>
              <w:rPr>
                <w:b w:val="off"/>
                <w:color w:val="000000"/>
                <w:rFonts w:ascii="Times New Roman" w:hAnsi="Times New Roman" w:cs="Times New Roman" w:eastAsia="Times New Roman"/>
                <w:sz w:val="24"/>
              </w:rPr>
              <w:t>c)	Krajský súd v Košiciach, ak odvolanie smeruje proti rozhodnutiu Mestského súdu Košice.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Pôvodný ods. 3 sa prečísluje na ods.4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absenciu explicitnej úpravy o funkčnej príslušnosti odvolacích súdov v konania vo veciach obchodného registra a v záujme zachovania doterajšej špecializácie odvolacích súdov sa navrhuje doplniť súčasné znenie § 117 novým odsekom 3 s jednoznačným určením  príslušnosti odvolacích súdov na rozhodovanie o odvolaniach vydaných v konaniach vo veciach obchodného registra.  Konanie vo veciach obchodného registra  - pôvodne štvrtá hlava v  druhej časti CMP  - bolo z CMP od 17.8.2026 presunuté do zákona o obchodnom registri, preto príslušnosť na rozhodnutie o odvolaní uvedená aktuálne v § 3 ods. 6 CMP, týkajúca sa odvolacej agendy obchodného registra ( štvrtá hlava druhej časti CMP) zostala vyprázdnená. Navrhuje sa preto jej doplnenie do zákona o obchodnom registri v novom § 117 ods. 3, alternatívne  ju upraviť v rámci § 3 ods. 6 CMP, avšak  v jeho  novom znení, ktoré uvádzame v pripomienkach k CMP k § 305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 261-755</w:t>
              <w:br/>
            </w:r>
            <w:r>
              <w:rPr>
                <w:b w:val="off"/>
                <w:color w:val="000000"/>
                <w:rFonts w:ascii="Times New Roman" w:hAnsi="Times New Roman" w:cs="Times New Roman" w:eastAsia="Times New Roman"/>
                <w:sz w:val="24"/>
              </w:rPr>
              <w:t xml:space="preserve">K čl. II bod 57 – </w:t>
              <w:br/>
            </w:r>
            <w:r>
              <w:rPr>
                <w:b w:val="off"/>
                <w:color w:val="000000"/>
                <w:rFonts w:ascii="Times New Roman" w:hAnsi="Times New Roman" w:cs="Times New Roman" w:eastAsia="Times New Roman"/>
                <w:sz w:val="24"/>
              </w:rPr>
              <w:t>Vypustenie celej Tretej časti ObZ – Obchodné záväzkové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(systémová a intertemporálna):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čl.II bod 57 znie: „Tretia časť sa vypúšťa.“ (Ide o § 261 až § 755 ObZ, t. j. celú zmluvnú a záväzkovú časť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úplne chýbajú prechodné ustanovenia k zrušeniu tretej časti Obchodného zákonníka.  Nový Občiansky zákonník obsahuje určité  prechodné ustanovenia pre vzťahy vzniknuté podľa doterajšej právnej úpravy  (§ 1893 a nasl. Občianskeho zákonníka v znení účinnom od 1. júla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Bolo by však  vhodné v záujme legislatívnej čistoty  a právnej  istoty doplniť  aj do Obchodného zákonníka "Prechodné a záverečné ustanovenia" v súvislosti s vypustením Tretej časti Obchodného zákonníka,  ktoré upravia podľa akého právneho predpisu sa budú spravovať, napr. obchodné zmluvy uzavreté pred dňom účinnosti tohto zákona (tzv. zberného  zákona),  plynutie premlčacích lehôt, zodpovednosť za škodu vzniknutú porušením zmluvnej povinnosti, zmluvné sankcie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doplniť do návrhu zákona v čl. II – týkajúceho sa zmien v Obchodnom zákonníku,  Prechodné a záverečné ustanovenia  k úpravám účinným od 1.júla 2027, napr. v znení: "Záväzkové  vzťahy uzavreté podľa Obchodného zákonníka v znení účinnom do 30.júna 2027  a práva a povinnosti  z nich vyplývajúce, vrátane práv a povinností z porušenia týchto zmluvných vzťahov sa spravujú Obchodným zákonníkom v znení účinnom do 30. júna 2027, ak sa strany podľa § 1893 ods. 4 Občianskeho zákonníka účinného od 1.júla 2027 nedohodnú inak. Práva a povinnosti vzniknuté pred takouto dohodou tým nie sú dotknuté. Pre posudzovanie všetkých lehôt a dôb pre uplatnenie práv zo vzťahov uzavretých podľa Obchodného zákonníka v znení účinnom do 30.júna 2027  platí § 1896 Občianskeho zákonníka účinného od 1. júla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40</w:t>
              <w:br/>
            </w:r>
            <w:r>
              <w:rPr>
                <w:b w:val="off"/>
                <w:color w:val="000000"/>
                <w:rFonts w:ascii="Times New Roman" w:hAnsi="Times New Roman" w:cs="Times New Roman" w:eastAsia="Times New Roman"/>
                <w:sz w:val="24"/>
              </w:rPr>
              <w:t xml:space="preserve">K čl. V bod 6 - : Text pripomienky (zásadná vecná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nové znenie zmeny v čl. V bod 6: V § 40 vo vete za bodkočiarkou sa slová „v obchodnoprávnych sporoch“ nahrádzajú slovami „v korporátnych (firemných) sporoch a v sporoch z podnikania“,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alternatívne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ponechať v  § 40 CSP  vypustenie  časti vety  za bodkočiarkou ako je uvedené v návrhu zákona,  v čl. II bod 6 , avšak   z iných ako navrhovateľom predkladaných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vyplýva z predchádzajúcej pripomienky k zneniu § 22 a nevyhnutného zachovania a skúmania kauzálnej príslušnosti v uvedených sporoch do otvorenia pojednávania alebo predbežného prejednania sporu Alternatívne sa navrhuje čl. II bod 6 ponechať v navrhovanom znení, avšak z iných dôvodov, a to vypustiť časovo limitované skúmanie kauzálnej príslušnosti v obchodných, resp. korporátnych sporoch a sporoch z podnikania. Cieľom navrhovanej alternatívy je zachovania príslušnej špecializácie  pre korporátne spory a spory z podnikania v záujme  právnej istoty, jednotnej judikatúry, čím sa následne zabezpečí v týchto sporoch funkčná príslušnosť 3  krajských súdov podľa § 34 ods. 2 CSP na rozhodovanie o odvolania podaných v týchto špecializovaných sporoch. Dôsledkom by bolo, že by sa kauzálna príslušnosť v korporátnych  sporoch a sporoch z podnikania bude skúmať ex offo počas celého konania, ako každú iná kauzálna príslušnosť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 2 ods. 1</w:t>
              <w:br/>
            </w:r>
            <w:r>
              <w:rPr>
                <w:b w:val="off"/>
                <w:color w:val="000000"/>
                <w:rFonts w:ascii="Times New Roman" w:hAnsi="Times New Roman" w:cs="Times New Roman" w:eastAsia="Times New Roman"/>
                <w:sz w:val="24"/>
              </w:rPr>
              <w:t>V § 2 ods. 1 v navrhovanom znení vypadla predložka „v“ v slovnom spojení: „zapísaná v živnostenskom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Ide o gramatickú chybu.</w:t>
              <w:br/>
            </w:r>
            <w:r>
              <w:rPr>
                <w:b w:val="off"/>
                <w:color w:val="000000"/>
                <w:rFonts w:ascii="Times New Roman" w:hAnsi="Times New Roman" w:cs="Times New Roman" w:eastAsia="Times New Roman"/>
                <w:sz w:val="24"/>
              </w:rPr>
              <w:t>Zároveň je potrebné posúdiť systematiku: pokiaľ sa v bode 3 vypúšťajú § 3 až § 4 (definícia podnikateľa a hospodárskej činnosti) s odôvodnením, že definícia podnikateľa a sídla právnickej osoby prechádza do nového Občianskeho zákonníka, je nesystémové ponechávať osobitnú definíciu „bydliska fyzickej osoby“ a „adresy“ (§ 2 ods. 2 a 3) v Obchodnom zákonníku. Tento inštitút by mal byť jednotne upravený vo všeobecnej časti Občianskeho zákonníka, aby sa predišlo duplicite alebo odchýlkam pri výklade pojmov adresa a bydlisko.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Príloha k zákonuč. 513/1991 Zb.- Zoznam preberaných právne záväzných aktov Európskej únie</w:t>
              <w:br/>
            </w:r>
            <w:r>
              <w:rPr>
                <w:b w:val="off"/>
                <w:color w:val="000000"/>
                <w:rFonts w:ascii="Times New Roman" w:hAnsi="Times New Roman" w:cs="Times New Roman" w:eastAsia="Times New Roman"/>
                <w:sz w:val="24"/>
              </w:rPr>
              <w:t>- k bodu 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Príloha – Preberanie aktov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zozname preberaných smerníc v bode 63 návrhu je potrebné doplniť najnovšie novelizácie smernice (EÚ) 2017/1132 týkajúce sa cezhraničných premien a digitálnych nástrojov, ak boli transponované osobitnými zákonmi (napr. zákonom o premenách obchodných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66</w:t>
              <w:br/>
            </w:r>
            <w:r>
              <w:rPr>
                <w:b w:val="off"/>
                <w:color w:val="000000"/>
                <w:rFonts w:ascii="Times New Roman" w:hAnsi="Times New Roman" w:cs="Times New Roman" w:eastAsia="Times New Roman"/>
                <w:sz w:val="24"/>
              </w:rPr>
              <w:t>K čl. II  bod  17 a súvisiacim bodom - § 66 ods. 7  (Obchodný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66 ods. 7, § 74, § 135a, § 194, § 243a – Zmena „odbornej“ starostlivosti na „náležitú“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čl. II bod 17,  34, 35, 44 a 55  plošne nahrádza pojem „odborná starostlivosť“ pojmom „náležitá starostlivosť“ (pri konateľoch, likvidátoroch, členoch predstavenstva a predstavenstve družstva). V bode 43 sa  v § 194 ods. 5 pri akciovej spoločnosti vypúšťa text: „ktorá zahŕňa povinnosť vykonávať ju s odbornou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dôvodová správa k čl. II, k bodom  34, 35, 44 a 55 ( kde sa slovo " odbornou"  nahrádza slovom " náležitou") uvádza, že "Ide o legislatívno-technické úpravy spočítavajúce  (pozn.  opakovaná gramatická chyba  v dôvodovej správe pri všetkých bodoch- správne zrejme malo byť "spočívajúce") v terminologickom zjednotení kódexov."  a k zmene pojmu odborná starostlivosť v čl. II bod 17  ( zmena  § 66 ods. 7) sa ani  takéto odôvodnenie zmeny právnej úpravy  neuvádza.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XXXI – novelizačný bod 23:</w:t>
              <w:br/>
            </w:r>
            <w:r>
              <w:rPr>
                <w:b w:val="off"/>
                <w:color w:val="000000"/>
                <w:rFonts w:ascii="Times New Roman" w:hAnsi="Times New Roman" w:cs="Times New Roman" w:eastAsia="Times New Roman"/>
                <w:sz w:val="24"/>
              </w:rPr>
              <w:t>Doterajší novelizačný bod 23 je potrebné nahradiť novým znením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31 sa za odsek 6 vkladajú nové odseky 7 až 9, ktoré znejú:</w:t>
              <w:br/>
            </w:r>
            <w:r>
              <w:rPr>
                <w:b w:val="off"/>
                <w:color w:val="000000"/>
                <w:rFonts w:ascii="Times New Roman" w:hAnsi="Times New Roman" w:cs="Times New Roman" w:eastAsia="Times New Roman"/>
                <w:sz w:val="24"/>
              </w:rPr>
              <w:t>„(7) Ak ide o konanie podľa § 22 ods. 3, rozhodnutie o povolení vkladu zasiela všetkým účastníkom konania okresný úrad, ktorý rozhodol o povolení vkladu.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Oznámenie o vzniku právnych účinkov vkladu obsahuje</w:t>
              <w:br/>
            </w:r>
            <w:r>
              <w:rPr>
                <w:b w:val="off"/>
                <w:color w:val="000000"/>
                <w:rFonts w:ascii="Times New Roman" w:hAnsi="Times New Roman" w:cs="Times New Roman" w:eastAsia="Times New Roman"/>
                <w:sz w:val="24"/>
              </w:rPr>
              <w:t>a)	názov a adresu okresného úradu, ktorý vykonal zápis vzniku, zmeny alebo zániku práva v liste vlastníctva,</w:t>
              <w:br/>
            </w:r>
            <w:r>
              <w:rPr>
                <w:b w:val="off"/>
                <w:color w:val="000000"/>
                <w:rFonts w:ascii="Times New Roman" w:hAnsi="Times New Roman" w:cs="Times New Roman" w:eastAsia="Times New Roman"/>
                <w:sz w:val="24"/>
              </w:rPr>
              <w:t>b)	číslo vkladu,</w:t>
              <w:br/>
            </w:r>
            <w:r>
              <w:rPr>
                <w:b w:val="off"/>
                <w:color w:val="000000"/>
                <w:rFonts w:ascii="Times New Roman" w:hAnsi="Times New Roman" w:cs="Times New Roman" w:eastAsia="Times New Roman"/>
                <w:sz w:val="24"/>
              </w:rPr>
              <w:t>c)	údaj o tom, kedy vznikli právne účinky vkladu,</w:t>
              <w:br/>
            </w:r>
            <w:r>
              <w:rPr>
                <w:b w:val="off"/>
                <w:color w:val="000000"/>
                <w:rFonts w:ascii="Times New Roman" w:hAnsi="Times New Roman" w:cs="Times New Roman" w:eastAsia="Times New Roman"/>
                <w:sz w:val="24"/>
              </w:rPr>
              <w:t>d)	označenie vkladovej listiny, na základe ktorej bol vklad povolený.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Oznámenie o vzniku právnych účinkov vkladu musí byť autorizované podľa osobitného predpisu.10ba)“.</w:t>
              <w:br/>
            </w:r>
            <w:r>
              <w:rPr>
                <w:b w:val="off"/>
                <w:color w:val="000000"/>
                <w:rFonts w:ascii="Times New Roman" w:hAnsi="Times New Roman" w:cs="Times New Roman" w:eastAsia="Times New Roman"/>
                <w:sz w:val="24"/>
              </w:rPr>
              <w:t>Doterajší odsek 7 sa označuje ako odsek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10ba znie:</w:t>
              <w:br/>
            </w:r>
            <w:r>
              <w:rPr>
                <w:b w:val="off"/>
                <w:color w:val="000000"/>
                <w:rFonts w:ascii="Times New Roman" w:hAnsi="Times New Roman" w:cs="Times New Roman" w:eastAsia="Times New Roman"/>
                <w:sz w:val="24"/>
              </w:rPr>
              <w:t>„10ba) § 23 zákona č. 305/2013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novú právnu úpravu vzniku právnych účinkov vkladu, je potrebné, aby účastníkovi konania okrem rozhodnutia o povolení vkladu (z ktorého nebudú na základe novej právnej úpravy vyplývať právne účinky vkladu) bolo zaslané oznámenie o tom, kedy nadobudol vklad právne účinky, teda kedy fakticky vzniklo, zmenilo sa alebo zaniklo vecné právo k nehnuteľnosti.</w:t>
              <w:br/>
            </w:r>
            <w:r>
              <w:rPr>
                <w:b w:val="off"/>
                <w:color w:val="000000"/>
                <w:rFonts w:ascii="Times New Roman" w:hAnsi="Times New Roman" w:cs="Times New Roman" w:eastAsia="Times New Roman"/>
                <w:sz w:val="24"/>
              </w:rPr>
              <w:t xml:space="preserve">Navrhovanou právnou úpravou sa reaguje na potrebu jednoznačného vymedzenia postupu okresných úradov pri rozhodovaní o návrhu na vklad a pri následnom vykonávaní zápisu právnych vzťahov do katastra nehnuteľností v prípadoch, keď sa zápis práv k nehnuteľnostiam týka nehnuteľností nachádzajúcich sa v územných obvodoch viacerých okresných úradov; ide o tzv. cezhraničné konanie, teda konanie, ktoré prekračuje hranice jedného okresu. </w:t>
              <w:br/>
            </w:r>
            <w:r>
              <w:rPr>
                <w:b w:val="off"/>
                <w:color w:val="000000"/>
                <w:rFonts w:ascii="Times New Roman" w:hAnsi="Times New Roman" w:cs="Times New Roman" w:eastAsia="Times New Roman"/>
                <w:sz w:val="24"/>
              </w:rPr>
              <w:t>V odseku 7 sa výslovne ustanovuje, že rozhodnutie o povolení vkladu zasiela všetkým účastníkom konania okresný úrad, ktorý o povolení vkladu rozhodol. Cieľom je odstrániť prípadné pochybnosti o tom, ktorý okresný úrad zodpovedá za splnenie tejto procesnej povinnosti, a zabezpečiť jednotný postup pri doručovaní rozhodnutia bez ohľadu na skutočnosť, že samotný zápis právneho vzťahu do listu vlastníctva môže byť vykonaný aj iným okresným úradom. Navrhovaná úprava tak rešpektuje rozlíšenie medzi rozhodnutím o povolení vkladu, ktoré je výsledkom rozhodovacej činnosti okresného úradu a jeho doručenie účastníkom konania zabezpečuje ten okresný úrad, ktorý o vklade rozhodol. Oznámenie o vzniku právnych účinkov vkladu má informovať o vzniku právnych účinkov a identifikovať okresný úrad, ktorý vykonal príslušný zápis v liste vlastníctva.</w:t>
              <w:br/>
            </w:r>
            <w:r>
              <w:rPr>
                <w:b w:val="off"/>
                <w:color w:val="000000"/>
                <w:rFonts w:ascii="Times New Roman" w:hAnsi="Times New Roman" w:cs="Times New Roman" w:eastAsia="Times New Roman"/>
                <w:sz w:val="24"/>
              </w:rPr>
              <w:t>V odseku 8  sa ustanovujú obligatórne náležitosti oznámenia o vzniku právnych účinkov vkladu. Uvedené údaje sú nevyhnutné na zabezpečenie preukázateľnosti vykonaného zápisu a právnej istoty účastníkov konania, ako aj ďalších osôb, ktoré sa na tieto údaje spoliehajú.</w:t>
              <w:br/>
            </w:r>
            <w:r>
              <w:rPr>
                <w:b w:val="off"/>
                <w:color w:val="000000"/>
                <w:rFonts w:ascii="Times New Roman" w:hAnsi="Times New Roman" w:cs="Times New Roman" w:eastAsia="Times New Roman"/>
                <w:sz w:val="24"/>
              </w:rPr>
              <w:t>V odseku 9 sa ustanovuje požiadavka autorizácie oznámenia o vzniku právnych účinkov vkladu. Vzhľadom k tomu, že okresné úrady v rámci katastrálneho konania sú povinné dodržiavať ustanovenia zákona o výkone verejnej moci elektronicky podľa zákona č. 305/2013 Z. z. o elektronickej podobe výkonu pôsobnosti orgánov verejnej moci a o zmene a doplnení niektorých zákonov (zákon o e-Governmente) v znení neskorších predpisov je potrebné, aby zákon predpokladal, že oznámenie bude vyhotovované ako originál v elektronickej podobe s čím je spojená aj jeho elektronická autorizácia. Účelom tejto požiadavky je zabezpečiť autenticitu oznámenia, overiteľnosť jeho pôvodu a integritu jeho obsahu, a tým posilniť jeho dôveryhodnosť ako úradného elektronického výstupu okresného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XXXI – novelizačný bod 25:</w:t>
              <w:br/>
            </w:r>
            <w:r>
              <w:rPr>
                <w:b w:val="off"/>
                <w:color w:val="000000"/>
                <w:rFonts w:ascii="Times New Roman" w:hAnsi="Times New Roman" w:cs="Times New Roman" w:eastAsia="Times New Roman"/>
                <w:sz w:val="24"/>
              </w:rPr>
              <w:t>V § 31a novom odseku 2 je potrebné za slová „podanie žaloby na súd, a ak sú“ vložiť slovo „ostatné“.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novelizačný bod 25 bude znieť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Doterajšie znenie § 31a sa označuje ako odsek 1 a dopĺňa sa odsekom 2, ktorý znie:</w:t>
              <w:br/>
            </w:r>
            <w:r>
              <w:rPr>
                <w:b w:val="off"/>
                <w:color w:val="000000"/>
                <w:rFonts w:ascii="Times New Roman" w:hAnsi="Times New Roman" w:cs="Times New Roman" w:eastAsia="Times New Roman"/>
                <w:sz w:val="24"/>
              </w:rPr>
              <w:t>„(2) Ak okresný úrad preruší konanie o návrhu na vklad podľa odseku 1 písm. g), vyzve účastníka konania, ktorému bolo adresované oznámenie podľa odseku 1 písm. g), aby sa v určenej lehote vyjadril, či uznáva platnosť odstúpenia od zmluvy, zrušenia darovania alebo zrušenia právneho úkonu podľa Občianskeho zákonníka. Ak je platnosť sporná, okresný úrad vyzve osobu, ktorá podala oznámenie podľa odseku 1 písm. g), na podanie žaloby o určenie, že povinnosť previesť vlastnícke právo zanikla, a to v lehote do 60 dní odo dňa doručenia výzvy. Ak v tejto lehote nie je preukázané okresnému úradu podanie žaloby na súd, a ak sú ostatné podmienky na vklad splnené, okresný úrad vklad povolí. Ustanovenie tohto odseku sa primerane použije aj na iné vecné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slova „ostatné“ predstavuje spresnenie normatívneho textu § 31a ods. 2, ktorého účelom je jednoznačne vyjadriť vzťah medzi jednotlivými podmienkami rozhodovania o návrhu na vklad v prípade, ak bolo od zmluvy odstúpené a táto skutočnosť je medzi účastníkmi sporná.</w:t>
              <w:br/>
            </w:r>
            <w:r>
              <w:rPr>
                <w:b w:val="off"/>
                <w:color w:val="000000"/>
                <w:rFonts w:ascii="Times New Roman" w:hAnsi="Times New Roman" w:cs="Times New Roman" w:eastAsia="Times New Roman"/>
                <w:sz w:val="24"/>
              </w:rPr>
              <w:t>Doplnením uvedeného slova sa zdôrazňuje, že podanie žaloby na súd predstavuje samostatnú okolnosť, ktorá môže mať vplyv na ďalší postup okresného úradu, pričom jej absencia sama osebe neznamená, že návrh na vklad nemožno povoliť. Ak nie je splnená podmienka nespornosti odstúpenia od zmluvy, avšak ostatné zákonom ustanovené podmienky na povolenie vkladu sú splnené a nedôjde k podaniu žaloby na súd, okresný úrad návrh na vklad povolí.</w:t>
              <w:br/>
            </w:r>
            <w:r>
              <w:rPr>
                <w:b w:val="off"/>
                <w:color w:val="000000"/>
                <w:rFonts w:ascii="Times New Roman" w:hAnsi="Times New Roman" w:cs="Times New Roman" w:eastAsia="Times New Roman"/>
                <w:sz w:val="24"/>
              </w:rPr>
              <w:t>Navrhované doplnenie tak odstraňuje možnú interpretačnú nejednoznačnosť normatívneho textu a predchádza výkladu, podľa ktorého by spornosť odstúpenia od zmluvy automaticky predstavovala prekážku povolenia vkladu. Zároveň sa ním zachováva rozlíšenie medzi posudzovaním splnenia zákonných podmienok na povolenie vkladu a riešením sporu o platnosť odstúpenia od zmluvy, ktoré patrí do právomoci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XXXI – vložiť nový novelizačný bod:</w:t>
              <w:br/>
            </w:r>
            <w:r>
              <w:rPr>
                <w:b w:val="off"/>
                <w:color w:val="000000"/>
                <w:rFonts w:ascii="Times New Roman" w:hAnsi="Times New Roman" w:cs="Times New Roman" w:eastAsia="Times New Roman"/>
                <w:sz w:val="24"/>
              </w:rPr>
              <w:t>Za novelizačný bod 37 je potrebné vložiť nový novelizačný bod 38,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„38. Za § 44 sa vkladá § 44a,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Na zápis iných údajov o nehnuteľnostiach, o vlastníkoch alebo iných oprávnených osobách, ktoré sa do katastra nezapisujú vkladom, záznamom alebo poznámkou, sa primerane vzťahujú ustanovenia o zápise záznamom. </w:t>
              <w:br/>
            </w:r>
            <w:r>
              <w:rPr>
                <w:b w:val="off"/>
                <w:color w:val="000000"/>
                <w:rFonts w:ascii="Times New Roman" w:hAnsi="Times New Roman" w:cs="Times New Roman" w:eastAsia="Times New Roman"/>
                <w:sz w:val="24"/>
              </w:rPr>
              <w:t>(2) Začatie konania podľa odseku 1 vyznačí okresný úrad v informačnom systéme katastra textom „nehnuteľnosť dotknutá zmenou“; okresný úrad vymaže tento údaj vykonaním alebo nevykonaním zápisu v katastri.</w:t>
              <w:br/>
            </w:r>
            <w:r>
              <w:rPr>
                <w:b w:val="off"/>
                <w:color w:val="000000"/>
                <w:rFonts w:ascii="Times New Roman" w:hAnsi="Times New Roman" w:cs="Times New Roman" w:eastAsia="Times New Roman"/>
                <w:sz w:val="24"/>
              </w:rPr>
              <w:t xml:space="preserve">(3) Vykonanie zápisu v katastri podľa odseku 1 okresný úrad neoznamuje.“.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právnou úpravou sa vytvára osobitný procesný mechanizmus na zápis iných údajov o nehnuteľnostiach, vlastníkoch alebo iných oprávnených osobách, ktoré sa do katastra nehnuteľností nezapisujú vkladom, záznamom ani poznámkou. Potreba tejto úpravy vyplýva aj z posilnenia materiálnej publicity katastra nehnuteľností, ktorú zavádza nový Občiansky zákonník a ktorá kladie zvýšené nároky na správnosť, úplnosť a aktuálnosť údajov evidovaných v katastri. Keďže pri zápise takýchto údajov sa podľa katastrálneho zákona nevyznačuje plomba, verejnosť nemá prostredníctvom štandardných informačných mechanizmov možnosť zistiť, že vo vzťahu ku konkrétnej nehnuteľnosti prebieha proces aktualizácie údajov. Z tohto dôvodu sa navrhuje zaviesť povinnosť okresného úradu vyznačiť v informačnom systéme text „nehnuteľnosť dotknutá zmenou“, ktorý bude plniť informačnú a preventívnu funkciu a umožní tretím osobám zohľadniť prebiehajúcu zmenu pri posudzovaní údajov katastra. Po vykonaní zápisu alebo po skončení konania bez jeho vykonania sa tento údaj odstráni.</w:t>
              <w:br/>
            </w:r>
            <w:r>
              <w:rPr>
                <w:b w:val="off"/>
                <w:color w:val="000000"/>
                <w:rFonts w:ascii="Times New Roman" w:hAnsi="Times New Roman" w:cs="Times New Roman" w:eastAsia="Times New Roman"/>
                <w:sz w:val="24"/>
              </w:rPr>
              <w:t>Navrhovaná úprava tak zabezpečuje transparentnosť prebiehajúcich zmien a prispieva k ochrane právnej istoty osôb, ktoré sa spoliehajú na údaje katastra. Vzhľadom na evidenčný charakter predmetného zápisu sa zároveň ustanovuje, že okresný úrad vykonanie zápisu osobitne neoznamuje.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primerane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XXXI – novelizačný bod 39:</w:t>
              <w:br/>
            </w:r>
            <w:r>
              <w:rPr>
                <w:b w:val="off"/>
                <w:color w:val="000000"/>
                <w:rFonts w:ascii="Times New Roman" w:hAnsi="Times New Roman" w:cs="Times New Roman" w:eastAsia="Times New Roman"/>
                <w:sz w:val="24"/>
              </w:rPr>
              <w:t>§ 70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70</w:t>
              <w:br/>
            </w:r>
            <w:r>
              <w:rPr>
                <w:b w:val="off"/>
                <w:color w:val="000000"/>
                <w:rFonts w:ascii="Times New Roman" w:hAnsi="Times New Roman" w:cs="Times New Roman" w:eastAsia="Times New Roman"/>
                <w:sz w:val="24"/>
              </w:rPr>
              <w:t xml:space="preserve">Hodnovernosť a záväznosť údajov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Údaje katastra uvedené v § 7 písm. a), b), d) a e) sú hodnoverné, ak sa nepreukáže 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Údaje katastra, a to parcelné číslo, geometrické určenie nehnuteľnosti, druh pozemku, geometrické určenie a výmera katastrálneho územia, názov katastrálneho územia, výmera poľnohospodárskej jednotky alebo lesnej hospodárskej jednotky, alebo organizačnej jednotky, údaje o základných a podrobných polohových bodových poliach, údaje o bodových poliach, ako aj štandardizované geografické názvy sú hodnoverné a záväzné, ak sa nepreukáže opak. Záväzným údajom katastra nie je druh pozemku evidovaného ako parcela registra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70 tak vychádza z potreby dôsledného rozlišovania medzi údajmi katastra, ktoré vyjadrujú právny stav nehnuteľnosti, a ostatnými údajmi, ktoré vypovedajú o jej technických, priestorových, ekonomických alebo verejnoprávnych charakteristikách. Uvedené rozlíšenie je potrebné z hľadiska novej právnej úpravy materiálnej publicity podľa nového Občianskeho zákonníka, keďže právne účinky materiálnej publicity sa viažu na údaje o právnom stave veci, nie na všetky údaje evidované v katastri nehnuteľností.</w:t>
              <w:br/>
            </w:r>
            <w:r>
              <w:rPr>
                <w:b w:val="off"/>
                <w:color w:val="000000"/>
                <w:rFonts w:ascii="Times New Roman" w:hAnsi="Times New Roman" w:cs="Times New Roman" w:eastAsia="Times New Roman"/>
                <w:sz w:val="24"/>
              </w:rPr>
              <w:t>Z tohto dôvodu sa v odseku 1 vymedzuje okruh údajov, ktoré požívajú ochranu hodnovernosti, pričom v odseku 2 sa osobitne ustanovuje okruh údajov, ktoré sú okrem hodnovernosti aj záväzné. Ide o údaje technického, priestorového a identifikačného charakteru, pri ktorých je potrebné zabezpečiť ich osobitné právne postavenie pri evidencii a používaní údajov katastra. Zároveň sa výslovne vylučuje záväznosť údaja o druhu pozemku evidovaného ako parcela registra „E“.</w:t>
              <w:br/>
            </w:r>
            <w:r>
              <w:rPr>
                <w:b w:val="off"/>
                <w:color w:val="000000"/>
                <w:rFonts w:ascii="Times New Roman" w:hAnsi="Times New Roman" w:cs="Times New Roman" w:eastAsia="Times New Roman"/>
                <w:sz w:val="24"/>
              </w:rPr>
              <w:t>Navrhované rozlíšenie má zabrániť nesprávnemu výkladu, podľa ktorého by sa účinky materiálnej publicity vzťahovali na všetky údaje evidované v katastri bez ohľadu na ich povahu. Napríklad nesúlad medzi evidovanou a skutočnou výmerou pozemku alebo neuvedenie skutočnosti, že stavba je kultúrnou pamiatkou, nemôže byť predmetom ochrany nadobúdateľa prostredníctvom materiálnej publicity katastra. Navrhovaná úprava tak prispieva k jednoznačnému vymedzeniu právnych účinkov jednotlivých kategórií údajov a k právnej istote pri ich používaní.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w:t>
              <w:br/>
            </w:r>
            <w:r>
              <w:rPr>
                <w:b w:val="off"/>
                <w:color w:val="000000"/>
                <w:rFonts w:ascii="Times New Roman" w:hAnsi="Times New Roman" w:cs="Times New Roman" w:eastAsia="Times New Roman"/>
                <w:sz w:val="24"/>
              </w:rPr>
              <w:t>1.	K celému materiálu: urobiť gramatickú korektúru. V návrhu vlastného materiálu sú čiarky na miestach, kde nemajú byť, napr. pred slovom „vrátane“, naopak chýbajú tam, kde majú byť, napr. pred slovom „ak“ alebo v prípade vymenovania určitých pojmov, napr. v Čl. XXXI zákon Národnej rady Slovenskej republiky č. 162/1995 Z. z. o katastri nehnuteľností a o zápise vlastníckych a iných práv k nehnuteľnostiam (katastrálny zákon) v znení neskorších predpisov v § 22 ods. 1, § 24 ods. 1 písm. a) prvý bod. Niektoré slová nie sú správne vyskloňované, napr. v Čl. XXI zákon č. 323/1992 Zb. o notároch a notárskej činnosti (Notársky poriadok) v znení neskorších predpisov v § 66 ods. 4; dvakrát označenie písmena, napr. v Čl. CLXXI zákon č. 90/2016 Z. z. o úveroch na bývanie a o zmene a doplnení niektorých zákonov v znení neskorších predpisov v § 20a ods. 1 písm. c).</w:t>
              <w:br/>
            </w:r>
            <w:r>
              <w:rPr>
                <w:b w:val="off"/>
                <w:color w:val="000000"/>
                <w:rFonts w:ascii="Times New Roman" w:hAnsi="Times New Roman" w:cs="Times New Roman" w:eastAsia="Times New Roman"/>
                <w:sz w:val="24"/>
              </w:rPr>
              <w:t xml:space="preserve">	Odôvodnenie: text odôvodnenia je súčasťou textu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 K vlastnému materiálu:</w:t>
              <w:br/>
            </w:r>
            <w:r>
              <w:rPr>
                <w:b w:val="off"/>
                <w:color w:val="000000"/>
                <w:rFonts w:ascii="Times New Roman" w:hAnsi="Times New Roman" w:cs="Times New Roman" w:eastAsia="Times New Roman"/>
                <w:sz w:val="24"/>
              </w:rPr>
              <w:t>2.	K Čl. III zákon č. 311/2001 Z. z. Zákonník práce v znení neskorších predpisov § 1 ods. 6: definovať pojem „autonómne dojednanie“.</w:t>
              <w:br/>
            </w:r>
            <w:r>
              <w:rPr>
                <w:b w:val="off"/>
                <w:color w:val="000000"/>
                <w:rFonts w:ascii="Times New Roman" w:hAnsi="Times New Roman" w:cs="Times New Roman" w:eastAsia="Times New Roman"/>
                <w:sz w:val="24"/>
              </w:rPr>
              <w:t xml:space="preserve">	Odôvodnenie: použitie pojmu, ktoré nemá zavedenú legislatívnu skratku a nie je jeho význam zavedený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 K vlastnému materiálu:</w:t>
              <w:br/>
            </w:r>
            <w:r>
              <w:rPr>
                <w:b w:val="off"/>
                <w:color w:val="000000"/>
                <w:rFonts w:ascii="Times New Roman" w:hAnsi="Times New Roman" w:cs="Times New Roman" w:eastAsia="Times New Roman"/>
                <w:sz w:val="24"/>
              </w:rPr>
              <w:t xml:space="preserve">3.	K Čl. III zákon č. 311/2001 Z. z. Zákonník práce v znení neskorších predpisov § 181c: preformulovať znenie ustanovenia, vôbec nie je jasné, čo ktorá strana robí, kto sa zbytočne vystavil zvýšenému nebezpečenstvu. </w:t>
              <w:br/>
            </w:r>
            <w:r>
              <w:rPr>
                <w:b w:val="off"/>
                <w:color w:val="000000"/>
                <w:rFonts w:ascii="Times New Roman" w:hAnsi="Times New Roman" w:cs="Times New Roman" w:eastAsia="Times New Roman"/>
                <w:sz w:val="24"/>
              </w:rPr>
              <w:t xml:space="preserve">	Odôvodnenie: nezrozumiteľný, a teda nejasný/neurčitý text, ktorý je uvedený v prvej časti vety pred spojkou „ak“.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 K vlastnému materiálu:</w:t>
              <w:br/>
            </w:r>
            <w:r>
              <w:rPr>
                <w:b w:val="off"/>
                <w:color w:val="000000"/>
                <w:rFonts w:ascii="Times New Roman" w:hAnsi="Times New Roman" w:cs="Times New Roman" w:eastAsia="Times New Roman"/>
                <w:sz w:val="24"/>
              </w:rPr>
              <w:t xml:space="preserve">4.	K Čl. III zákon č. 311/2001 Z. z. Zákonník práce v znení neskorších predpisov § 231 ods. 1: doplniť, ktoré strany uzatvárajú kolektívnu zmluvu. Uvedená úprava z doteraz platného § 231 ods. 1 sa do nového znenia § 231 ods. 1 nedostala. </w:t>
              <w:br/>
            </w:r>
            <w:r>
              <w:rPr>
                <w:b w:val="off"/>
                <w:color w:val="000000"/>
                <w:rFonts w:ascii="Times New Roman" w:hAnsi="Times New Roman" w:cs="Times New Roman" w:eastAsia="Times New Roman"/>
                <w:sz w:val="24"/>
              </w:rPr>
              <w:t xml:space="preserve">	Odôvodnenie: text odôvodnenia je súčasťou textu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I. K vlastnému materiálu:</w:t>
              <w:br/>
            </w:r>
            <w:r>
              <w:rPr>
                <w:b w:val="off"/>
                <w:color w:val="000000"/>
                <w:rFonts w:ascii="Times New Roman" w:hAnsi="Times New Roman" w:cs="Times New Roman" w:eastAsia="Times New Roman"/>
                <w:sz w:val="24"/>
              </w:rPr>
              <w:t xml:space="preserve">5.	K Čl. V zákon č. 160/2015 Z. z. Civilný sporový poriadok v znení neskorších predpisov § 289a ods. 1: nie je jasné, o aké odseky 2 až 6 ide. Navrhovaný § 289a ods. 1 má len 4 odseky. </w:t>
              <w:br/>
            </w:r>
            <w:r>
              <w:rPr>
                <w:b w:val="off"/>
                <w:color w:val="000000"/>
                <w:rFonts w:ascii="Times New Roman" w:hAnsi="Times New Roman" w:cs="Times New Roman" w:eastAsia="Times New Roman"/>
                <w:sz w:val="24"/>
              </w:rPr>
              <w:t xml:space="preserve">	Odôvodnenie: text odôvodnenia je súčasťou textu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I. K vlastnému materiálu:</w:t>
              <w:br/>
            </w:r>
            <w:r>
              <w:rPr>
                <w:b w:val="off"/>
                <w:color w:val="000000"/>
                <w:rFonts w:ascii="Times New Roman" w:hAnsi="Times New Roman" w:cs="Times New Roman" w:eastAsia="Times New Roman"/>
                <w:sz w:val="24"/>
              </w:rPr>
              <w:t xml:space="preserve">6.	K Čl. XXIV zákon Národnej rady Slovenskej republiky č. 182/1993 Z. z. o vlastníctve bytov a nebytových priestorov v znení neskorších predpisov - všeobecne: ustanovenia § 1262 a § 1263 zákona č. 260/2026 Z. z. Občianskeho zákonníka (ďalej len „nový Občiansky zákonník“) poznajú pojem „spoločné zariadenia domu“. Z uvedeného dôvodu je potrebná úprava v predmetnom zákone (v MPK) aj vo vzťahu k „spoločným zariadeniam domu“, a nie ju vypúšťať alebo následne upraviť § 1262 a § 1263 nového Občianskeho zákonníka. </w:t>
              <w:br/>
            </w:r>
            <w:r>
              <w:rPr>
                <w:b w:val="off"/>
                <w:color w:val="000000"/>
                <w:rFonts w:ascii="Times New Roman" w:hAnsi="Times New Roman" w:cs="Times New Roman" w:eastAsia="Times New Roman"/>
                <w:sz w:val="24"/>
              </w:rPr>
              <w:t xml:space="preserve">	Odôvodnenie: text odôvodnenia je súčasťou textu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 I. K vlastnému materiálu:</w:t>
              <w:br/>
            </w:r>
            <w:r>
              <w:rPr>
                <w:b w:val="off"/>
                <w:color w:val="000000"/>
                <w:rFonts w:ascii="Times New Roman" w:hAnsi="Times New Roman" w:cs="Times New Roman" w:eastAsia="Times New Roman"/>
                <w:sz w:val="24"/>
              </w:rPr>
              <w:t>7.	K Čl. XXXI zákon Národnej rady Slovenskej republiky č. 162/1995 Z. z. o katastri nehnuteľností a o zápise vlastníckych a iných práv k nehnuteľnostiam (katastrálny zákon) v znení neskorších predpisov - všeobecne: zjednotiť slovné označenie „na liste vlastníctva“, resp. „v liste vlastníctva“.</w:t>
              <w:br/>
            </w:r>
            <w:r>
              <w:rPr>
                <w:b w:val="off"/>
                <w:color w:val="000000"/>
                <w:rFonts w:ascii="Times New Roman" w:hAnsi="Times New Roman" w:cs="Times New Roman" w:eastAsia="Times New Roman"/>
                <w:sz w:val="24"/>
              </w:rPr>
              <w:t xml:space="preserve">	Odôvodnenie: v znení katastrálneho zákona sú používané dve rôzne formy označenia.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XXXIII I. K vlastnému materiálu:</w:t>
              <w:br/>
            </w:r>
            <w:r>
              <w:rPr>
                <w:b w:val="off"/>
                <w:color w:val="000000"/>
                <w:rFonts w:ascii="Times New Roman" w:hAnsi="Times New Roman" w:cs="Times New Roman" w:eastAsia="Times New Roman"/>
                <w:sz w:val="24"/>
              </w:rPr>
              <w:t>8.	K Čl. XXXIII zákon Národnej rady Slovenskej republiky č. 233/1995 Z. z. o súdnych exekútoroch a exekučnej činnosti (Exekučný poriadok) a o zmene a doplnení ďalších zákonov v znení neskorších predpisov § 166b ods. 4: doplniť povinnosť nadobúdateľa previesť vlastníctvo hnuteľných a nehnuteľných vecí na oprávnenú osobu v určenom termíne; zaviesť aj postih voči exekútorovi, ktorý umožnil porušenie práva oprávnenej osoby vykúpiť vec z exekúcie, ktorý by bol dostatočne odstrašujúci.</w:t>
              <w:br/>
            </w:r>
            <w:r>
              <w:rPr>
                <w:b w:val="off"/>
                <w:color w:val="000000"/>
                <w:rFonts w:ascii="Times New Roman" w:hAnsi="Times New Roman" w:cs="Times New Roman" w:eastAsia="Times New Roman"/>
                <w:sz w:val="24"/>
              </w:rPr>
              <w:t xml:space="preserve">	Odôvodnenie: v predloženom materiáli nie je úprava ďalších vzťahov, ktoré nastanú v dôsledku porušenia práva oprávnenej osoby vykúpiť vec z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CCX I. K vlastnému materiálu:</w:t>
              <w:br/>
            </w:r>
            <w:r>
              <w:rPr>
                <w:b w:val="off"/>
                <w:color w:val="000000"/>
                <w:rFonts w:ascii="Times New Roman" w:hAnsi="Times New Roman" w:cs="Times New Roman" w:eastAsia="Times New Roman"/>
                <w:sz w:val="24"/>
              </w:rPr>
              <w:t xml:space="preserve">9.	K Čl. CCX zákon č. 142/2024 Z. z. o mimoriadnych opatreniach pre strategické investície a pre výstavbu transeurópskej dopravnej siete a o zmene a doplnení niektorých zákonov v znení neskorších predpisov § 12 ods.: slová „§ 1475 až 1479 Občianskeho zákonníka“ nahradiť slovami „§ 1473 až 1479 Občianskeho zákonníka“.   </w:t>
              <w:br/>
            </w:r>
            <w:r>
              <w:rPr>
                <w:b w:val="off"/>
                <w:color w:val="000000"/>
                <w:rFonts w:ascii="Times New Roman" w:hAnsi="Times New Roman" w:cs="Times New Roman" w:eastAsia="Times New Roman"/>
                <w:sz w:val="24"/>
              </w:rPr>
              <w:t xml:space="preserve">	Odôvodnenie: úprava vydržania v novom Občianskom zákonníku začína od § 1473, a nie od § 1475.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Čl. CCV zákona č. 53/2023 Z. z. o akreditácii orgánov posudzovania zhody</w:t>
              <w:br/>
            </w:r>
            <w:r>
              <w:rPr>
                <w:b w:val="off"/>
                <w:color w:val="000000"/>
                <w:rFonts w:ascii="Times New Roman" w:hAnsi="Times New Roman" w:cs="Times New Roman" w:eastAsia="Times New Roman"/>
                <w:sz w:val="24"/>
              </w:rPr>
              <w:t xml:space="preserve">Navrhujeme doplniť nasledovné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 9 písm. a) sa slovo „uzatvárať“ nahrádza slovom „uzavierať“.</w:t>
              <w:br/>
            </w:r>
            <w:r>
              <w:rPr>
                <w:b w:val="off"/>
                <w:color w:val="000000"/>
                <w:rFonts w:ascii="Times New Roman" w:hAnsi="Times New Roman" w:cs="Times New Roman" w:eastAsia="Times New Roman"/>
                <w:sz w:val="24"/>
              </w:rPr>
              <w:t>V § 9 ods. 12 písm. a) sa slovo „uzatvárať“ nahrádza slovom „uzavierať“.</w:t>
              <w:br/>
            </w:r>
            <w:r>
              <w:rPr>
                <w:b w:val="off"/>
                <w:color w:val="000000"/>
                <w:rFonts w:ascii="Times New Roman" w:hAnsi="Times New Roman" w:cs="Times New Roman" w:eastAsia="Times New Roman"/>
                <w:sz w:val="24"/>
              </w:rPr>
              <w:t>V § 14 ods. 3 písm. b) sa slovo „uzatvárať“ nahrádza slovom „uzavierať“.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terminologické zjednotenie právnych predpisov s terminológiou používanou v návrhu nového Občianskeho zákonníka, ktorý používa slovné spojenia „uzavretá zmluva“ a „zmluva sa uzaviera“. Cieľom je zabezpečiť jednotnosť právnej terminológie a jej konzistentné používanie v právnom poriadku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Čl. CLXXXII zákona č. 56/2018 Z. z.</w:t>
              <w:br/>
            </w:r>
            <w:r>
              <w:rPr>
                <w:b w:val="off"/>
                <w:color w:val="000000"/>
                <w:rFonts w:ascii="Times New Roman" w:hAnsi="Times New Roman" w:cs="Times New Roman" w:eastAsia="Times New Roman"/>
                <w:sz w:val="24"/>
              </w:rPr>
              <w:t>Navrhujeme doplniť nasledovné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3 písm. g) sa slovo „uzatvorená“ nahrádza slovom „uzavretá“.</w:t>
              <w:br/>
            </w:r>
            <w:r>
              <w:rPr>
                <w:b w:val="off"/>
                <w:color w:val="000000"/>
                <w:rFonts w:ascii="Times New Roman" w:hAnsi="Times New Roman" w:cs="Times New Roman" w:eastAsia="Times New Roman"/>
                <w:sz w:val="24"/>
              </w:rPr>
              <w:t>V § 21 ods. 13 písm. e) sa slovo „uzatvárania“ nahrádza slovom „uzavierania“.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terminologické zjednotenie právnych predpisov s terminológiou používanou v návrhu nového Občianskeho zákonníka, ktorý používa slovné spojenia „uzavretá zmluva“ a „zmluva sa uzaviera“. Cieľom je zabezpečiť jednotnosť právnej terminológie a jej konzistentné používanie v právnom poriadku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CLXXXVI vlastného materiálu</w:t>
              <w:br/>
            </w:r>
            <w:r>
              <w:rPr>
                <w:b w:val="off"/>
                <w:color w:val="000000"/>
                <w:rFonts w:ascii="Times New Roman" w:hAnsi="Times New Roman" w:cs="Times New Roman" w:eastAsia="Times New Roman"/>
                <w:sz w:val="24"/>
              </w:rPr>
              <w:t xml:space="preserve">V čl. CLXXXVI  vlastného materiálu navrhujeme doplniť novelizáciu zákona č. 157/2018 Z. z. o metrológii a o zmene a doplnení niektorých zákonov v znení neskorších predpisov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písm. an) sa slovo „uzatvorenú“ nahrádza slovom „uzavretú“.</w:t>
              <w:br/>
            </w:r>
            <w:r>
              <w:rPr>
                <w:b w:val="off"/>
                <w:color w:val="000000"/>
                <w:rFonts w:ascii="Times New Roman" w:hAnsi="Times New Roman" w:cs="Times New Roman" w:eastAsia="Times New Roman"/>
                <w:sz w:val="24"/>
              </w:rPr>
              <w:t>V § 30 ods. 2 písm. g) sa slovo „uzatvoreným“ nahrádza slovom „uzavretým“.</w:t>
              <w:br/>
            </w:r>
            <w:r>
              <w:rPr>
                <w:b w:val="off"/>
                <w:color w:val="000000"/>
                <w:rFonts w:ascii="Times New Roman" w:hAnsi="Times New Roman" w:cs="Times New Roman" w:eastAsia="Times New Roman"/>
                <w:sz w:val="24"/>
              </w:rPr>
              <w:t>V § 33 ods. 1 písm. k) sa slovo „uzatvorené“ nahrádza slovom „uzavreté“.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terminologické zjednotenie právnych predpisov s terminológiou používanou v návrhu nového Občianskeho zákonníka, ktorý používa slovné spojenia „uzavretá zmluva“ a „zmluva sa uzaviera“. Cieľom je zabezpečiť jednotnosť právnej terminológie a jej konzistentné používanie v právnom poriadku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CLXVI</w:t>
              <w:br/>
            </w:r>
            <w:r>
              <w:rPr>
                <w:b w:val="off"/>
                <w:color w:val="000000"/>
                <w:rFonts w:ascii="Times New Roman" w:hAnsi="Times New Roman" w:cs="Times New Roman" w:eastAsia="Times New Roman"/>
                <w:sz w:val="24"/>
              </w:rPr>
              <w:t xml:space="preserve">V čl. CLXVI sa vkladá bod 16, ktorý znie: </w:t>
              <w:br/>
            </w:r>
            <w:r>
              <w:rPr>
                <w:b w:val="off"/>
                <w:color w:val="000000"/>
                <w:rFonts w:ascii="Times New Roman" w:hAnsi="Times New Roman" w:cs="Times New Roman" w:eastAsia="Times New Roman"/>
                <w:sz w:val="24"/>
              </w:rPr>
              <w:t>„Za § 187y sa vkladá § 187z,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187z</w:t>
              <w:br/>
            </w:r>
            <w:r>
              <w:rPr>
                <w:b w:val="off"/>
                <w:color w:val="000000"/>
                <w:rFonts w:ascii="Times New Roman" w:hAnsi="Times New Roman" w:cs="Times New Roman" w:eastAsia="Times New Roman"/>
                <w:sz w:val="24"/>
              </w:rPr>
              <w:t>Prechodné ustanovenia k úpravám účinným od 1. júla 2027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Práva a povinnosti zo zmluvy uzavretej postupom zadávania zákazky alebo postupom zadávania koncesie, pri ktorej bolo oznámenie o vyhlásení verejného obstarávania, oznámenie použité ako výzva na súťaž alebo výzva na predkladanie ponúk odoslané na uverejnenie do 30. júna 2027, vrátane práv a povinností z porušenia zmluvy, sa riadia podľa predpisov účinných do 30. júna 2027, pokiaľ verejný obstarávateľ alebo obstarávateľ neurčí inak. </w:t>
              <w:br/>
            </w:r>
            <w:r>
              <w:rPr>
                <w:b w:val="off"/>
                <w:color w:val="000000"/>
                <w:rFonts w:ascii="Times New Roman" w:hAnsi="Times New Roman" w:cs="Times New Roman" w:eastAsia="Times New Roman"/>
                <w:sz w:val="24"/>
              </w:rPr>
              <w:t xml:space="preserve">(2)	 Práva a povinnosti zo zmluvy uzavretej postupom zadávania zákazky preukázateľne začatom do 30. júna 2027, pri ktorom sa podľa predpisov účinných do 30. júna 2027 nevyžadovalo oznámenie o vyhlásení verejného obstarávania, oznámenie použité ako výzva na súťaž alebo výzva na predkladanie ponúk, vrátane práv a povinností z porušenia zmluvy, sa riadia podľa predpisov účinných do 30. júna 2027, pokiaľ verejný obstarávateľ alebo obstarávateľ neurčí inak. </w:t>
              <w:br/>
            </w:r>
            <w:r>
              <w:rPr>
                <w:b w:val="off"/>
                <w:color w:val="000000"/>
                <w:rFonts w:ascii="Times New Roman" w:hAnsi="Times New Roman" w:cs="Times New Roman" w:eastAsia="Times New Roman"/>
                <w:sz w:val="24"/>
              </w:rPr>
              <w:t>(3)	 Práva a povinnosti zo zmluvy uzavretej na základe zadávania zákazky v rámci dynamického nákupného systému, ktoré bolo preukázateľne začaté do 30. júna 2027, vrátane práv a povinností z porušenia tejto zmluvy, sa riadia podľa predpisov účinných do 30. júna 2027, pokiaľ verejný obstarávateľ alebo obstarávateľ neurčí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osobitosť a dlhodobosť procesov verejného obstarávania, v ktorých sa vyžaduje, aby spravidla už súťažné podklady obsahovali návrh zmluvy, je potrebné doplniť absentujúce prechodné ustanovenia riešiace predovšetkým situáciu, ak podkladom postupu verejného obstarávania vyhláseného pred účinnosťou nového Občianskeho zákonníka je návrh zmluvy pripravený podľa platnej právnej úpravy, ku ktorého podpisu však vplyvom krokov vo verejnom obstarávaní má dôjsť až po účinnosti nového Občianskeho zákonníka. Návrh prechodných ustanovení rieši situáciu, ak bude verejné obstarávanie vyhlásené pred účinnosťou nového Občianskeho zákonníka a súčasťou súťažných podkladov bude záväzný návrh zmluvy podľa starého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CLXXVII, bod 37, § 175</w:t>
              <w:br/>
            </w:r>
            <w:r>
              <w:rPr>
                <w:b w:val="off"/>
                <w:color w:val="000000"/>
                <w:rFonts w:ascii="Times New Roman" w:hAnsi="Times New Roman" w:cs="Times New Roman" w:eastAsia="Times New Roman"/>
                <w:sz w:val="24"/>
              </w:rPr>
              <w:t>V znení § 175 navrhujeme nahradiť slovo „len“ slovom „aj“ a vypustiť slová „a podľa § 75 ods. 3, § 130a ods. 1 písm. b), § 193 ods. 2 a § 240 ods. 9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navrhovanej úpravy je upraviť možnosť preklúzie aj v prípadoch, ktoré by mohli vzniknúť na základe aplikácie častí Občianskeho zákonníka, ktoré sa majú podľa navrhovaného znenia § 172 zákona o štátnej službe primerane použiť na štátnozamestnanecké vzťahy. Výslovný odkaz na ustanovenia Zákonníka práce je v tomto kontexte, obdobne ako podľa súčasnej úpravy, nadbytočný.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a dôvodovej správe, za Čl. CCVIII navrhujeme vložiť nový Čl. CCIX a nasledujúce články prečíslovať</w:t>
              <w:br/>
            </w:r>
            <w:r>
              <w:rPr>
                <w:b w:val="off"/>
                <w:color w:val="000000"/>
                <w:rFonts w:ascii="Times New Roman" w:hAnsi="Times New Roman" w:cs="Times New Roman" w:eastAsia="Times New Roman"/>
                <w:sz w:val="24"/>
              </w:rPr>
              <w:t>Navrhujeme za Čl. CCVIII vložiť nový Čl. CCIX v znení:</w:t>
              <w:br/>
            </w:r>
            <w:r>
              <w:rPr>
                <w:b w:val="off"/>
                <w:color w:val="000000"/>
                <w:rFonts w:ascii="Times New Roman" w:hAnsi="Times New Roman" w:cs="Times New Roman" w:eastAsia="Times New Roman"/>
                <w:sz w:val="24"/>
              </w:rPr>
              <w:t>Čl. CCIX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99/2024 Z. z.  o centrálnom informačnom systéme štátnej služby a o zmene a doplnení zákona č. 55/2017 Z. z. o štátnej službe a o zmene a doplnení niektorých zákonov v znení neskorších predpisov v znení zákona č. 154/2025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 ods. 2 prvej vete sa slovo „vykonanie“ nahrádza slovom „uskutočnenie“.</w:t>
              <w:br/>
            </w:r>
            <w:r>
              <w:rPr>
                <w:b w:val="off"/>
                <w:color w:val="000000"/>
                <w:rFonts w:ascii="Times New Roman" w:hAnsi="Times New Roman" w:cs="Times New Roman" w:eastAsia="Times New Roman"/>
                <w:sz w:val="24"/>
              </w:rPr>
              <w:t xml:space="preserve">2.	V § 14 ods. 3 sa pred slovo „spôsobilosti“  vkladá slovo „plnej“ a vypúšťajú sa slová „v plnom rozsahu“. </w:t>
              <w:br/>
            </w:r>
            <w:r>
              <w:rPr>
                <w:b w:val="off"/>
                <w:color w:val="000000"/>
                <w:rFonts w:ascii="Times New Roman" w:hAnsi="Times New Roman" w:cs="Times New Roman" w:eastAsia="Times New Roman"/>
                <w:sz w:val="24"/>
              </w:rPr>
              <w:t>3.	V § 19 ods. 3 písm. b) sa slovo „vykonávaných“ nahrádza slovom „uskutočňovaných“.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navrhujeme nasledujúce články prečíslovať a doplniť osobitnú časť dôvodovej správy o nový čl. CCIX s textom, ktorý uvádzame v odôvodnení tejto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Legislatívno-technické zmeny v zákone č. 99/2024 Z. z. o centrálnom informačnom systéme štátnej služby a o zmene a doplnení zákona č. 55/2017 Z. z. o štátnej službe a o zmene a doplnení niektorých zákonov v znení neskorších predpisov v znení zákona č. 154/2025 Z. z. súvisia so zosúladením terminológie používanej v tomto zákone s terminológiou zavádzanou novým Občianskym zákonníkom v oblasti uskutočňovania právnych úkonov a plnej spôsobilosti na právne úkony. Cieľom navrhovaných zmien je zabezpečiť terminologickú jednotnosť a konzistentnosť právnej úpravy, a to aj vo vzťahu k terminológii používanej v centrálnom informačnom systéme štátnej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CLXVI</w:t>
              <w:br/>
            </w:r>
            <w:r>
              <w:rPr>
                <w:b w:val="off"/>
                <w:color w:val="000000"/>
                <w:rFonts w:ascii="Times New Roman" w:hAnsi="Times New Roman" w:cs="Times New Roman" w:eastAsia="Times New Roman"/>
                <w:sz w:val="24"/>
              </w:rPr>
              <w:t xml:space="preserve">Navrhujeme v čl. CLXVI pred doterajší bod 1 vložiť nový novelizačný bod 1, ktorý znie: „1. V § 1 sa odsek 2 dopĺňa písmenom aj), ktoré znie: „aj) zákazku zadávanú Úradom pre správu zaisteného majetku pri výkone oprávnení súvisiacich so správou zaisteného majetku podľa osobitného predpisu.11a)“. Poznámka pod čiarou k odkazu 11a znie: „11a) § 11 ods. 2 a § 13 ods. 3, 5 a 6 zákona č. 312/2020 Z. z. o výkone rozhodnutia o zaistení majetku a správe zaisteného majetku a o zmene a doplnení niektorých zákonov v znení neskorších predpisov.“. Doterajšie body 1 až 15 sa označujú ako body 2 až 16. Zároveň navrhujeme v úvodnej vete čl. CLXVI slová „sa mení takto“ nahradiť slovami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reaguje na novú úpravu zákonného zastúpenia v Občianskom zákonníku, najmä na § 104 ods. 2 a § 105 a 106 zákona č. 260/2026 Z. z. Občiansky zákonník. Cieľom je výslovne upraviť postavenie zákaziek súvisiacich s výkonom zákonných oprávnení Úradu pre správu zaisteného majetku (ďalej len „úrad“) pri správe cudzieho majetku a odstrániť výkladové pochybnosti o uplatňovaní zákona o verejnom obstarávaní na tieto právne vzťahy.</w:t>
              <w:br/>
            </w:r>
            <w:r>
              <w:rPr>
                <w:b w:val="off"/>
                <w:color w:val="000000"/>
                <w:rFonts w:ascii="Times New Roman" w:hAnsi="Times New Roman" w:cs="Times New Roman" w:eastAsia="Times New Roman"/>
                <w:sz w:val="24"/>
              </w:rPr>
              <w:t>Podľa § 11 ods. 2 a § 13 ods. 3, 5 a 6 zákona č. 312/2020 Z. z. úrad v zákonom vymedzenom rozsahu vykonáva práva a povinnosti spojené so zaisteným majetkom a uskutočňuje úkony potrebné na jeho riadnu správu a ochranu. Právny základ tohto konania vyplýva zo zákona v spojení s rozhodnutím príslušného orgánu o zaistení majetku; jeho účelom je zabezpečiť správu majetku počas obmedzenia dispozičných oprávnení dotknutej osoby.</w:t>
              <w:br/>
            </w:r>
            <w:r>
              <w:rPr>
                <w:b w:val="off"/>
                <w:color w:val="000000"/>
                <w:rFonts w:ascii="Times New Roman" w:hAnsi="Times New Roman" w:cs="Times New Roman" w:eastAsia="Times New Roman"/>
                <w:sz w:val="24"/>
              </w:rPr>
              <w:t>Už v súčasnosti je verejným obstarávateľom podľa § 7 zákona č. 343/2015 Z. z. okrem iného Slovenská republika zastúpená svojimi orgánmi, a teda aj úrad pri obstarávaní tovarov a služieb pre vlastnú potrebu. Úrad však nie je verejným obstarávateľom v prípadoch, keď koná a obstaráva v súvislosti s konkrétnym zaisteným majetkom dotknutej osoby. Toto postavenie úradu pre vlastnú prevádzku je potrebné odlišovať od jeho konania v zastúpení dotknutej osoby. Pri zmluvách, ktoré úrad uzatvára v jej mene v súvislosti so správou konkrétneho zaisteného majetku, je zmluvnou stranou dotknutá osoba, ktorej zo zmluvy vznikajú práva a povinnosti. Táto osoba spravidla nemá postavenie verejného obstarávateľa a samotným zastupovaním úradom ho nenadobúda. Z uvedeného rozlíšenia vychádza aj doterajšia aplikačná prax úradu pri posudzovaní pôsobnosti zákona č. 343/2015 Z. z.</w:t>
              <w:br/>
            </w:r>
            <w:r>
              <w:rPr>
                <w:b w:val="off"/>
                <w:color w:val="000000"/>
                <w:rFonts w:ascii="Times New Roman" w:hAnsi="Times New Roman" w:cs="Times New Roman" w:eastAsia="Times New Roman"/>
                <w:sz w:val="24"/>
              </w:rPr>
              <w:t>V súčasnosti náklady potrebné na riadny výkon správy podľa § 16 zákona č. 312/2020 Z. z. hradí úrad, čím plní osobitnú zákonnú povinnosť, pričom však samotná úhrada nákladov nemení totožnosť zmluvnej strany. Článok 20 ods. 5 smernice Európskeho parlamentu a Rady (EÚ) 2024/1260 o vymáhaní majetku a konfiškácii navyše umožňuje členským štátom ustanoviť, aby náklady na správu zaisteného majetku aspoň čiastočne znášal konečný užívateľ výhod. Ich úhrada štátom tak nemusí predstavovať konečné znášanie týchto nákladov. Navrhovaná úprava má zohľadniť uvedené osobitosti, výslovne vymedziť režim týchto zákaziek a odstrániť prípadné výkladové pochybnosti.</w:t>
              <w:br/>
            </w:r>
            <w:r>
              <w:rPr>
                <w:b w:val="off"/>
                <w:color w:val="000000"/>
                <w:rFonts w:ascii="Times New Roman" w:hAnsi="Times New Roman" w:cs="Times New Roman" w:eastAsia="Times New Roman"/>
                <w:sz w:val="24"/>
              </w:rPr>
              <w:t>Zaistený majetok je druhovo a hodnotovo rôznorodý a vyžaduje odlišné odborné, technické a bezpečnostné postupy. Úrad nemôže spoľahlivo vopred určiť, aký majetok, v akom rozsahu, na akom mieste a na aký čas bude zaistený a odovzdaný do jeho správy. Potreba konkrétneho plnenia vzniká spravidla ad hoc v nadväznosti na rozhodnutia príslušných orgánov, ktorých načasovanie úrad neovplyvňuje. Môže ísť najmä o bezodkladnú prepravu, uskladnenie, ochranu, údržbu alebo odborné ošetrenie konkrétneho majetku. Časová náročnosť zabezpečenia týchto plnení môže priamo ovplyvniť zachovanie jeho hodnoty a vznik ďalších nákladov alebo škody.</w:t>
              <w:br/>
            </w:r>
            <w:r>
              <w:rPr>
                <w:b w:val="off"/>
                <w:color w:val="000000"/>
                <w:rFonts w:ascii="Times New Roman" w:hAnsi="Times New Roman" w:cs="Times New Roman" w:eastAsia="Times New Roman"/>
                <w:sz w:val="24"/>
              </w:rPr>
              <w:t>Osobitné zohľadnenie si vyžaduje ochrana bezpečnostne citlivých informácií. Zverejnenie podrobností o plnení môže odhaliť miesto uloženia zaisteného majetku, režim jeho prepravy alebo spôsob jeho ochrany a zvýšiť riziko odcudzenia, poškodenia či zmarenia účelu zaistenia. Úrad pri uvedených zmluvách uzavieraných v zastúpení dotknutej osoby v doterajšej praxi vychádza z toho, že nejde o jeho vlastné povinne zverejňované zmluvy, a z tohto dôvodu ich nezverejňuje. Pri správe zaisteného majetku je zároveň potrebné zachovať dôvernosť chránených údajov v rozsahu dovolenom osobitnými predpismi.</w:t>
              <w:br/>
            </w:r>
            <w:r>
              <w:rPr>
                <w:b w:val="off"/>
                <w:color w:val="000000"/>
                <w:rFonts w:ascii="Times New Roman" w:hAnsi="Times New Roman" w:cs="Times New Roman" w:eastAsia="Times New Roman"/>
                <w:sz w:val="24"/>
              </w:rPr>
              <w:t>Navrhovaná výnimka sa nedotýka povinnosti úradu hospodáriť s verejnými prostriedkami hospodárne, efektívne a účinne. Úrad zostáva viazaný najmä § 19 ods. 1 a 6 zákona č. 523/2004 Z. z. o rozpočtových pravidlách verejnej správy a o zmene a doplnení niektorých zákonov v znení neskorších predpisov, zákonom o štátnom rozpočte na príslušný rozpočtový rok a pravidlami finančnej kontroly podľa zákona č. 357/2015 Z. z. o finančnej kontrole a audite a o zmene a doplnení niektorých zákonov v znení neskorších predpisov. Zachovaná zostáva aj povinnosť postupovať s odbornou starostlivosťou podľa § 11 ods. 2 zákona č. 312/2020 Z. z. a preukazovať účel a primeranosť vynaložených výdavkov.</w:t>
              <w:br/>
            </w:r>
            <w:r>
              <w:rPr>
                <w:b w:val="off"/>
                <w:color w:val="000000"/>
                <w:rFonts w:ascii="Times New Roman" w:hAnsi="Times New Roman" w:cs="Times New Roman" w:eastAsia="Times New Roman"/>
                <w:sz w:val="24"/>
              </w:rPr>
              <w:t>Výnimka je navrhovaná pre zákazky vecne súvisiace s konkrétnym zaisteným majetkom a s výkonom zákonných oprávnení úradu. Obstarávanie tovarov, stavebných prác a služieb na zabezpečenie bežnej prevádzky úradu naďalej podlieha všeobecnému režimu verejného obstarávania.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za článok CXCIV vložiť nový článok CXCV, ktorý znie:</w:t>
              <w:br/>
            </w:r>
            <w:r>
              <w:rPr>
                <w:b w:val="off"/>
                <w:color w:val="000000"/>
                <w:rFonts w:ascii="Times New Roman" w:hAnsi="Times New Roman" w:cs="Times New Roman" w:eastAsia="Times New Roman"/>
                <w:sz w:val="24"/>
              </w:rPr>
              <w:t>„Čl. CXCV</w:t>
              <w:br/>
            </w:r>
            <w:r>
              <w:rPr>
                <w:b w:val="off"/>
                <w:color w:val="000000"/>
                <w:rFonts w:ascii="Times New Roman" w:hAnsi="Times New Roman" w:cs="Times New Roman" w:eastAsia="Times New Roman"/>
                <w:sz w:val="24"/>
              </w:rPr>
              <w:t>Zákon č. 312/2020 Z. z. o výkone rozhodnutia o zaistení majetku a správe zaisteného majetku a o zmene a doplnení niektorých zákonov v znení zákona č. 248/2024 Z. z. sa mení a dopĺňa takto:</w:t>
              <w:br/>
            </w:r>
            <w:r>
              <w:rPr>
                <w:b w:val="off"/>
                <w:color w:val="000000"/>
                <w:rFonts w:ascii="Times New Roman" w:hAnsi="Times New Roman" w:cs="Times New Roman" w:eastAsia="Times New Roman"/>
                <w:sz w:val="24"/>
              </w:rPr>
              <w:t>1.	V § 11 ods. 2 sa na konci pripája táto veta: „Pri právnych úkonoch súvisiacich so správou zaisteného majetku a pri úkonoch podľa § 13 ods. 3 a 5 úrad v rozsahu svojich oprávnení podľa tohto zákona volí podľa povahy úkonu a účelu správy, či koná vo vlastnom mene alebo v mene dotknutej osoby.“.</w:t>
              <w:br/>
            </w:r>
            <w:r>
              <w:rPr>
                <w:b w:val="off"/>
                <w:color w:val="000000"/>
                <w:rFonts w:ascii="Times New Roman" w:hAnsi="Times New Roman" w:cs="Times New Roman" w:eastAsia="Times New Roman"/>
                <w:sz w:val="24"/>
              </w:rPr>
              <w:t>2.	V § 13 ods. 5 štvrtej vete sa slová „ktorá slúži na prenájom“ nahrádzajú slovami „ktorú možno prenajať“.“.</w:t>
              <w:br/>
            </w:r>
            <w:r>
              <w:rPr>
                <w:b w:val="off"/>
                <w:color w:val="000000"/>
                <w:rFonts w:ascii="Times New Roman" w:hAnsi="Times New Roman" w:cs="Times New Roman" w:eastAsia="Times New Roman"/>
                <w:sz w:val="24"/>
              </w:rPr>
              <w:t>Nasledujúce články navrhujeme náležite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11 ods. 2 v nadväznosti na novú úpravu zastúpenia v Občianskom zákonníku výslovne upravuje možnosť úradu zvoliť, či pri správe zaisteného majetku koná vo vlastnom mene alebo v mene dotknutej osoby. Voľba spôsobu konania sa viaže na povahu úkonu, účel správy a rozsah zákonných oprávnení úradu. Cieľom je odstrániť výkladové pochybnosti o postavení úradu pri jednotlivých úkonoch a posilniť právnu istotu dotknutej osoby aj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Aplikačná prax poukázala na výkladové nejasnosti doterajšej formulácie § 13 ods. 5, cit.: „nehnuteľnosť, ktorá slúži na prenájom“. Nie je jednoznačné, či je rozhodujúce účelové určenie a doterajšie využívanie nehnuteľnosti alebo existencia nájomného vzťahu v čase jej zaistenia. Nejasnosti vznikajú napríklad pri nehnuteľnosti, ktorá bola pred zaistením prenajímaná a dotknutá osoba má záujem na pokračovaní takéhoto využívania, avšak v čase zaistenia dočasne nebola prenajatá. Reštriktívny výklad môže v takýchto prípadoch brániť prenájmu nehnuteľnosti napriek tomu, že jej právny a faktický stav prenájom umožňuje. Tým sa obmedzuje získavanie plodov a úžitkov zo zaisteného majetku, najmä príjmov z nájomného, a sťažuje napĺňanie účelu správy podľa § 11 ods. 1, ktorý zahŕňa aj zabezpečenie očakávaného zvýšenia hodnoty zaisteného majetku. Navrhovaná zmena preto výslovne umožní prenajímať aj zaistené nehnuteľnosti, ktoré v čase zaistenia neboli prenajaté alebo dosiaľ neslúžili na prenájom, ak ich možno prenajať. Odstráni tak výkladové pochybnosti a vytvorí podmienky na účelné využívanie nehnuteľností a dosahovanie výnosov počas výkonu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LXIV</w:t>
              <w:br/>
            </w:r>
            <w:r>
              <w:rPr>
                <w:b w:val="off"/>
                <w:color w:val="000000"/>
                <w:rFonts w:ascii="Times New Roman" w:hAnsi="Times New Roman" w:cs="Times New Roman" w:eastAsia="Times New Roman"/>
                <w:sz w:val="24"/>
              </w:rPr>
              <w:t>V čl. LXIV navrhujeme tieto doplnenia:</w:t>
              <w:br/>
            </w:r>
            <w:r>
              <w:rPr>
                <w:b w:val="off"/>
                <w:color w:val="000000"/>
                <w:rFonts w:ascii="Times New Roman" w:hAnsi="Times New Roman" w:cs="Times New Roman" w:eastAsia="Times New Roman"/>
                <w:sz w:val="24"/>
              </w:rPr>
              <w:t>Za doterajší novelizačný bod 1 navrhujeme vložiť nový novelizačný bod 2, ktorý znie:</w:t>
              <w:br/>
            </w:r>
            <w:r>
              <w:rPr>
                <w:b w:val="off"/>
                <w:color w:val="000000"/>
                <w:rFonts w:ascii="Times New Roman" w:hAnsi="Times New Roman" w:cs="Times New Roman" w:eastAsia="Times New Roman"/>
                <w:sz w:val="24"/>
              </w:rPr>
              <w:t>2. § 3 sa dopĺňa odsekom 10, ktorý znie:</w:t>
              <w:br/>
            </w:r>
            <w:r>
              <w:rPr>
                <w:b w:val="off"/>
                <w:color w:val="000000"/>
                <w:rFonts w:ascii="Times New Roman" w:hAnsi="Times New Roman" w:cs="Times New Roman" w:eastAsia="Times New Roman"/>
                <w:sz w:val="24"/>
              </w:rPr>
              <w:t>„(10) Bez predchádzajúceho písomného súhlasu Úradu pre správu zaisteného majetku nemožno dražiť zaistenú vec, ktorú tento úrad spravuje podľa osobitného predpisu.³ᵃ) Súhlas sa nevyžaduje, ak je navrhovateľom dražby tento úrad alebo ide o predaj podľa osobitného predpisu.³ᵇ) Tým nie sú dotknuté zákazy a obmedzenia nakladania so zaisteným majetkom podľa osobitných predpisov³ᶜ) ani povinnosť získať súhlas príslušného orgánu podľa týchto predpisov.“.</w:t>
              <w:br/>
            </w:r>
            <w:r>
              <w:rPr>
                <w:b w:val="off"/>
                <w:color w:val="000000"/>
                <w:rFonts w:ascii="Times New Roman" w:hAnsi="Times New Roman" w:cs="Times New Roman" w:eastAsia="Times New Roman"/>
                <w:sz w:val="24"/>
              </w:rPr>
              <w:t>Poznámky pod čiarou k odkazom 3a až 3c znejú:</w:t>
              <w:br/>
            </w:r>
            <w:r>
              <w:rPr>
                <w:b w:val="off"/>
                <w:color w:val="000000"/>
                <w:rFonts w:ascii="Times New Roman" w:hAnsi="Times New Roman" w:cs="Times New Roman" w:eastAsia="Times New Roman"/>
                <w:sz w:val="24"/>
              </w:rPr>
              <w:t>„3a)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3b) § 17 zákona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3c) Napríklad § 96a ods. 3 písm. a) a ods. 6 a § 98a ods. 1 a 2 zákona č. 301/2005 Z. z. Trestný poriadok v znení neskorších predpisov, § 3 ods. 4 zákona č. 312/2020 Z. z.“.</w:t>
              <w:br/>
            </w:r>
            <w:r>
              <w:rPr>
                <w:b w:val="off"/>
                <w:color w:val="000000"/>
                <w:rFonts w:ascii="Times New Roman" w:hAnsi="Times New Roman" w:cs="Times New Roman" w:eastAsia="Times New Roman"/>
                <w:sz w:val="24"/>
              </w:rPr>
              <w:t>Doterajšie novelizačné body sa náležite prečíslujú.</w:t>
              <w:br/>
            </w:r>
            <w:r>
              <w:rPr>
                <w:b w:val="off"/>
                <w:color w:val="000000"/>
                <w:rFonts w:ascii="Times New Roman" w:hAnsi="Times New Roman" w:cs="Times New Roman" w:eastAsia="Times New Roman"/>
                <w:sz w:val="24"/>
              </w:rPr>
              <w:t>Za doterajší novelizačný bod 7 navrhujeme vložiť nové novelizačné body 9 a 10, ktoré znejú:</w:t>
              <w:br/>
            </w:r>
            <w:r>
              <w:rPr>
                <w:b w:val="off"/>
                <w:color w:val="000000"/>
                <w:rFonts w:ascii="Times New Roman" w:hAnsi="Times New Roman" w:cs="Times New Roman" w:eastAsia="Times New Roman"/>
                <w:sz w:val="24"/>
              </w:rPr>
              <w:t>9. V § 17 sa odsek 5 dopĺňa písmenom j), ktoré znie:</w:t>
              <w:br/>
            </w:r>
            <w:r>
              <w:rPr>
                <w:b w:val="off"/>
                <w:color w:val="000000"/>
                <w:rFonts w:ascii="Times New Roman" w:hAnsi="Times New Roman" w:cs="Times New Roman" w:eastAsia="Times New Roman"/>
                <w:sz w:val="24"/>
              </w:rPr>
              <w:t>„j) Úradu pre správu zaisteného majetku, ak sa na vykonanie dražby vyžaduje jeho súhlas podľa § 3 ods. 10.“.</w:t>
              <w:br/>
            </w:r>
            <w:r>
              <w:rPr>
                <w:b w:val="off"/>
                <w:color w:val="000000"/>
                <w:rFonts w:ascii="Times New Roman" w:hAnsi="Times New Roman" w:cs="Times New Roman" w:eastAsia="Times New Roman"/>
                <w:sz w:val="24"/>
              </w:rPr>
              <w:t>10. V § 19 ods. 1 písm. d) sa slová „v § 13 a 17“ nahrádzajú slovami „v § 3, 13 a 17“.</w:t>
              <w:br/>
            </w:r>
            <w:r>
              <w:rPr>
                <w:b w:val="off"/>
                <w:color w:val="000000"/>
                <w:rFonts w:ascii="Times New Roman" w:hAnsi="Times New Roman" w:cs="Times New Roman" w:eastAsia="Times New Roman"/>
                <w:sz w:val="24"/>
              </w:rPr>
              <w:t>Za doterajší novelizačný bod 8 navrhujeme vložiť nový novelizačný bod 12, ktorý znie:</w:t>
              <w:br/>
            </w:r>
            <w:r>
              <w:rPr>
                <w:b w:val="off"/>
                <w:color w:val="000000"/>
                <w:rFonts w:ascii="Times New Roman" w:hAnsi="Times New Roman" w:cs="Times New Roman" w:eastAsia="Times New Roman"/>
                <w:sz w:val="24"/>
              </w:rPr>
              <w:t>12. § 25 sa dopĺňa odsekom 7, ktorý znie:</w:t>
              <w:br/>
            </w:r>
            <w:r>
              <w:rPr>
                <w:b w:val="off"/>
                <w:color w:val="000000"/>
                <w:rFonts w:ascii="Times New Roman" w:hAnsi="Times New Roman" w:cs="Times New Roman" w:eastAsia="Times New Roman"/>
                <w:sz w:val="24"/>
              </w:rPr>
              <w:t>„(7) Ak sa na vykonanie dražby vyžaduje súhlas podľa § 3 ods. 10, náklady dražby možno uhradiť z jej výťažku len s predchádzajúcim písomným súhlasom Úradu pre správu zaisteného majetku a v ním určenom rozsahu; odsek 1 sa nepoužije.“.</w:t>
              <w:br/>
            </w:r>
            <w:r>
              <w:rPr>
                <w:b w:val="off"/>
                <w:color w:val="000000"/>
                <w:rFonts w:ascii="Times New Roman" w:hAnsi="Times New Roman" w:cs="Times New Roman" w:eastAsia="Times New Roman"/>
                <w:sz w:val="24"/>
              </w:rPr>
              <w:t>Za doterajší novelizačný bod 10 navrhujeme vložiť nové novelizačné body 15 a 16, ktoré znejú:</w:t>
              <w:br/>
            </w:r>
            <w:r>
              <w:rPr>
                <w:b w:val="off"/>
                <w:color w:val="000000"/>
                <w:rFonts w:ascii="Times New Roman" w:hAnsi="Times New Roman" w:cs="Times New Roman" w:eastAsia="Times New Roman"/>
                <w:sz w:val="24"/>
              </w:rPr>
              <w:t>15. V § 32 ods. 3 prvej vete sa slová „podľa odseku 1“ nahrádzajú slovami „podľa odseku 1 alebo 5“ a v druhej vete sa slová „do notárskej úschovy“ nahrádzajú slovami „do notárskej úschovy alebo do úschovy Úradu pre správu zaisteného majetku“.</w:t>
              <w:br/>
            </w:r>
            <w:r>
              <w:rPr>
                <w:b w:val="off"/>
                <w:color w:val="000000"/>
                <w:rFonts w:ascii="Times New Roman" w:hAnsi="Times New Roman" w:cs="Times New Roman" w:eastAsia="Times New Roman"/>
                <w:sz w:val="24"/>
              </w:rPr>
              <w:t>16. § 32 sa dopĺňa odsekom 5, ktorý znie:</w:t>
              <w:br/>
            </w:r>
            <w:r>
              <w:rPr>
                <w:b w:val="off"/>
                <w:color w:val="000000"/>
                <w:rFonts w:ascii="Times New Roman" w:hAnsi="Times New Roman" w:cs="Times New Roman" w:eastAsia="Times New Roman"/>
                <w:sz w:val="24"/>
              </w:rPr>
              <w:t>„(5) Ak sa na vykonanie dražby vyžaduje súhlas podľa § 3 ods. 10, dražobník bez zbytočného odkladu po prijatí výťažku dražby zloží celý výťažok po odpočítaní nákladov uhradených podľa § 25 ods. 7 do úschovy Úradu pre správu zaisteného majetku podľa osobitného predpisu,¹⁷ᵇ) ak tento úrad v súlade s účelom zaistenia vopred písomne neurčí inak. Odseky 1 a 2 sa nepoužijú. Zložením výťažku do úschovy nezanikajú nároky na úhradu nákladov dražby ani pohľadávky veriteľov a nemení sa poradie ich uspokojenia.“.</w:t>
              <w:br/>
            </w:r>
            <w:r>
              <w:rPr>
                <w:b w:val="off"/>
                <w:color w:val="000000"/>
                <w:rFonts w:ascii="Times New Roman" w:hAnsi="Times New Roman" w:cs="Times New Roman" w:eastAsia="Times New Roman"/>
                <w:sz w:val="24"/>
              </w:rPr>
              <w:t>Poznámka pod čiarou k odkazu 17b znie:</w:t>
              <w:br/>
            </w:r>
            <w:r>
              <w:rPr>
                <w:b w:val="off"/>
                <w:color w:val="000000"/>
                <w:rFonts w:ascii="Times New Roman" w:hAnsi="Times New Roman" w:cs="Times New Roman" w:eastAsia="Times New Roman"/>
                <w:sz w:val="24"/>
              </w:rPr>
              <w:t>„17b) § 17 ods. 6 zákona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Doterajšie novelizačné body sa náležite prečíslujú.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doplnenia nadväzujú na zmeny zákona o dobrovoľných dražbách súvisiace s novým Občianskym zákonníkom, najmä na úpravu vlastníckeho záložného práva, výkonu záložného práva a nakladania s výťažkom dražby. Ich cieľom je zabezpečiť súlad týchto pravidiel s osobitným režimom zaistenia a správy majetku podľa zákona č. 312/2020 Z. z.</w:t>
              <w:br/>
            </w:r>
            <w:r>
              <w:rPr>
                <w:b w:val="off"/>
                <w:color w:val="000000"/>
                <w:rFonts w:ascii="Times New Roman" w:hAnsi="Times New Roman" w:cs="Times New Roman" w:eastAsia="Times New Roman"/>
                <w:sz w:val="24"/>
              </w:rPr>
              <w:t>Právna úprava už obmedzuje nakladanie so zaisteným majetkom vrátane jeho speňaženia pri výkone záložného práva. Navrhovaná požiadavka predchádzajúceho písomného súhlasu Úradu pre správu zaisteného majetku túto ochranu dopĺňa o posúdenie vplyvu dražby na výkon správy a zachovanie hodnoty zaisteného majetku. Súhlas úradu nenahrádza súhlas predsedu senátu alebo prokurátora vyžadovaný Trestným poriadkom ani súhlas príslušného orgánu podľa iného osobitného predpisu. Výslovne sa zachovávajú aj ostatné zákazy a obmedzenia nakladania so zaisteným majetkom.</w:t>
              <w:br/>
            </w:r>
            <w:r>
              <w:rPr>
                <w:b w:val="off"/>
                <w:color w:val="000000"/>
                <w:rFonts w:ascii="Times New Roman" w:hAnsi="Times New Roman" w:cs="Times New Roman" w:eastAsia="Times New Roman"/>
                <w:sz w:val="24"/>
              </w:rPr>
              <w:t>Požiadavka súhlasu úradu sa vzťahuje na dražby navrhnuté inou osobou mimo režimu predaja podľa § 17 zákona č. 312/2020 Z. z. Nadväzujúce ustanovenia zabezpečujú doručovanie oznámenia o dražbe úradu a povinnosť dražobníka upustiť od dražby pri nesplnení zákonných podmienok.</w:t>
              <w:br/>
            </w:r>
            <w:r>
              <w:rPr>
                <w:b w:val="off"/>
                <w:color w:val="000000"/>
                <w:rFonts w:ascii="Times New Roman" w:hAnsi="Times New Roman" w:cs="Times New Roman" w:eastAsia="Times New Roman"/>
                <w:sz w:val="24"/>
              </w:rPr>
              <w:t>Osobitná úprava nakladania s výťažkom má zabezpečiť, aby peňažná hodnota získaná speňažením zaistenej veci zostala zachovaná na dosiahnutie účelu zaistenia. Výťažok sa preto zloží do úschovy úradu; náklady dražby možno z neho uhradiť iba s predchádzajúcim písomným súhlasom úradu a v ním určenom rozsahu. Možnosť úradu určiť iný postup je viazaná na súlad s účelom zaistenia. Samotným zložením výťažku do úschovy nezanikajú nároky na úhradu nákladov dražby ani pohľadávky veriteľov a nemení sa poradie ich uspokojenia. Zároveň sa upravuje vrátenie výťažku vydražiteľovi pri neplatnosti dražby.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XXIV, novelizačnému bodu 38</w:t>
              <w:br/>
            </w:r>
            <w:r>
              <w:rPr>
                <w:b w:val="off"/>
                <w:color w:val="000000"/>
                <w:rFonts w:ascii="Times New Roman" w:hAnsi="Times New Roman" w:cs="Times New Roman" w:eastAsia="Times New Roman"/>
                <w:sz w:val="24"/>
              </w:rPr>
              <w:t>V čl. XXIV v novelizačnom bode 38 navrhujeme v § 9 ods. 3 na konci pripojiť tieto vety:</w:t>
              <w:br/>
            </w:r>
            <w:r>
              <w:rPr>
                <w:b w:val="off"/>
                <w:color w:val="000000"/>
                <w:rFonts w:ascii="Times New Roman" w:hAnsi="Times New Roman" w:cs="Times New Roman" w:eastAsia="Times New Roman"/>
                <w:sz w:val="24"/>
              </w:rPr>
              <w:t>„Ak je byt alebo nebytový priestor v dome zaistený a jeho správu vykonáva Úrad pre správu zaisteného majetku podľa osobitného predpisu,¹²ᵉᵇ) správca alebo spoločenstvo je povinné bez zbytočného odkladu po tom, ako sa o tejto skutočnosti dozvie, oznámiť tomuto úradu výšku, druh a splatnosť nedoplatkov vlastníka na platbách do fondu prevádzky, údržby a opráv a na zálohách na plnenia vrátane nedoplatkov z ich vyúčtovania. Rovnako postupuje pri vzniku ďalších nedoplatkov počas výkonu správy zaisteného majetku; táto informačná povinnosť sa plní bez ohľadu na výšku nedoplatkov.“.</w:t>
              <w:br/>
            </w:r>
            <w:r>
              <w:rPr>
                <w:b w:val="off"/>
                <w:color w:val="000000"/>
                <w:rFonts w:ascii="Times New Roman" w:hAnsi="Times New Roman" w:cs="Times New Roman" w:eastAsia="Times New Roman"/>
                <w:sz w:val="24"/>
              </w:rPr>
              <w:t>Zároveň navrhujeme doplniť poznámku pod čiarou k odkazu 12eb, ktorá znie:</w:t>
              <w:br/>
            </w:r>
            <w:r>
              <w:rPr>
                <w:b w:val="off"/>
                <w:color w:val="000000"/>
                <w:rFonts w:ascii="Times New Roman" w:hAnsi="Times New Roman" w:cs="Times New Roman" w:eastAsia="Times New Roman"/>
                <w:sz w:val="24"/>
              </w:rPr>
              <w:t>„12eb)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zabezpečuje, aby úrad získaval včasné a konkrétne informácie o nedoplatkoch súvisiacich so spravovaným bytom alebo nebytovým priestorom. Informácie umožnia posúdiť riziko vymáhania pohľadávok a prijať opatrenia na ochranu zaisteného majetku v rozsahu zákonných oprávnení úradu. Informačná povinnosť sa vzťahuje na existujúce aj novovzniknuté nedoplatky a nie je podmienená dosiahnutím hranice určenej na zverejnenie zoznamu dlžníkov. Jej zavedením sa na úrad neprenášajú dlhy vlastníka.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V čl. XXIV za doterajší novelizačný bod 47 navrhujeme vložiť nový novelizačný bod 48, ktorý znie:</w:t>
              <w:br/>
            </w:r>
            <w:r>
              <w:rPr>
                <w:b w:val="off"/>
                <w:color w:val="000000"/>
                <w:rFonts w:ascii="Times New Roman" w:hAnsi="Times New Roman" w:cs="Times New Roman" w:eastAsia="Times New Roman"/>
                <w:sz w:val="24"/>
              </w:rPr>
              <w:t>„48. V § 14a ods. 2 sa na konci pripája táto veta:</w:t>
              <w:br/>
            </w:r>
            <w:r>
              <w:rPr>
                <w:b w:val="off"/>
                <w:color w:val="000000"/>
                <w:rFonts w:ascii="Times New Roman" w:hAnsi="Times New Roman" w:cs="Times New Roman" w:eastAsia="Times New Roman"/>
                <w:sz w:val="24"/>
              </w:rPr>
              <w:t>„Ak je byt alebo nebytový priestor v dome zaistený a jeho správu vykonáva Úrad pre správu zaisteného majetku podľa osobitného predpisu,¹⁵ᵃᵃᵃ) ten, kto zvoláva schôdzu vlastníkov alebo vyhlasuje písomné hlasovanie, je povinný doručiť oznámenie aj tomuto úradu v lehote podľa prvej vety a spôsobom podľa druhej vety.“.</w:t>
              <w:br/>
            </w:r>
            <w:r>
              <w:rPr>
                <w:b w:val="off"/>
                <w:color w:val="000000"/>
                <w:rFonts w:ascii="Times New Roman" w:hAnsi="Times New Roman" w:cs="Times New Roman" w:eastAsia="Times New Roman"/>
                <w:sz w:val="24"/>
              </w:rPr>
              <w:t>Poznámka pod čiarou k odkazu 15aaa znie:</w:t>
              <w:br/>
            </w:r>
            <w:r>
              <w:rPr>
                <w:b w:val="off"/>
                <w:color w:val="000000"/>
                <w:rFonts w:ascii="Times New Roman" w:hAnsi="Times New Roman" w:cs="Times New Roman" w:eastAsia="Times New Roman"/>
                <w:sz w:val="24"/>
              </w:rPr>
              <w:t>„15aaa)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Nasledujúce novelizačné body sa náležite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vykonáva práva súvisiace so zaisteným majetkom v rozsahu oprávnení podľa zákona č. 312/2020 Z. z. Včasné doručenie oznámenia mu umožní posúdiť potrebu účasti na rozhodovaní vlastníkov a uplatnenia príslušných práv na ochranu spravovaného majetku, najmä pri rozhodovaní o opravách, investíciách a finančných záväzkoch súvisiacich s domom. Povinnosť sa vzťahuje aj na písomné hlasovanie a na všetky osoby oprávnené zvolať schôdzu alebo vyhlásiť hlasovanie. Samotné doručenie oznámenia nezakladá úradu postavenie vlastníka ani nerozširuje jeho oprávnenia.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V čl. XXIV za doterajší novelizačný bod 41 navrhujeme vložiť nový novelizačný bod 42, ktorý znie:</w:t>
              <w:br/>
            </w:r>
            <w:r>
              <w:rPr>
                <w:b w:val="off"/>
                <w:color w:val="000000"/>
                <w:rFonts w:ascii="Times New Roman" w:hAnsi="Times New Roman" w:cs="Times New Roman" w:eastAsia="Times New Roman"/>
                <w:sz w:val="24"/>
              </w:rPr>
              <w:t>„42. § 9 sa dopĺňa odsekom 7, ktorý znie:</w:t>
              <w:br/>
            </w:r>
            <w:r>
              <w:rPr>
                <w:b w:val="off"/>
                <w:color w:val="000000"/>
                <w:rFonts w:ascii="Times New Roman" w:hAnsi="Times New Roman" w:cs="Times New Roman" w:eastAsia="Times New Roman"/>
                <w:sz w:val="24"/>
              </w:rPr>
              <w:t>„(7) Správca alebo spoločenstvo môže podať návrh na vykonanie dobrovoľnej dražby¹²ᵃᶜ) bytu alebo nebytového priestoru v dome, ktorý je zaistený a ktorého správu vykonáva Úrad pre správu zaisteného majetku podľa osobitného predpisu,¹²ᵍᵃ) len s predchádzajúcim písomným súhlasom tohto úradu. Tým nie sú dotknuté zákazy a obmedzenia nakladania so zaisteným majetkom ani povinnosť získať súhlas príslušného orgánu podľa osobitných predpisov.¹²ᵍᵇ)“.".</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12ga a 12gb znejú:</w:t>
              <w:br/>
            </w:r>
            <w:r>
              <w:rPr>
                <w:b w:val="off"/>
                <w:color w:val="000000"/>
                <w:rFonts w:ascii="Times New Roman" w:hAnsi="Times New Roman" w:cs="Times New Roman" w:eastAsia="Times New Roman"/>
                <w:sz w:val="24"/>
              </w:rPr>
              <w:t>„12ga)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12gb) Napríklad § 96a ods. 3 písm. a) a ods. 6 a § 98a ods. 1 a 2 zákona č. 301/2005 Z. z. Trestný poriadok v znení neskorších predpisov, § 3 ods. 4 zákona č. 312/2020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sa náležite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nadväzuje na nové pravidlá zabezpečenia pohľadávok súvisiacich so správou domu podľa Občianskeho zákonníka a na navrhované doplnenie zákona o dobrovoľných dražbách. Zabezpečuje zapojenie úradu už pred podaním návrhu na dražbu, aby mohol posúdiť jej vplyv na výkon správy a dosiahnutie účelu zaistenia. Predchádza sa tým začatiu prípravy dražby a vzniku súvisiacich nákladov bez predchádzajúceho súhlasu úradu. Tento súhlas dopĺňa existujúce obmedzenia nakladania so zaisteným majetkom a nenahrádza súhlas prokurátora, predsedu senátu alebo iného príslušného orgánu vyžadovaný osobitnými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w:t>
              <w:br/>
            </w:r>
            <w:r>
              <w:rPr>
                <w:b w:val="off"/>
                <w:color w:val="000000"/>
                <w:rFonts w:ascii="Times New Roman" w:hAnsi="Times New Roman" w:cs="Times New Roman" w:eastAsia="Times New Roman"/>
                <w:sz w:val="24"/>
              </w:rPr>
              <w:t>V čl. XXXI za doterajší novelizačný bod 2 navrhujeme vložiť nový novelizačný bod 3, ktorý znie:</w:t>
              <w:br/>
            </w:r>
            <w:r>
              <w:rPr>
                <w:b w:val="off"/>
                <w:color w:val="000000"/>
                <w:rFonts w:ascii="Times New Roman" w:hAnsi="Times New Roman" w:cs="Times New Roman" w:eastAsia="Times New Roman"/>
                <w:sz w:val="24"/>
              </w:rPr>
              <w:t>3. V § 3a sa na konci písmena f) bodka nahrádza čiarkou a § 3a sa dopĺňa písmenom g), ktoré znie:</w:t>
              <w:br/>
            </w:r>
            <w:r>
              <w:rPr>
                <w:b w:val="off"/>
                <w:color w:val="000000"/>
                <w:rFonts w:ascii="Times New Roman" w:hAnsi="Times New Roman" w:cs="Times New Roman" w:eastAsia="Times New Roman"/>
                <w:sz w:val="24"/>
              </w:rPr>
              <w:t>„g) Úrad pre správu zaisteného majetku vo vzťahu k zaisteným nehnuteľnostiam, ktorých správu vykonáva podľa osobitného predpisu.¹ᵃᵇ)“.</w:t>
              <w:br/>
            </w:r>
            <w:r>
              <w:rPr>
                <w:b w:val="off"/>
                <w:color w:val="000000"/>
                <w:rFonts w:ascii="Times New Roman" w:hAnsi="Times New Roman" w:cs="Times New Roman" w:eastAsia="Times New Roman"/>
                <w:sz w:val="24"/>
              </w:rPr>
              <w:t>Poznámka pod čiarou k odkazu 1ab znie:</w:t>
              <w:br/>
            </w:r>
            <w:r>
              <w:rPr>
                <w:b w:val="off"/>
                <w:color w:val="000000"/>
                <w:rFonts w:ascii="Times New Roman" w:hAnsi="Times New Roman" w:cs="Times New Roman" w:eastAsia="Times New Roman"/>
                <w:sz w:val="24"/>
              </w:rPr>
              <w:t>„1ab)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Doterajšie novelizačné body 3 až 40 sa označujú ako novelizačné body 4 až 41.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Aplikačná prax poukazuje na potrebu výslovne upraviť postavenie Úradu pre správu zaisteného majetku ako inej oprávnenej osoby vo vzťahu k zaisteným nehnuteľnostiam, ktoré spravuje. Úrad je v rámci svojej zákonnej pôsobnosti oprávnený za podmienok ustanovených zákonom tieto nehnuteľnosti prenajímať a uzavierať zmluvy na dodávku tovarov a poskytovanie služieb potrebných na ich riadnu správu, napríklad na dodávku elektriny, plynu, tepla a vody, údržbu alebo zabezpečenie ochrany nehnuteľností. Pri vykonávaní týchto úkonov potrebuje získavať relevantné údaje a listiny a preukazovať svoje oprávnenie konať vo vzťahu k spravovanej nehnuteľnosti.</w:t>
              <w:br/>
            </w:r>
            <w:r>
              <w:rPr>
                <w:b w:val="off"/>
                <w:color w:val="000000"/>
                <w:rFonts w:ascii="Times New Roman" w:hAnsi="Times New Roman" w:cs="Times New Roman" w:eastAsia="Times New Roman"/>
                <w:sz w:val="24"/>
              </w:rPr>
              <w:t>Výslovné zaradenie úradu do § 3a odstráni výkladové nejasnosti pri uplatňovaní jeho oprávnení voči tretím osobám a prispeje k právnej istote pri uzavieraní zmlúv súvisiacich so správou zaistených nehnuteľností. Navrhované postavenie sa viaže výlučne na nehnuteľnosti, ktorých správu úrad vykonáva podľa zákona č. 312/2020 Z. z. o výkone rozhodnutia o zaistení majetku a správe zaisteného majetku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XLIX</w:t>
              <w:br/>
            </w:r>
            <w:r>
              <w:rPr>
                <w:b w:val="off"/>
                <w:color w:val="000000"/>
                <w:rFonts w:ascii="Times New Roman" w:hAnsi="Times New Roman" w:cs="Times New Roman" w:eastAsia="Times New Roman"/>
                <w:sz w:val="24"/>
              </w:rPr>
              <w:t>V čl. XLIX za doterajší novelizačný bod 4 navrhujeme vložiť nový novelizačný bod 5, ktorý znie:</w:t>
              <w:br/>
            </w:r>
            <w:r>
              <w:rPr>
                <w:b w:val="off"/>
                <w:color w:val="000000"/>
                <w:rFonts w:ascii="Times New Roman" w:hAnsi="Times New Roman" w:cs="Times New Roman" w:eastAsia="Times New Roman"/>
                <w:sz w:val="24"/>
              </w:rPr>
              <w:t>„5. V § 91 ods. 4 sa na konci písmena ag) bodka nahrádza čiarkou a odsek 4 sa dopĺňa písmenom ah), ktoré znie:</w:t>
              <w:br/>
            </w:r>
            <w:r>
              <w:rPr>
                <w:b w:val="off"/>
                <w:color w:val="000000"/>
                <w:rFonts w:ascii="Times New Roman" w:hAnsi="Times New Roman" w:cs="Times New Roman" w:eastAsia="Times New Roman"/>
                <w:sz w:val="24"/>
              </w:rPr>
              <w:t>„ah) Úradu pre správu zaisteného majetku v rozsahu nevyhnutnom na plnenie jeho úloh pri výkone správy zaisteného majetku podľa osobitného predpisu.86dqc)“.".</w:t>
              <w:br/>
            </w:r>
            <w:r>
              <w:rPr>
                <w:b w:val="off"/>
                <w:color w:val="000000"/>
                <w:rFonts w:ascii="Times New Roman" w:hAnsi="Times New Roman" w:cs="Times New Roman" w:eastAsia="Times New Roman"/>
                <w:sz w:val="24"/>
              </w:rPr>
              <w:t>Poznámka pod čiarou k odkazu 86dqc) znie:</w:t>
              <w:br/>
            </w:r>
            <w:r>
              <w:rPr>
                <w:b w:val="off"/>
                <w:color w:val="000000"/>
                <w:rFonts w:ascii="Times New Roman" w:hAnsi="Times New Roman" w:cs="Times New Roman" w:eastAsia="Times New Roman"/>
                <w:sz w:val="24"/>
              </w:rPr>
              <w:t>„86dqc)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Doterajší novelizačný bod 5 sa označuje ako novelizačný bod 6.</w:t>
              <w:br/>
            </w:r>
            <w:r>
              <w:rPr>
                <w:b w:val="off"/>
                <w:color w:val="000000"/>
                <w:rFonts w:ascii="Times New Roman" w:hAnsi="Times New Roman" w:cs="Times New Roman" w:eastAsia="Times New Roman"/>
                <w:sz w:val="24"/>
              </w:rPr>
              <w:t>Zároveň v úvodnej vete čl. XLIX navrhujeme slová „sa mení takto“ nahradiť slovami „sa mení a dopĺňa takto“.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zosúlaďuje pravidlá poskytovania informácií chránených bankovým tajomstvom s oprávneniami Úradu pre správu zaisteného majetku podľa zákona č. 312/2020 Z. z. o výkone rozhodnutia o zaistení majetku a správe zaisteného majetku a o zmene a doplnení niektorých zákonov v znení neskorších predpisov. Ustanovenie § 13 ods. 6 tohto zákona už oprávňuje úrad vykonávať úkony potrebné na riadnu správu zaisteného majetku, oboznamovať sa s príslušnými účtovnými záznamami, zmluvami a ďalšími písomnosťami a vyžadovať potrebnú súčinnosť od dotknutej osoby aj ďalších osôb.</w:t>
              <w:br/>
            </w:r>
            <w:r>
              <w:rPr>
                <w:b w:val="off"/>
                <w:color w:val="000000"/>
                <w:rFonts w:ascii="Times New Roman" w:hAnsi="Times New Roman" w:cs="Times New Roman" w:eastAsia="Times New Roman"/>
                <w:sz w:val="24"/>
              </w:rPr>
              <w:t>Úrad vychádza z právneho názoru, že táto osobitná úprava zakladá v súlade so zásadou lex specialis derogat legi generali oprávnenie získavať aj informácie chránené bankovým tajomstvom, ak sú nevyhnutné na výkon správy zaisteného majetku. Absencia výslovného uvedenia úradu v § 91 ods. 4 zákona o bankách však vyvoláva pochybnosti o vzájomnom vzťahu uvedených ustanovení. Navrhovaným doplnením sa preto odstraňuje tento výkladový rozpor a zabezpečuje právna istota úradu aj bánk pri poskytovaní požadovanej súčinnosti.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LII</w:t>
              <w:br/>
            </w:r>
            <w:r>
              <w:rPr>
                <w:b w:val="off"/>
                <w:color w:val="000000"/>
                <w:rFonts w:ascii="Times New Roman" w:hAnsi="Times New Roman" w:cs="Times New Roman" w:eastAsia="Times New Roman"/>
                <w:sz w:val="24"/>
              </w:rPr>
              <w:t xml:space="preserve">V čl. LII k zákonu č. 566/2001 Z. z. o cenných papieroch a investičných službách žiadame </w:t>
              <w:br/>
            </w:r>
            <w:r>
              <w:rPr>
                <w:b w:val="off"/>
                <w:color w:val="000000"/>
                <w:rFonts w:ascii="Times New Roman" w:hAnsi="Times New Roman" w:cs="Times New Roman" w:eastAsia="Times New Roman"/>
                <w:sz w:val="24"/>
              </w:rPr>
              <w:t>v § 110 ods. 1 vložiť nové písmeno p), ktoré znie:</w:t>
              <w:br/>
            </w:r>
            <w:r>
              <w:rPr>
                <w:b w:val="off"/>
                <w:color w:val="000000"/>
                <w:rFonts w:ascii="Times New Roman" w:hAnsi="Times New Roman" w:cs="Times New Roman" w:eastAsia="Times New Roman"/>
                <w:sz w:val="24"/>
              </w:rPr>
              <w:t>„p) Úradu pre správu zaisteného majetku v rozsahu nevyhnutnom na plnenie jeho úloh pri spravovaní zaisteného majetku podľa osobitného právneho predpisu97bd).“.</w:t>
              <w:br/>
            </w:r>
            <w:r>
              <w:rPr>
                <w:b w:val="off"/>
                <w:color w:val="000000"/>
                <w:rFonts w:ascii="Times New Roman" w:hAnsi="Times New Roman" w:cs="Times New Roman" w:eastAsia="Times New Roman"/>
                <w:sz w:val="24"/>
              </w:rPr>
              <w:t>97bd) zákon č. 312/2020 Z. z. o výkone rozhodnutia o zaistení majetku a správe zaisteného majetku a o zmene a doplnení niektorých zákonov.</w:t>
              <w:br/>
            </w:r>
            <w:r>
              <w:rPr>
                <w:b w:val="off"/>
                <w:color w:val="000000"/>
                <w:rFonts w:ascii="Times New Roman" w:hAnsi="Times New Roman" w:cs="Times New Roman" w:eastAsia="Times New Roman"/>
                <w:sz w:val="24"/>
              </w:rPr>
              <w:t>Odôvodnenie: Navrhovanou úpravou sa vytvára zákonný základ na sprístupňovanie chránených informácií Úradu pre správu zaisteného majetku. Prístup k týmto informáciám je nevyhnutný na riadny výkon správy zaisteného majetku, najmä na identifikáciu a evidenciu majetkových hodnôt, výkon práv spojených s finančnými nástrojmi, ochranu ich hodnoty a zabezpečenie účelu zaistenia. Výnimka z ochrany chránených informácií je obmedzená výlučne na rozsah nevyhnutný na plnenie zákonných úloh úradu a nepredstavuje všeobecné prelomenie režimu ochrany informácií podľa zákona o cenných papieroch.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CXXIV</w:t>
              <w:br/>
            </w:r>
            <w:r>
              <w:rPr>
                <w:b w:val="off"/>
                <w:color w:val="000000"/>
                <w:rFonts w:ascii="Times New Roman" w:hAnsi="Times New Roman" w:cs="Times New Roman" w:eastAsia="Times New Roman"/>
                <w:sz w:val="24"/>
              </w:rPr>
              <w:t>V čl. CXXIV navrhujeme pred doterajší novelizačný bod 1 vložiť nový novelizačný bod 1, ktorý znie:</w:t>
              <w:br/>
            </w:r>
            <w:r>
              <w:rPr>
                <w:b w:val="off"/>
                <w:color w:val="000000"/>
                <w:rFonts w:ascii="Times New Roman" w:hAnsi="Times New Roman" w:cs="Times New Roman" w:eastAsia="Times New Roman"/>
                <w:sz w:val="24"/>
              </w:rPr>
              <w:t>„1. V § 40 ods. 2 sa na konci písmena q) bodka nahrádza čiarkou a odsek 2 sa dopĺňa písmenom r), ktoré znie:</w:t>
              <w:br/>
            </w:r>
            <w:r>
              <w:rPr>
                <w:b w:val="off"/>
                <w:color w:val="000000"/>
                <w:rFonts w:ascii="Times New Roman" w:hAnsi="Times New Roman" w:cs="Times New Roman" w:eastAsia="Times New Roman"/>
                <w:sz w:val="24"/>
              </w:rPr>
              <w:t>„r) Úradu pre správu zaisteného majetku pri zabezpečovaní prepravy zaisteného majetku.“.</w:t>
              <w:br/>
            </w:r>
            <w:r>
              <w:rPr>
                <w:b w:val="off"/>
                <w:color w:val="000000"/>
                <w:rFonts w:ascii="Times New Roman" w:hAnsi="Times New Roman" w:cs="Times New Roman" w:eastAsia="Times New Roman"/>
                <w:sz w:val="24"/>
              </w:rPr>
              <w:t>Doterajšie novelizačné body 1 až 4 sa označujú ako novelizačné body 2 až 5. V úvodnej vete čl. I sa slová „sa mení takto“ nahrádzajú slovami „sa mení a dopĺňa takto“.".</w:t>
              <w:br/>
            </w:r>
            <w:r>
              <w:rPr>
                <w:b w:val="off"/>
                <w:color w:val="000000"/>
                <w:rFonts w:ascii="Times New Roman" w:hAnsi="Times New Roman" w:cs="Times New Roman" w:eastAsia="Times New Roman"/>
                <w:sz w:val="24"/>
              </w:rPr>
              <w:t>Alebo alternatívne navrhujeme namiesto doplnenia samostatného písmena r) vložiť nový novelizačný bod 1 v tomto znení:</w:t>
              <w:br/>
            </w:r>
            <w:r>
              <w:rPr>
                <w:b w:val="off"/>
                <w:color w:val="000000"/>
                <w:rFonts w:ascii="Times New Roman" w:hAnsi="Times New Roman" w:cs="Times New Roman" w:eastAsia="Times New Roman"/>
                <w:sz w:val="24"/>
              </w:rPr>
              <w:t>"1. V § 40 ods. 2 písm. k) sa za slovo „hodnôt“ vkladajú slová „alebo Úradu pre správu zaisteného majetku pri zabezpečovaní prepravy zaisteného majetku“.".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vytvára výslovný zákonný základ na zaradenie vozidiel Úradu pre správu zaisteného majetku medzi vozidlá s právom prednostnej jazdy pri zabezpečovaní prepravy zaisteného majetku. Úprava nadväzuje na povinnosť úradu podľa § 13 ods. 2 zákona č. 312/2020 Z. z. zabezpečovať ochranu zaistených hnuteľných vecí a uchovanie ich hodnoty.</w:t>
              <w:br/>
            </w:r>
            <w:r>
              <w:rPr>
                <w:b w:val="off"/>
                <w:color w:val="000000"/>
                <w:rFonts w:ascii="Times New Roman" w:hAnsi="Times New Roman" w:cs="Times New Roman" w:eastAsia="Times New Roman"/>
                <w:sz w:val="24"/>
              </w:rPr>
              <w:t>Úrad pri plnení svojich úloh zabezpečuje aj prepravu finančnej hotovosti, cenností, umeleckých diel a ďalšieho hodnotného majetku, vrátane jeho prevzatia v súčinnosti s orgánmi činnými v trestnom konaní. Pri takejto preprave môžu vzniknúť situácie vyžadujúce bezodkladný a bezpečný presun na ochranu prepravovaného majetku a osôb, ktoré prepravu zabezpečujú. Obmedzenie nevyhnutného času prepravy a zdržania na rizikových miestach môže znížiť nebezpečenstvo odcudzenia majetku, jeho poškodenia alebo neoprávneného zásahu tretích osôb. Z hľadiska ochrany prepravovaných hodnôt ide o účel porovnateľný s účelom existujúcej úpravy pre Národnú banku Slovenska.</w:t>
              <w:br/>
            </w:r>
            <w:r>
              <w:rPr>
                <w:b w:val="off"/>
                <w:color w:val="000000"/>
                <w:rFonts w:ascii="Times New Roman" w:hAnsi="Times New Roman" w:cs="Times New Roman" w:eastAsia="Times New Roman"/>
                <w:sz w:val="24"/>
              </w:rPr>
              <w:t>Možnosť vydania individuálneho povolenia podľa § 40 ods. 4 je viazaná na mimoriadnu udalosť, núdzový stav alebo výnimočný stav, a preto nepokrýva potreby úradu pri preprave zaisteného majetku mimo týchto situácií. Navrhované oprávnenie sa viaže na konkrétnu činnosť úradu; jeho uplatňovanie bude podliehať zákonným požiadavkám na bezpečnosť jazdy, určovanie podmienok používania zvláštnych výstražných znamení a evidovanie ich použitia.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LXIX</w:t>
              <w:br/>
            </w:r>
            <w:r>
              <w:rPr>
                <w:b w:val="off"/>
                <w:color w:val="000000"/>
                <w:rFonts w:ascii="Times New Roman" w:hAnsi="Times New Roman" w:cs="Times New Roman" w:eastAsia="Times New Roman"/>
                <w:sz w:val="24"/>
              </w:rPr>
              <w:t>V čl. LXIX navrhujeme za novelizačný bod 17 vložiť nový novelizačný bod 18, ktorý znie:</w:t>
              <w:br/>
            </w:r>
            <w:r>
              <w:rPr>
                <w:b w:val="off"/>
                <w:color w:val="000000"/>
                <w:rFonts w:ascii="Times New Roman" w:hAnsi="Times New Roman" w:cs="Times New Roman" w:eastAsia="Times New Roman"/>
                <w:sz w:val="24"/>
              </w:rPr>
              <w:t>„18. Za § 23 sa vkladá § 23a, ktorý vrátane nadpisu znie:</w:t>
              <w:br/>
            </w:r>
            <w:r>
              <w:rPr>
                <w:b w:val="off"/>
                <w:color w:val="000000"/>
                <w:rFonts w:ascii="Times New Roman" w:hAnsi="Times New Roman" w:cs="Times New Roman" w:eastAsia="Times New Roman"/>
                <w:sz w:val="24"/>
              </w:rPr>
              <w:t>„§ 23a</w:t>
              <w:br/>
            </w:r>
            <w:r>
              <w:rPr>
                <w:b w:val="off"/>
                <w:color w:val="000000"/>
                <w:rFonts w:ascii="Times New Roman" w:hAnsi="Times New Roman" w:cs="Times New Roman" w:eastAsia="Times New Roman"/>
                <w:sz w:val="24"/>
              </w:rPr>
              <w:t>Osobitné ustanovenia o nájme zaistených pozemkov</w:t>
              <w:br/>
            </w:r>
            <w:r>
              <w:rPr>
                <w:b w:val="off"/>
                <w:color w:val="000000"/>
                <w:rFonts w:ascii="Times New Roman" w:hAnsi="Times New Roman" w:cs="Times New Roman" w:eastAsia="Times New Roman"/>
                <w:sz w:val="24"/>
              </w:rPr>
              <w:t>(1) Na zmluvu o nájme pozemku na poľnohospodárske účely, ktorú pri výkone správy zaisteného majetku podľa osobitného predpisu²⁰ᵃ) uzatvára Úrad pre správu zaisteného majetku, sa nevzťahuje minimálna doba nájmu podľa § 8 ods. 1 a 2.</w:t>
              <w:br/>
            </w:r>
            <w:r>
              <w:rPr>
                <w:b w:val="off"/>
                <w:color w:val="000000"/>
                <w:rFonts w:ascii="Times New Roman" w:hAnsi="Times New Roman" w:cs="Times New Roman" w:eastAsia="Times New Roman"/>
                <w:sz w:val="24"/>
              </w:rPr>
              <w:t>(2) Úrad pre správu zaisteného majetku môže v rozsahu svojej správy písomne vypovedať zmluvu o nájme zaisteného pozemku na poľnohospodárske účely, ak je to potrebné na zabezpečenie riadneho a hospodárneho výkonu správy zaisteného majetku, a to bez ohľadu na dohodnutú dobu nájmu a podmienky jeho výpovede. Dôvod výpovede musí byť vo výpovedi skutkovo vymedzený.</w:t>
              <w:br/>
            </w:r>
            <w:r>
              <w:rPr>
                <w:b w:val="off"/>
                <w:color w:val="000000"/>
                <w:rFonts w:ascii="Times New Roman" w:hAnsi="Times New Roman" w:cs="Times New Roman" w:eastAsia="Times New Roman"/>
                <w:sz w:val="24"/>
              </w:rPr>
              <w:t>(3) Výpovedná doba podľa odseku 2 je tri mesiace a začína plynúť dňom doručenia výpovede nájomcovi. Ak by uplynula pred zberom úrody založenej pred doručením výpovede, predlžuje sa do jej zberu, najneskôr do skončenia obvyklej doby jej zberu. Pri trvalých porastoch sa prihliada len na úrodu za vegetačné obdobie, v ktorom bola výpoveď doručená.</w:t>
              <w:br/>
            </w:r>
            <w:r>
              <w:rPr>
                <w:b w:val="off"/>
                <w:color w:val="000000"/>
                <w:rFonts w:ascii="Times New Roman" w:hAnsi="Times New Roman" w:cs="Times New Roman" w:eastAsia="Times New Roman"/>
                <w:sz w:val="24"/>
              </w:rPr>
              <w:t>(4) Na skončenie nájmu podľa odsekov 2 a 3 sa § 6 a § 12 ods. 1 nepoužijú; to platí aj pre ustanovenia § 12 ods. 4 a § 13 ods. 1 o výpovednej dobe a dni skončenia nájmu. Po skončení nájmu nájomcovi nevzniká oprávnenie užívať pozemok podľa § 12 ods. 2.“.“.</w:t>
              <w:br/>
            </w:r>
            <w:r>
              <w:rPr>
                <w:b w:val="off"/>
                <w:color w:val="000000"/>
                <w:rFonts w:ascii="Times New Roman" w:hAnsi="Times New Roman" w:cs="Times New Roman" w:eastAsia="Times New Roman"/>
                <w:sz w:val="24"/>
              </w:rPr>
              <w:t>Poznámka pod čiarou k odkazu 20a znie:</w:t>
              <w:br/>
            </w:r>
            <w:r>
              <w:rPr>
                <w:b w:val="off"/>
                <w:color w:val="000000"/>
                <w:rFonts w:ascii="Times New Roman" w:hAnsi="Times New Roman" w:cs="Times New Roman" w:eastAsia="Times New Roman"/>
                <w:sz w:val="24"/>
              </w:rPr>
              <w:t>„20a)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Za doterajší novelizačný bod 18 navrhujeme vložiť nový novelizačný bod 20, ktorý znie:</w:t>
              <w:br/>
            </w:r>
            <w:r>
              <w:rPr>
                <w:b w:val="off"/>
                <w:color w:val="000000"/>
                <w:rFonts w:ascii="Times New Roman" w:hAnsi="Times New Roman" w:cs="Times New Roman" w:eastAsia="Times New Roman"/>
                <w:sz w:val="24"/>
              </w:rPr>
              <w:t>20. Za § 24h sa vkladá § 24i, ktorý vrátane nadpisu znie:</w:t>
              <w:br/>
            </w:r>
            <w:r>
              <w:rPr>
                <w:b w:val="off"/>
                <w:color w:val="000000"/>
                <w:rFonts w:ascii="Times New Roman" w:hAnsi="Times New Roman" w:cs="Times New Roman" w:eastAsia="Times New Roman"/>
                <w:sz w:val="24"/>
              </w:rPr>
              <w:t>„§ 24i</w:t>
              <w:br/>
            </w:r>
            <w:r>
              <w:rPr>
                <w:b w:val="off"/>
                <w:color w:val="000000"/>
                <w:rFonts w:ascii="Times New Roman" w:hAnsi="Times New Roman" w:cs="Times New Roman" w:eastAsia="Times New Roman"/>
                <w:sz w:val="24"/>
              </w:rPr>
              <w:t>Prechodné ustanovenie k úpravám účinným od 1. júla 2027</w:t>
              <w:br/>
            </w:r>
            <w:r>
              <w:rPr>
                <w:b w:val="off"/>
                <w:color w:val="000000"/>
                <w:rFonts w:ascii="Times New Roman" w:hAnsi="Times New Roman" w:cs="Times New Roman" w:eastAsia="Times New Roman"/>
                <w:sz w:val="24"/>
              </w:rPr>
              <w:t>Ustanovenia § 23a ods. 2 až 4 sa vzťahujú aj na nájomné zmluvy uzavreté pred 1. júlom 2027. Vznik týchto nájomných vzťahov a nároky z nich vzniknuté pred 1. júlom 2027 sa posudzujú podľa doterajších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zohľadňuje dočasný charakter správy zaisteného majetku, ktorej trvanie nemožno vopred spoľahlivo určiť. Zákonné minimálne doby poľnohospodárskeho nájmu môžu obmedzovať možnosť úradu zabezpečiť hospodárne využívanie zaistených pozemkov bez ich neprimeraného dlhodobého zmluvného viazania. Výnimka umožní uzatvárať nájomné zmluvy aj na kratšie obdobie, napríklad na jedno vegetačné obdobie.</w:t>
              <w:br/>
            </w:r>
            <w:r>
              <w:rPr>
                <w:b w:val="off"/>
                <w:color w:val="000000"/>
                <w:rFonts w:ascii="Times New Roman" w:hAnsi="Times New Roman" w:cs="Times New Roman" w:eastAsia="Times New Roman"/>
                <w:sz w:val="24"/>
              </w:rPr>
              <w:t>Zároveň sa navrhuje osobitné oprávnenie vypovedať existujúce nájomné zmluvy vrátane zmlúv na určitú dobu, ak to vyžaduje riadny a hospodárny výkon správy. Ochranu nájomcu zabezpečuje povinnosť výpoveď odôvodniť, trojmesačná výpovedná doba a zohľadnenie zberu už založenej úrody. Založenie ďalšej úrody po doručení výpovede ani neuskutočnenie zberu v obvyklej dobe nemajú viesť k neobmedzenému predlžovaniu nájmu. Zachovávajú sa aj príslušné nároky na vysporiadanie investícií a nákladov.</w:t>
              <w:br/>
            </w:r>
            <w:r>
              <w:rPr>
                <w:b w:val="off"/>
                <w:color w:val="000000"/>
                <w:rFonts w:ascii="Times New Roman" w:hAnsi="Times New Roman" w:cs="Times New Roman" w:eastAsia="Times New Roman"/>
                <w:sz w:val="24"/>
              </w:rPr>
              <w:t>Prechodné ustanovenie umožní uplatniť nový režim aj na skôr uzavreté zmluvy, pričom zachová posudzovanie ich vzniku a už vzniknutých nárokov podľa doterajších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vložiť do vlastného materiálu ďalšie novelizačné body, ktorými sa zmení a doplní zákon č. 211/2000 Z. z. o slobodnom prístupe k informáciám a o zmene a doplnení niektorých zákonov (zákon o slobode informácií)  v znení neskorších predpisov, ktorým sa ustanoví, že predmetom povinného zverejňovania je aj kontrakt uzavretý medzi orgánom štátu a jeho rozpočtovou organizáciou alebo príspevkovou organizáciou na zabezpečovanie úloh podľa osobitného predpisu.</w:t>
              <w:br/>
            </w:r>
            <w:r>
              <w:rPr>
                <w:b w:val="off"/>
                <w:color w:val="000000"/>
                <w:rFonts w:ascii="Times New Roman" w:hAnsi="Times New Roman" w:cs="Times New Roman" w:eastAsia="Times New Roman"/>
                <w:sz w:val="24"/>
              </w:rPr>
              <w:t>Ustanovenie by mohlo znieť nasledovne:</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Zákon č. 211/2000 Z. z. o slobodnom prístupe k informáciám a o zmene a doplnení niektorých zákonov (zákon o slobode informácií)  v znení (...) sa mení a dopĺňa takto:</w:t>
              <w:br/>
            </w:r>
            <w:r>
              <w:rPr>
                <w:b w:val="off"/>
                <w:color w:val="000000"/>
                <w:rFonts w:ascii="Times New Roman" w:hAnsi="Times New Roman" w:cs="Times New Roman" w:eastAsia="Times New Roman"/>
                <w:sz w:val="24"/>
              </w:rPr>
              <w:t>1. V § 5 sa za odsek 1 vkladá nový odsek 2, ktorý znie:</w:t>
              <w:br/>
            </w:r>
            <w:r>
              <w:rPr>
                <w:b w:val="off"/>
                <w:color w:val="000000"/>
                <w:rFonts w:ascii="Times New Roman" w:hAnsi="Times New Roman" w:cs="Times New Roman" w:eastAsia="Times New Roman"/>
                <w:sz w:val="24"/>
              </w:rPr>
              <w:t>„(2) Ústredný orgán štátnej správy zverejní v Centrálnom registri zmlúv (ďalej len „register“) dvojstranný písomný akt riadenia, ktorým sa určujú podmienky čerpania finančných prostriedkov štátneho rozpočtu na plnenie vymedzených úloh štátu za podmienok podľa osobitného predpisu7ab) medzi ústredným orgánom štátnej správy a rozpočtovou organizáciou alebo príspevkovou organizáciou, voči ktorej má postavenie zriaďovateľa; rovnako postupuje aj pri zmene alebo zrušení tohto dvojstranného aktu riadenia. Ustanovenia § 5a ods. 4, 7 a 14 sa na zverejnenie podľa prvej vety a druhej vety vzťahujú rovnako.“.</w:t>
              <w:br/>
            </w:r>
            <w:r>
              <w:rPr>
                <w:b w:val="off"/>
                <w:color w:val="000000"/>
                <w:rFonts w:ascii="Times New Roman" w:hAnsi="Times New Roman" w:cs="Times New Roman" w:eastAsia="Times New Roman"/>
                <w:sz w:val="24"/>
              </w:rPr>
              <w:t>Doterajšie odseky 2 až 8 sa označujú ako odseky 3 až 9.</w:t>
              <w:br/>
            </w:r>
            <w:r>
              <w:rPr>
                <w:b w:val="off"/>
                <w:color w:val="000000"/>
                <w:rFonts w:ascii="Times New Roman" w:hAnsi="Times New Roman" w:cs="Times New Roman" w:eastAsia="Times New Roman"/>
                <w:sz w:val="24"/>
              </w:rPr>
              <w:t>Poznámka pod čiarou k odkazu 7ab znie:</w:t>
              <w:br/>
            </w:r>
            <w:r>
              <w:rPr>
                <w:b w:val="off"/>
                <w:color w:val="000000"/>
                <w:rFonts w:ascii="Times New Roman" w:hAnsi="Times New Roman" w:cs="Times New Roman" w:eastAsia="Times New Roman"/>
                <w:sz w:val="24"/>
              </w:rPr>
              <w:t>„7ab) § 21 ods. 3, § 22 ods. 1 a § 24 ods. 1 zákona č. 523/2004 Z. z. v znení neskorších predpisov.“.</w:t>
              <w:br/>
            </w:r>
            <w:r>
              <w:rPr>
                <w:b w:val="off"/>
                <w:color w:val="000000"/>
                <w:rFonts w:ascii="Times New Roman" w:hAnsi="Times New Roman" w:cs="Times New Roman" w:eastAsia="Times New Roman"/>
                <w:sz w:val="24"/>
              </w:rPr>
              <w:t>2. V § 5a ods. 4 sa slová „Centrálnom registri zmlúv (ďalej len „register“)“ nahrádzajú slovom „registri“.“.</w:t>
              <w:br/>
            </w:r>
            <w:r>
              <w:rPr>
                <w:b w:val="off"/>
                <w:color w:val="000000"/>
                <w:rFonts w:ascii="Times New Roman" w:hAnsi="Times New Roman" w:cs="Times New Roman" w:eastAsia="Times New Roman"/>
                <w:sz w:val="24"/>
              </w:rPr>
              <w:t>3. V § 6 ods. 1 tretej vete sa slová "ods. 6" nahrádzajú slovami "ods. 7".</w:t>
              <w:br/>
            </w:r>
            <w:r>
              <w:rPr>
                <w:b w:val="off"/>
                <w:color w:val="000000"/>
                <w:rFonts w:ascii="Times New Roman" w:hAnsi="Times New Roman" w:cs="Times New Roman" w:eastAsia="Times New Roman"/>
                <w:sz w:val="24"/>
              </w:rPr>
              <w:t>4. V § 22b druhej vete sa slová "ods. 6 a 7" nahrádzajú slovami "ods. 7 a 8".</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je aktuálna v súvislosti s novou úpravou zmluvy príp. úpravou inominátnej zmluvy v Občianskom zákonníku a s tým súvisiacou aplikáciou alebo neaplikáciou ustanovení o záväzkoch zo zmlúv na tzv. kontrakty v oblasti organizácie činnosti ústrednej štátnej správy. V praxi sa vyskytuje požiadavka voči ústredným orgánom štátnej správy, aby boli tzv. kontrakty zverejňované v režime povinne zverejňovaných zmlúv v Centrálnom registri zmlúv. Proti tomu nemožno nič namietať z hľadiska transparentnosti použitia prostriedkov štátneho rozpočtu a realizácie práva na informácie (zverejňovanie je aj požiadavkou príslušných materiálov ku kontraktom). Avšak s tým spojený výklad, že pri tzv. kontrakte medzi ústredným orgánom štátnej správy a jeho príspevkovou organizáciou alebo rozpočtovou organizáciou  ide o povinne zverejňovanú zmluvu, podľa nášho názoru neobstojí. Jednak po prvé zákon o slobode informácií nie je súkromnoprávny predpis, ktorý môže definične dotvárať, čo je a čo nie je zmluvou v zmysle Občianskeho zákonníka ako všeobecného súkromnoprávneho predpisu, po druhé kontrakt nemá podstatnú náležitosť zmluvy, ktorým  slobodná vôľa zmluvných strán (bolo by to kontraproduktívne z hľadiska uplatneného princípu subordinácie, primárnej zodpovednosti štátneho orgánu za plnenie zverených úloh a za rozpočtové hospodárenie kapitoly ako aj z hľadiska objektívnej potreby zriaďovateľa v priebehu rozpočtového roka meniť úlohy prípadne financovanie určené v kontrakte). Tretím argumentom je, že v materiáli k príslušnému uzneseniu vlády č. 1067 z 20. decembra 2000 k návrhu opatrení na vypracovanie kontraktov medzi ústrednými orgánmi a im podriadenými rozpočtovými a príspevkovými organizáciami v súlade s dokumentom Audit ani v nadväzujúcich materiáloch sa neuvádza akákoľvek súvislosť so zmluvami. V materiáli k uzneseniu vlády č. 1370 z 18. decembra 2002 sa napríklad uvádza, že: "Kontrakt je zverejňovaný interný plánovací a organizačný dokument, ktorého cieľom je sprehľadniť vzťahy medzi ústrednými orgánmi štátnej správy a organizáciami v ich pôsobnosti v oblasti realizácie činností a ich financovania pri plnení verejných funkcií a verejnoprospešných činností. Pri príprave kontraktov je potrebná ich integrácia s ďalšími používanými plánovacími a monitorovacími mechanizmami (pozri aj Prílohu 1). Kontrakt medzi ústrednými orgánom a organizáciami v jeho pôsobnosti nie je právnym úkonom v zmysle Obchodného zákonníka.". V záhlaví mnohých kontraktov sa uvádza, že ide o kontrakty podľa príslušného uznesenia vlády (1370/2002, 1067/2000, ...), nie o inominátne zmluvy podľa Občianskeho zákonníka alebo Obchodného zákonníka. Štvrtým argumentom je vlastne určenie, akým právnym predpisom sa spravuje obsah a plnenie "kontraktu“  – predmet, účel, zmeny kontraktu a vzájomná podriadenosť subjektov sú v zmysle ustanovení zákona o rozpočtových pravidlách príliš limitujúce na to, aby sa aplikovali ustanovenia Občianskeho zákonníka – ide o inominátny kontrakt? Ktoré občianskoprávne inštitúty možno v kontrakte právne konzistentným spôsobom vylúčiť, ak neexistuje samostatná úprava kontraktu v osobitnom predpise verejného práva? Je možné vzhľadom na potrebu bezporuchového plnenia úloh podmienky kontraktu nastavovať podmienky kontraktu zmenou zmluvných podmienok? A môžu pri uzavieraní, rušení a zmene kontraktov postupovať ústredné orgány v zmysle zmluvnej voľnosti nejednotne od prípadu k prípadu, alebo nie? Kontrakt nie je možné neuzatvoriť, čiže už tu chýba dispozícia ústredného orgánu ako aj jeho podriadenej organizácie. Ako piaty argument uvádzame, že nadobúdanie účinnosti momentom zverejnenia v CRZ nemusí byť žiaduci, ani potrebný. Od reálneho plnenia kontraktu po alokáciu peňazí štátneho rozpočtu a po uzavretie kontraktu alebo dodatku ku kontraktu môže vzniknúť časový odstup napríklad v prípade mimoriadnych okolností z dôvodu naliehavosti v čase. Považujeme za postačujúce, aby kontrakt nadobudol účinnosť dňom podpisu oboma subjektmi, resp. preukázateľného oboznámenia sa podriadenej organizácie s obsahom kontraktu, a nie zverejnením v CRZ, ako by to malo byť v prípade chápania kontraktu ako zmluvy podľa výkladu, ktorý sa stal podnetom na uplatnenie našej pripomienky.</w:t>
              <w:br/>
            </w:r>
            <w:r>
              <w:rPr>
                <w:b w:val="off"/>
                <w:color w:val="000000"/>
                <w:rFonts w:ascii="Times New Roman" w:hAnsi="Times New Roman" w:cs="Times New Roman" w:eastAsia="Times New Roman"/>
                <w:sz w:val="24"/>
              </w:rPr>
              <w:t>Navrhované ustanovenie navrhujeme systematicky zaradiť do úpravy povinne zverejňovaných informácií, pretože svojím predmetom nepatrí medzi ustanovenie o povinne zverejňovanej zmluve. Navrhujeme aplikovať navrhované ustanovenie aj v prípade zmien kontraktu alebo v prípade jeho zrušenie bez náhrady. Rovnako by sa na zverejnenie kontraktu mali aplikovať tie vybrané ustanovenia o povinne zverejňovaných zmluvách, ktoré sa týkajú ochrany osobných údajov, zasielania znenia zmluvy Úradu vlády na zverejnenie v CRZ a doby zverejnenia kontraktu v CRZ.</w:t>
              <w:br/>
            </w:r>
            <w:r>
              <w:rPr>
                <w:b w:val="off"/>
                <w:color w:val="000000"/>
                <w:rFonts w:ascii="Times New Roman" w:hAnsi="Times New Roman" w:cs="Times New Roman" w:eastAsia="Times New Roman"/>
                <w:sz w:val="24"/>
              </w:rPr>
              <w:t>V bode 2 ide o súvisiace legislatívno-technické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 doplnenie nového článku: zákon č. 446/2001 Z. z. (a zákona č. 138/1991 Zb.)</w:t>
              <w:br/>
            </w:r>
            <w:r>
              <w:rPr>
                <w:b w:val="off"/>
                <w:color w:val="000000"/>
                <w:rFonts w:ascii="Times New Roman" w:hAnsi="Times New Roman" w:cs="Times New Roman" w:eastAsia="Times New Roman"/>
                <w:sz w:val="24"/>
              </w:rPr>
              <w:t>Žiadame doplniť novelizáciu zákona č. 446/2001 Z. z. o majetku vyšších územných celkov a zákona SNR č. 138/1991 Zb. o majetku obcí. Žiadame najmä:</w:t>
              <w:br/>
            </w:r>
            <w:r>
              <w:rPr>
                <w:b w:val="off"/>
                <w:color w:val="000000"/>
                <w:rFonts w:ascii="Times New Roman" w:hAnsi="Times New Roman" w:cs="Times New Roman" w:eastAsia="Times New Roman"/>
                <w:sz w:val="24"/>
              </w:rPr>
              <w:t>a) pojem „obchodná verejná súťaž“ nahradiť pojmom „verejná súťaž o najvhodnejší návrh“ a odkaz na § 281 až 288 Obchodného zákonníka nahradiť odkazom na § 594 až 601 Občianskeho zákonníka schváleného NR SR 1. októbra 2026 (ďalej len „OZ“)</w:t>
              <w:br/>
            </w:r>
            <w:r>
              <w:rPr>
                <w:b w:val="off"/>
                <w:color w:val="000000"/>
                <w:rFonts w:ascii="Times New Roman" w:hAnsi="Times New Roman" w:cs="Times New Roman" w:eastAsia="Times New Roman"/>
                <w:sz w:val="24"/>
              </w:rPr>
              <w:t>b) odkaz na vymedzenie blízkej osoby (§ 116 doterajšieho Občianskeho zákonníka) nahradiť odkazom na § 4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Odkaz na zrušený inštitút v ustanovení, od ktorého závisí platnosť prevodu a nájmu verejného majetku, je z hľadiska právnej istoty neprijateľný a § 1894 a 1895 OZ ho neodstraňujú.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 nový článok (zákon č. 446/2001 Z. z.): osobitná úprava nájmu majetku VÚC</w:t>
              <w:br/>
            </w:r>
            <w:r>
              <w:rPr>
                <w:b w:val="off"/>
                <w:color w:val="000000"/>
                <w:rFonts w:ascii="Times New Roman" w:hAnsi="Times New Roman" w:cs="Times New Roman" w:eastAsia="Times New Roman"/>
                <w:sz w:val="24"/>
              </w:rPr>
              <w:t>V nadväznosti na predchádzajúcu pripomienku žiadame do zákona č. 446/2001 Z. z. (primerane do zákona  č. 138/1991 Zb.) doplniť osobitnú úpravu vo vzťahu k novým inštitútom OZ v rozsahu, v akom ju čl. XXV body 11, 20, 29, 30 a 38 zavádza pre majetok štátu. Navrhujeme znenie:</w:t>
              <w:br/>
            </w:r>
            <w:r>
              <w:rPr>
                <w:b w:val="off"/>
                <w:color w:val="000000"/>
                <w:rFonts w:ascii="Times New Roman" w:hAnsi="Times New Roman" w:cs="Times New Roman" w:eastAsia="Times New Roman"/>
                <w:sz w:val="24"/>
              </w:rPr>
              <w:t>„Nájom majetku vyššieho územného celku sa skončí uplynutím doby, na ktorú bol dohodnutý; ustanovenia Občianskeho zákonníka o obnovení nájmu a o prednájomnom práve sa nepoužijú. Vyšší územný celok ani správca nie je oprávnený dohodnúť náhradu za výhodu z prevzatia zákazníckej základne.“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892 OZ sa nájom obnovuje, ak prenajímateľ nájomníka do troch mesiacov od skončenia nájmu písomne nevyzve na vydanie veci. Pri majetku VÚC by tak nájom vznikal mimo zákonných postupov (schválenie príslušným orgánom, súťažný postup, zverejnenie zámeru) a bez písomnej povinne zverejňovanej zmluvy (§ 90 OZ). Prednájomné právo (§ 869 OZ) a náhrada za výhodu z prevzatia zákazníckej základne (§ 951 OZ) nie sú zlučiteľné so súťažným princípom ani s povinnosťou hospodárneho nakladania s verejným majetkom. Neexistuje vecný dôvod, aby ochranný režim platil len pre majetok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 nový článok (zákon č. 446/2001 Z. z., zákon  č. 138/1991 Zb.): prechodné ustanovenie</w:t>
              <w:br/>
            </w:r>
            <w:r>
              <w:rPr>
                <w:b w:val="off"/>
                <w:color w:val="000000"/>
                <w:rFonts w:ascii="Times New Roman" w:hAnsi="Times New Roman" w:cs="Times New Roman" w:eastAsia="Times New Roman"/>
                <w:sz w:val="24"/>
              </w:rPr>
              <w:t>Žiadame doplniť prechodné ustanovenie, podľa ktorého sa obchodná verejná súťaž, dobrovoľná dražba, priamy predaj a priamy nájom majetku vyššieho územného celku (obce), ktoré boli vyhlásené alebo ktorých zámer bol zverejnený do 30. júna 2027, dokončia podľa predpisov účinných do 30. júna 2027 a týmito predpismi sa spravuje aj zmluva uzavretá na ich základe.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1893 ods. 1 a 3 OZ sa zmluva uzavretá po 30. júni 2027 spravuje novým OZ, hoci súťažné podmienky a návrh zmluvy boli zverejnené a schválené zastupiteľstvom podľa Obchodného zákonníka a doterajšieho Občianskeho zákonníka. Zmena zmluvných podmienok po vyhodnotení súťaže nie je prípustná; bez prechodného ustanovenia hrozí zmarenie prebiehajúcich postupov alebo spochybnenie platnosti prevodov.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CLXVI (zákon č. 343/2015 Z. z.) – doplnenie prechodného ustanovenia</w:t>
              <w:br/>
            </w:r>
            <w:r>
              <w:rPr>
                <w:b w:val="off"/>
                <w:color w:val="000000"/>
                <w:rFonts w:ascii="Times New Roman" w:hAnsi="Times New Roman" w:cs="Times New Roman" w:eastAsia="Times New Roman"/>
                <w:sz w:val="24"/>
              </w:rPr>
              <w:t>Žiadame doplniť prechodné ustanovenie v znení:</w:t>
              <w:br/>
            </w:r>
            <w:r>
              <w:rPr>
                <w:b w:val="off"/>
                <w:color w:val="000000"/>
                <w:rFonts w:ascii="Times New Roman" w:hAnsi="Times New Roman" w:cs="Times New Roman" w:eastAsia="Times New Roman"/>
                <w:sz w:val="24"/>
              </w:rPr>
              <w:t>„Zmluva, rámcová dohoda a koncesná zmluva, ktoré sú výsledkom verejného obstarávania, zadávania koncesie alebo súťaže návrhov vyhlásených alebo preukázateľne začatých do 30. júna 2027, sa spravujú predpismi účinnými do 30. júna 2027; týmito predpismi sa spravujú aj zmluvy uzavreté na základe rámcovej dohody uzavretej do 30. júna 2027.“</w:t>
              <w:br/>
            </w:r>
            <w:r>
              <w:rPr>
                <w:b w:val="off"/>
                <w:color w:val="000000"/>
                <w:rFonts w:ascii="Times New Roman" w:hAnsi="Times New Roman" w:cs="Times New Roman" w:eastAsia="Times New Roman"/>
                <w:sz w:val="24"/>
              </w:rPr>
              <w:t>Alternatívne žiadame ustanoviť, že úprava návrhu zmluvy vykonaná výlučne z dôvodu jeho prispôsobenia OZ sa nepovažuje za podstatnú zmenu podmienok verejného obstarávania ani za zmenu zmluvy podľa §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1893 ods. 1 a 3 OZ sa zmluva uzavretá po 30. júni 2027 spravuje novým OZ. Súťažné podklady postupov začatých pred týmto dňom však obsahujú obchodné podmienky a návrh zmluvy vypracované podľa Obchodného zákonníka (zmluva o dielo, kúpna zmluva, zodpovednosť za vady, zmluvná pokuta, odstúpenie), ktorého tretia časť sa čl. II bodom 57 vypúšťa. Verejný obstarávateľ ich po predložení ponúk nemôže podstatne meniť a uchádzači ocenili ponuky podľa pôvodného právneho režimu.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CXCVI (zákon č. 368/2021 Z. z.) a čl. CXCIX (zákon č. 121/2022 Z. z.) – doplnenie prechodného ustanovenia</w:t>
              <w:br/>
            </w:r>
            <w:r>
              <w:rPr>
                <w:b w:val="off"/>
                <w:color w:val="000000"/>
                <w:rFonts w:ascii="Times New Roman" w:hAnsi="Times New Roman" w:cs="Times New Roman" w:eastAsia="Times New Roman"/>
                <w:sz w:val="24"/>
              </w:rPr>
              <w:t>Žiadame do zákona č. 368/2021 Z. z. a zákona č. 121/2022 Z. z. doplniť prechodné ustanovenie v rovnakom znení, aké návrh vkladá do zákona č. 528/2008 Z. z. (čl. CXXI bod 11, § 46al) a zákona č. 292/2014 Z. z. (čl. CLIII bod 14, § 65):</w:t>
              <w:br/>
            </w:r>
            <w:r>
              <w:rPr>
                <w:b w:val="off"/>
                <w:color w:val="000000"/>
                <w:rFonts w:ascii="Times New Roman" w:hAnsi="Times New Roman" w:cs="Times New Roman" w:eastAsia="Times New Roman"/>
                <w:sz w:val="24"/>
              </w:rPr>
              <w:t>„Na účely tohto zákona sa zmluvou uzavretou podľa ustanovení Občianskeho zákonníka rozumie aj zmluva, ktorá bola do 30. júna 2027 uzavretá podľa tomu zodpovedajúcich ustanovení Obchodného zákonníka v znení účinnom do 30. júna 2027; právne vzťahy vzniknuté do 30. júna 2027 a práva a povinnosti z nich vyplývajúce vrátane práv a povinností z porušenia zmlúv uzavretých do 30. júna 2027 sa spravujú právnymi predpismi účinnými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 oboch zákonoch nahrádza odkaz na § 269 ods. 2 Obchodného zákonníka odkazom na § 602 ods. 2 OZ (čl. CXCVI bod 1, čl. CXCIX bod 3), prechodné ustanovenie však dopĺňa len do predpisov pre programové obdobia 2007 – 2013 a 2014 – 2020. Zmluvy o poskytnutí nenávratného finančného príspevku z programového obdobia 2021 – 2027 a zmluvy o poskytnutí prostriedkov mechanizmu na podporu obnovy a odolnosti, ktoré majú samosprávne kraje ako prijímatelia aktuálne uzavreté, by zostali bez výslovnej úpravy, hoci ide o prebiehajúce zmluvné vzťahy s dlhodobými povinnosťami (udržateľnosť projektu, vrátenie prostriedkov, úrok z omeškania).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ako celku – ďalšie nenovelizované predpisy</w:t>
              <w:br/>
            </w:r>
            <w:r>
              <w:rPr>
                <w:b w:val="off"/>
                <w:color w:val="000000"/>
                <w:rFonts w:ascii="Times New Roman" w:hAnsi="Times New Roman" w:cs="Times New Roman" w:eastAsia="Times New Roman"/>
                <w:sz w:val="24"/>
              </w:rPr>
              <w:t>Žiadame preveriť potrebu novelizácie ďalších predpisov aplikovaných územnou samosprávou, ktoré návrh neobsahuje, najmä zákona č. 211/2000 Z. z. o slobode informácií (povinne zverejňované zmluvy – väzba na § 47a doterajšieho Občianskeho zákonníka, nový § 90 OZ), zákona č. 583/2004 Z. z., zákona č. 357/2015 Z. z., zákona č. 18/2018 Z. z., zákona č. 135/1961 Zb., zákona č. 576/2004 Z. z. a zákona č. 578/2004 Z. z. (spôsobilosť na právne úkony, zákonný zástupca, blízka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Úplnosť a vnútorná konzistentnosť právneho poriadku; pri predpisoch, ktoré podmieňujú účinnosť zmlúv a platnosť úkonov samosprávy, nemožno vystačiť so všeobecným pravidlom § 1894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7 a 9 (§ 26 ods. 2 a § 29 ods. 4 zákona č. 71/1967 Zb.)</w:t>
              <w:br/>
            </w:r>
            <w:r>
              <w:rPr>
                <w:b w:val="off"/>
                <w:color w:val="000000"/>
                <w:rFonts w:ascii="Times New Roman" w:hAnsi="Times New Roman" w:cs="Times New Roman" w:eastAsia="Times New Roman"/>
                <w:sz w:val="24"/>
              </w:rPr>
              <w:t>Žiadame v dôvodovej správe jednoznačne uviesť, či sa zámenou pojmov „lehota“ a „doba“ sleduje aj zmena pravidiel počítania času v správnom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OZ v § 134 a 135 spája s oboma pojmami odlišné pravidlá (doba uplynie aj v sobotu, nedeľu a v deň pracovného pokoja), kým § 27 správneho poriadku upravuje len počítanie lehôt. Pri doručovaní verejnou vyhláškou (§ 26 ods. 2) ide o určenie dňa doručenia, od ktorého plynie lehota na podanie odvolania; nejednoznačnosť je zdrojom procesných vád.</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XXXI bod 14 (§ 28 ods. 3 zákona NR SR č. 162/1995 Z. z.)</w:t>
              <w:br/>
            </w:r>
            <w:r>
              <w:rPr>
                <w:b w:val="off"/>
                <w:color w:val="000000"/>
                <w:rFonts w:ascii="Times New Roman" w:hAnsi="Times New Roman" w:cs="Times New Roman" w:eastAsia="Times New Roman"/>
                <w:sz w:val="24"/>
              </w:rPr>
              <w:t>Žiadame ustanoviť, že okresný úrad vykoná zápis v liste vlastníctva v deň právoplatnosti rozhodnutia o povolení vkladu.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navrhovaného znenia vznikajú právne účinky vkladu až vyznačením v liste vlastníctva, nie už na základe právoplatného rozhodnutia o povolení vkladu. Bez časovej väzby medzi rozhodnutím a zápisom vznikne obdobie neistoty o okamihu prechodu vlastníctva (splatnosť kúpnej ceny, prechod nebezpečenstva škody, účtovanie a poistenie majetku VÚC); účastník sa o ňom dozvie až z oznámenia zaslaného do 7 pracovných dní (bod 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CXIX body 9 a 11 (§ 6 ods. 3 písm. e) a § 9 ods. 14 zákona č. 448/2008 Z. z.)</w:t>
              <w:br/>
            </w:r>
            <w:r>
              <w:rPr>
                <w:b w:val="off"/>
                <w:color w:val="000000"/>
                <w:rFonts w:ascii="Times New Roman" w:hAnsi="Times New Roman" w:cs="Times New Roman" w:eastAsia="Times New Roman"/>
                <w:sz w:val="24"/>
              </w:rPr>
              <w:t>Žiadame doplniť ďalší postup poskytovateľa po oznámení „vážne mieneného nesúhlasu“ prijímateľa opatrovníkovi a súdu – najmä či a na akom právnom základe pokračuje v poskytovaní celoročnej pobytovej sociálnej služby do rozhodnutia súdu, v akej forme a lehote nesúhlas zaznamenáva a kto posudzuje jeho vážnosť.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Samosprávne kraje sú zriaďovateľmi zariadení sociálnych služieb. Neurčitá úprava zakladá riziko zodpovednosti poskytovateľa v oboch smeroch (neprípustné obmedzenie osobnej slobody prijímateľa, resp. zanedbanie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CXIX bod 34 (§ 110bk zákona č. 448/2008 Z. z.)</w:t>
              <w:br/>
            </w:r>
            <w:r>
              <w:rPr>
                <w:b w:val="off"/>
                <w:color w:val="000000"/>
                <w:rFonts w:ascii="Times New Roman" w:hAnsi="Times New Roman" w:cs="Times New Roman" w:eastAsia="Times New Roman"/>
                <w:sz w:val="24"/>
              </w:rPr>
              <w:t>Žiadame preveriť dátum „30. júna 2026“; vzhľadom na navrhovanú účinnosť 1. júla 2027 má zrejme ísť 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ponechaní navrhovaného dátumu by sa fikcia obmedzenej spôsobilosti na právne úkony vzťahovala aj na osoby, o ktorých spôsobilosti súd právoplatne rozhodol v období od 1. júla 2026 do 30. júna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CLXVI body 14 a 15 (zákon č. 343/2015 Z. z.)</w:t>
              <w:br/>
            </w:r>
            <w:r>
              <w:rPr>
                <w:b w:val="off"/>
                <w:color w:val="000000"/>
                <w:rFonts w:ascii="Times New Roman" w:hAnsi="Times New Roman" w:cs="Times New Roman" w:eastAsia="Times New Roman"/>
                <w:sz w:val="24"/>
              </w:rPr>
              <w:t>Žiadame body 14 a 15 doplniť, alebo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Body nahrádzajú v celom texte zákona len slová „uzatvoriť“ a „uzatvorenie“. Zákon však používa aj nedokonavé tvary („uzatvára“, „uzatvárať“, „uzatváranie“), ktoré formulácia „vo všetkých tvaroch“ nepokrýva (v iných článkoch sa nahrádzajú osobitne slovom „uzaviera“). V jednom predpise tak vznikne dvojaká terminológia pre ten istý právny úkon. Postačuje výkladové pravidlo § 1895 ods. 2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