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847C9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P R E D B E Ž N Á  I N F O R M Á C I A</w:t>
      </w:r>
    </w:p>
    <w:p w14:paraId="3F86E92D" w14:textId="77777777" w:rsidR="004B4CE7" w:rsidRPr="0003200D" w:rsidRDefault="00310A75" w:rsidP="00310A75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 xml:space="preserve">(podľa § 9 zákona č. 400/2015 Z. z. o tvorbe právnych predpisov </w:t>
      </w:r>
    </w:p>
    <w:p w14:paraId="35AC3732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a o Zbierke zákonov Slovenskej republiky a o zmene a doplnení niektorých zákonov)</w:t>
      </w:r>
    </w:p>
    <w:p w14:paraId="2ACE3675" w14:textId="77777777" w:rsidR="001C204C" w:rsidRPr="0003200D" w:rsidRDefault="001C204C" w:rsidP="00310A75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</w:rPr>
      </w:pPr>
    </w:p>
    <w:p w14:paraId="190EDD52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</w:p>
    <w:p w14:paraId="6A4D455D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1. Pripravovaný právny predpis:</w:t>
      </w:r>
    </w:p>
    <w:p w14:paraId="316AF1EE" w14:textId="6A0BF0A0" w:rsidR="002B0A06" w:rsidRPr="0003200D" w:rsidRDefault="00E97BE2" w:rsidP="00A07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eastAsia="Times New Roman" w:hAnsiTheme="majorHAnsi" w:cs="Times New Roman"/>
          <w:lang w:eastAsia="sk-SK"/>
        </w:rPr>
        <w:t>Návrh opatrenia Národnej banky Slovenska z ... 202</w:t>
      </w:r>
      <w:r w:rsidR="000F0C3B" w:rsidRPr="0003200D">
        <w:rPr>
          <w:rFonts w:asciiTheme="majorHAnsi" w:eastAsia="Times New Roman" w:hAnsiTheme="majorHAnsi" w:cs="Times New Roman"/>
          <w:lang w:eastAsia="sk-SK"/>
        </w:rPr>
        <w:t>6</w:t>
      </w:r>
      <w:r w:rsidR="00566FA2" w:rsidRPr="0003200D">
        <w:rPr>
          <w:rFonts w:asciiTheme="majorHAnsi" w:eastAsia="Times New Roman" w:hAnsiTheme="majorHAnsi" w:cs="Times New Roman"/>
          <w:lang w:eastAsia="sk-SK"/>
        </w:rPr>
        <w:t xml:space="preserve"> č. ...</w:t>
      </w:r>
      <w:r w:rsidR="00C50780" w:rsidRPr="0003200D">
        <w:rPr>
          <w:rFonts w:asciiTheme="majorHAnsi" w:eastAsia="Times New Roman" w:hAnsiTheme="majorHAnsi" w:cs="Times New Roman"/>
          <w:lang w:eastAsia="sk-SK"/>
        </w:rPr>
        <w:t>/</w:t>
      </w:r>
      <w:r w:rsidR="00566FA2" w:rsidRPr="0003200D">
        <w:rPr>
          <w:rFonts w:asciiTheme="majorHAnsi" w:eastAsia="Times New Roman" w:hAnsiTheme="majorHAnsi" w:cs="Times New Roman"/>
          <w:lang w:eastAsia="sk-SK"/>
        </w:rPr>
        <w:t>202</w:t>
      </w:r>
      <w:r w:rsidR="000F0C3B" w:rsidRPr="0003200D">
        <w:rPr>
          <w:rFonts w:asciiTheme="majorHAnsi" w:eastAsia="Times New Roman" w:hAnsiTheme="majorHAnsi" w:cs="Times New Roman"/>
          <w:lang w:eastAsia="sk-SK"/>
        </w:rPr>
        <w:t>6</w:t>
      </w:r>
      <w:r w:rsidR="00A04B6D" w:rsidRPr="0003200D">
        <w:rPr>
          <w:rFonts w:asciiTheme="majorHAnsi" w:eastAsia="Times New Roman" w:hAnsiTheme="majorHAnsi" w:cs="Times New Roman"/>
          <w:lang w:eastAsia="sk-SK"/>
        </w:rPr>
        <w:t xml:space="preserve">, ktorým sa mení a dopĺňa opatrenie Národnej banky Slovenska </w:t>
      </w:r>
      <w:r w:rsidR="007A489D" w:rsidRPr="007A489D">
        <w:rPr>
          <w:rFonts w:asciiTheme="majorHAnsi" w:eastAsia="Times New Roman" w:hAnsiTheme="majorHAnsi" w:cs="Times New Roman"/>
          <w:lang w:eastAsia="sk-SK"/>
        </w:rPr>
        <w:t>zo 7. októbra 2025 č. 7/2025, ktorým sa ustanovuje spôsob preukazovania splnenia podmienok na udelenie povolenia na vykonávanie poisťovacej činnosti a na udelenie povolenia na vykonávanie zaisťovacej činnosti pre subjekty, na ktoré sa nebude uplatňovať osobitný režim</w:t>
      </w:r>
      <w:r w:rsidR="007A489D">
        <w:rPr>
          <w:rFonts w:asciiTheme="majorHAnsi" w:eastAsia="Times New Roman" w:hAnsiTheme="majorHAnsi" w:cs="Times New Roman"/>
          <w:lang w:eastAsia="sk-SK"/>
        </w:rPr>
        <w:t xml:space="preserve"> (ďalej len ,,návrh opatrenia“).</w:t>
      </w:r>
    </w:p>
    <w:p w14:paraId="6ECFF593" w14:textId="77777777" w:rsidR="002B0A06" w:rsidRDefault="002B0A06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</w:p>
    <w:p w14:paraId="22DF2B25" w14:textId="77777777" w:rsidR="00321D9E" w:rsidRPr="0003200D" w:rsidRDefault="00321D9E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</w:p>
    <w:p w14:paraId="3B0CF87F" w14:textId="263A2E4C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</w:rPr>
      </w:pPr>
      <w:r w:rsidRPr="0003200D">
        <w:rPr>
          <w:rFonts w:asciiTheme="majorHAnsi" w:hAnsiTheme="majorHAnsi" w:cs="Times New Roman"/>
          <w:b/>
          <w:bCs/>
        </w:rPr>
        <w:t xml:space="preserve">2. Základné ciele </w:t>
      </w:r>
      <w:r w:rsidR="005878F2" w:rsidRPr="0003200D">
        <w:rPr>
          <w:rFonts w:asciiTheme="majorHAnsi" w:hAnsiTheme="majorHAnsi" w:cs="Times New Roman"/>
          <w:b/>
          <w:bCs/>
        </w:rPr>
        <w:t xml:space="preserve">a tézy </w:t>
      </w:r>
      <w:r w:rsidRPr="0003200D">
        <w:rPr>
          <w:rFonts w:asciiTheme="majorHAnsi" w:hAnsiTheme="majorHAnsi" w:cs="Times New Roman"/>
          <w:b/>
          <w:bCs/>
        </w:rPr>
        <w:t xml:space="preserve">právnej </w:t>
      </w:r>
      <w:r w:rsidRPr="0003200D">
        <w:rPr>
          <w:rFonts w:asciiTheme="majorHAnsi" w:hAnsiTheme="majorHAnsi" w:cs="Times New Roman"/>
          <w:b/>
        </w:rPr>
        <w:t>úpravy:</w:t>
      </w:r>
    </w:p>
    <w:p w14:paraId="0284A372" w14:textId="70F6E386" w:rsidR="00977263" w:rsidRDefault="00977263" w:rsidP="00EC7ECA">
      <w:pPr>
        <w:widowControl w:val="0"/>
        <w:spacing w:after="0" w:line="240" w:lineRule="auto"/>
        <w:ind w:firstLine="708"/>
        <w:contextualSpacing/>
        <w:jc w:val="both"/>
        <w:rPr>
          <w:rFonts w:asciiTheme="majorHAnsi" w:eastAsia="Times New Roman" w:hAnsiTheme="majorHAnsi" w:cs="Times New Roman"/>
          <w:lang w:eastAsia="sk-SK"/>
        </w:rPr>
      </w:pPr>
      <w:r>
        <w:rPr>
          <w:rFonts w:asciiTheme="majorHAnsi" w:eastAsia="Times New Roman" w:hAnsiTheme="majorHAnsi" w:cs="Times New Roman"/>
          <w:lang w:eastAsia="sk-SK"/>
        </w:rPr>
        <w:t>Cieľom návrhu opatrenia je jeho aktualizácia v súvislosti s pripravovanou novelou zákona č. 39/2015 Z. z. o poisťovníctve a o zmene a doplnení niektorých zákonov (ďalej len „zákon o poisťovníctve“).</w:t>
      </w:r>
    </w:p>
    <w:p w14:paraId="504B0A87" w14:textId="662B9EB7" w:rsidR="00A07826" w:rsidRDefault="0050602A" w:rsidP="00EC7ECA">
      <w:pPr>
        <w:widowControl w:val="0"/>
        <w:spacing w:after="0" w:line="240" w:lineRule="auto"/>
        <w:ind w:firstLine="708"/>
        <w:contextualSpacing/>
        <w:jc w:val="both"/>
        <w:rPr>
          <w:rFonts w:asciiTheme="majorHAnsi" w:eastAsia="Times New Roman" w:hAnsiTheme="majorHAnsi" w:cs="Times New Roman"/>
          <w:lang w:eastAsia="sk-SK"/>
        </w:rPr>
      </w:pPr>
      <w:r>
        <w:rPr>
          <w:rFonts w:asciiTheme="majorHAnsi" w:eastAsia="Times New Roman" w:hAnsiTheme="majorHAnsi" w:cs="Times New Roman"/>
          <w:lang w:eastAsia="sk-SK"/>
        </w:rPr>
        <w:t>Potreba upraviť opatrenie Národnej banky Slovenska č. 7/2025 vznikla v</w:t>
      </w:r>
      <w:r w:rsidR="008944CE">
        <w:rPr>
          <w:rFonts w:asciiTheme="majorHAnsi" w:eastAsia="Times New Roman" w:hAnsiTheme="majorHAnsi" w:cs="Times New Roman"/>
          <w:lang w:eastAsia="sk-SK"/>
        </w:rPr>
        <w:t xml:space="preserve"> súvislosti s potrebou transpozície </w:t>
      </w:r>
      <w:r w:rsidR="008944CE" w:rsidRPr="00A07826">
        <w:rPr>
          <w:rFonts w:asciiTheme="majorHAnsi" w:eastAsia="Times New Roman" w:hAnsiTheme="majorHAnsi" w:cs="Times New Roman"/>
          <w:lang w:eastAsia="sk-SK"/>
        </w:rPr>
        <w:t>smernic</w:t>
      </w:r>
      <w:r w:rsidR="008944CE">
        <w:rPr>
          <w:rFonts w:asciiTheme="majorHAnsi" w:eastAsia="Times New Roman" w:hAnsiTheme="majorHAnsi" w:cs="Times New Roman"/>
          <w:lang w:eastAsia="sk-SK"/>
        </w:rPr>
        <w:t xml:space="preserve">e </w:t>
      </w:r>
      <w:r w:rsidR="008944CE" w:rsidRPr="00507D39">
        <w:rPr>
          <w:rFonts w:asciiTheme="majorHAnsi" w:eastAsia="Times New Roman" w:hAnsiTheme="majorHAnsi" w:cs="Times New Roman"/>
          <w:lang w:eastAsia="sk-SK"/>
        </w:rPr>
        <w:t xml:space="preserve">Európskeho parlamentu a Rady (EÚ) 2025/2 z 27. novembra 2024, ktorou sa mení smernica 2009/138/ES, pokiaľ ide o proporcionalitu, kvalitu dohľadu, predkladanie informácií, opatrenia týkajúce sa dlhodobých záruk, </w:t>
      </w:r>
      <w:proofErr w:type="spellStart"/>
      <w:r w:rsidR="008944CE" w:rsidRPr="00507D39">
        <w:rPr>
          <w:rFonts w:asciiTheme="majorHAnsi" w:eastAsia="Times New Roman" w:hAnsiTheme="majorHAnsi" w:cs="Times New Roman"/>
          <w:lang w:eastAsia="sk-SK"/>
        </w:rPr>
        <w:t>makroprudenciálne</w:t>
      </w:r>
      <w:proofErr w:type="spellEnd"/>
      <w:r w:rsidR="008944CE" w:rsidRPr="00507D39">
        <w:rPr>
          <w:rFonts w:asciiTheme="majorHAnsi" w:eastAsia="Times New Roman" w:hAnsiTheme="majorHAnsi" w:cs="Times New Roman"/>
          <w:lang w:eastAsia="sk-SK"/>
        </w:rPr>
        <w:t xml:space="preserve"> nástroje, riziká ohrozujúce udržateľnosť a dohľad nad skupinou a cezhraničný dohľad, a ktorou sa menia smernice 2002/87/ES a 2013/34/EÚ</w:t>
      </w:r>
      <w:r w:rsidR="008944CE">
        <w:rPr>
          <w:rFonts w:asciiTheme="majorHAnsi" w:eastAsia="Times New Roman" w:hAnsiTheme="majorHAnsi" w:cs="Times New Roman"/>
          <w:lang w:eastAsia="sk-SK"/>
        </w:rPr>
        <w:t xml:space="preserve"> (ďalej len ,,</w:t>
      </w:r>
      <w:r>
        <w:rPr>
          <w:rFonts w:asciiTheme="majorHAnsi" w:eastAsia="Times New Roman" w:hAnsiTheme="majorHAnsi" w:cs="Times New Roman"/>
          <w:lang w:eastAsia="sk-SK"/>
        </w:rPr>
        <w:t xml:space="preserve">smernica </w:t>
      </w:r>
      <w:proofErr w:type="spellStart"/>
      <w:r w:rsidR="008944CE">
        <w:rPr>
          <w:rFonts w:asciiTheme="majorHAnsi" w:eastAsia="Times New Roman" w:hAnsiTheme="majorHAnsi" w:cs="Times New Roman"/>
          <w:lang w:eastAsia="sk-SK"/>
        </w:rPr>
        <w:t>Solvency</w:t>
      </w:r>
      <w:proofErr w:type="spellEnd"/>
      <w:r w:rsidR="008944CE">
        <w:rPr>
          <w:rFonts w:asciiTheme="majorHAnsi" w:eastAsia="Times New Roman" w:hAnsiTheme="majorHAnsi" w:cs="Times New Roman"/>
          <w:lang w:eastAsia="sk-SK"/>
        </w:rPr>
        <w:t xml:space="preserve"> II Review“)</w:t>
      </w:r>
      <w:r w:rsidR="00896D74">
        <w:rPr>
          <w:rFonts w:asciiTheme="majorHAnsi" w:eastAsia="Times New Roman" w:hAnsiTheme="majorHAnsi" w:cs="Times New Roman"/>
          <w:lang w:eastAsia="sk-SK"/>
        </w:rPr>
        <w:t>, konkrétne jej bodu 7, a s ňou súvisiacou pripravovanou novelou zákona o</w:t>
      </w:r>
      <w:r w:rsidR="00FD5F42">
        <w:rPr>
          <w:rFonts w:asciiTheme="majorHAnsi" w:eastAsia="Times New Roman" w:hAnsiTheme="majorHAnsi" w:cs="Times New Roman"/>
          <w:lang w:eastAsia="sk-SK"/>
        </w:rPr>
        <w:t> </w:t>
      </w:r>
      <w:r w:rsidR="00896D74">
        <w:rPr>
          <w:rFonts w:asciiTheme="majorHAnsi" w:eastAsia="Times New Roman" w:hAnsiTheme="majorHAnsi" w:cs="Times New Roman"/>
          <w:lang w:eastAsia="sk-SK"/>
        </w:rPr>
        <w:t>poisťovníctve</w:t>
      </w:r>
      <w:r w:rsidR="00FD5F42">
        <w:rPr>
          <w:rFonts w:asciiTheme="majorHAnsi" w:eastAsia="Times New Roman" w:hAnsiTheme="majorHAnsi" w:cs="Times New Roman"/>
          <w:lang w:eastAsia="sk-SK"/>
        </w:rPr>
        <w:t xml:space="preserve">, ktorá navrhuje doplnenie osobitného splnomocňovacieho ustanovenia pre Národnú banku Slovenska na vydanie opatrenia o spôsobe preukázania </w:t>
      </w:r>
      <w:r>
        <w:rPr>
          <w:rFonts w:asciiTheme="majorHAnsi" w:eastAsia="Times New Roman" w:hAnsiTheme="majorHAnsi" w:cs="Times New Roman"/>
          <w:lang w:eastAsia="sk-SK"/>
        </w:rPr>
        <w:t xml:space="preserve">splnenia </w:t>
      </w:r>
      <w:r w:rsidR="00FD5F42">
        <w:rPr>
          <w:rFonts w:asciiTheme="majorHAnsi" w:eastAsia="Times New Roman" w:hAnsiTheme="majorHAnsi" w:cs="Times New Roman"/>
          <w:lang w:eastAsia="sk-SK"/>
        </w:rPr>
        <w:t>podmienok na zmenu povolenia (navrhovaný § 13 ods. 5 zákona o poisťovníctve).</w:t>
      </w:r>
    </w:p>
    <w:p w14:paraId="76AD62B6" w14:textId="6E8DC994" w:rsidR="00A07826" w:rsidRPr="00A07826" w:rsidRDefault="00A07826" w:rsidP="00A07826">
      <w:pPr>
        <w:widowControl w:val="0"/>
        <w:spacing w:after="0" w:line="240" w:lineRule="auto"/>
        <w:ind w:firstLine="708"/>
        <w:contextualSpacing/>
        <w:jc w:val="both"/>
        <w:rPr>
          <w:rFonts w:asciiTheme="majorHAnsi" w:eastAsia="Times New Roman" w:hAnsiTheme="majorHAnsi" w:cs="Times New Roman"/>
          <w:lang w:eastAsia="sk-SK"/>
        </w:rPr>
      </w:pPr>
      <w:r w:rsidRPr="00A07826">
        <w:rPr>
          <w:rFonts w:asciiTheme="majorHAnsi" w:eastAsia="Times New Roman" w:hAnsiTheme="majorHAnsi" w:cs="Times New Roman"/>
          <w:lang w:eastAsia="sk-SK"/>
        </w:rPr>
        <w:t>Navrhované zmeny reflektujú rozšírenie požiadaviek na obsah obchodno-finančného plánu predkladaného v konaní o udelení povolenia</w:t>
      </w:r>
      <w:r w:rsidR="007D27CE">
        <w:rPr>
          <w:rFonts w:ascii="Segoe UI" w:hAnsi="Segoe UI" w:cs="Segoe UI"/>
          <w:color w:val="242424"/>
          <w:shd w:val="clear" w:color="auto" w:fill="F5F5F5"/>
        </w:rPr>
        <w:t xml:space="preserve"> </w:t>
      </w:r>
      <w:r w:rsidR="00EC7ECA" w:rsidRPr="00EC7ECA">
        <w:rPr>
          <w:rFonts w:asciiTheme="majorHAnsi" w:eastAsia="Times New Roman" w:hAnsiTheme="majorHAnsi" w:cs="Times New Roman"/>
          <w:lang w:eastAsia="sk-SK"/>
        </w:rPr>
        <w:t xml:space="preserve">podľa </w:t>
      </w:r>
      <w:r w:rsidR="007D27CE">
        <w:rPr>
          <w:rFonts w:asciiTheme="majorHAnsi" w:eastAsia="Times New Roman" w:hAnsiTheme="majorHAnsi" w:cs="Times New Roman"/>
          <w:lang w:eastAsia="sk-SK"/>
        </w:rPr>
        <w:t xml:space="preserve">§ 7 ods. 2 písm. i), </w:t>
      </w:r>
      <w:r w:rsidR="00EC7ECA" w:rsidRPr="00EC7ECA">
        <w:rPr>
          <w:rFonts w:asciiTheme="majorHAnsi" w:eastAsia="Times New Roman" w:hAnsiTheme="majorHAnsi" w:cs="Times New Roman"/>
          <w:lang w:eastAsia="sk-SK"/>
        </w:rPr>
        <w:t>§ 9 ods. 2 písm. i)</w:t>
      </w:r>
      <w:r w:rsidR="007D27CE">
        <w:rPr>
          <w:rFonts w:asciiTheme="majorHAnsi" w:eastAsia="Times New Roman" w:hAnsiTheme="majorHAnsi" w:cs="Times New Roman"/>
          <w:lang w:eastAsia="sk-SK"/>
        </w:rPr>
        <w:t xml:space="preserve"> a</w:t>
      </w:r>
      <w:r w:rsidR="00D02E21">
        <w:rPr>
          <w:rFonts w:asciiTheme="majorHAnsi" w:eastAsia="Times New Roman" w:hAnsiTheme="majorHAnsi" w:cs="Times New Roman"/>
          <w:lang w:eastAsia="sk-SK"/>
        </w:rPr>
        <w:t xml:space="preserve"> navrhovaného </w:t>
      </w:r>
      <w:r w:rsidR="007D27CE">
        <w:rPr>
          <w:rFonts w:asciiTheme="majorHAnsi" w:eastAsia="Times New Roman" w:hAnsiTheme="majorHAnsi" w:cs="Times New Roman"/>
          <w:lang w:eastAsia="sk-SK"/>
        </w:rPr>
        <w:t xml:space="preserve">§ 10 ods. 2 písm. </w:t>
      </w:r>
      <w:r w:rsidR="00D02E21">
        <w:rPr>
          <w:rFonts w:asciiTheme="majorHAnsi" w:eastAsia="Times New Roman" w:hAnsiTheme="majorHAnsi" w:cs="Times New Roman"/>
          <w:lang w:eastAsia="sk-SK"/>
        </w:rPr>
        <w:t>h</w:t>
      </w:r>
      <w:r w:rsidR="007D27CE">
        <w:rPr>
          <w:rFonts w:asciiTheme="majorHAnsi" w:eastAsia="Times New Roman" w:hAnsiTheme="majorHAnsi" w:cs="Times New Roman"/>
          <w:lang w:eastAsia="sk-SK"/>
        </w:rPr>
        <w:t>)</w:t>
      </w:r>
      <w:r w:rsidR="00D02E21">
        <w:rPr>
          <w:rFonts w:asciiTheme="majorHAnsi" w:eastAsia="Times New Roman" w:hAnsiTheme="majorHAnsi" w:cs="Times New Roman"/>
          <w:lang w:eastAsia="sk-SK"/>
        </w:rPr>
        <w:t xml:space="preserve"> (pôvodné písm. g))</w:t>
      </w:r>
      <w:r w:rsidR="00EC7ECA" w:rsidRPr="00EC7ECA">
        <w:rPr>
          <w:rFonts w:asciiTheme="majorHAnsi" w:eastAsia="Times New Roman" w:hAnsiTheme="majorHAnsi" w:cs="Times New Roman"/>
          <w:lang w:eastAsia="sk-SK"/>
        </w:rPr>
        <w:t xml:space="preserve"> zákona o poisťovníctve</w:t>
      </w:r>
      <w:r w:rsidRPr="00A07826">
        <w:rPr>
          <w:rFonts w:asciiTheme="majorHAnsi" w:eastAsia="Times New Roman" w:hAnsiTheme="majorHAnsi" w:cs="Times New Roman"/>
          <w:lang w:eastAsia="sk-SK"/>
        </w:rPr>
        <w:t xml:space="preserve"> </w:t>
      </w:r>
      <w:r w:rsidR="00946528">
        <w:rPr>
          <w:rFonts w:asciiTheme="majorHAnsi" w:eastAsia="Times New Roman" w:hAnsiTheme="majorHAnsi" w:cs="Times New Roman"/>
          <w:lang w:eastAsia="sk-SK"/>
        </w:rPr>
        <w:t>podľa</w:t>
      </w:r>
      <w:r w:rsidR="007D27CE" w:rsidRPr="00946528">
        <w:rPr>
          <w:rFonts w:asciiTheme="majorHAnsi" w:eastAsia="Times New Roman" w:hAnsiTheme="majorHAnsi" w:cs="Times New Roman"/>
          <w:lang w:eastAsia="sk-SK"/>
        </w:rPr>
        <w:t xml:space="preserve"> bodu 7 </w:t>
      </w:r>
      <w:r w:rsidR="00E05967" w:rsidRPr="00946528">
        <w:rPr>
          <w:rFonts w:asciiTheme="majorHAnsi" w:eastAsia="Times New Roman" w:hAnsiTheme="majorHAnsi" w:cs="Times New Roman"/>
          <w:lang w:eastAsia="sk-SK"/>
        </w:rPr>
        <w:t xml:space="preserve">smernice </w:t>
      </w:r>
      <w:proofErr w:type="spellStart"/>
      <w:r w:rsidR="007D27CE" w:rsidRPr="00946528">
        <w:rPr>
          <w:rFonts w:asciiTheme="majorHAnsi" w:eastAsia="Times New Roman" w:hAnsiTheme="majorHAnsi" w:cs="Times New Roman"/>
          <w:lang w:eastAsia="sk-SK"/>
        </w:rPr>
        <w:t>Solvency</w:t>
      </w:r>
      <w:proofErr w:type="spellEnd"/>
      <w:r w:rsidR="007D27CE" w:rsidRPr="00946528">
        <w:rPr>
          <w:rFonts w:asciiTheme="majorHAnsi" w:eastAsia="Times New Roman" w:hAnsiTheme="majorHAnsi" w:cs="Times New Roman"/>
          <w:lang w:eastAsia="sk-SK"/>
        </w:rPr>
        <w:t xml:space="preserve"> II Review</w:t>
      </w:r>
      <w:r w:rsidR="007D27CE">
        <w:rPr>
          <w:rFonts w:asciiTheme="majorHAnsi" w:eastAsia="Times New Roman" w:hAnsiTheme="majorHAnsi" w:cs="Times New Roman"/>
          <w:lang w:eastAsia="sk-SK"/>
        </w:rPr>
        <w:t xml:space="preserve"> </w:t>
      </w:r>
      <w:r w:rsidRPr="00A07826">
        <w:rPr>
          <w:rFonts w:asciiTheme="majorHAnsi" w:eastAsia="Times New Roman" w:hAnsiTheme="majorHAnsi" w:cs="Times New Roman"/>
          <w:lang w:eastAsia="sk-SK"/>
        </w:rPr>
        <w:t>a zároveň ustanovujú spôsob preukazovania splnenia podmienok pri zmene povolenia na vykonávanie poisťovacej alebo zaisťovacej činnosti.</w:t>
      </w:r>
    </w:p>
    <w:p w14:paraId="27ECCF15" w14:textId="77777777" w:rsidR="007B7725" w:rsidRDefault="007B772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5D317B" w14:textId="77777777" w:rsidR="00321D9E" w:rsidRDefault="00321D9E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5A023B" w14:textId="1AF08CE1" w:rsidR="008B37DA" w:rsidRPr="0003200D" w:rsidRDefault="00310A75" w:rsidP="001D76F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3. Zhodnotenie súčasného stavu:</w:t>
      </w:r>
    </w:p>
    <w:p w14:paraId="1EEF2A76" w14:textId="58CBABD3" w:rsidR="00FD7E2F" w:rsidRPr="00FD7E2F" w:rsidRDefault="006B466F" w:rsidP="00FD7E2F">
      <w:pPr>
        <w:spacing w:after="0" w:line="240" w:lineRule="auto"/>
        <w:ind w:firstLine="708"/>
        <w:jc w:val="both"/>
        <w:rPr>
          <w:rFonts w:asciiTheme="majorHAnsi" w:eastAsia="Times New Roman" w:hAnsiTheme="majorHAnsi" w:cs="Times New Roman"/>
          <w:lang w:eastAsia="sk-SK"/>
        </w:rPr>
      </w:pPr>
      <w:r w:rsidRPr="006B466F">
        <w:rPr>
          <w:rFonts w:asciiTheme="majorHAnsi" w:eastAsia="Times New Roman" w:hAnsiTheme="majorHAnsi" w:cs="Times New Roman"/>
          <w:lang w:eastAsia="sk-SK"/>
        </w:rPr>
        <w:t xml:space="preserve">Opatrenie </w:t>
      </w:r>
      <w:r w:rsidR="00AE151F">
        <w:rPr>
          <w:rFonts w:asciiTheme="majorHAnsi" w:eastAsia="Times New Roman" w:hAnsiTheme="majorHAnsi" w:cs="Times New Roman"/>
          <w:lang w:eastAsia="sk-SK"/>
        </w:rPr>
        <w:t xml:space="preserve">Národnej banky Slovenska </w:t>
      </w:r>
      <w:r w:rsidRPr="006B466F">
        <w:rPr>
          <w:rFonts w:asciiTheme="majorHAnsi" w:eastAsia="Times New Roman" w:hAnsiTheme="majorHAnsi" w:cs="Times New Roman"/>
          <w:lang w:eastAsia="sk-SK"/>
        </w:rPr>
        <w:t xml:space="preserve">č. </w:t>
      </w:r>
      <w:r>
        <w:rPr>
          <w:rFonts w:asciiTheme="majorHAnsi" w:eastAsia="Times New Roman" w:hAnsiTheme="majorHAnsi" w:cs="Times New Roman"/>
          <w:lang w:eastAsia="sk-SK"/>
        </w:rPr>
        <w:t>7</w:t>
      </w:r>
      <w:r w:rsidRPr="006B466F">
        <w:rPr>
          <w:rFonts w:asciiTheme="majorHAnsi" w:eastAsia="Times New Roman" w:hAnsiTheme="majorHAnsi" w:cs="Times New Roman"/>
          <w:lang w:eastAsia="sk-SK"/>
        </w:rPr>
        <w:t>/20</w:t>
      </w:r>
      <w:r>
        <w:rPr>
          <w:rFonts w:asciiTheme="majorHAnsi" w:eastAsia="Times New Roman" w:hAnsiTheme="majorHAnsi" w:cs="Times New Roman"/>
          <w:lang w:eastAsia="sk-SK"/>
        </w:rPr>
        <w:t>25</w:t>
      </w:r>
      <w:r w:rsidRPr="006B466F">
        <w:rPr>
          <w:rFonts w:asciiTheme="majorHAnsi" w:eastAsia="Times New Roman" w:hAnsiTheme="majorHAnsi" w:cs="Times New Roman"/>
          <w:lang w:eastAsia="sk-SK"/>
        </w:rPr>
        <w:t xml:space="preserve"> ustanovuje spôsob preukazovania splnenia podmienok na udelenie povolenia na vykonávanie poisťovacej činnosti a na udelenie povolenia na vykonávanie zaisťovacej činnosti pre subjekty, na ktoré sa nebude uplatňovať osobitný režim, avšak </w:t>
      </w:r>
      <w:r w:rsidR="00FD7E2F">
        <w:rPr>
          <w:rFonts w:asciiTheme="majorHAnsi" w:eastAsia="Times New Roman" w:hAnsiTheme="majorHAnsi" w:cs="Times New Roman"/>
          <w:lang w:eastAsia="sk-SK"/>
        </w:rPr>
        <w:t>v</w:t>
      </w:r>
      <w:r w:rsidR="00FD7E2F" w:rsidRPr="00FD7E2F">
        <w:rPr>
          <w:rFonts w:asciiTheme="majorHAnsi" w:eastAsia="Times New Roman" w:hAnsiTheme="majorHAnsi" w:cs="Times New Roman"/>
          <w:lang w:eastAsia="sk-SK"/>
        </w:rPr>
        <w:t xml:space="preserve"> nadväznosti na</w:t>
      </w:r>
      <w:r w:rsidR="00683C6E">
        <w:rPr>
          <w:rFonts w:asciiTheme="majorHAnsi" w:eastAsia="Times New Roman" w:hAnsiTheme="majorHAnsi" w:cs="Times New Roman"/>
          <w:lang w:eastAsia="sk-SK"/>
        </w:rPr>
        <w:t xml:space="preserve"> potrebu transpozície </w:t>
      </w:r>
      <w:r w:rsidR="00AE151F">
        <w:rPr>
          <w:rFonts w:asciiTheme="majorHAnsi" w:eastAsia="Times New Roman" w:hAnsiTheme="majorHAnsi" w:cs="Times New Roman"/>
          <w:lang w:eastAsia="sk-SK"/>
        </w:rPr>
        <w:t xml:space="preserve">smernice </w:t>
      </w:r>
      <w:proofErr w:type="spellStart"/>
      <w:r w:rsidR="00683C6E" w:rsidRPr="00FD7E2F">
        <w:rPr>
          <w:rFonts w:asciiTheme="majorHAnsi" w:eastAsia="Times New Roman" w:hAnsiTheme="majorHAnsi" w:cs="Times New Roman"/>
          <w:lang w:eastAsia="sk-SK"/>
        </w:rPr>
        <w:t>Solvency</w:t>
      </w:r>
      <w:proofErr w:type="spellEnd"/>
      <w:r w:rsidR="00683C6E" w:rsidRPr="00FD7E2F">
        <w:rPr>
          <w:rFonts w:asciiTheme="majorHAnsi" w:eastAsia="Times New Roman" w:hAnsiTheme="majorHAnsi" w:cs="Times New Roman"/>
          <w:lang w:eastAsia="sk-SK"/>
        </w:rPr>
        <w:t xml:space="preserve"> II Review</w:t>
      </w:r>
      <w:r w:rsidR="00683C6E">
        <w:rPr>
          <w:rFonts w:asciiTheme="majorHAnsi" w:eastAsia="Times New Roman" w:hAnsiTheme="majorHAnsi" w:cs="Times New Roman"/>
          <w:lang w:eastAsia="sk-SK"/>
        </w:rPr>
        <w:t xml:space="preserve"> a s tým súvisiacu</w:t>
      </w:r>
      <w:r w:rsidR="00FD7E2F" w:rsidRPr="00FD7E2F">
        <w:rPr>
          <w:rFonts w:asciiTheme="majorHAnsi" w:eastAsia="Times New Roman" w:hAnsiTheme="majorHAnsi" w:cs="Times New Roman"/>
          <w:lang w:eastAsia="sk-SK"/>
        </w:rPr>
        <w:t xml:space="preserve"> pripravovanú novelu zákona o poisťovníctve vznikla potreba doplniť a spresniť právnu úpravu obsiahnutú v tomto opatrení v rozsahu uvedenom v bode 2 tejto predbežnej informácie. Navrhovaná úprava zabezpečí súlad vykonávacieho právneho predpisu s pripravovanými zmenami zákona o poisťovníctve a prispeje k jednoznačnejšiemu a efektívnejšiemu uplatňovaniu požiadaviek v povoľovacích konaniach v oblasti poisťovníctva.</w:t>
      </w:r>
    </w:p>
    <w:p w14:paraId="0857FF6D" w14:textId="77777777" w:rsidR="006B466F" w:rsidRDefault="006B466F" w:rsidP="00302D52">
      <w:pPr>
        <w:spacing w:after="0" w:line="240" w:lineRule="auto"/>
        <w:jc w:val="both"/>
        <w:rPr>
          <w:rFonts w:asciiTheme="majorHAnsi" w:hAnsiTheme="majorHAnsi" w:cs="Times New Roman"/>
        </w:rPr>
      </w:pPr>
    </w:p>
    <w:p w14:paraId="06D111FE" w14:textId="77777777" w:rsidR="00321D9E" w:rsidRPr="0003200D" w:rsidRDefault="00321D9E" w:rsidP="00302D52">
      <w:pPr>
        <w:spacing w:after="0" w:line="240" w:lineRule="auto"/>
        <w:jc w:val="both"/>
        <w:rPr>
          <w:rFonts w:asciiTheme="majorHAnsi" w:hAnsiTheme="majorHAnsi" w:cs="Times New Roman"/>
        </w:rPr>
      </w:pPr>
    </w:p>
    <w:p w14:paraId="2BC90EA8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4. Spôsob zapojenia verejnosti do prípravy právneho predpisu:</w:t>
      </w:r>
    </w:p>
    <w:p w14:paraId="5B440B43" w14:textId="57D62CE2" w:rsidR="00310A75" w:rsidRPr="0003200D" w:rsidRDefault="00310A75" w:rsidP="00A07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>Verejnosť sa môže zapojiť do prípravy právneho predpisu formou zasielania podnetov</w:t>
      </w:r>
      <w:r w:rsidR="007A05FA" w:rsidRPr="0003200D">
        <w:rPr>
          <w:rFonts w:asciiTheme="majorHAnsi" w:hAnsiTheme="majorHAnsi" w:cs="Times New Roman"/>
        </w:rPr>
        <w:t>,</w:t>
      </w:r>
      <w:r w:rsidRPr="0003200D">
        <w:rPr>
          <w:rFonts w:asciiTheme="majorHAnsi" w:hAnsiTheme="majorHAnsi" w:cs="Times New Roman"/>
        </w:rPr>
        <w:t xml:space="preserve"> či návrhov v intenciách vecného zamerania podľa bodu 2.</w:t>
      </w:r>
      <w:r w:rsidR="009C0A94">
        <w:rPr>
          <w:rFonts w:asciiTheme="majorHAnsi" w:hAnsiTheme="majorHAnsi" w:cs="Times New Roman"/>
        </w:rPr>
        <w:t xml:space="preserve"> </w:t>
      </w:r>
    </w:p>
    <w:p w14:paraId="5C70E713" w14:textId="77777777" w:rsidR="00310A75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</w:p>
    <w:p w14:paraId="09326550" w14:textId="77777777" w:rsidR="00321D9E" w:rsidRPr="0003200D" w:rsidRDefault="00321D9E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</w:p>
    <w:p w14:paraId="725DA6A8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u w:val="single"/>
        </w:rPr>
      </w:pPr>
      <w:r w:rsidRPr="0003200D">
        <w:rPr>
          <w:rFonts w:asciiTheme="majorHAnsi" w:hAnsiTheme="majorHAnsi" w:cs="Times New Roman"/>
          <w:u w:val="single"/>
        </w:rPr>
        <w:t>Kontaktné údaje:</w:t>
      </w:r>
    </w:p>
    <w:p w14:paraId="0DCF644F" w14:textId="32D82C9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 xml:space="preserve">Národná banka Slovenska </w:t>
      </w:r>
    </w:p>
    <w:p w14:paraId="3A6AFB17" w14:textId="7896C7A2" w:rsidR="00E4098D" w:rsidRPr="0003200D" w:rsidRDefault="00E4098D" w:rsidP="0069486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>Úsek dohľadu a ochrany finančného spotrebiteľa</w:t>
      </w:r>
    </w:p>
    <w:p w14:paraId="52637AA8" w14:textId="5D3E4F09" w:rsidR="00694869" w:rsidRPr="0003200D" w:rsidRDefault="00694869" w:rsidP="0069486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lastRenderedPageBreak/>
        <w:t>Odbor dohľadu nad poisťovníctvom a dôchodkovým sporením</w:t>
      </w:r>
    </w:p>
    <w:p w14:paraId="6847E61D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 xml:space="preserve">Imricha </w:t>
      </w:r>
      <w:proofErr w:type="spellStart"/>
      <w:r w:rsidRPr="0003200D">
        <w:rPr>
          <w:rFonts w:asciiTheme="majorHAnsi" w:hAnsiTheme="majorHAnsi" w:cs="Times New Roman"/>
        </w:rPr>
        <w:t>Karvaša</w:t>
      </w:r>
      <w:proofErr w:type="spellEnd"/>
      <w:r w:rsidRPr="0003200D">
        <w:rPr>
          <w:rFonts w:asciiTheme="majorHAnsi" w:hAnsiTheme="majorHAnsi" w:cs="Times New Roman"/>
        </w:rPr>
        <w:t xml:space="preserve"> 1</w:t>
      </w:r>
    </w:p>
    <w:p w14:paraId="2953E850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>813 25 Bratislava</w:t>
      </w:r>
    </w:p>
    <w:p w14:paraId="13040F9F" w14:textId="77777777" w:rsidR="00310A75" w:rsidRPr="0003200D" w:rsidRDefault="00E97BE2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color w:val="0000FF" w:themeColor="hyperlink"/>
          <w:u w:val="single"/>
        </w:rPr>
      </w:pPr>
      <w:r w:rsidRPr="0003200D">
        <w:rPr>
          <w:rFonts w:asciiTheme="majorHAnsi" w:hAnsiTheme="majorHAnsi" w:cs="Times New Roman"/>
        </w:rPr>
        <w:t>email</w:t>
      </w:r>
      <w:r w:rsidR="00310A75" w:rsidRPr="0003200D">
        <w:rPr>
          <w:rFonts w:asciiTheme="majorHAnsi" w:hAnsiTheme="majorHAnsi" w:cs="Times New Roman"/>
        </w:rPr>
        <w:t xml:space="preserve">: </w:t>
      </w:r>
      <w:r w:rsidR="00310A75" w:rsidRPr="0003200D">
        <w:rPr>
          <w:rFonts w:asciiTheme="majorHAnsi" w:hAnsiTheme="majorHAnsi" w:cs="Arial"/>
          <w:color w:val="000000"/>
        </w:rPr>
        <w:t>oznamopk@nbs.sk</w:t>
      </w:r>
    </w:p>
    <w:p w14:paraId="1DD7EFFA" w14:textId="77777777" w:rsidR="00BA70A5" w:rsidRPr="0003200D" w:rsidRDefault="00BA70A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</w:p>
    <w:p w14:paraId="001DF98E" w14:textId="77777777" w:rsidR="007B1360" w:rsidRPr="0003200D" w:rsidRDefault="00310A75" w:rsidP="007B136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5. Predpokladaný termín začatia pripomienkového konania:</w:t>
      </w:r>
    </w:p>
    <w:p w14:paraId="18FB64C0" w14:textId="188BAA73" w:rsidR="000751CD" w:rsidRPr="000742F2" w:rsidRDefault="00133F63" w:rsidP="00D944BE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 w:cs="Times New Roman"/>
        </w:rPr>
        <w:t>október</w:t>
      </w:r>
      <w:r w:rsidRPr="0003200D">
        <w:rPr>
          <w:rFonts w:asciiTheme="majorHAnsi" w:hAnsiTheme="majorHAnsi" w:cs="Times New Roman"/>
        </w:rPr>
        <w:t xml:space="preserve"> </w:t>
      </w:r>
      <w:r w:rsidR="00981623" w:rsidRPr="0003200D">
        <w:rPr>
          <w:rFonts w:asciiTheme="majorHAnsi" w:hAnsiTheme="majorHAnsi" w:cs="Times New Roman"/>
        </w:rPr>
        <w:t>20</w:t>
      </w:r>
      <w:r w:rsidR="000742F2" w:rsidRPr="0003200D">
        <w:rPr>
          <w:rFonts w:asciiTheme="majorHAnsi" w:hAnsiTheme="majorHAnsi" w:cs="Times New Roman"/>
        </w:rPr>
        <w:t>2</w:t>
      </w:r>
      <w:r w:rsidR="001901C5" w:rsidRPr="0003200D">
        <w:rPr>
          <w:rFonts w:asciiTheme="majorHAnsi" w:hAnsiTheme="majorHAnsi" w:cs="Times New Roman"/>
        </w:rPr>
        <w:t>6</w:t>
      </w:r>
    </w:p>
    <w:sectPr w:rsidR="000751CD" w:rsidRPr="00074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6466F" w14:textId="77777777" w:rsidR="00257BA8" w:rsidRDefault="00257BA8" w:rsidP="00271633">
      <w:pPr>
        <w:spacing w:after="0" w:line="240" w:lineRule="auto"/>
      </w:pPr>
      <w:r>
        <w:separator/>
      </w:r>
    </w:p>
  </w:endnote>
  <w:endnote w:type="continuationSeparator" w:id="0">
    <w:p w14:paraId="6EBAEC01" w14:textId="77777777" w:rsidR="00257BA8" w:rsidRDefault="00257BA8" w:rsidP="00271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E9F11" w14:textId="77777777" w:rsidR="00257BA8" w:rsidRDefault="00257BA8" w:rsidP="00271633">
      <w:pPr>
        <w:spacing w:after="0" w:line="240" w:lineRule="auto"/>
      </w:pPr>
      <w:r>
        <w:separator/>
      </w:r>
    </w:p>
  </w:footnote>
  <w:footnote w:type="continuationSeparator" w:id="0">
    <w:p w14:paraId="6370BCFC" w14:textId="77777777" w:rsidR="00257BA8" w:rsidRDefault="00257BA8" w:rsidP="00271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D3D60"/>
    <w:multiLevelType w:val="hybridMultilevel"/>
    <w:tmpl w:val="B900B7FC"/>
    <w:lvl w:ilvl="0" w:tplc="6DC47C2C">
      <w:start w:val="1"/>
      <w:numFmt w:val="decimal"/>
      <w:pStyle w:val="odsek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1FE03A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D4E83B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90CA1"/>
    <w:multiLevelType w:val="hybridMultilevel"/>
    <w:tmpl w:val="D12E651E"/>
    <w:lvl w:ilvl="0" w:tplc="AD38C5CE">
      <w:start w:val="1"/>
      <w:numFmt w:val="lowerLetter"/>
      <w:pStyle w:val="Zoznam1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1FE03A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D4E83B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D1B0F"/>
    <w:multiLevelType w:val="hybridMultilevel"/>
    <w:tmpl w:val="BA2A7AA0"/>
    <w:lvl w:ilvl="0" w:tplc="011E1916">
      <w:start w:val="1"/>
      <w:numFmt w:val="decimal"/>
      <w:lvlText w:val="(%1)"/>
      <w:lvlJc w:val="left"/>
      <w:pPr>
        <w:ind w:left="786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80" w:hanging="360"/>
      </w:pPr>
    </w:lvl>
    <w:lvl w:ilvl="2" w:tplc="041B001B" w:tentative="1">
      <w:start w:val="1"/>
      <w:numFmt w:val="lowerRoman"/>
      <w:lvlText w:val="%3."/>
      <w:lvlJc w:val="right"/>
      <w:pPr>
        <w:ind w:left="2500" w:hanging="180"/>
      </w:pPr>
    </w:lvl>
    <w:lvl w:ilvl="3" w:tplc="041B000F" w:tentative="1">
      <w:start w:val="1"/>
      <w:numFmt w:val="decimal"/>
      <w:lvlText w:val="%4."/>
      <w:lvlJc w:val="left"/>
      <w:pPr>
        <w:ind w:left="3220" w:hanging="360"/>
      </w:pPr>
    </w:lvl>
    <w:lvl w:ilvl="4" w:tplc="041B0019" w:tentative="1">
      <w:start w:val="1"/>
      <w:numFmt w:val="lowerLetter"/>
      <w:lvlText w:val="%5."/>
      <w:lvlJc w:val="left"/>
      <w:pPr>
        <w:ind w:left="3940" w:hanging="360"/>
      </w:pPr>
    </w:lvl>
    <w:lvl w:ilvl="5" w:tplc="041B001B" w:tentative="1">
      <w:start w:val="1"/>
      <w:numFmt w:val="lowerRoman"/>
      <w:lvlText w:val="%6."/>
      <w:lvlJc w:val="right"/>
      <w:pPr>
        <w:ind w:left="4660" w:hanging="180"/>
      </w:pPr>
    </w:lvl>
    <w:lvl w:ilvl="6" w:tplc="041B000F" w:tentative="1">
      <w:start w:val="1"/>
      <w:numFmt w:val="decimal"/>
      <w:lvlText w:val="%7."/>
      <w:lvlJc w:val="left"/>
      <w:pPr>
        <w:ind w:left="5380" w:hanging="360"/>
      </w:pPr>
    </w:lvl>
    <w:lvl w:ilvl="7" w:tplc="041B0019" w:tentative="1">
      <w:start w:val="1"/>
      <w:numFmt w:val="lowerLetter"/>
      <w:lvlText w:val="%8."/>
      <w:lvlJc w:val="left"/>
      <w:pPr>
        <w:ind w:left="6100" w:hanging="360"/>
      </w:pPr>
    </w:lvl>
    <w:lvl w:ilvl="8" w:tplc="041B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3B961DCD"/>
    <w:multiLevelType w:val="hybridMultilevel"/>
    <w:tmpl w:val="D95AC908"/>
    <w:lvl w:ilvl="0" w:tplc="9182966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1FE03A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D4E83B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7F224F"/>
    <w:multiLevelType w:val="hybridMultilevel"/>
    <w:tmpl w:val="B1AC849C"/>
    <w:lvl w:ilvl="0" w:tplc="D570A7F4">
      <w:start w:val="1"/>
      <w:numFmt w:val="decimal"/>
      <w:pStyle w:val="Zoznam21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D7C47"/>
    <w:multiLevelType w:val="hybridMultilevel"/>
    <w:tmpl w:val="B18863DE"/>
    <w:lvl w:ilvl="0" w:tplc="E02A3938">
      <w:start w:val="1"/>
      <w:numFmt w:val="decimal"/>
      <w:pStyle w:val="LegislativaOdsek"/>
      <w:lvlText w:val="(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80" w:hanging="360"/>
      </w:pPr>
    </w:lvl>
    <w:lvl w:ilvl="2" w:tplc="041B001B" w:tentative="1">
      <w:start w:val="1"/>
      <w:numFmt w:val="lowerRoman"/>
      <w:lvlText w:val="%3."/>
      <w:lvlJc w:val="right"/>
      <w:pPr>
        <w:ind w:left="2500" w:hanging="180"/>
      </w:pPr>
    </w:lvl>
    <w:lvl w:ilvl="3" w:tplc="041B000F" w:tentative="1">
      <w:start w:val="1"/>
      <w:numFmt w:val="decimal"/>
      <w:lvlText w:val="%4."/>
      <w:lvlJc w:val="left"/>
      <w:pPr>
        <w:ind w:left="3220" w:hanging="360"/>
      </w:pPr>
    </w:lvl>
    <w:lvl w:ilvl="4" w:tplc="041B0019" w:tentative="1">
      <w:start w:val="1"/>
      <w:numFmt w:val="lowerLetter"/>
      <w:lvlText w:val="%5."/>
      <w:lvlJc w:val="left"/>
      <w:pPr>
        <w:ind w:left="3940" w:hanging="360"/>
      </w:pPr>
    </w:lvl>
    <w:lvl w:ilvl="5" w:tplc="041B001B" w:tentative="1">
      <w:start w:val="1"/>
      <w:numFmt w:val="lowerRoman"/>
      <w:lvlText w:val="%6."/>
      <w:lvlJc w:val="right"/>
      <w:pPr>
        <w:ind w:left="4660" w:hanging="180"/>
      </w:pPr>
    </w:lvl>
    <w:lvl w:ilvl="6" w:tplc="041B000F" w:tentative="1">
      <w:start w:val="1"/>
      <w:numFmt w:val="decimal"/>
      <w:lvlText w:val="%7."/>
      <w:lvlJc w:val="left"/>
      <w:pPr>
        <w:ind w:left="5380" w:hanging="360"/>
      </w:pPr>
    </w:lvl>
    <w:lvl w:ilvl="7" w:tplc="041B0019" w:tentative="1">
      <w:start w:val="1"/>
      <w:numFmt w:val="lowerLetter"/>
      <w:lvlText w:val="%8."/>
      <w:lvlJc w:val="left"/>
      <w:pPr>
        <w:ind w:left="6100" w:hanging="360"/>
      </w:pPr>
    </w:lvl>
    <w:lvl w:ilvl="8" w:tplc="041B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780D4F84"/>
    <w:multiLevelType w:val="hybridMultilevel"/>
    <w:tmpl w:val="46D48824"/>
    <w:lvl w:ilvl="0" w:tplc="9EAE1EA6">
      <w:start w:val="3"/>
      <w:numFmt w:val="bullet"/>
      <w:lvlText w:val="-"/>
      <w:lvlJc w:val="left"/>
      <w:pPr>
        <w:ind w:left="1068" w:hanging="360"/>
      </w:pPr>
      <w:rPr>
        <w:rFonts w:ascii="Cambria" w:eastAsia="Times New Roman" w:hAnsi="Cambria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AA9717B"/>
    <w:multiLevelType w:val="hybridMultilevel"/>
    <w:tmpl w:val="A724B5F0"/>
    <w:lvl w:ilvl="0" w:tplc="2B06D5B4">
      <w:start w:val="1"/>
      <w:numFmt w:val="decimal"/>
      <w:lvlText w:val="(%1)"/>
      <w:lvlJc w:val="left"/>
      <w:pPr>
        <w:ind w:left="786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80" w:hanging="360"/>
      </w:pPr>
    </w:lvl>
    <w:lvl w:ilvl="2" w:tplc="041B001B" w:tentative="1">
      <w:start w:val="1"/>
      <w:numFmt w:val="lowerRoman"/>
      <w:lvlText w:val="%3."/>
      <w:lvlJc w:val="right"/>
      <w:pPr>
        <w:ind w:left="2500" w:hanging="180"/>
      </w:pPr>
    </w:lvl>
    <w:lvl w:ilvl="3" w:tplc="041B000F" w:tentative="1">
      <w:start w:val="1"/>
      <w:numFmt w:val="decimal"/>
      <w:lvlText w:val="%4."/>
      <w:lvlJc w:val="left"/>
      <w:pPr>
        <w:ind w:left="3220" w:hanging="360"/>
      </w:pPr>
    </w:lvl>
    <w:lvl w:ilvl="4" w:tplc="041B0019" w:tentative="1">
      <w:start w:val="1"/>
      <w:numFmt w:val="lowerLetter"/>
      <w:lvlText w:val="%5."/>
      <w:lvlJc w:val="left"/>
      <w:pPr>
        <w:ind w:left="3940" w:hanging="360"/>
      </w:pPr>
    </w:lvl>
    <w:lvl w:ilvl="5" w:tplc="041B001B" w:tentative="1">
      <w:start w:val="1"/>
      <w:numFmt w:val="lowerRoman"/>
      <w:lvlText w:val="%6."/>
      <w:lvlJc w:val="right"/>
      <w:pPr>
        <w:ind w:left="4660" w:hanging="180"/>
      </w:pPr>
    </w:lvl>
    <w:lvl w:ilvl="6" w:tplc="041B000F" w:tentative="1">
      <w:start w:val="1"/>
      <w:numFmt w:val="decimal"/>
      <w:lvlText w:val="%7."/>
      <w:lvlJc w:val="left"/>
      <w:pPr>
        <w:ind w:left="5380" w:hanging="360"/>
      </w:pPr>
    </w:lvl>
    <w:lvl w:ilvl="7" w:tplc="041B0019" w:tentative="1">
      <w:start w:val="1"/>
      <w:numFmt w:val="lowerLetter"/>
      <w:lvlText w:val="%8."/>
      <w:lvlJc w:val="left"/>
      <w:pPr>
        <w:ind w:left="6100" w:hanging="360"/>
      </w:pPr>
    </w:lvl>
    <w:lvl w:ilvl="8" w:tplc="041B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956791938">
    <w:abstractNumId w:val="0"/>
  </w:num>
  <w:num w:numId="2" w16cid:durableId="1039236981">
    <w:abstractNumId w:val="0"/>
  </w:num>
  <w:num w:numId="3" w16cid:durableId="948967971">
    <w:abstractNumId w:val="0"/>
  </w:num>
  <w:num w:numId="4" w16cid:durableId="964190160">
    <w:abstractNumId w:val="5"/>
  </w:num>
  <w:num w:numId="5" w16cid:durableId="1072392698">
    <w:abstractNumId w:val="2"/>
  </w:num>
  <w:num w:numId="6" w16cid:durableId="2068264920">
    <w:abstractNumId w:val="3"/>
  </w:num>
  <w:num w:numId="7" w16cid:durableId="202862179">
    <w:abstractNumId w:val="5"/>
  </w:num>
  <w:num w:numId="8" w16cid:durableId="1642223137">
    <w:abstractNumId w:val="2"/>
  </w:num>
  <w:num w:numId="9" w16cid:durableId="766775165">
    <w:abstractNumId w:val="3"/>
  </w:num>
  <w:num w:numId="10" w16cid:durableId="125242917">
    <w:abstractNumId w:val="5"/>
  </w:num>
  <w:num w:numId="11" w16cid:durableId="1978755080">
    <w:abstractNumId w:val="7"/>
  </w:num>
  <w:num w:numId="12" w16cid:durableId="1990359514">
    <w:abstractNumId w:val="0"/>
  </w:num>
  <w:num w:numId="13" w16cid:durableId="642000914">
    <w:abstractNumId w:val="5"/>
  </w:num>
  <w:num w:numId="14" w16cid:durableId="1504322839">
    <w:abstractNumId w:val="1"/>
  </w:num>
  <w:num w:numId="15" w16cid:durableId="856774815">
    <w:abstractNumId w:val="4"/>
  </w:num>
  <w:num w:numId="16" w16cid:durableId="1172791230">
    <w:abstractNumId w:val="0"/>
  </w:num>
  <w:num w:numId="17" w16cid:durableId="1387029489">
    <w:abstractNumId w:val="5"/>
  </w:num>
  <w:num w:numId="18" w16cid:durableId="849098645">
    <w:abstractNumId w:val="1"/>
  </w:num>
  <w:num w:numId="19" w16cid:durableId="257980721">
    <w:abstractNumId w:val="4"/>
  </w:num>
  <w:num w:numId="20" w16cid:durableId="8924211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A75"/>
    <w:rsid w:val="00001573"/>
    <w:rsid w:val="00006062"/>
    <w:rsid w:val="000133D5"/>
    <w:rsid w:val="00015B60"/>
    <w:rsid w:val="000201DB"/>
    <w:rsid w:val="00024AA9"/>
    <w:rsid w:val="0003200D"/>
    <w:rsid w:val="00045577"/>
    <w:rsid w:val="000471DB"/>
    <w:rsid w:val="0007264A"/>
    <w:rsid w:val="000742F2"/>
    <w:rsid w:val="00074D06"/>
    <w:rsid w:val="000751CD"/>
    <w:rsid w:val="000769FB"/>
    <w:rsid w:val="0008315C"/>
    <w:rsid w:val="000B3CC6"/>
    <w:rsid w:val="000C48BD"/>
    <w:rsid w:val="000C51F7"/>
    <w:rsid w:val="000D40C6"/>
    <w:rsid w:val="000F0C3B"/>
    <w:rsid w:val="000F2C0E"/>
    <w:rsid w:val="00127E3C"/>
    <w:rsid w:val="001309E5"/>
    <w:rsid w:val="00133F63"/>
    <w:rsid w:val="00157811"/>
    <w:rsid w:val="00161DA1"/>
    <w:rsid w:val="0016490C"/>
    <w:rsid w:val="00172AAA"/>
    <w:rsid w:val="00180D52"/>
    <w:rsid w:val="00182BC4"/>
    <w:rsid w:val="00182EE3"/>
    <w:rsid w:val="001901C5"/>
    <w:rsid w:val="001A707F"/>
    <w:rsid w:val="001C204C"/>
    <w:rsid w:val="001C4025"/>
    <w:rsid w:val="001C4A2F"/>
    <w:rsid w:val="001D27F4"/>
    <w:rsid w:val="001D4A62"/>
    <w:rsid w:val="001D76F3"/>
    <w:rsid w:val="001E0A3D"/>
    <w:rsid w:val="001E148D"/>
    <w:rsid w:val="00207EE2"/>
    <w:rsid w:val="00222535"/>
    <w:rsid w:val="00222D16"/>
    <w:rsid w:val="00246917"/>
    <w:rsid w:val="00257BA8"/>
    <w:rsid w:val="00270C4C"/>
    <w:rsid w:val="00271633"/>
    <w:rsid w:val="00272872"/>
    <w:rsid w:val="0027772A"/>
    <w:rsid w:val="00292B61"/>
    <w:rsid w:val="0029371D"/>
    <w:rsid w:val="002B0A06"/>
    <w:rsid w:val="002D04BF"/>
    <w:rsid w:val="002D4B22"/>
    <w:rsid w:val="002D6FF4"/>
    <w:rsid w:val="002D7625"/>
    <w:rsid w:val="002F5485"/>
    <w:rsid w:val="00302D52"/>
    <w:rsid w:val="003064E0"/>
    <w:rsid w:val="003103DB"/>
    <w:rsid w:val="00310A75"/>
    <w:rsid w:val="003129BD"/>
    <w:rsid w:val="00314989"/>
    <w:rsid w:val="00317E38"/>
    <w:rsid w:val="00321D9E"/>
    <w:rsid w:val="003340F1"/>
    <w:rsid w:val="00335591"/>
    <w:rsid w:val="003550AD"/>
    <w:rsid w:val="00360308"/>
    <w:rsid w:val="003854C5"/>
    <w:rsid w:val="00395DFA"/>
    <w:rsid w:val="003A6507"/>
    <w:rsid w:val="003B78C0"/>
    <w:rsid w:val="003D665C"/>
    <w:rsid w:val="003D7CD2"/>
    <w:rsid w:val="00403F13"/>
    <w:rsid w:val="00414540"/>
    <w:rsid w:val="00417DC1"/>
    <w:rsid w:val="00417ED9"/>
    <w:rsid w:val="00444E01"/>
    <w:rsid w:val="004B4CE7"/>
    <w:rsid w:val="004E39B1"/>
    <w:rsid w:val="0050602A"/>
    <w:rsid w:val="00507D39"/>
    <w:rsid w:val="005142C1"/>
    <w:rsid w:val="00542070"/>
    <w:rsid w:val="00543820"/>
    <w:rsid w:val="005456D8"/>
    <w:rsid w:val="00552F4E"/>
    <w:rsid w:val="00553ED9"/>
    <w:rsid w:val="00565440"/>
    <w:rsid w:val="0056659E"/>
    <w:rsid w:val="00566FA2"/>
    <w:rsid w:val="00571599"/>
    <w:rsid w:val="00577CE6"/>
    <w:rsid w:val="005878F2"/>
    <w:rsid w:val="00587DAF"/>
    <w:rsid w:val="00590880"/>
    <w:rsid w:val="005A0A32"/>
    <w:rsid w:val="005A235D"/>
    <w:rsid w:val="005C6166"/>
    <w:rsid w:val="005E0863"/>
    <w:rsid w:val="005E17A8"/>
    <w:rsid w:val="005E4F79"/>
    <w:rsid w:val="005E6AEF"/>
    <w:rsid w:val="005F25AE"/>
    <w:rsid w:val="006146AF"/>
    <w:rsid w:val="00614C90"/>
    <w:rsid w:val="0062710D"/>
    <w:rsid w:val="00650BB2"/>
    <w:rsid w:val="00666D40"/>
    <w:rsid w:val="00666DA8"/>
    <w:rsid w:val="006775B8"/>
    <w:rsid w:val="00683C6E"/>
    <w:rsid w:val="0069031C"/>
    <w:rsid w:val="00694869"/>
    <w:rsid w:val="006A1B9A"/>
    <w:rsid w:val="006B466F"/>
    <w:rsid w:val="006B72E1"/>
    <w:rsid w:val="006E2840"/>
    <w:rsid w:val="006F2D70"/>
    <w:rsid w:val="0070201F"/>
    <w:rsid w:val="00705C8B"/>
    <w:rsid w:val="007124FD"/>
    <w:rsid w:val="00715E0B"/>
    <w:rsid w:val="007254ED"/>
    <w:rsid w:val="00726C83"/>
    <w:rsid w:val="00763074"/>
    <w:rsid w:val="00763F0D"/>
    <w:rsid w:val="00776DE6"/>
    <w:rsid w:val="00777C9E"/>
    <w:rsid w:val="007A05FA"/>
    <w:rsid w:val="007A489D"/>
    <w:rsid w:val="007A58A4"/>
    <w:rsid w:val="007B1360"/>
    <w:rsid w:val="007B3965"/>
    <w:rsid w:val="007B535D"/>
    <w:rsid w:val="007B7725"/>
    <w:rsid w:val="007C5552"/>
    <w:rsid w:val="007D27CE"/>
    <w:rsid w:val="007E1A50"/>
    <w:rsid w:val="007E2AE4"/>
    <w:rsid w:val="007E63F6"/>
    <w:rsid w:val="007F1D2A"/>
    <w:rsid w:val="00810BC6"/>
    <w:rsid w:val="008165C0"/>
    <w:rsid w:val="00831669"/>
    <w:rsid w:val="0085596D"/>
    <w:rsid w:val="008772F4"/>
    <w:rsid w:val="00885D63"/>
    <w:rsid w:val="008944CE"/>
    <w:rsid w:val="00896D74"/>
    <w:rsid w:val="008A546B"/>
    <w:rsid w:val="008B37DA"/>
    <w:rsid w:val="008C73C9"/>
    <w:rsid w:val="008E74D2"/>
    <w:rsid w:val="008F03C0"/>
    <w:rsid w:val="00903694"/>
    <w:rsid w:val="0090650B"/>
    <w:rsid w:val="009134F7"/>
    <w:rsid w:val="00916A5E"/>
    <w:rsid w:val="00917CD9"/>
    <w:rsid w:val="009323C9"/>
    <w:rsid w:val="00933F09"/>
    <w:rsid w:val="0093769A"/>
    <w:rsid w:val="00946528"/>
    <w:rsid w:val="00950822"/>
    <w:rsid w:val="0096670C"/>
    <w:rsid w:val="009733A2"/>
    <w:rsid w:val="00977263"/>
    <w:rsid w:val="00981623"/>
    <w:rsid w:val="00987233"/>
    <w:rsid w:val="00987955"/>
    <w:rsid w:val="00987C99"/>
    <w:rsid w:val="00997337"/>
    <w:rsid w:val="009B12B2"/>
    <w:rsid w:val="009C0A94"/>
    <w:rsid w:val="009C2852"/>
    <w:rsid w:val="009C58EA"/>
    <w:rsid w:val="009D1C9A"/>
    <w:rsid w:val="009E60BC"/>
    <w:rsid w:val="009F1AB2"/>
    <w:rsid w:val="009F2460"/>
    <w:rsid w:val="009F304E"/>
    <w:rsid w:val="009F317C"/>
    <w:rsid w:val="00A04A12"/>
    <w:rsid w:val="00A04B6D"/>
    <w:rsid w:val="00A071EC"/>
    <w:rsid w:val="00A07826"/>
    <w:rsid w:val="00A10D7E"/>
    <w:rsid w:val="00A1107A"/>
    <w:rsid w:val="00A156D7"/>
    <w:rsid w:val="00A206D2"/>
    <w:rsid w:val="00A50F6C"/>
    <w:rsid w:val="00A572C9"/>
    <w:rsid w:val="00A63AC3"/>
    <w:rsid w:val="00A64F0B"/>
    <w:rsid w:val="00A7044C"/>
    <w:rsid w:val="00A74727"/>
    <w:rsid w:val="00A821F2"/>
    <w:rsid w:val="00A84353"/>
    <w:rsid w:val="00A85FEF"/>
    <w:rsid w:val="00A878E3"/>
    <w:rsid w:val="00A935BF"/>
    <w:rsid w:val="00A96D1E"/>
    <w:rsid w:val="00AA29BE"/>
    <w:rsid w:val="00AA3574"/>
    <w:rsid w:val="00AA5B8C"/>
    <w:rsid w:val="00AD5D49"/>
    <w:rsid w:val="00AE151F"/>
    <w:rsid w:val="00AE2D54"/>
    <w:rsid w:val="00AE4CEB"/>
    <w:rsid w:val="00B14DEB"/>
    <w:rsid w:val="00B255D4"/>
    <w:rsid w:val="00B51EB7"/>
    <w:rsid w:val="00B56806"/>
    <w:rsid w:val="00B76925"/>
    <w:rsid w:val="00B87936"/>
    <w:rsid w:val="00BA2FF2"/>
    <w:rsid w:val="00BA68B0"/>
    <w:rsid w:val="00BA70A5"/>
    <w:rsid w:val="00BC0A8D"/>
    <w:rsid w:val="00BC6646"/>
    <w:rsid w:val="00BE088A"/>
    <w:rsid w:val="00BE7135"/>
    <w:rsid w:val="00BF13F3"/>
    <w:rsid w:val="00BF660E"/>
    <w:rsid w:val="00C04E87"/>
    <w:rsid w:val="00C0579E"/>
    <w:rsid w:val="00C06E31"/>
    <w:rsid w:val="00C50780"/>
    <w:rsid w:val="00C53EC4"/>
    <w:rsid w:val="00C57576"/>
    <w:rsid w:val="00C92C4A"/>
    <w:rsid w:val="00CB5FC1"/>
    <w:rsid w:val="00CB6822"/>
    <w:rsid w:val="00CC32BF"/>
    <w:rsid w:val="00CC43C7"/>
    <w:rsid w:val="00CE46D3"/>
    <w:rsid w:val="00CF2709"/>
    <w:rsid w:val="00D02E21"/>
    <w:rsid w:val="00D07F0A"/>
    <w:rsid w:val="00D252B0"/>
    <w:rsid w:val="00D406D5"/>
    <w:rsid w:val="00D518C1"/>
    <w:rsid w:val="00D60D42"/>
    <w:rsid w:val="00D61059"/>
    <w:rsid w:val="00D63802"/>
    <w:rsid w:val="00D91859"/>
    <w:rsid w:val="00D921F8"/>
    <w:rsid w:val="00D929C1"/>
    <w:rsid w:val="00D944BE"/>
    <w:rsid w:val="00DA3B9B"/>
    <w:rsid w:val="00DC0C88"/>
    <w:rsid w:val="00DE68BE"/>
    <w:rsid w:val="00DF14A9"/>
    <w:rsid w:val="00DF239D"/>
    <w:rsid w:val="00E05967"/>
    <w:rsid w:val="00E12329"/>
    <w:rsid w:val="00E13A0E"/>
    <w:rsid w:val="00E16922"/>
    <w:rsid w:val="00E34F99"/>
    <w:rsid w:val="00E4098D"/>
    <w:rsid w:val="00E4423C"/>
    <w:rsid w:val="00E44E15"/>
    <w:rsid w:val="00E53005"/>
    <w:rsid w:val="00E63A29"/>
    <w:rsid w:val="00E75483"/>
    <w:rsid w:val="00E77B9A"/>
    <w:rsid w:val="00E811DA"/>
    <w:rsid w:val="00E81A85"/>
    <w:rsid w:val="00E95A5A"/>
    <w:rsid w:val="00E97BE2"/>
    <w:rsid w:val="00EA1A96"/>
    <w:rsid w:val="00EB25B6"/>
    <w:rsid w:val="00EB4418"/>
    <w:rsid w:val="00EC53BE"/>
    <w:rsid w:val="00EC7E52"/>
    <w:rsid w:val="00EC7ECA"/>
    <w:rsid w:val="00ED0FA0"/>
    <w:rsid w:val="00EF1097"/>
    <w:rsid w:val="00EF416A"/>
    <w:rsid w:val="00EF6646"/>
    <w:rsid w:val="00F05F73"/>
    <w:rsid w:val="00F070E4"/>
    <w:rsid w:val="00F11CE9"/>
    <w:rsid w:val="00F13A7E"/>
    <w:rsid w:val="00F44D68"/>
    <w:rsid w:val="00F44E37"/>
    <w:rsid w:val="00F46070"/>
    <w:rsid w:val="00F567B3"/>
    <w:rsid w:val="00F6382B"/>
    <w:rsid w:val="00F73093"/>
    <w:rsid w:val="00F85B45"/>
    <w:rsid w:val="00F86AE2"/>
    <w:rsid w:val="00F94128"/>
    <w:rsid w:val="00FB1959"/>
    <w:rsid w:val="00FB6A6F"/>
    <w:rsid w:val="00FD081A"/>
    <w:rsid w:val="00FD5F42"/>
    <w:rsid w:val="00FD7E2F"/>
    <w:rsid w:val="00FE070C"/>
    <w:rsid w:val="00FF0698"/>
    <w:rsid w:val="00FF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91CCA"/>
  <w15:docId w15:val="{EAA44039-62F3-4300-84C4-28FC31B01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A7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71EC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styleId="Heading2">
    <w:name w:val="heading 2"/>
    <w:basedOn w:val="Normal"/>
    <w:next w:val="Normal"/>
    <w:link w:val="Heading2Char"/>
    <w:qFormat/>
    <w:rsid w:val="00A071E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aliases w:val="EIOPA Kop 3"/>
    <w:basedOn w:val="Normal"/>
    <w:next w:val="Normal"/>
    <w:link w:val="Heading3Char"/>
    <w:qFormat/>
    <w:rsid w:val="00A071EC"/>
    <w:pPr>
      <w:keepNext/>
      <w:spacing w:after="0" w:line="240" w:lineRule="auto"/>
      <w:ind w:left="180"/>
      <w:jc w:val="both"/>
      <w:outlineLvl w:val="2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eading4">
    <w:name w:val="heading 4"/>
    <w:basedOn w:val="Normal"/>
    <w:next w:val="Normal"/>
    <w:link w:val="Heading4Char"/>
    <w:qFormat/>
    <w:rsid w:val="00A071EC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eading5">
    <w:name w:val="heading 5"/>
    <w:basedOn w:val="Normal"/>
    <w:next w:val="Normal"/>
    <w:link w:val="Heading5Char"/>
    <w:qFormat/>
    <w:rsid w:val="00A071EC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A071EC"/>
    <w:pPr>
      <w:keepNext/>
      <w:spacing w:after="0" w:line="240" w:lineRule="auto"/>
      <w:ind w:left="180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A071EC"/>
    <w:pPr>
      <w:tabs>
        <w:tab w:val="num" w:pos="0"/>
      </w:tabs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A071EC"/>
    <w:pPr>
      <w:tabs>
        <w:tab w:val="num" w:pos="0"/>
      </w:tabs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A071EC"/>
    <w:pPr>
      <w:tabs>
        <w:tab w:val="num" w:pos="0"/>
      </w:tabs>
      <w:spacing w:before="240" w:after="60" w:line="240" w:lineRule="auto"/>
      <w:outlineLvl w:val="8"/>
    </w:pPr>
    <w:rPr>
      <w:rFonts w:ascii="Arial" w:eastAsia="Times New Roman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071E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edeliste">
    <w:name w:val="Paragraphe de liste"/>
    <w:basedOn w:val="Normal"/>
    <w:uiPriority w:val="34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EP-ReferenznummerVerdana10pRegular">
    <w:name w:val="EP-Referenznummer Verdana 10p Regular"/>
    <w:basedOn w:val="Normal"/>
    <w:qFormat/>
    <w:rsid w:val="00A071EC"/>
    <w:pPr>
      <w:spacing w:after="2840" w:line="240" w:lineRule="auto"/>
      <w:jc w:val="right"/>
    </w:pPr>
    <w:rPr>
      <w:rFonts w:ascii="Verdana" w:eastAsia="MS Mincho" w:hAnsi="Verdana" w:cs="Times New Roman"/>
      <w:snapToGrid w:val="0"/>
      <w:sz w:val="20"/>
      <w:lang w:val="de-DE" w:eastAsia="de-DE"/>
    </w:rPr>
  </w:style>
  <w:style w:type="paragraph" w:customStyle="1" w:styleId="Adviceonect24p">
    <w:name w:val="Advice on... ect. 24p"/>
    <w:basedOn w:val="Normal"/>
    <w:next w:val="Normal"/>
    <w:qFormat/>
    <w:rsid w:val="00A071EC"/>
    <w:pPr>
      <w:pBdr>
        <w:top w:val="single" w:sz="4" w:space="25" w:color="D0E7F6"/>
        <w:left w:val="single" w:sz="4" w:space="8" w:color="D0E7F6"/>
        <w:bottom w:val="single" w:sz="4" w:space="30" w:color="D0E7F6"/>
        <w:right w:val="single" w:sz="4" w:space="8" w:color="D0E7F6"/>
      </w:pBdr>
      <w:shd w:val="clear" w:color="auto" w:fill="D0E7F6"/>
      <w:spacing w:after="0" w:line="240" w:lineRule="auto"/>
      <w:ind w:left="170" w:right="170"/>
      <w:jc w:val="center"/>
    </w:pPr>
    <w:rPr>
      <w:rFonts w:ascii="Verdana" w:eastAsia="MS Mincho" w:hAnsi="Verdana" w:cs="Times New Roman"/>
      <w:b/>
      <w:bCs/>
      <w:snapToGrid w:val="0"/>
      <w:sz w:val="48"/>
      <w:szCs w:val="48"/>
      <w:lang w:val="de-DE" w:eastAsia="de-DE"/>
    </w:rPr>
  </w:style>
  <w:style w:type="paragraph" w:customStyle="1" w:styleId="Subjectxxx24p">
    <w:name w:val="Subject xxx 24p"/>
    <w:basedOn w:val="Normal"/>
    <w:next w:val="Normal"/>
    <w:qFormat/>
    <w:rsid w:val="00A071EC"/>
    <w:pPr>
      <w:pBdr>
        <w:top w:val="single" w:sz="4" w:space="8" w:color="D0E7F6"/>
        <w:left w:val="single" w:sz="4" w:space="8" w:color="D0E7F6"/>
        <w:bottom w:val="single" w:sz="4" w:space="8" w:color="D0E7F6"/>
        <w:right w:val="single" w:sz="4" w:space="8" w:color="D0E7F6"/>
      </w:pBdr>
      <w:shd w:val="clear" w:color="auto" w:fill="D0E7F6"/>
      <w:spacing w:after="0" w:line="240" w:lineRule="auto"/>
      <w:ind w:left="170" w:right="170"/>
      <w:jc w:val="center"/>
    </w:pPr>
    <w:rPr>
      <w:rFonts w:ascii="Verdana" w:eastAsia="MS Mincho" w:hAnsi="Verdana" w:cs="Times New Roman"/>
      <w:b/>
      <w:bCs/>
      <w:snapToGrid w:val="0"/>
      <w:sz w:val="48"/>
      <w:szCs w:val="48"/>
      <w:lang w:val="de-DE" w:eastAsia="de-DE"/>
    </w:rPr>
  </w:style>
  <w:style w:type="paragraph" w:customStyle="1" w:styleId="Paragraphedeliste1">
    <w:name w:val="Paragraphe de liste1"/>
    <w:basedOn w:val="Normal"/>
    <w:uiPriority w:val="34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Listenabsatz1">
    <w:name w:val="Listenabsatz1"/>
    <w:basedOn w:val="Normal"/>
    <w:uiPriority w:val="99"/>
    <w:qFormat/>
    <w:rsid w:val="00A071EC"/>
    <w:pPr>
      <w:spacing w:after="0" w:line="240" w:lineRule="auto"/>
      <w:ind w:left="720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Paragraphedeliste2">
    <w:name w:val="Paragraphe de liste2"/>
    <w:basedOn w:val="Normal"/>
    <w:uiPriority w:val="34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ListParagraph1">
    <w:name w:val="List Paragraph1"/>
    <w:basedOn w:val="Normal"/>
    <w:uiPriority w:val="99"/>
    <w:qFormat/>
    <w:rsid w:val="00A071EC"/>
    <w:pPr>
      <w:spacing w:after="0" w:line="240" w:lineRule="auto"/>
      <w:ind w:left="720"/>
      <w:contextualSpacing/>
    </w:pPr>
    <w:rPr>
      <w:rFonts w:ascii="Calibri" w:eastAsia="SimSun" w:hAnsi="Calibri" w:cs="Times New Roman"/>
      <w:snapToGrid w:val="0"/>
      <w:sz w:val="24"/>
      <w:szCs w:val="24"/>
      <w:lang w:val="de-DE" w:eastAsia="sk-SK"/>
    </w:rPr>
  </w:style>
  <w:style w:type="paragraph" w:customStyle="1" w:styleId="PargrafodaLista1">
    <w:name w:val="Parágrafo da Lista1"/>
    <w:basedOn w:val="Normal"/>
    <w:uiPriority w:val="34"/>
    <w:qFormat/>
    <w:rsid w:val="00A071EC"/>
    <w:pPr>
      <w:spacing w:after="0" w:line="240" w:lineRule="auto"/>
      <w:ind w:left="720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Paragrafoelenco1">
    <w:name w:val="Paragrafo elenco1"/>
    <w:basedOn w:val="Normal"/>
    <w:uiPriority w:val="99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Listeavsnitt1">
    <w:name w:val="Listeavsnitt1"/>
    <w:basedOn w:val="Normal"/>
    <w:uiPriority w:val="34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Paragrafoelenco">
    <w:name w:val="Paragrafo elenco"/>
    <w:basedOn w:val="Normal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Listenabsatz2">
    <w:name w:val="Listenabsatz2"/>
    <w:basedOn w:val="Normal"/>
    <w:qFormat/>
    <w:rsid w:val="00A071EC"/>
    <w:pPr>
      <w:spacing w:before="120" w:after="120" w:line="240" w:lineRule="auto"/>
      <w:ind w:left="720"/>
      <w:contextualSpacing/>
      <w:jc w:val="both"/>
    </w:pPr>
    <w:rPr>
      <w:rFonts w:ascii="Calibri" w:eastAsia="SimSun" w:hAnsi="Calibri" w:cs="Times New Roman"/>
      <w:snapToGrid w:val="0"/>
      <w:sz w:val="24"/>
      <w:szCs w:val="24"/>
      <w:lang w:val="en-GB" w:eastAsia="de-DE"/>
    </w:rPr>
  </w:style>
  <w:style w:type="paragraph" w:customStyle="1" w:styleId="ReferenceNumber">
    <w:name w:val="Reference Number"/>
    <w:basedOn w:val="Normal"/>
    <w:qFormat/>
    <w:rsid w:val="00A071EC"/>
    <w:pPr>
      <w:tabs>
        <w:tab w:val="left" w:pos="1480"/>
      </w:tabs>
      <w:spacing w:after="0" w:line="240" w:lineRule="auto"/>
      <w:jc w:val="right"/>
    </w:pPr>
    <w:rPr>
      <w:rFonts w:ascii="Verdana" w:hAnsi="Verdana"/>
      <w:snapToGrid w:val="0"/>
      <w:sz w:val="20"/>
      <w:szCs w:val="20"/>
      <w:lang w:val="en-GB" w:eastAsia="sk-SK"/>
    </w:rPr>
  </w:style>
  <w:style w:type="character" w:customStyle="1" w:styleId="Bold">
    <w:name w:val="Bold"/>
    <w:basedOn w:val="DefaultParagraphFont"/>
    <w:uiPriority w:val="1"/>
    <w:qFormat/>
    <w:rsid w:val="00A071EC"/>
    <w:rPr>
      <w:b/>
    </w:rPr>
  </w:style>
  <w:style w:type="paragraph" w:customStyle="1" w:styleId="odsek">
    <w:name w:val="odsek"/>
    <w:basedOn w:val="Normal"/>
    <w:qFormat/>
    <w:rsid w:val="00A071EC"/>
    <w:pPr>
      <w:numPr>
        <w:numId w:val="16"/>
      </w:numPr>
      <w:autoSpaceDE w:val="0"/>
      <w:autoSpaceDN w:val="0"/>
      <w:adjustRightInd w:val="0"/>
      <w:spacing w:before="120" w:after="0" w:line="240" w:lineRule="auto"/>
      <w:jc w:val="both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character" w:customStyle="1" w:styleId="Heading1Char">
    <w:name w:val="Heading 1 Char"/>
    <w:basedOn w:val="DefaultParagraphFont"/>
    <w:link w:val="Heading1"/>
    <w:uiPriority w:val="9"/>
    <w:rsid w:val="00A071EC"/>
    <w:rPr>
      <w:color w:val="000000"/>
      <w:sz w:val="44"/>
      <w:szCs w:val="44"/>
    </w:rPr>
  </w:style>
  <w:style w:type="character" w:customStyle="1" w:styleId="Heading2Char">
    <w:name w:val="Heading 2 Char"/>
    <w:basedOn w:val="DefaultParagraphFont"/>
    <w:link w:val="Heading2"/>
    <w:rsid w:val="00A071EC"/>
    <w:rPr>
      <w:b/>
      <w:bCs/>
      <w:sz w:val="24"/>
      <w:szCs w:val="24"/>
    </w:rPr>
  </w:style>
  <w:style w:type="character" w:customStyle="1" w:styleId="Heading3Char">
    <w:name w:val="Heading 3 Char"/>
    <w:aliases w:val="EIOPA Kop 3 Char"/>
    <w:basedOn w:val="DefaultParagraphFont"/>
    <w:link w:val="Heading3"/>
    <w:rsid w:val="00A071EC"/>
    <w:rPr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rsid w:val="00A071EC"/>
    <w:rPr>
      <w:sz w:val="24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rsid w:val="00A071EC"/>
    <w:rPr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A071EC"/>
    <w:rPr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rsid w:val="00A071EC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A071EC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A071EC"/>
    <w:rPr>
      <w:rFonts w:ascii="Arial" w:hAnsi="Arial"/>
      <w:sz w:val="22"/>
      <w:szCs w:val="22"/>
    </w:rPr>
  </w:style>
  <w:style w:type="paragraph" w:styleId="TOC1">
    <w:name w:val="toc 1"/>
    <w:basedOn w:val="Normal"/>
    <w:next w:val="Normal"/>
    <w:autoRedefine/>
    <w:uiPriority w:val="39"/>
    <w:qFormat/>
    <w:rsid w:val="00A071EC"/>
    <w:pPr>
      <w:tabs>
        <w:tab w:val="right" w:leader="dot" w:pos="9072"/>
      </w:tabs>
      <w:spacing w:after="0" w:line="240" w:lineRule="auto"/>
    </w:pPr>
    <w:rPr>
      <w:rFonts w:ascii="Arial" w:eastAsia="SimSun" w:hAnsi="Arial" w:cs="Arial"/>
      <w:b/>
      <w:bCs/>
      <w:noProof/>
      <w:snapToGrid w:val="0"/>
      <w:kern w:val="32"/>
      <w:lang w:val="en-GB" w:eastAsia="de-DE"/>
    </w:rPr>
  </w:style>
  <w:style w:type="paragraph" w:styleId="TOC2">
    <w:name w:val="toc 2"/>
    <w:basedOn w:val="Normal"/>
    <w:next w:val="Normal"/>
    <w:autoRedefine/>
    <w:uiPriority w:val="39"/>
    <w:qFormat/>
    <w:rsid w:val="00A071EC"/>
    <w:pPr>
      <w:tabs>
        <w:tab w:val="right" w:leader="dot" w:pos="9072"/>
      </w:tabs>
      <w:spacing w:after="0" w:line="240" w:lineRule="auto"/>
      <w:ind w:left="240"/>
    </w:pPr>
    <w:rPr>
      <w:rFonts w:ascii="Arial" w:eastAsia="SimSun" w:hAnsi="Arial" w:cs="Times New Roman"/>
      <w:snapToGrid w:val="0"/>
      <w:szCs w:val="24"/>
      <w:lang w:val="en-GB" w:eastAsia="sk-SK"/>
    </w:rPr>
  </w:style>
  <w:style w:type="paragraph" w:styleId="TOC3">
    <w:name w:val="toc 3"/>
    <w:basedOn w:val="Normal"/>
    <w:next w:val="Normal"/>
    <w:autoRedefine/>
    <w:uiPriority w:val="39"/>
    <w:qFormat/>
    <w:rsid w:val="00A071EC"/>
    <w:pPr>
      <w:tabs>
        <w:tab w:val="right" w:leader="dot" w:pos="9072"/>
      </w:tabs>
      <w:spacing w:after="0" w:line="240" w:lineRule="auto"/>
      <w:ind w:left="482"/>
    </w:pPr>
    <w:rPr>
      <w:rFonts w:ascii="Arial" w:eastAsia="SimSun" w:hAnsi="Arial" w:cs="Arial"/>
      <w:bCs/>
      <w:noProof/>
      <w:snapToGrid w:val="0"/>
      <w:szCs w:val="24"/>
      <w:lang w:val="en-GB" w:eastAsia="sk-SK"/>
    </w:rPr>
  </w:style>
  <w:style w:type="paragraph" w:styleId="Footer">
    <w:name w:val="footer"/>
    <w:aliases w:val="Fußzeile Verdana 8p Regular,Mittelachse"/>
    <w:basedOn w:val="Normal"/>
    <w:link w:val="FooterChar"/>
    <w:uiPriority w:val="99"/>
    <w:qFormat/>
    <w:rsid w:val="00A071E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aliases w:val="Fußzeile Verdana 8p Regular Char,Mittelachse Char"/>
    <w:basedOn w:val="DefaultParagraphFont"/>
    <w:link w:val="Footer"/>
    <w:uiPriority w:val="99"/>
    <w:rsid w:val="00A071EC"/>
    <w:rPr>
      <w:sz w:val="24"/>
      <w:szCs w:val="24"/>
    </w:rPr>
  </w:style>
  <w:style w:type="paragraph" w:styleId="Caption">
    <w:name w:val="caption"/>
    <w:basedOn w:val="Normal"/>
    <w:next w:val="Normal"/>
    <w:qFormat/>
    <w:rsid w:val="00A071EC"/>
    <w:pPr>
      <w:spacing w:before="120" w:after="120" w:line="240" w:lineRule="auto"/>
      <w:jc w:val="both"/>
    </w:pPr>
    <w:rPr>
      <w:rFonts w:ascii="Calibri" w:eastAsia="SimSun" w:hAnsi="Calibri" w:cs="Times New Roman"/>
      <w:b/>
      <w:bCs/>
      <w:snapToGrid w:val="0"/>
      <w:sz w:val="20"/>
      <w:szCs w:val="20"/>
      <w:lang w:val="en-GB" w:eastAsia="sk-SK"/>
    </w:rPr>
  </w:style>
  <w:style w:type="paragraph" w:styleId="Title">
    <w:name w:val="Title"/>
    <w:basedOn w:val="Normal"/>
    <w:link w:val="TitleChar"/>
    <w:uiPriority w:val="10"/>
    <w:qFormat/>
    <w:rsid w:val="00A071EC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071EC"/>
    <w:rPr>
      <w:rFonts w:ascii="Arial" w:hAnsi="Arial"/>
      <w:b/>
      <w:bCs/>
      <w:kern w:val="28"/>
      <w:sz w:val="32"/>
      <w:szCs w:val="32"/>
    </w:rPr>
  </w:style>
  <w:style w:type="character" w:styleId="Strong">
    <w:name w:val="Strong"/>
    <w:qFormat/>
    <w:rsid w:val="00A071EC"/>
    <w:rPr>
      <w:b/>
      <w:bCs/>
    </w:rPr>
  </w:style>
  <w:style w:type="character" w:styleId="Emphasis">
    <w:name w:val="Emphasis"/>
    <w:qFormat/>
    <w:rsid w:val="00A071EC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A071EC"/>
    <w:rPr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071EC"/>
    <w:pPr>
      <w:keepNext/>
      <w:keepLines/>
      <w:autoSpaceDE/>
      <w:autoSpaceDN/>
      <w:adjustRightInd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val="en-US" w:eastAsia="ja-JP"/>
    </w:rPr>
  </w:style>
  <w:style w:type="paragraph" w:customStyle="1" w:styleId="LegislativaOdsek">
    <w:name w:val="Legislativa Odsek"/>
    <w:qFormat/>
    <w:rsid w:val="00A071EC"/>
    <w:pPr>
      <w:numPr>
        <w:numId w:val="17"/>
      </w:numPr>
      <w:tabs>
        <w:tab w:val="left" w:pos="851"/>
      </w:tabs>
      <w:spacing w:before="120"/>
      <w:jc w:val="both"/>
    </w:pPr>
    <w:rPr>
      <w:sz w:val="24"/>
    </w:rPr>
  </w:style>
  <w:style w:type="paragraph" w:styleId="BodyText">
    <w:name w:val="Body Text"/>
    <w:link w:val="BodyTextChar"/>
    <w:qFormat/>
    <w:rsid w:val="00A071EC"/>
    <w:pPr>
      <w:tabs>
        <w:tab w:val="num" w:pos="360"/>
        <w:tab w:val="left" w:pos="709"/>
      </w:tabs>
      <w:spacing w:before="12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071EC"/>
    <w:rPr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71EC"/>
    <w:pPr>
      <w:pBdr>
        <w:bottom w:val="single" w:sz="4" w:space="4" w:color="4F81BD" w:themeColor="accent1"/>
      </w:pBdr>
      <w:spacing w:before="200" w:after="280" w:line="240" w:lineRule="auto"/>
      <w:ind w:left="936" w:right="936"/>
    </w:pPr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71EC"/>
    <w:rPr>
      <w:b/>
      <w:bCs/>
      <w:i/>
      <w:iCs/>
      <w:color w:val="4F81BD" w:themeColor="accent1"/>
      <w:sz w:val="24"/>
      <w:szCs w:val="24"/>
    </w:rPr>
  </w:style>
  <w:style w:type="paragraph" w:customStyle="1" w:styleId="Zoznam1">
    <w:name w:val="Zoznam1"/>
    <w:basedOn w:val="BodyText"/>
    <w:qFormat/>
    <w:rsid w:val="00A071EC"/>
    <w:pPr>
      <w:numPr>
        <w:numId w:val="18"/>
      </w:numPr>
      <w:tabs>
        <w:tab w:val="clear" w:pos="709"/>
        <w:tab w:val="left" w:pos="426"/>
      </w:tabs>
    </w:pPr>
  </w:style>
  <w:style w:type="paragraph" w:customStyle="1" w:styleId="Zoznam21">
    <w:name w:val="Zoznam 21"/>
    <w:basedOn w:val="BodyText"/>
    <w:qFormat/>
    <w:rsid w:val="00A071EC"/>
    <w:pPr>
      <w:numPr>
        <w:numId w:val="19"/>
      </w:numPr>
    </w:pPr>
  </w:style>
  <w:style w:type="character" w:styleId="PlaceholderText">
    <w:name w:val="Placeholder Text"/>
    <w:basedOn w:val="DefaultParagraphFont"/>
    <w:uiPriority w:val="99"/>
    <w:semiHidden/>
    <w:rsid w:val="00310A75"/>
    <w:rPr>
      <w:rFonts w:ascii="Times New Roman" w:hAnsi="Times New Roman" w:cs="Times New Roman" w:hint="default"/>
      <w:color w:val="808080"/>
    </w:rPr>
  </w:style>
  <w:style w:type="paragraph" w:customStyle="1" w:styleId="Default">
    <w:name w:val="Default"/>
    <w:rsid w:val="00310A7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02D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2D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2D52"/>
    <w:rPr>
      <w:rFonts w:ascii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2D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2D52"/>
    <w:rPr>
      <w:rFonts w:asciiTheme="minorHAnsi" w:hAnsiTheme="minorHAnsi" w:cstheme="minorBidi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2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D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71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633"/>
    <w:rPr>
      <w:rFonts w:asciiTheme="minorHAnsi" w:hAnsiTheme="minorHAnsi" w:cstheme="minorBidi"/>
      <w:sz w:val="22"/>
      <w:szCs w:val="22"/>
    </w:rPr>
  </w:style>
  <w:style w:type="paragraph" w:styleId="Revision">
    <w:name w:val="Revision"/>
    <w:hidden/>
    <w:uiPriority w:val="99"/>
    <w:semiHidden/>
    <w:rsid w:val="007D27CE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2933</Characters>
  <Application>Microsoft Office Word</Application>
  <DocSecurity>4</DocSecurity>
  <Lines>24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Szakács Andrea</dc:creator>
  <cp:keywords/>
  <dc:description/>
  <cp:lastModifiedBy>Szakács Andrea</cp:lastModifiedBy>
  <cp:revision>2</cp:revision>
  <dcterms:created xsi:type="dcterms:W3CDTF">2026-08-12T12:14:00Z</dcterms:created>
  <dcterms:modified xsi:type="dcterms:W3CDTF">2026-08-12T12:14:00Z</dcterms:modified>
</cp:coreProperties>
</file>