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C705DF">
        <w:tc>
          <w:tcPr>
            <w:tcW w:w="9180" w:type="dxa"/>
            <w:gridSpan w:val="11"/>
            <w:tcBorders>
              <w:bottom w:val="single" w:sz="4" w:space="0" w:color="FFFFFF"/>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C705DF">
        <w:tc>
          <w:tcPr>
            <w:tcW w:w="9180" w:type="dxa"/>
            <w:gridSpan w:val="11"/>
            <w:tcBorders>
              <w:bottom w:val="single" w:sz="4" w:space="0" w:color="FFFFFF"/>
            </w:tcBorders>
            <w:shd w:val="clear" w:color="auto" w:fill="E2E2E2"/>
          </w:tcPr>
          <w:p w:rsidR="001B23B7" w:rsidRPr="00612E08" w:rsidRDefault="001B23B7" w:rsidP="00C705DF">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C705DF">
        <w:tc>
          <w:tcPr>
            <w:tcW w:w="9180" w:type="dxa"/>
            <w:gridSpan w:val="11"/>
            <w:tcBorders>
              <w:top w:val="single" w:sz="4" w:space="0" w:color="FFFFFF"/>
              <w:bottom w:val="single" w:sz="4" w:space="0" w:color="auto"/>
            </w:tcBorders>
          </w:tcPr>
          <w:p w:rsidR="001B23B7" w:rsidRPr="00612E08" w:rsidRDefault="004D2627" w:rsidP="004D2627">
            <w:pPr>
              <w:rPr>
                <w:rFonts w:ascii="Times New Roman" w:eastAsia="Times New Roman" w:hAnsi="Times New Roman" w:cs="Times New Roman"/>
                <w:sz w:val="20"/>
                <w:szCs w:val="20"/>
                <w:lang w:eastAsia="sk-SK"/>
              </w:rPr>
            </w:pPr>
            <w:r w:rsidRPr="004D2627">
              <w:rPr>
                <w:rFonts w:ascii="Times New Roman" w:eastAsia="Times New Roman" w:hAnsi="Times New Roman" w:cs="Times New Roman"/>
                <w:sz w:val="20"/>
                <w:szCs w:val="20"/>
                <w:lang w:eastAsia="sk-SK"/>
              </w:rPr>
              <w:t>Návrh zákona, ktorým sa mení a dopĺňa zákon č. 513/2009 Z. z. o dráhach a o zmene a doplnení niektorých zákonov v znení neskorších predpisov a ktorým sa menia a dopĺňajú niektoré zákony.</w:t>
            </w:r>
          </w:p>
        </w:tc>
      </w:tr>
      <w:tr w:rsidR="00612E08" w:rsidRPr="00612E08" w:rsidTr="00C705DF">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C705DF">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C705DF">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4D2627" w:rsidP="00C705DF">
            <w:pPr>
              <w:rPr>
                <w:rFonts w:ascii="Times New Roman" w:eastAsia="Times New Roman" w:hAnsi="Times New Roman" w:cs="Times New Roman"/>
                <w:sz w:val="20"/>
                <w:szCs w:val="20"/>
                <w:lang w:eastAsia="sk-SK"/>
              </w:rPr>
            </w:pPr>
            <w:r w:rsidRPr="004D2627">
              <w:rPr>
                <w:rFonts w:ascii="Times New Roman" w:eastAsia="Times New Roman" w:hAnsi="Times New Roman" w:cs="Times New Roman"/>
                <w:sz w:val="20"/>
                <w:szCs w:val="20"/>
                <w:lang w:eastAsia="sk-SK"/>
              </w:rPr>
              <w:t>Ministerstvo dopravy Slovenskej republiky</w:t>
            </w:r>
          </w:p>
          <w:p w:rsidR="001B23B7" w:rsidRPr="00612E08" w:rsidRDefault="001B23B7" w:rsidP="00C705DF">
            <w:pPr>
              <w:rPr>
                <w:rFonts w:ascii="Times New Roman" w:eastAsia="Times New Roman" w:hAnsi="Times New Roman" w:cs="Times New Roman"/>
                <w:sz w:val="20"/>
                <w:szCs w:val="20"/>
                <w:lang w:eastAsia="sk-SK"/>
              </w:rPr>
            </w:pPr>
          </w:p>
        </w:tc>
      </w:tr>
      <w:tr w:rsidR="00612E08" w:rsidRPr="00612E08" w:rsidTr="00C705DF">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C705DF">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C705DF">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C705DF">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C705DF">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C705D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4D262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C705DF">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C705DF">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C705D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4D2627" w:rsidP="00C705DF">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C705DF">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4D2627" w:rsidP="00C705DF">
            <w:pPr>
              <w:rPr>
                <w:rFonts w:ascii="Times New Roman" w:eastAsia="Times New Roman" w:hAnsi="Times New Roman" w:cs="Times New Roman"/>
                <w:sz w:val="20"/>
                <w:szCs w:val="20"/>
                <w:lang w:eastAsia="sk-SK"/>
              </w:rPr>
            </w:pPr>
            <w:r w:rsidRPr="004D2627">
              <w:rPr>
                <w:rFonts w:ascii="Times New Roman" w:eastAsia="Times New Roman" w:hAnsi="Times New Roman" w:cs="Times New Roman"/>
                <w:sz w:val="20"/>
                <w:szCs w:val="20"/>
                <w:lang w:eastAsia="sk-SK"/>
              </w:rPr>
              <w:t>Delegovaná smernica Komisie (EÚ) 2020/1833 z 2. októbra 2020, ktorou sa menia prílohy k smernici Európskeho parlamentu a Rady 2008/68/ES, pokiaľ ide o prispôsobenie vedeckému a technickému pokroku (Ú. v. EÚ L 408, 4. 12. 2020).</w:t>
            </w:r>
          </w:p>
        </w:tc>
      </w:tr>
      <w:tr w:rsidR="00612E08" w:rsidRPr="00612E08" w:rsidTr="00C705DF">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C705DF">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4D2627" w:rsidRDefault="00BC7751" w:rsidP="00C705D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april</w:t>
            </w:r>
            <w:r w:rsidR="004D2627" w:rsidRPr="004D2627">
              <w:rPr>
                <w:rFonts w:ascii="Times New Roman" w:eastAsia="Times New Roman" w:hAnsi="Times New Roman" w:cs="Times New Roman"/>
                <w:sz w:val="20"/>
                <w:szCs w:val="20"/>
                <w:lang w:eastAsia="sk-SK"/>
              </w:rPr>
              <w:t xml:space="preserve"> 2024</w:t>
            </w:r>
          </w:p>
        </w:tc>
      </w:tr>
      <w:tr w:rsidR="00612E08" w:rsidRPr="00612E08" w:rsidTr="00C705DF">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4D2627" w:rsidRDefault="00C705DF" w:rsidP="00C705D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máj</w:t>
            </w:r>
            <w:r w:rsidR="004D2627" w:rsidRPr="004D2627">
              <w:rPr>
                <w:rFonts w:ascii="Times New Roman" w:eastAsia="Times New Roman" w:hAnsi="Times New Roman" w:cs="Times New Roman"/>
                <w:sz w:val="20"/>
                <w:szCs w:val="20"/>
                <w:lang w:eastAsia="sk-SK"/>
              </w:rPr>
              <w:t xml:space="preserve"> 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C705DF">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C705DF">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4D2627" w:rsidRDefault="00D72AE8" w:rsidP="00C705D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jún</w:t>
            </w:r>
            <w:r w:rsidR="004D2627" w:rsidRPr="004D2627">
              <w:rPr>
                <w:rFonts w:ascii="Times New Roman" w:eastAsia="Times New Roman" w:hAnsi="Times New Roman" w:cs="Times New Roman"/>
                <w:sz w:val="20"/>
                <w:szCs w:val="20"/>
                <w:lang w:eastAsia="sk-SK"/>
              </w:rPr>
              <w:t xml:space="preserve"> 2024</w:t>
            </w:r>
          </w:p>
        </w:tc>
      </w:tr>
      <w:tr w:rsidR="00612E08" w:rsidRPr="00612E08" w:rsidTr="00C705DF">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C705DF">
            <w:pPr>
              <w:rPr>
                <w:rFonts w:ascii="Times New Roman" w:eastAsia="Times New Roman" w:hAnsi="Times New Roman" w:cs="Times New Roman"/>
                <w:sz w:val="20"/>
                <w:szCs w:val="20"/>
                <w:lang w:eastAsia="sk-SK"/>
              </w:rPr>
            </w:pPr>
          </w:p>
        </w:tc>
      </w:tr>
      <w:tr w:rsidR="00612E08" w:rsidRPr="00612E08" w:rsidTr="00C705D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C705DF">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C705DF">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CF6E10" w:rsidRPr="00612E08" w:rsidRDefault="00CF6E10" w:rsidP="00C705DF">
            <w:pPr>
              <w:jc w:val="both"/>
              <w:rPr>
                <w:rFonts w:ascii="Times New Roman" w:eastAsia="Times New Roman" w:hAnsi="Times New Roman" w:cs="Times New Roman"/>
                <w:i/>
                <w:sz w:val="20"/>
                <w:szCs w:val="20"/>
                <w:lang w:eastAsia="sk-SK"/>
              </w:rPr>
            </w:pPr>
          </w:p>
          <w:p w:rsidR="00CF6E10" w:rsidRPr="00CF6E10"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Návrh zákona upravuje, resp. spresňuje a mení niektoré činnosti a inštitúty v oblasti dráh a dopravy na dráhe, pričom prihliada na prijatie nariadení a rozhodnutí EÚ ako vykonávacích aktov prijatých na základe smernice Európskeho parlamentu a Rady (EÚ) 2016/797 z 11. mája 2016 o interoperabilite železničného systému v Európskej únii (prepracované znenie) v platnom znení a smernice Európskeho parlamentu a Rady (EÚ) 2016/798 z 11. mája 2016 o bezpečnosti železníc (prepracované znenie) v platnom znení v niektorých prípadoch podrobnejšie upravujúce postupy stanovené týmito smernicami, ktoré sa netransponujú do vnútroštátneho práva v plnom rozsahu – napríklad procesný postup žiadania</w:t>
            </w:r>
            <w:r w:rsidRPr="00CF6E10">
              <w:rPr>
                <w:rFonts w:ascii="Times New Roman" w:eastAsia="Times New Roman" w:hAnsi="Times New Roman" w:cs="Times New Roman"/>
                <w:b/>
                <w:sz w:val="20"/>
                <w:szCs w:val="20"/>
                <w:lang w:eastAsia="sk-SK"/>
              </w:rPr>
              <w:t xml:space="preserve"> </w:t>
            </w:r>
            <w:r w:rsidRPr="00CF6E10">
              <w:rPr>
                <w:rFonts w:ascii="Times New Roman" w:eastAsia="Times New Roman" w:hAnsi="Times New Roman" w:cs="Times New Roman"/>
                <w:sz w:val="20"/>
                <w:szCs w:val="20"/>
                <w:lang w:eastAsia="sk-SK"/>
              </w:rPr>
              <w:t xml:space="preserve">výnimky z uplatňovania technických špecifikácií interoperability. Účelom bolo uľahčiť užívateľom dráhovej legislatívy dodržiavanie jednotlivých postupov. V prvom rade boli vybrané tie nariadenia a rozhodnutia, ktoré majú značný vplyv na tieto postupy a sú pre užívateľov dráhovej legislatívy záväzné. </w:t>
            </w:r>
          </w:p>
          <w:p w:rsidR="00CF6E10" w:rsidRPr="00CF6E10"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 xml:space="preserve">Zároveň návrh zákona prihliada aj na poznatky z aplikačnej praxe, ktoré sa premietli do nového prerozdelenia špeciálnych dráh na tri kategórie, zmyslom ktorého je zjednodušenie podmienok na ich prevádzkovanie za súčasného zaručenia bezpečnosti prevádzky, ďalej upravuje zníženie veku pre osobu, ktorá žiada o vydanie preukazu na vedenie železničného vozidla s obmedzenou územnou pôsobnosťou na územie Slovenskej republiky. Návrh zákona zavádza nový inštitút licencie na zachádzanie na železničnú infraštruktúru, keďže ako ukázala aplikačná prax, doterajšie požiadavky kladené na prevádzkovateľov vlečiek, ktorí zachádzajú na železničnú sieť, sú v dôsledku striktného výkladu ustanovení o prístupe k železničnej infraštruktúre neprimerane prísne. </w:t>
            </w:r>
          </w:p>
          <w:p w:rsidR="00CF6E10" w:rsidRPr="00CF6E10"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 xml:space="preserve">Vo vzťahu k správnym poplatkom možno uviesť, že vzhľadom na aplikačnú prax došlo k ich úprave, napríklad rozčlenením existujúcich správnych poplatkov na podrobnejšie kategórie. </w:t>
            </w:r>
          </w:p>
          <w:p w:rsidR="001B23B7" w:rsidRPr="00612E08" w:rsidRDefault="00CF6E10" w:rsidP="00CF6E10">
            <w:pPr>
              <w:jc w:val="both"/>
              <w:rPr>
                <w:rFonts w:ascii="Times New Roman" w:eastAsia="Times New Roman" w:hAnsi="Times New Roman" w:cs="Times New Roman"/>
                <w:b/>
                <w:sz w:val="20"/>
                <w:szCs w:val="20"/>
                <w:lang w:eastAsia="sk-SK"/>
              </w:rPr>
            </w:pPr>
            <w:r w:rsidRPr="00CF6E10">
              <w:rPr>
                <w:rFonts w:ascii="Times New Roman" w:eastAsia="Times New Roman" w:hAnsi="Times New Roman" w:cs="Times New Roman"/>
                <w:sz w:val="20"/>
                <w:szCs w:val="20"/>
                <w:lang w:eastAsia="sk-SK"/>
              </w:rPr>
              <w:t>Návrhom zákona nie je možné vo všetkých prípadoch kvantifikovať charakter a rozsah celkových príjmov a prínosov, keďže nie je možné konkrétne určiť počet vybraných správnych poplatkov. Správne poplatky za jednotlivé služby sú príjmom štátneho rozpočtu.</w:t>
            </w:r>
          </w:p>
        </w:tc>
      </w:tr>
      <w:tr w:rsidR="00612E08" w:rsidRPr="00612E08" w:rsidTr="00C705DF">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C705DF">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1B23B7" w:rsidRDefault="001B23B7" w:rsidP="00C705DF">
            <w:pPr>
              <w:rPr>
                <w:rFonts w:ascii="Times New Roman" w:eastAsia="Times New Roman" w:hAnsi="Times New Roman" w:cs="Times New Roman"/>
                <w:sz w:val="20"/>
                <w:szCs w:val="20"/>
                <w:lang w:eastAsia="sk-SK"/>
              </w:rPr>
            </w:pPr>
          </w:p>
          <w:p w:rsidR="00CF6E10" w:rsidRPr="00612E08"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 xml:space="preserve">Cieľom návrhu zákona je zjednodušiť procesy týkajúce sa niektorých činností a právnych inštitútov v oblasti dráh a dopravy na dráhe z dôvodu zníženia administratívnej záťaže dopravcov a iných osôb vykonávajúcich činnosti na dráhe a v doprave na dráhe a zároveň sprehľadniť procesy týkajúce sa činností a právnych inštitútov </w:t>
            </w:r>
            <w:r w:rsidRPr="00CF6E10">
              <w:rPr>
                <w:rFonts w:ascii="Times New Roman" w:eastAsia="Times New Roman" w:hAnsi="Times New Roman" w:cs="Times New Roman"/>
                <w:sz w:val="20"/>
                <w:szCs w:val="20"/>
                <w:lang w:eastAsia="sk-SK"/>
              </w:rPr>
              <w:lastRenderedPageBreak/>
              <w:t>v oblasti železničných dráh a dopravy na železničnej dráhe. Návrh zákona zároveň reaguje na poznatky z aplikačnej praxe a na prijatie nariadení a rozhodnutí EÚ, ktoré boli prijaté na základe smernice Európskeho parlamentu a Rady (EÚ) 2016/797 z 11. mája 2016 o interoperabilite železničného systému v Európskej únii (prepracované znenie) v platnom znení a smernice Európskeho parlamentu a Rady (EÚ) 2016/798 z 11. mája 2016 o bezpečnosti železníc (prepracované znenie) v platnom znení.</w:t>
            </w:r>
          </w:p>
        </w:tc>
      </w:tr>
      <w:tr w:rsidR="00612E08" w:rsidRPr="00612E08" w:rsidTr="00C705DF">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rsidTr="00C705DF">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CF6E10" w:rsidRPr="00612E08" w:rsidRDefault="00CF6E10" w:rsidP="00C705DF">
            <w:pPr>
              <w:rPr>
                <w:rFonts w:ascii="Times New Roman" w:eastAsia="Times New Roman" w:hAnsi="Times New Roman" w:cs="Times New Roman"/>
                <w:b/>
                <w:sz w:val="20"/>
                <w:szCs w:val="20"/>
                <w:lang w:eastAsia="sk-SK"/>
              </w:rPr>
            </w:pP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 xml:space="preserve">- osoby činné v dráhovej doprave (napríklad dráhové podniky, vzdelávacie zariadenia, vlastníci/prevádzkovatelia dráh a vlastníci/držitelia dráhových vozidiel) </w:t>
            </w: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 orgány štátnej správy</w:t>
            </w:r>
          </w:p>
        </w:tc>
      </w:tr>
      <w:tr w:rsidR="00612E08" w:rsidRPr="00612E08" w:rsidTr="00C705DF">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rsidTr="00C705DF">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C705DF">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1B23B7" w:rsidRPr="00612E08" w:rsidRDefault="001B23B7" w:rsidP="00C705DF">
            <w:pPr>
              <w:rPr>
                <w:rFonts w:ascii="Times New Roman" w:eastAsia="Times New Roman" w:hAnsi="Times New Roman" w:cs="Times New Roman"/>
                <w:i/>
                <w:sz w:val="20"/>
                <w:szCs w:val="20"/>
                <w:lang w:eastAsia="sk-SK"/>
              </w:rPr>
            </w:pPr>
          </w:p>
          <w:p w:rsidR="001B23B7" w:rsidRDefault="001B23B7" w:rsidP="00C705DF">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CF6E10" w:rsidRDefault="00CF6E10" w:rsidP="00C705DF">
            <w:pPr>
              <w:jc w:val="both"/>
              <w:rPr>
                <w:rFonts w:ascii="Times New Roman" w:eastAsia="Times New Roman" w:hAnsi="Times New Roman" w:cs="Times New Roman"/>
                <w:i/>
                <w:sz w:val="20"/>
                <w:szCs w:val="20"/>
                <w:lang w:eastAsia="sk-SK"/>
              </w:rPr>
            </w:pPr>
          </w:p>
          <w:p w:rsidR="00CF6E10" w:rsidRPr="00CF6E10"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Nulovým variantom by bolo ponechanie súčasnej právnej úpravy, ktorá v niektorých prípadoch upravuje niektoré činnosti a inštitúty v oblasti dráh a dopravy na dráhe neprimerane prísne alebo nezohľadňuje v potrebnej miere novoprijaté platné právne predpisy EÚ.</w:t>
            </w:r>
          </w:p>
          <w:p w:rsidR="00CF6E10" w:rsidRPr="00CF6E10"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Navrhovaná právna úprava zohľadňuje poznatky z aplikačnej praxe v oblasti dráhovej dopravy a odstraňuje niektoré súčasné neprimerané procesné podmienky v oblasti dráhovej dopravy.</w:t>
            </w:r>
          </w:p>
          <w:p w:rsidR="00CF6E10" w:rsidRPr="00CF6E10"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Oproti nulovému variantu</w:t>
            </w:r>
            <w:r w:rsidR="00D82D7E">
              <w:rPr>
                <w:rFonts w:ascii="Times New Roman" w:eastAsia="Times New Roman" w:hAnsi="Times New Roman" w:cs="Times New Roman"/>
                <w:sz w:val="20"/>
                <w:szCs w:val="20"/>
                <w:lang w:eastAsia="sk-SK"/>
              </w:rPr>
              <w:t xml:space="preserve"> predkladateľ predpokladá</w:t>
            </w:r>
            <w:r w:rsidRPr="00CF6E10">
              <w:rPr>
                <w:rFonts w:ascii="Times New Roman" w:eastAsia="Times New Roman" w:hAnsi="Times New Roman" w:cs="Times New Roman"/>
                <w:sz w:val="20"/>
                <w:szCs w:val="20"/>
                <w:lang w:eastAsia="sk-SK"/>
              </w:rPr>
              <w:t xml:space="preserve"> urýchlenie niektorých procesných postupov.</w:t>
            </w:r>
          </w:p>
          <w:p w:rsidR="00CF6E10" w:rsidRPr="00CF6E10" w:rsidRDefault="00CF6E10" w:rsidP="00CF6E10">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Zvyšujú sa aj dlhodobo nezmenené správne poplatky tak, aby náklady štátu na súvisiace úkony a konania boli pokryté a zároveň spĺňali princípy zákona č. 145/1995 Z. z. o správnych poplatkoch v znení neskorších predpisov.</w:t>
            </w:r>
          </w:p>
          <w:p w:rsidR="00CF6E10" w:rsidRPr="00612E08" w:rsidRDefault="00CF6E10" w:rsidP="00CF6E10">
            <w:pPr>
              <w:jc w:val="both"/>
              <w:rPr>
                <w:rFonts w:ascii="Times New Roman" w:eastAsia="Times New Roman" w:hAnsi="Times New Roman" w:cs="Times New Roman"/>
                <w:i/>
                <w:sz w:val="20"/>
                <w:szCs w:val="20"/>
                <w:lang w:eastAsia="sk-SK"/>
              </w:rPr>
            </w:pPr>
            <w:r w:rsidRPr="00CF6E10">
              <w:rPr>
                <w:rFonts w:ascii="Times New Roman" w:eastAsia="Times New Roman" w:hAnsi="Times New Roman" w:cs="Times New Roman"/>
                <w:sz w:val="20"/>
                <w:szCs w:val="20"/>
                <w:lang w:eastAsia="sk-SK"/>
              </w:rPr>
              <w:t>Ostatné zmeny v návrhu zákona iba precizujú súčasnú platnú právnu úpravu, čo oproti pôvodnému stavu (nulté riešenie) vylepší právne prostredie v oblasti dráhovej dopravy.</w:t>
            </w:r>
          </w:p>
        </w:tc>
      </w:tr>
      <w:tr w:rsidR="00612E08" w:rsidRPr="00612E08" w:rsidTr="00C705D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C705DF">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E64C65" w:rsidP="00C705DF">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CF6E10">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E64C65"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C705DF">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Default="001B23B7" w:rsidP="00C705DF">
            <w:pPr>
              <w:rPr>
                <w:rFonts w:ascii="Times New Roman" w:eastAsia="Times New Roman" w:hAnsi="Times New Roman" w:cs="Times New Roman"/>
                <w:sz w:val="20"/>
                <w:szCs w:val="20"/>
                <w:lang w:eastAsia="sk-SK"/>
              </w:rPr>
            </w:pPr>
          </w:p>
          <w:p w:rsidR="00CF6E10" w:rsidRDefault="00CF6E10" w:rsidP="00C705DF">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Zmena vykonávacích predpisov:</w:t>
            </w:r>
          </w:p>
          <w:p w:rsidR="00D82D7E" w:rsidRDefault="00D82D7E" w:rsidP="00C705DF">
            <w:pPr>
              <w:rPr>
                <w:rFonts w:ascii="Times New Roman" w:eastAsia="Times New Roman" w:hAnsi="Times New Roman" w:cs="Times New Roman"/>
                <w:sz w:val="20"/>
                <w:szCs w:val="20"/>
                <w:lang w:eastAsia="sk-SK"/>
              </w:rPr>
            </w:pPr>
          </w:p>
          <w:p w:rsidR="00CF6E10" w:rsidRPr="00CF6E10" w:rsidRDefault="00CF6E10" w:rsidP="00CF6E1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r w:rsidRPr="00CF6E10">
              <w:rPr>
                <w:rFonts w:ascii="Times New Roman" w:eastAsia="Times New Roman" w:hAnsi="Times New Roman" w:cs="Times New Roman"/>
                <w:sz w:val="20"/>
                <w:szCs w:val="20"/>
                <w:lang w:eastAsia="sk-SK"/>
              </w:rPr>
              <w:t>. Vyhláška Ministerstva dopravy, pôšt a telekomunikácií Slovenskej republiky č. 351/2010 Z. z. o dopravnom poriadku dráh v znení neskorších predpisov.</w:t>
            </w:r>
          </w:p>
          <w:p w:rsidR="00CF6E10" w:rsidRPr="00CF6E10" w:rsidRDefault="00CF6E10" w:rsidP="00CF6E10">
            <w:pPr>
              <w:jc w:val="both"/>
              <w:rPr>
                <w:rFonts w:ascii="Times New Roman" w:eastAsia="Times New Roman" w:hAnsi="Times New Roman" w:cs="Times New Roman"/>
                <w:sz w:val="20"/>
                <w:szCs w:val="20"/>
                <w:lang w:eastAsia="sk-SK"/>
              </w:rPr>
            </w:pPr>
          </w:p>
          <w:p w:rsidR="00CF6E10" w:rsidRDefault="00CF6E10" w:rsidP="00CF6E1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r w:rsidRPr="00CF6E10">
              <w:rPr>
                <w:rFonts w:ascii="Times New Roman" w:eastAsia="Times New Roman" w:hAnsi="Times New Roman" w:cs="Times New Roman"/>
                <w:sz w:val="20"/>
                <w:szCs w:val="20"/>
                <w:lang w:eastAsia="sk-SK"/>
              </w:rPr>
              <w:t>. Vyhláška Ministerstva dopravy, pôšt a telekomunikácií Slovenskej republiky č. 245/2010 Z. z. o odbornej spôsobilosti, zdravotnej spôsobilosti a psychickej spôsobilosti osôb pri prevádzkovaní dráhy a dopravy na dráhe v znení neskorších predpisov.</w:t>
            </w:r>
          </w:p>
          <w:p w:rsidR="00D82D7E" w:rsidRDefault="00D82D7E" w:rsidP="00CF6E10">
            <w:pPr>
              <w:jc w:val="both"/>
              <w:rPr>
                <w:rFonts w:ascii="Times New Roman" w:eastAsia="Times New Roman" w:hAnsi="Times New Roman" w:cs="Times New Roman"/>
                <w:sz w:val="20"/>
                <w:szCs w:val="20"/>
                <w:lang w:eastAsia="sk-SK"/>
              </w:rPr>
            </w:pPr>
          </w:p>
          <w:p w:rsidR="00D82D7E" w:rsidRPr="00612E08" w:rsidRDefault="00D82D7E" w:rsidP="00CF6E1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3. </w:t>
            </w:r>
            <w:r w:rsidRPr="00CF6E10">
              <w:rPr>
                <w:rFonts w:ascii="Times New Roman" w:eastAsia="Times New Roman" w:hAnsi="Times New Roman" w:cs="Times New Roman"/>
                <w:sz w:val="20"/>
                <w:szCs w:val="20"/>
                <w:lang w:eastAsia="sk-SK"/>
              </w:rPr>
              <w:t>Vyhláška Ministerstva dopravy, pôšt a telekomunik</w:t>
            </w:r>
            <w:r>
              <w:rPr>
                <w:rFonts w:ascii="Times New Roman" w:eastAsia="Times New Roman" w:hAnsi="Times New Roman" w:cs="Times New Roman"/>
                <w:sz w:val="20"/>
                <w:szCs w:val="20"/>
                <w:lang w:eastAsia="sk-SK"/>
              </w:rPr>
              <w:t>ácií Slovenskej republiky č. 350</w:t>
            </w:r>
            <w:r w:rsidRPr="00CF6E10">
              <w:rPr>
                <w:rFonts w:ascii="Times New Roman" w:eastAsia="Times New Roman" w:hAnsi="Times New Roman" w:cs="Times New Roman"/>
                <w:sz w:val="20"/>
                <w:szCs w:val="20"/>
                <w:lang w:eastAsia="sk-SK"/>
              </w:rPr>
              <w:t>/2010 Z. z. o</w:t>
            </w:r>
            <w:r>
              <w:rPr>
                <w:rFonts w:ascii="Times New Roman" w:eastAsia="Times New Roman" w:hAnsi="Times New Roman" w:cs="Times New Roman"/>
                <w:sz w:val="20"/>
                <w:szCs w:val="20"/>
                <w:lang w:eastAsia="sk-SK"/>
              </w:rPr>
              <w:t xml:space="preserve"> stavebnom a technickom poriadku dráh v znení neskorších predpisov. </w:t>
            </w:r>
          </w:p>
        </w:tc>
      </w:tr>
      <w:tr w:rsidR="00612E08" w:rsidRPr="00612E08" w:rsidTr="00C705D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C705DF">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FE66CD">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FE66CD">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5D76BA" w:rsidRDefault="005D76BA" w:rsidP="00A7788F">
                  <w:pPr>
                    <w:pStyle w:val="Default"/>
                    <w:rPr>
                      <w:i/>
                      <w:iCs/>
                      <w:color w:val="auto"/>
                      <w:sz w:val="20"/>
                      <w:szCs w:val="20"/>
                    </w:rPr>
                  </w:pPr>
                </w:p>
                <w:p w:rsidR="005D76BA" w:rsidRPr="005D76BA" w:rsidRDefault="00E91C27" w:rsidP="005D76BA">
                  <w:pPr>
                    <w:jc w:val="both"/>
                    <w:rPr>
                      <w:rFonts w:ascii="Times New Roman" w:eastAsia="Times New Roman" w:hAnsi="Times New Roman" w:cs="Times New Roman"/>
                      <w:sz w:val="20"/>
                      <w:szCs w:val="20"/>
                      <w:u w:val="single"/>
                      <w:lang w:eastAsia="sk-SK"/>
                    </w:rPr>
                  </w:pPr>
                  <w:r>
                    <w:rPr>
                      <w:rFonts w:ascii="Times New Roman" w:eastAsia="Times New Roman" w:hAnsi="Times New Roman" w:cs="Times New Roman"/>
                      <w:sz w:val="20"/>
                      <w:szCs w:val="20"/>
                      <w:u w:val="single"/>
                      <w:lang w:eastAsia="sk-SK"/>
                    </w:rPr>
                    <w:t>Čl. 10 smernice Európskeho parlamentu a</w:t>
                  </w:r>
                  <w:r w:rsidR="005D76BA" w:rsidRPr="005D76BA">
                    <w:rPr>
                      <w:rFonts w:ascii="Times New Roman" w:eastAsia="Times New Roman" w:hAnsi="Times New Roman" w:cs="Times New Roman"/>
                      <w:sz w:val="20"/>
                      <w:szCs w:val="20"/>
                      <w:u w:val="single"/>
                      <w:lang w:eastAsia="sk-SK"/>
                    </w:rPr>
                    <w:t xml:space="preserve"> Rady 2007/59/ES z 23. októbra 2007, </w:t>
                  </w:r>
                  <w:hyperlink r:id="rId9" w:tooltip="32007L0059" w:history="1">
                    <w:r w:rsidR="005D76BA" w:rsidRPr="005D76BA">
                      <w:rPr>
                        <w:rFonts w:ascii="Times New Roman" w:eastAsia="Times New Roman" w:hAnsi="Times New Roman" w:cs="Times New Roman"/>
                        <w:sz w:val="20"/>
                        <w:szCs w:val="20"/>
                        <w:u w:val="single"/>
                        <w:lang w:eastAsia="sk-SK"/>
                      </w:rPr>
                      <w:t>o certifikácii rušňovodičov rušňov a vlakov v železničnom systéme v Spoločenstve</w:t>
                    </w:r>
                  </w:hyperlink>
                  <w:r w:rsidR="005D76BA" w:rsidRPr="005D76BA">
                    <w:rPr>
                      <w:rFonts w:ascii="Times New Roman" w:eastAsia="Times New Roman" w:hAnsi="Times New Roman" w:cs="Times New Roman"/>
                      <w:sz w:val="20"/>
                      <w:szCs w:val="20"/>
                      <w:u w:val="single"/>
                      <w:lang w:eastAsia="sk-SK"/>
                    </w:rPr>
                    <w:t xml:space="preserve"> (Ú. v. ES L 315 3.12.2007) v platnom znení navýšením požiadaviek nad rámec smernice</w:t>
                  </w:r>
                  <w:r>
                    <w:rPr>
                      <w:rFonts w:ascii="Times New Roman" w:eastAsia="Times New Roman" w:hAnsi="Times New Roman" w:cs="Times New Roman"/>
                      <w:sz w:val="20"/>
                      <w:szCs w:val="20"/>
                      <w:u w:val="single"/>
                      <w:lang w:eastAsia="sk-SK"/>
                    </w:rPr>
                    <w:t>.</w:t>
                  </w:r>
                </w:p>
                <w:p w:rsidR="00ED667F" w:rsidRPr="00CC5318" w:rsidRDefault="00ED667F" w:rsidP="00ED667F">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 xml:space="preserve">Úprava má pozitívny </w:t>
                  </w:r>
                  <w:r>
                    <w:rPr>
                      <w:rFonts w:ascii="Times New Roman" w:eastAsia="Times New Roman" w:hAnsi="Times New Roman" w:cs="Times New Roman"/>
                      <w:sz w:val="20"/>
                      <w:szCs w:val="20"/>
                      <w:lang w:eastAsia="sk-SK"/>
                    </w:rPr>
                    <w:t xml:space="preserve">marginálny </w:t>
                  </w:r>
                  <w:r w:rsidRPr="005D76BA">
                    <w:rPr>
                      <w:rFonts w:ascii="Times New Roman" w:eastAsia="Times New Roman" w:hAnsi="Times New Roman" w:cs="Times New Roman"/>
                      <w:sz w:val="20"/>
                      <w:szCs w:val="20"/>
                      <w:lang w:eastAsia="sk-SK"/>
                    </w:rPr>
                    <w:t xml:space="preserve">vplyv na </w:t>
                  </w:r>
                  <w:r>
                    <w:rPr>
                      <w:rFonts w:ascii="Times New Roman" w:eastAsia="Times New Roman" w:hAnsi="Times New Roman" w:cs="Times New Roman"/>
                      <w:sz w:val="20"/>
                      <w:szCs w:val="20"/>
                      <w:lang w:eastAsia="sk-SK"/>
                    </w:rPr>
                    <w:t>podnikateľské prostredie</w:t>
                  </w:r>
                  <w:r w:rsidRPr="005D76BA">
                    <w:rPr>
                      <w:rFonts w:ascii="Times New Roman" w:eastAsia="Times New Roman" w:hAnsi="Times New Roman" w:cs="Times New Roman"/>
                      <w:sz w:val="20"/>
                      <w:szCs w:val="20"/>
                      <w:lang w:eastAsia="sk-SK"/>
                    </w:rPr>
                    <w:t xml:space="preserve"> a</w:t>
                  </w:r>
                  <w:r>
                    <w:rPr>
                      <w:rFonts w:ascii="Times New Roman" w:eastAsia="Times New Roman" w:hAnsi="Times New Roman" w:cs="Times New Roman"/>
                      <w:sz w:val="20"/>
                      <w:szCs w:val="20"/>
                      <w:lang w:eastAsia="sk-SK"/>
                    </w:rPr>
                    <w:t xml:space="preserve"> rieši do budúcna </w:t>
                  </w:r>
                  <w:r w:rsidRPr="005D76BA">
                    <w:rPr>
                      <w:rFonts w:ascii="Times New Roman" w:eastAsia="Times New Roman" w:hAnsi="Times New Roman" w:cs="Times New Roman"/>
                      <w:sz w:val="20"/>
                      <w:szCs w:val="20"/>
                      <w:lang w:eastAsia="sk-SK"/>
                    </w:rPr>
                    <w:t xml:space="preserve">problém s nedostatkom rušňovodičov, ktorý sa ale prejaví najskôr o 4 roky (v septembri bol otvorený prvý ročník strednej školy so špecifickým odborom rušňovodič). </w:t>
                  </w:r>
                </w:p>
                <w:p w:rsidR="005D76BA" w:rsidRPr="005D76BA" w:rsidRDefault="005D76BA" w:rsidP="005D76BA">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 xml:space="preserve"> </w:t>
                  </w:r>
                </w:p>
                <w:p w:rsidR="005D76BA" w:rsidRDefault="005D76BA" w:rsidP="005D76BA">
                  <w:pPr>
                    <w:jc w:val="both"/>
                    <w:rPr>
                      <w:sz w:val="24"/>
                    </w:rPr>
                  </w:pPr>
                </w:p>
                <w:p w:rsidR="005D76BA" w:rsidRDefault="005D76BA" w:rsidP="005D76BA">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Smernica stanovuje vek rušňovodiča 18 rokov, pokiaľ oblasť pôsobenia je územie členského štátu. Vzhľadom na vysokú odbornosť vykonávanej funkcie rušňovodiča a jeho zodpovednosť je podľa nášho názoru vek 18 rokov dosť nízky, preto je stanovený vek 19 rokov a obmedzenie rýchlosti vozidla, ktoré má právo viesť. Zníženie veku v rámci územia Slovenskej republiky vyplynulo z otvárania nových študijných odborov na stredných školách, ktoré budú čiastočne pripraviť uchádzačov na výkon povolania rušňovodič. V prípade úspešného absolvovania maturitnej skúšky, dokončenia odbornej prípravy vo vzdelávacom zariadení a úspešnom vykonaní skúšky, do dosiahnutia veku 20 rokov, môžu aspoň absolvovať zácvik u dopravcu, pre ktorého budú vykonávať túto profesiu.</w:t>
                  </w:r>
                </w:p>
                <w:p w:rsidR="005D76BA" w:rsidRPr="005D76BA" w:rsidRDefault="005D76BA" w:rsidP="005D76BA">
                  <w:pPr>
                    <w:autoSpaceDE w:val="0"/>
                    <w:autoSpaceDN w:val="0"/>
                    <w:adjustRightInd w:val="0"/>
                    <w:jc w:val="both"/>
                    <w:rPr>
                      <w:rFonts w:ascii="Times New Roman" w:eastAsia="Times New Roman" w:hAnsi="Times New Roman" w:cs="Times New Roman"/>
                      <w:sz w:val="20"/>
                      <w:szCs w:val="20"/>
                      <w:u w:val="single"/>
                      <w:lang w:eastAsia="sk-SK"/>
                    </w:rPr>
                  </w:pPr>
                  <w:r w:rsidRPr="005D76BA">
                    <w:rPr>
                      <w:rFonts w:ascii="Times New Roman" w:eastAsia="Times New Roman" w:hAnsi="Times New Roman" w:cs="Times New Roman"/>
                      <w:sz w:val="20"/>
                      <w:szCs w:val="20"/>
                      <w:u w:val="single"/>
                      <w:lang w:eastAsia="sk-SK"/>
                    </w:rPr>
                    <w:t>Čl. 1 ods. 4 a 5 smernice EP A Rady 2008/68/ES z 24. septembra 2008 o vnútrozemskej preprave nebezpečného tovaru (prepracované znenie) navýšením požiadaviek nad rámec smernice</w:t>
                  </w:r>
                </w:p>
                <w:p w:rsidR="005D76BA" w:rsidRPr="005D76BA" w:rsidRDefault="005D76BA" w:rsidP="005D76BA">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 xml:space="preserve">Uvedenou úpravou sú navýšené minimálne požiadavky smernice vzhľadom na skutočnosť, že každý členský štát má aj iné dôvody a vlastné vnútroštátne pravidlá, pre ktoré je potrebné určiť osobitné požiadavky na prepravu napr. vojenského materiálu alebo presun ozbrojených síl.  </w:t>
                  </w:r>
                </w:p>
                <w:p w:rsidR="005D76BA" w:rsidRPr="005D76BA" w:rsidRDefault="005D76BA" w:rsidP="005D76BA">
                  <w:pPr>
                    <w:autoSpaceDE w:val="0"/>
                    <w:autoSpaceDN w:val="0"/>
                    <w:adjustRightInd w:val="0"/>
                    <w:jc w:val="both"/>
                    <w:rPr>
                      <w:rFonts w:ascii="Times New Roman" w:eastAsia="Times New Roman" w:hAnsi="Times New Roman" w:cs="Times New Roman"/>
                      <w:sz w:val="20"/>
                      <w:szCs w:val="20"/>
                      <w:u w:val="single"/>
                      <w:lang w:eastAsia="sk-SK"/>
                    </w:rPr>
                  </w:pPr>
                  <w:r w:rsidRPr="005D76BA">
                    <w:rPr>
                      <w:rFonts w:ascii="Times New Roman" w:eastAsia="Times New Roman" w:hAnsi="Times New Roman" w:cs="Times New Roman"/>
                      <w:sz w:val="20"/>
                      <w:szCs w:val="20"/>
                      <w:u w:val="single"/>
                      <w:lang w:eastAsia="sk-SK"/>
                    </w:rPr>
                    <w:t>Čl. 5 ods. 1 smernice EP A Rady 2008/68/ES z 24. septembra 2008 o vnútrozemskej preprave nebezpečného tovaru (prepracované znenie) navýšením požiadaviek nad rámec smernice</w:t>
                  </w:r>
                </w:p>
                <w:p w:rsidR="005D76BA" w:rsidRPr="005D76BA" w:rsidRDefault="005D76BA" w:rsidP="005D76BA">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 xml:space="preserve">Uvedenou úpravou dochádza k zosúladeniu textového znenia zákona s platným predpisom Poriadok pre medzinárodnú železničnú prepravu nebezpečného tovaru (RID) - Dodatok C k Dohovoru o medzinárodnej železničnej preprave (COTIF). Zároveň sa na prepravu nebezpečného tovaru po širokorozchodnej trati na území Slovenskej republiky vzťahuje aj Príloha 2 k Dohode o medzinárodnej železničnej preprave tovaru (SMGS), ku ktorej Slovenská republika pristúpila 29. 05. 2014. </w:t>
                  </w:r>
                </w:p>
                <w:p w:rsidR="005D76BA" w:rsidRPr="005D76BA" w:rsidRDefault="005D76BA" w:rsidP="005D76BA">
                  <w:pPr>
                    <w:autoSpaceDE w:val="0"/>
                    <w:autoSpaceDN w:val="0"/>
                    <w:adjustRightInd w:val="0"/>
                    <w:jc w:val="both"/>
                    <w:rPr>
                      <w:rFonts w:ascii="Times New Roman" w:eastAsia="Times New Roman" w:hAnsi="Times New Roman" w:cs="Times New Roman"/>
                      <w:sz w:val="20"/>
                      <w:szCs w:val="20"/>
                      <w:u w:val="single"/>
                      <w:lang w:eastAsia="sk-SK"/>
                    </w:rPr>
                  </w:pPr>
                  <w:r w:rsidRPr="005D76BA">
                    <w:rPr>
                      <w:rFonts w:ascii="Times New Roman" w:eastAsia="Times New Roman" w:hAnsi="Times New Roman" w:cs="Times New Roman"/>
                      <w:sz w:val="20"/>
                      <w:szCs w:val="20"/>
                      <w:u w:val="single"/>
                      <w:lang w:eastAsia="sk-SK"/>
                    </w:rPr>
                    <w:t>Čl. 6 ods. 5 smernice EP A Rady 2008/68/ES z 24. septembra 2008 o vnútrozemskej preprave nebezpečného tovaru (prepracované znenie) navýšením požiadaviek nad rámec smernice</w:t>
                  </w:r>
                </w:p>
                <w:p w:rsidR="005D76BA" w:rsidRPr="005D76BA" w:rsidRDefault="005D76BA" w:rsidP="005D76BA">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Uvedenou úpravou dochádza k zosúladeniu textového znenia zákona s platným predpisom Poriadok pre medzinárodnú železničnú prepravu nebezpečného tovaru (RID) - Dodatok C k Dohovoru o medzinárodnej železničnej preprave (COTIF). Zároveň sa na prepravu nebezpečného tovaru po širokorozchodnej trati na území Slovenskej republiky vzťahuje aj Príloha 2 k Dohode o medzinárodnej železničnej preprave tovaru (SMGS), ku ktorej Slovenská republika pristúpila 29. 05. 2014.</w:t>
                  </w:r>
                </w:p>
                <w:p w:rsidR="005D76BA" w:rsidRPr="005D76BA" w:rsidRDefault="005D76BA" w:rsidP="005D76BA">
                  <w:pPr>
                    <w:autoSpaceDE w:val="0"/>
                    <w:autoSpaceDN w:val="0"/>
                    <w:adjustRightInd w:val="0"/>
                    <w:jc w:val="both"/>
                    <w:rPr>
                      <w:rFonts w:ascii="Times New Roman" w:eastAsia="Times New Roman" w:hAnsi="Times New Roman" w:cs="Times New Roman"/>
                      <w:sz w:val="20"/>
                      <w:szCs w:val="20"/>
                      <w:u w:val="single"/>
                      <w:lang w:eastAsia="sk-SK"/>
                    </w:rPr>
                  </w:pPr>
                  <w:r w:rsidRPr="005D76BA">
                    <w:rPr>
                      <w:rFonts w:ascii="Times New Roman" w:eastAsia="Times New Roman" w:hAnsi="Times New Roman" w:cs="Times New Roman"/>
                      <w:sz w:val="20"/>
                      <w:szCs w:val="20"/>
                      <w:u w:val="single"/>
                      <w:lang w:eastAsia="sk-SK"/>
                    </w:rPr>
                    <w:t>Príloha II časť II. 2 bod 8 smernice EP A Rady 2008/68/ES z 24. septembra 2008 o vnútrozemskej preprave nebezpečného tovaru (prepracované znenie) navýšením požiadaviek nad rámec smernice</w:t>
                  </w:r>
                </w:p>
                <w:p w:rsidR="005D76BA" w:rsidRPr="005D76BA" w:rsidRDefault="005D76BA" w:rsidP="005D76BA">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Uvedenou úpravou dochádza k zosúladeniu textového znenia zákona s platným predpisom Poriadok pre medzinárodnú železničnú prepravu nebezpečného tovaru (RID) - Dodatok C k Dohovoru o medzinárodnej železničnej preprave (COTIF). Zároveň sa na prepravu nebezpečného tovaru po širokorozchodnej trati na území Slovenskej republiky vzťahuje aj Príloha 2 k Dohode o medzinárodnej železničnej preprave tovaru (SMGS), ku ktorej Slovenská republika pristúpila 29. 05. 2014.</w:t>
                  </w:r>
                </w:p>
                <w:p w:rsidR="005D76BA" w:rsidRDefault="005D76BA" w:rsidP="00A7788F">
                  <w:pPr>
                    <w:pStyle w:val="Default"/>
                    <w:rPr>
                      <w:i/>
                      <w:iCs/>
                      <w:color w:val="auto"/>
                      <w:sz w:val="20"/>
                      <w:szCs w:val="20"/>
                    </w:rPr>
                  </w:pPr>
                </w:p>
                <w:p w:rsidR="00A7788F" w:rsidRDefault="00A7788F" w:rsidP="00A7788F">
                  <w:pPr>
                    <w:pStyle w:val="Default"/>
                    <w:rPr>
                      <w:i/>
                      <w:iCs/>
                      <w:color w:val="auto"/>
                      <w:sz w:val="20"/>
                      <w:szCs w:val="20"/>
                    </w:rPr>
                  </w:pPr>
                  <w:r w:rsidRPr="00612E08">
                    <w:rPr>
                      <w:i/>
                      <w:iCs/>
                      <w:color w:val="auto"/>
                      <w:sz w:val="20"/>
                      <w:szCs w:val="20"/>
                    </w:rPr>
                    <w:t xml:space="preserve">Ak áno, uveďte, ktorých vplyvov podľa bodu 9 sa goldplating týka: </w:t>
                  </w:r>
                </w:p>
                <w:p w:rsidR="005D76BA" w:rsidRDefault="005D76BA" w:rsidP="00A7788F">
                  <w:pPr>
                    <w:pStyle w:val="Default"/>
                    <w:rPr>
                      <w:i/>
                      <w:iCs/>
                      <w:color w:val="auto"/>
                      <w:sz w:val="20"/>
                      <w:szCs w:val="20"/>
                    </w:rPr>
                  </w:pPr>
                </w:p>
                <w:p w:rsidR="005D76BA" w:rsidRPr="005D76BA" w:rsidRDefault="005D76BA" w:rsidP="005D76BA">
                  <w:pPr>
                    <w:jc w:val="both"/>
                    <w:rPr>
                      <w:rFonts w:ascii="Times New Roman" w:eastAsia="Times New Roman" w:hAnsi="Times New Roman" w:cs="Times New Roman"/>
                      <w:sz w:val="20"/>
                      <w:szCs w:val="20"/>
                      <w:lang w:eastAsia="sk-SK"/>
                    </w:rPr>
                  </w:pPr>
                  <w:r w:rsidRPr="005D76BA">
                    <w:rPr>
                      <w:rFonts w:ascii="Times New Roman" w:eastAsia="Times New Roman" w:hAnsi="Times New Roman" w:cs="Times New Roman"/>
                      <w:sz w:val="20"/>
                      <w:szCs w:val="20"/>
                      <w:lang w:eastAsia="sk-SK"/>
                    </w:rPr>
                    <w:t xml:space="preserve">Čl. 10 smernice EP A Rady 2007/59/ES z 23. októbra 2007, </w:t>
                  </w:r>
                  <w:hyperlink r:id="rId10" w:tooltip="32007L0059" w:history="1">
                    <w:r w:rsidRPr="005D76BA">
                      <w:rPr>
                        <w:rFonts w:ascii="Times New Roman" w:eastAsia="Times New Roman" w:hAnsi="Times New Roman" w:cs="Times New Roman"/>
                        <w:sz w:val="20"/>
                        <w:szCs w:val="20"/>
                        <w:lang w:eastAsia="sk-SK"/>
                      </w:rPr>
                      <w:t>o certifikácii rušňovodičov rušňov a vlakov v železničnom systéme v Spoločenstve</w:t>
                    </w:r>
                  </w:hyperlink>
                  <w:r w:rsidRPr="005D76BA">
                    <w:rPr>
                      <w:rFonts w:ascii="Times New Roman" w:eastAsia="Times New Roman" w:hAnsi="Times New Roman" w:cs="Times New Roman"/>
                      <w:sz w:val="20"/>
                      <w:szCs w:val="20"/>
                      <w:lang w:eastAsia="sk-SK"/>
                    </w:rPr>
                    <w:t xml:space="preserve"> (Ú. v. ES L 315 3.12.2007) v platnom znení navýšením požiadaviek nad rámec smernice</w:t>
                  </w:r>
                  <w:r>
                    <w:rPr>
                      <w:rFonts w:ascii="Times New Roman" w:eastAsia="Times New Roman" w:hAnsi="Times New Roman" w:cs="Times New Roman"/>
                      <w:sz w:val="20"/>
                      <w:szCs w:val="20"/>
                      <w:lang w:eastAsia="sk-SK"/>
                    </w:rPr>
                    <w:t xml:space="preserve"> má marginálny vplyv na podnikateľské prostredie.</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C705DF">
            <w:pPr>
              <w:jc w:val="both"/>
              <w:rPr>
                <w:rFonts w:ascii="Times New Roman" w:eastAsia="Times New Roman" w:hAnsi="Times New Roman" w:cs="Times New Roman"/>
                <w:i/>
                <w:sz w:val="20"/>
                <w:szCs w:val="20"/>
                <w:lang w:eastAsia="sk-SK"/>
              </w:rPr>
            </w:pPr>
          </w:p>
        </w:tc>
      </w:tr>
      <w:tr w:rsidR="00612E08" w:rsidRPr="00612E08" w:rsidTr="00C705DF">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C705DF">
            <w:pPr>
              <w:jc w:val="center"/>
              <w:rPr>
                <w:rFonts w:ascii="Times New Roman" w:eastAsia="Times New Roman" w:hAnsi="Times New Roman" w:cs="Times New Roman"/>
                <w:sz w:val="20"/>
                <w:szCs w:val="20"/>
                <w:lang w:eastAsia="sk-SK"/>
              </w:rPr>
            </w:pPr>
          </w:p>
        </w:tc>
      </w:tr>
      <w:tr w:rsidR="00612E08" w:rsidRPr="00612E08" w:rsidTr="00C705DF">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C705DF">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B23B7" w:rsidRPr="00612E08"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1B23B7" w:rsidRDefault="001B23B7" w:rsidP="00C705DF">
            <w:pPr>
              <w:rPr>
                <w:rFonts w:ascii="Times New Roman" w:eastAsia="Times New Roman" w:hAnsi="Times New Roman" w:cs="Times New Roman"/>
                <w:i/>
                <w:sz w:val="20"/>
                <w:szCs w:val="20"/>
                <w:lang w:eastAsia="sk-SK"/>
              </w:rPr>
            </w:pP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 xml:space="preserve">Preskúmanie účelnosti bude vykonávané priebežne po nadobudnutí účinnosti a jeho uplatnení v aplikačnej praxi. </w:t>
            </w:r>
          </w:p>
          <w:p w:rsidR="00CF6E10" w:rsidRPr="00CF6E10" w:rsidRDefault="00CF6E10" w:rsidP="00CF6E10">
            <w:pPr>
              <w:rPr>
                <w:rFonts w:ascii="Times New Roman" w:eastAsia="Times New Roman" w:hAnsi="Times New Roman" w:cs="Times New Roman"/>
                <w:sz w:val="20"/>
                <w:szCs w:val="20"/>
                <w:lang w:eastAsia="sk-SK"/>
              </w:rPr>
            </w:pP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 xml:space="preserve">Kritériá: </w:t>
            </w: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w:t>
            </w:r>
            <w:r w:rsidRPr="00CF6E10">
              <w:rPr>
                <w:rFonts w:ascii="Times New Roman" w:eastAsia="Times New Roman" w:hAnsi="Times New Roman" w:cs="Times New Roman"/>
                <w:sz w:val="20"/>
                <w:szCs w:val="20"/>
                <w:lang w:eastAsia="sk-SK"/>
              </w:rPr>
              <w:tab/>
              <w:t>Priame finančné náklady – porovnanie reálnych nákladov a odhadovaných nákladov</w:t>
            </w: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w:t>
            </w:r>
            <w:r w:rsidRPr="00CF6E10">
              <w:rPr>
                <w:rFonts w:ascii="Times New Roman" w:eastAsia="Times New Roman" w:hAnsi="Times New Roman" w:cs="Times New Roman"/>
                <w:sz w:val="20"/>
                <w:szCs w:val="20"/>
                <w:lang w:eastAsia="sk-SK"/>
              </w:rPr>
              <w:tab/>
              <w:t>Nepriame finančné náklady – porovnanie reálnych nákladov a odhadovaných nákladov</w:t>
            </w: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w:t>
            </w:r>
            <w:r w:rsidRPr="00CF6E10">
              <w:rPr>
                <w:rFonts w:ascii="Times New Roman" w:eastAsia="Times New Roman" w:hAnsi="Times New Roman" w:cs="Times New Roman"/>
                <w:sz w:val="20"/>
                <w:szCs w:val="20"/>
                <w:lang w:eastAsia="sk-SK"/>
              </w:rPr>
              <w:tab/>
              <w:t>Administratívne náklady – porovnanie reálnych nákladov a odhadovaných nákladov</w:t>
            </w: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w:t>
            </w:r>
            <w:r w:rsidRPr="00CF6E10">
              <w:rPr>
                <w:rFonts w:ascii="Times New Roman" w:eastAsia="Times New Roman" w:hAnsi="Times New Roman" w:cs="Times New Roman"/>
                <w:sz w:val="20"/>
                <w:szCs w:val="20"/>
                <w:lang w:eastAsia="sk-SK"/>
              </w:rPr>
              <w:tab/>
              <w:t>Miera počtu a druhov správnych konaní vo veciach špeciálnych dráh</w:t>
            </w:r>
          </w:p>
          <w:p w:rsidR="00CF6E10" w:rsidRPr="00CF6E10" w:rsidRDefault="00CF6E10" w:rsidP="00CF6E10">
            <w:pPr>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t>-</w:t>
            </w:r>
            <w:r w:rsidRPr="00CF6E10">
              <w:rPr>
                <w:rFonts w:ascii="Times New Roman" w:eastAsia="Times New Roman" w:hAnsi="Times New Roman" w:cs="Times New Roman"/>
                <w:sz w:val="20"/>
                <w:szCs w:val="20"/>
                <w:lang w:eastAsia="sk-SK"/>
              </w:rPr>
              <w:tab/>
              <w:t>Miera počtu a druhov správnych konaní vo veciach vlečiek</w:t>
            </w:r>
          </w:p>
        </w:tc>
      </w:tr>
      <w:tr w:rsidR="00612E08" w:rsidRPr="00612E08" w:rsidTr="00C705DF">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C705DF">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CF6E10" w:rsidP="00C705DF">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C705DF">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203EE3" w:rsidP="00C705DF">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C705DF">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203EE3" w:rsidP="00C705DF">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C705DF">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CF6E10"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C705DF">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C705DF">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C705DF">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C705DF">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C705D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AA3AFC" w:rsidP="00C705DF">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C705DF">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CF6E1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CF6E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CF6E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CF6E1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CF6E1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CF6E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CF6E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CF6E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D72AE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CF6E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C705DF">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C705DF">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C705DF">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C705DF">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C705DF">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C705DF">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C705DF">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C705DF">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CF6E1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C705DF">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CF6E1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C705DF">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CF6E1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C705DF">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C705DF">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C705DF">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612E08" w:rsidRDefault="004C6831" w:rsidP="00C705DF">
            <w:pPr>
              <w:jc w:val="both"/>
              <w:rPr>
                <w:rFonts w:ascii="Times New Roman" w:eastAsia="Times New Roman" w:hAnsi="Times New Roman" w:cs="Times New Roman"/>
                <w:i/>
                <w:sz w:val="20"/>
                <w:szCs w:val="20"/>
                <w:lang w:eastAsia="sk-SK"/>
              </w:rPr>
            </w:pPr>
          </w:p>
          <w:p w:rsidR="0098472E" w:rsidRPr="00CF6E10" w:rsidRDefault="00CF6E10" w:rsidP="00C705DF">
            <w:pPr>
              <w:jc w:val="both"/>
              <w:rPr>
                <w:rFonts w:ascii="Times New Roman" w:eastAsia="Times New Roman" w:hAnsi="Times New Roman" w:cs="Times New Roman"/>
                <w:sz w:val="20"/>
                <w:szCs w:val="20"/>
                <w:lang w:eastAsia="sk-SK"/>
              </w:rPr>
            </w:pPr>
            <w:r w:rsidRPr="00CF6E10">
              <w:rPr>
                <w:rFonts w:ascii="Times New Roman" w:eastAsia="Times New Roman" w:hAnsi="Times New Roman" w:cs="Times New Roman"/>
                <w:sz w:val="20"/>
                <w:szCs w:val="20"/>
                <w:lang w:eastAsia="sk-SK"/>
              </w:rPr>
              <w:lastRenderedPageBreak/>
              <w:t>Návrh zákona predpokladá aj marginálny negatívny vplyv, ktorý predstavuje zníženie správnych poplatkov v oblasti špeci</w:t>
            </w:r>
            <w:r w:rsidR="00BC7751">
              <w:rPr>
                <w:rFonts w:ascii="Times New Roman" w:eastAsia="Times New Roman" w:hAnsi="Times New Roman" w:cs="Times New Roman"/>
                <w:sz w:val="20"/>
                <w:szCs w:val="20"/>
                <w:lang w:eastAsia="sk-SK"/>
              </w:rPr>
              <w:t xml:space="preserve">álnych </w:t>
            </w:r>
            <w:r w:rsidR="00F665CA">
              <w:rPr>
                <w:rFonts w:ascii="Times New Roman" w:eastAsia="Times New Roman" w:hAnsi="Times New Roman" w:cs="Times New Roman"/>
                <w:sz w:val="20"/>
                <w:szCs w:val="20"/>
                <w:lang w:eastAsia="sk-SK"/>
              </w:rPr>
              <w:t>dráh a vlečiek vo výške 1 6</w:t>
            </w:r>
            <w:r w:rsidRPr="00CF6E10">
              <w:rPr>
                <w:rFonts w:ascii="Times New Roman" w:eastAsia="Times New Roman" w:hAnsi="Times New Roman" w:cs="Times New Roman"/>
                <w:sz w:val="20"/>
                <w:szCs w:val="20"/>
                <w:lang w:eastAsia="sk-SK"/>
              </w:rPr>
              <w:t>20 eur ročne.</w:t>
            </w:r>
          </w:p>
          <w:p w:rsidR="001B23B7" w:rsidRPr="00612E08" w:rsidRDefault="001B23B7" w:rsidP="00CF6E10">
            <w:pPr>
              <w:jc w:val="both"/>
              <w:rPr>
                <w:rFonts w:ascii="Times New Roman" w:eastAsia="Calibri" w:hAnsi="Times New Roman" w:cs="Times New Roman"/>
                <w:b/>
              </w:rPr>
            </w:pPr>
          </w:p>
        </w:tc>
      </w:tr>
      <w:tr w:rsidR="00612E08" w:rsidRPr="00612E08" w:rsidTr="00C705DF">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rsidTr="00C705DF">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C705D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CF6E10" w:rsidRDefault="00CF6E10" w:rsidP="00C705DF">
            <w:pPr>
              <w:rPr>
                <w:rFonts w:ascii="Times New Roman" w:eastAsia="Times New Roman" w:hAnsi="Times New Roman" w:cs="Times New Roman"/>
                <w:i/>
                <w:sz w:val="20"/>
                <w:szCs w:val="20"/>
                <w:lang w:eastAsia="sk-SK"/>
              </w:rPr>
            </w:pPr>
          </w:p>
          <w:p w:rsidR="00CF6E10" w:rsidRPr="00D67183" w:rsidRDefault="00CF6E10" w:rsidP="00D67183">
            <w:pPr>
              <w:jc w:val="both"/>
              <w:rPr>
                <w:rFonts w:ascii="Times New Roman" w:eastAsia="Times New Roman" w:hAnsi="Times New Roman" w:cs="Times New Roman"/>
                <w:sz w:val="20"/>
                <w:szCs w:val="20"/>
                <w:lang w:eastAsia="sk-SK"/>
              </w:rPr>
            </w:pPr>
            <w:r w:rsidRPr="00D67183">
              <w:rPr>
                <w:rFonts w:ascii="Times New Roman" w:eastAsia="Times New Roman" w:hAnsi="Times New Roman" w:cs="Times New Roman"/>
                <w:sz w:val="20"/>
                <w:szCs w:val="20"/>
                <w:lang w:eastAsia="sk-SK"/>
              </w:rPr>
              <w:t>JUDr. Andrea Horváthová, sekcia železničnej dopravy a dráh M</w:t>
            </w:r>
            <w:r w:rsidR="00D67183" w:rsidRPr="00D67183">
              <w:rPr>
                <w:rFonts w:ascii="Times New Roman" w:eastAsia="Times New Roman" w:hAnsi="Times New Roman" w:cs="Times New Roman"/>
                <w:sz w:val="20"/>
                <w:szCs w:val="20"/>
                <w:lang w:eastAsia="sk-SK"/>
              </w:rPr>
              <w:t>D</w:t>
            </w:r>
            <w:r w:rsidRPr="00D67183">
              <w:rPr>
                <w:rFonts w:ascii="Times New Roman" w:eastAsia="Times New Roman" w:hAnsi="Times New Roman" w:cs="Times New Roman"/>
                <w:sz w:val="20"/>
                <w:szCs w:val="20"/>
                <w:lang w:eastAsia="sk-SK"/>
              </w:rPr>
              <w:t xml:space="preserve"> SR, 02/59494479, andrea.horvathova@mindop.sk</w:t>
            </w:r>
          </w:p>
        </w:tc>
      </w:tr>
      <w:tr w:rsidR="00612E08" w:rsidRPr="00612E08" w:rsidTr="00C705DF">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C705DF">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C705DF">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C705DF">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1B23B7" w:rsidRDefault="001B23B7" w:rsidP="00C705DF">
            <w:pPr>
              <w:rPr>
                <w:rFonts w:ascii="Times New Roman" w:eastAsia="Times New Roman" w:hAnsi="Times New Roman" w:cs="Times New Roman"/>
                <w:i/>
                <w:sz w:val="20"/>
                <w:szCs w:val="20"/>
                <w:lang w:eastAsia="sk-SK"/>
              </w:rPr>
            </w:pPr>
          </w:p>
          <w:p w:rsidR="00D67183" w:rsidRPr="00D67183" w:rsidRDefault="00D67183" w:rsidP="00D67183">
            <w:pPr>
              <w:jc w:val="both"/>
              <w:rPr>
                <w:rFonts w:ascii="Times New Roman" w:eastAsia="Times New Roman" w:hAnsi="Times New Roman" w:cs="Times New Roman"/>
                <w:sz w:val="20"/>
                <w:szCs w:val="20"/>
                <w:lang w:eastAsia="sk-SK"/>
              </w:rPr>
            </w:pPr>
            <w:r w:rsidRPr="00D67183">
              <w:rPr>
                <w:rFonts w:ascii="Times New Roman" w:eastAsia="Times New Roman" w:hAnsi="Times New Roman" w:cs="Times New Roman"/>
                <w:sz w:val="20"/>
                <w:szCs w:val="20"/>
                <w:lang w:eastAsia="sk-SK"/>
              </w:rPr>
              <w:t xml:space="preserve">Na príprave návrhu zákona sa zúčastňovali zástupcovia </w:t>
            </w:r>
            <w:r w:rsidR="00D82D7E">
              <w:rPr>
                <w:rFonts w:ascii="Times New Roman" w:eastAsia="Times New Roman" w:hAnsi="Times New Roman" w:cs="Times New Roman"/>
                <w:sz w:val="20"/>
                <w:szCs w:val="20"/>
                <w:lang w:eastAsia="sk-SK"/>
              </w:rPr>
              <w:t xml:space="preserve">Ministerstva dopravy </w:t>
            </w:r>
            <w:r w:rsidRPr="00D67183">
              <w:rPr>
                <w:rFonts w:ascii="Times New Roman" w:eastAsia="Times New Roman" w:hAnsi="Times New Roman" w:cs="Times New Roman"/>
                <w:sz w:val="20"/>
                <w:szCs w:val="20"/>
                <w:lang w:eastAsia="sk-SK"/>
              </w:rPr>
              <w:t>Slovenskej republiky, Dopravného úradu, manažéra železničnej infraštruktúry, železničných podnikov a odborových združení.</w:t>
            </w:r>
          </w:p>
          <w:p w:rsidR="00D67183" w:rsidRPr="00D67183" w:rsidRDefault="00D67183" w:rsidP="00D67183">
            <w:pPr>
              <w:jc w:val="both"/>
              <w:rPr>
                <w:rFonts w:ascii="Times New Roman" w:eastAsia="Times New Roman" w:hAnsi="Times New Roman" w:cs="Times New Roman"/>
                <w:sz w:val="20"/>
                <w:szCs w:val="20"/>
                <w:lang w:eastAsia="sk-SK"/>
              </w:rPr>
            </w:pPr>
            <w:r w:rsidRPr="00D67183">
              <w:rPr>
                <w:rFonts w:ascii="Times New Roman" w:eastAsia="Times New Roman" w:hAnsi="Times New Roman" w:cs="Times New Roman"/>
                <w:sz w:val="20"/>
                <w:szCs w:val="20"/>
                <w:lang w:eastAsia="sk-SK"/>
              </w:rPr>
              <w:t>Okrem informácií a údajov od uvedených osôb slúžili ako zdroje interné dokumenty</w:t>
            </w:r>
            <w:r w:rsidR="00D82D7E">
              <w:rPr>
                <w:rFonts w:ascii="Times New Roman" w:eastAsia="Times New Roman" w:hAnsi="Times New Roman" w:cs="Times New Roman"/>
                <w:sz w:val="20"/>
                <w:szCs w:val="20"/>
                <w:lang w:eastAsia="sk-SK"/>
              </w:rPr>
              <w:t xml:space="preserve"> Ministerstva dopravy </w:t>
            </w:r>
            <w:r w:rsidRPr="00D67183">
              <w:rPr>
                <w:rFonts w:ascii="Times New Roman" w:eastAsia="Times New Roman" w:hAnsi="Times New Roman" w:cs="Times New Roman"/>
                <w:sz w:val="20"/>
                <w:szCs w:val="20"/>
                <w:lang w:eastAsia="sk-SK"/>
              </w:rPr>
              <w:t xml:space="preserve"> Slovenskej republiky a Dopravného úradu, ako aj poznatky z aplikačnej praxe existujúcej platnej a účinnej právnej úpravy.</w:t>
            </w:r>
          </w:p>
          <w:p w:rsidR="00D67183" w:rsidRPr="00D67183" w:rsidRDefault="00D67183" w:rsidP="00D67183">
            <w:pPr>
              <w:jc w:val="both"/>
              <w:rPr>
                <w:rFonts w:ascii="Times New Roman" w:eastAsia="Times New Roman" w:hAnsi="Times New Roman" w:cs="Times New Roman"/>
                <w:sz w:val="20"/>
                <w:szCs w:val="20"/>
                <w:lang w:eastAsia="sk-SK"/>
              </w:rPr>
            </w:pPr>
            <w:r w:rsidRPr="00D67183">
              <w:rPr>
                <w:rFonts w:ascii="Times New Roman" w:eastAsia="Times New Roman" w:hAnsi="Times New Roman" w:cs="Times New Roman"/>
                <w:sz w:val="20"/>
                <w:szCs w:val="20"/>
                <w:lang w:eastAsia="sk-SK"/>
              </w:rPr>
              <w:t>Zdroj použitý pri výpočte výdavkov v rámci vplyvov na rozpočet verejnej správy pochádza z Výročných správ Dopravného úradu (</w:t>
            </w:r>
            <w:hyperlink r:id="rId11" w:history="1">
              <w:r w:rsidRPr="000A70B4">
                <w:rPr>
                  <w:rStyle w:val="Hypertextovprepojenie"/>
                  <w:rFonts w:ascii="Times New Roman" w:eastAsia="Times New Roman" w:hAnsi="Times New Roman" w:cs="Times New Roman"/>
                  <w:sz w:val="20"/>
                  <w:szCs w:val="20"/>
                  <w:lang w:eastAsia="sk-SK"/>
                </w:rPr>
                <w:t>http://nsat.sk/dopravny-urad-menu-udaje-a-dokumenty/vyrocne-spravy/</w:t>
              </w:r>
            </w:hyperlink>
            <w:r w:rsidRPr="00D67183">
              <w:rPr>
                <w:rFonts w:ascii="Times New Roman" w:eastAsia="Times New Roman" w:hAnsi="Times New Roman" w:cs="Times New Roman"/>
                <w:sz w:val="20"/>
                <w:szCs w:val="20"/>
                <w:lang w:eastAsia="sk-SK"/>
              </w:rPr>
              <w:t>).</w:t>
            </w:r>
          </w:p>
          <w:p w:rsidR="001B23B7" w:rsidRPr="00612E08" w:rsidRDefault="001B23B7" w:rsidP="00C705DF">
            <w:pPr>
              <w:rPr>
                <w:rFonts w:ascii="Times New Roman" w:eastAsia="Times New Roman" w:hAnsi="Times New Roman" w:cs="Times New Roman"/>
                <w:b/>
                <w:sz w:val="20"/>
                <w:szCs w:val="20"/>
                <w:lang w:eastAsia="sk-SK"/>
              </w:rPr>
            </w:pPr>
          </w:p>
        </w:tc>
      </w:tr>
      <w:tr w:rsidR="00612E08" w:rsidRPr="00612E08" w:rsidTr="00C705DF">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C705DF">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rsidR="001B23B7" w:rsidRPr="00612E08" w:rsidRDefault="001B23B7" w:rsidP="00C705DF">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C705DF">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C705DF">
              <w:trPr>
                <w:trHeight w:val="396"/>
              </w:trPr>
              <w:tc>
                <w:tcPr>
                  <w:tcW w:w="2552" w:type="dxa"/>
                </w:tcPr>
                <w:p w:rsidR="001B23B7" w:rsidRPr="00612E08" w:rsidRDefault="00E64C65" w:rsidP="00C705D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E64C65" w:rsidP="00C705D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E64C65" w:rsidP="00C705DF">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F665CA">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Default="001B23B7" w:rsidP="00C705DF">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C705DF" w:rsidRDefault="00C705DF" w:rsidP="00C705DF">
            <w:pPr>
              <w:jc w:val="both"/>
              <w:rPr>
                <w:rFonts w:ascii="Times New Roman" w:eastAsia="Times New Roman" w:hAnsi="Times New Roman" w:cs="Times New Roman"/>
                <w:b/>
                <w:sz w:val="20"/>
                <w:szCs w:val="20"/>
                <w:lang w:eastAsia="sk-SK"/>
              </w:rPr>
            </w:pPr>
          </w:p>
          <w:p w:rsidR="00C705DF" w:rsidRPr="00C705DF" w:rsidRDefault="00C705DF" w:rsidP="00C705DF">
            <w:pPr>
              <w:jc w:val="both"/>
              <w:rPr>
                <w:rFonts w:ascii="Times New Roman" w:hAnsi="Times New Roman" w:cs="Times New Roman"/>
                <w:b/>
                <w:bCs/>
                <w:sz w:val="20"/>
                <w:szCs w:val="20"/>
              </w:rPr>
            </w:pPr>
            <w:r w:rsidRPr="00C705DF">
              <w:rPr>
                <w:rFonts w:ascii="Times New Roman" w:hAnsi="Times New Roman" w:cs="Times New Roman"/>
                <w:b/>
                <w:bCs/>
                <w:sz w:val="20"/>
                <w:szCs w:val="20"/>
              </w:rPr>
              <w:t xml:space="preserve">I. Úvod: </w:t>
            </w:r>
            <w:r w:rsidRPr="00C705DF">
              <w:rPr>
                <w:rFonts w:ascii="Times New Roman" w:hAnsi="Times New Roman" w:cs="Times New Roman"/>
                <w:bCs/>
                <w:sz w:val="20"/>
                <w:szCs w:val="20"/>
              </w:rPr>
              <w:t>Ministerstvo dopravy Slovenskej republiky dňa 22. apríla 2024 predložilo na PPK materiál: „</w:t>
            </w:r>
            <w:r w:rsidRPr="00C705DF">
              <w:rPr>
                <w:rFonts w:ascii="Times New Roman" w:hAnsi="Times New Roman" w:cs="Times New Roman"/>
                <w:bCs/>
                <w:i/>
                <w:sz w:val="20"/>
                <w:szCs w:val="20"/>
                <w:lang w:eastAsia="sk-SK"/>
              </w:rPr>
              <w:t>Návrh zákona, ktorým sa mení a dopĺňa zákon č. 513/2009 Z. z. o dráhach a o zmene a doplnení niektorých zákonov v znení neskorších predpisov a ktorým sa menia a dopĺňajú niektoré zákony“</w:t>
            </w:r>
            <w:r w:rsidRPr="00C705DF">
              <w:rPr>
                <w:rFonts w:ascii="Times New Roman" w:hAnsi="Times New Roman" w:cs="Times New Roman"/>
                <w:bCs/>
                <w:iCs/>
                <w:sz w:val="20"/>
                <w:szCs w:val="20"/>
              </w:rPr>
              <w:t xml:space="preserve">. </w:t>
            </w:r>
            <w:r w:rsidRPr="00C705DF">
              <w:rPr>
                <w:rFonts w:ascii="Times New Roman" w:hAnsi="Times New Roman" w:cs="Times New Roman"/>
                <w:bCs/>
                <w:iCs/>
                <w:color w:val="000000"/>
                <w:sz w:val="20"/>
                <w:szCs w:val="20"/>
              </w:rPr>
              <w:t>Materiál predpokladá pozitívne vplyvy na rozpočet verejnej správy a pozitívno-negatívne vplyvy na podnikateľské prostredie, vrátane pozitívno-negatívnych vplyvov na malé a stredné podniky.</w:t>
            </w:r>
          </w:p>
          <w:p w:rsidR="00C705DF" w:rsidRPr="00C705DF" w:rsidRDefault="00C705DF" w:rsidP="00C705DF">
            <w:pPr>
              <w:jc w:val="both"/>
              <w:rPr>
                <w:rFonts w:ascii="Times New Roman" w:hAnsi="Times New Roman" w:cs="Times New Roman"/>
                <w:b/>
                <w:bCs/>
                <w:sz w:val="20"/>
                <w:szCs w:val="20"/>
              </w:rPr>
            </w:pPr>
          </w:p>
          <w:p w:rsidR="00C705DF" w:rsidRPr="00C705DF" w:rsidRDefault="00C705DF" w:rsidP="00C705DF">
            <w:pPr>
              <w:jc w:val="both"/>
              <w:rPr>
                <w:rFonts w:ascii="Times New Roman" w:hAnsi="Times New Roman" w:cs="Times New Roman"/>
                <w:sz w:val="20"/>
                <w:szCs w:val="20"/>
              </w:rPr>
            </w:pPr>
            <w:r w:rsidRPr="00C705DF">
              <w:rPr>
                <w:rFonts w:ascii="Times New Roman" w:hAnsi="Times New Roman" w:cs="Times New Roman"/>
                <w:b/>
                <w:bCs/>
                <w:sz w:val="20"/>
                <w:szCs w:val="20"/>
              </w:rPr>
              <w:t>II. P</w:t>
            </w:r>
            <w:r w:rsidRPr="00C705DF">
              <w:rPr>
                <w:rFonts w:ascii="Times New Roman" w:hAnsi="Times New Roman" w:cs="Times New Roman"/>
                <w:b/>
                <w:sz w:val="20"/>
                <w:szCs w:val="20"/>
              </w:rPr>
              <w:t>r</w:t>
            </w:r>
            <w:r w:rsidRPr="00C705DF">
              <w:rPr>
                <w:rFonts w:ascii="Times New Roman" w:hAnsi="Times New Roman" w:cs="Times New Roman"/>
                <w:b/>
                <w:bCs/>
                <w:sz w:val="20"/>
                <w:szCs w:val="20"/>
              </w:rPr>
              <w:t>ipomienky a návrhy zm</w:t>
            </w:r>
            <w:r w:rsidRPr="00C705DF">
              <w:rPr>
                <w:rFonts w:ascii="Times New Roman" w:hAnsi="Times New Roman" w:cs="Times New Roman"/>
                <w:b/>
                <w:sz w:val="20"/>
                <w:szCs w:val="20"/>
              </w:rPr>
              <w:t>ie</w:t>
            </w:r>
            <w:r w:rsidRPr="00C705DF">
              <w:rPr>
                <w:rFonts w:ascii="Times New Roman" w:hAnsi="Times New Roman" w:cs="Times New Roman"/>
                <w:b/>
                <w:bCs/>
                <w:sz w:val="20"/>
                <w:szCs w:val="20"/>
              </w:rPr>
              <w:t xml:space="preserve">n: </w:t>
            </w:r>
            <w:r w:rsidRPr="00C705DF">
              <w:rPr>
                <w:rFonts w:ascii="Times New Roman" w:hAnsi="Times New Roman" w:cs="Times New Roman"/>
                <w:bCs/>
                <w:sz w:val="20"/>
                <w:szCs w:val="20"/>
              </w:rPr>
              <w:t>Komisia uplatňuje k materiálu nasledovné pripomienky a odporúčania:</w:t>
            </w:r>
          </w:p>
          <w:p w:rsidR="00C705DF" w:rsidRPr="00C705DF" w:rsidRDefault="00C705DF" w:rsidP="00C705DF">
            <w:pPr>
              <w:tabs>
                <w:tab w:val="left" w:pos="1110"/>
              </w:tabs>
              <w:ind w:right="-2"/>
              <w:jc w:val="both"/>
              <w:rPr>
                <w:rFonts w:ascii="Times New Roman" w:hAnsi="Times New Roman" w:cs="Times New Roman"/>
                <w:b/>
                <w:bCs/>
                <w:sz w:val="20"/>
                <w:szCs w:val="20"/>
              </w:rPr>
            </w:pPr>
          </w:p>
          <w:p w:rsidR="00C705DF" w:rsidRPr="00C705DF" w:rsidRDefault="00C705DF" w:rsidP="00C705DF">
            <w:pPr>
              <w:tabs>
                <w:tab w:val="left" w:pos="1110"/>
              </w:tabs>
              <w:ind w:right="-2"/>
              <w:jc w:val="both"/>
              <w:rPr>
                <w:rFonts w:ascii="Times New Roman" w:hAnsi="Times New Roman" w:cs="Times New Roman"/>
                <w:b/>
                <w:bCs/>
                <w:sz w:val="20"/>
                <w:szCs w:val="20"/>
              </w:rPr>
            </w:pPr>
            <w:r w:rsidRPr="00C705DF">
              <w:rPr>
                <w:rFonts w:ascii="Times New Roman" w:hAnsi="Times New Roman" w:cs="Times New Roman"/>
                <w:b/>
                <w:bCs/>
                <w:sz w:val="20"/>
                <w:szCs w:val="20"/>
              </w:rPr>
              <w:t>Ku goldplatingu všeobecne</w:t>
            </w:r>
          </w:p>
          <w:p w:rsidR="00C705DF" w:rsidRPr="00C705DF" w:rsidRDefault="00C705DF" w:rsidP="00C705DF">
            <w:pPr>
              <w:tabs>
                <w:tab w:val="left" w:pos="1110"/>
              </w:tabs>
              <w:ind w:right="-2"/>
              <w:jc w:val="both"/>
              <w:rPr>
                <w:rFonts w:ascii="Times New Roman" w:hAnsi="Times New Roman" w:cs="Times New Roman"/>
                <w:bCs/>
                <w:sz w:val="20"/>
                <w:szCs w:val="20"/>
              </w:rPr>
            </w:pPr>
            <w:r w:rsidRPr="00C705DF">
              <w:rPr>
                <w:rFonts w:ascii="Times New Roman" w:hAnsi="Times New Roman" w:cs="Times New Roman"/>
                <w:bCs/>
                <w:sz w:val="20"/>
                <w:szCs w:val="20"/>
              </w:rPr>
              <w:t>Komisia upozorňuje, že tabuľka zhody, ktorej náležitosti sú upravené v prílohe č. 3 k Legislatívnym pravidlám vlády SR obsahuje aj stĺpce 9 a 10, ktoré slúžia k identifikácií goldplatingu a v predložených tabuľkách zhody absentujú. Všetky predložené tabuľky zhody Komisia žiada doplniť o tieto stĺpce.</w:t>
            </w:r>
          </w:p>
          <w:p w:rsidR="00C705DF" w:rsidRPr="00C705DF" w:rsidRDefault="00C705DF" w:rsidP="00C705DF">
            <w:pPr>
              <w:tabs>
                <w:tab w:val="left" w:pos="1110"/>
              </w:tabs>
              <w:ind w:right="-2"/>
              <w:jc w:val="both"/>
              <w:rPr>
                <w:rFonts w:ascii="Times New Roman" w:hAnsi="Times New Roman" w:cs="Times New Roman"/>
                <w:bCs/>
                <w:sz w:val="20"/>
                <w:szCs w:val="20"/>
              </w:rPr>
            </w:pPr>
            <w:r w:rsidRPr="00C705DF">
              <w:rPr>
                <w:rFonts w:ascii="Times New Roman" w:hAnsi="Times New Roman" w:cs="Times New Roman"/>
                <w:bCs/>
                <w:sz w:val="20"/>
                <w:szCs w:val="20"/>
              </w:rPr>
              <w:t xml:space="preserve">Komisia si dovoľuje upozorniť, že v stĺpci 9 tabuľky zhody sa uvedie vždy jedna z poznámok identifikácie goldplatingu a jeho charakteristiky. V prípade, že transponované ustanovenie predstavuje goldplating, je potrebné posúdiť nielen či dochádza ku goldplatingu, ale aj o akú kategóriu goldplatingu ide, a  to podľa prílohy č. 3 k Legislatívnym pravidlám vlády SR. Stĺpec 9 môže byť vyplnený napr.: „GP – A písm. a) („rozšírenie na iné subjekty“)“, čo znamená, že goldplating je identifikovaný a ide o kategóriu „rozšírenie na iné subjekty“, kedy sa rozšíril rozsah pôsobnosti smernice na subjekty nad rámec minimálnych požiadaviek smernice. </w:t>
            </w:r>
          </w:p>
          <w:p w:rsidR="00C705DF" w:rsidRPr="00C705DF" w:rsidRDefault="00C705DF" w:rsidP="00C705DF">
            <w:pPr>
              <w:tabs>
                <w:tab w:val="left" w:pos="1110"/>
              </w:tabs>
              <w:ind w:right="-2"/>
              <w:jc w:val="both"/>
              <w:rPr>
                <w:rFonts w:ascii="Times New Roman" w:hAnsi="Times New Roman" w:cs="Times New Roman"/>
                <w:bCs/>
                <w:sz w:val="20"/>
                <w:szCs w:val="20"/>
              </w:rPr>
            </w:pPr>
            <w:r w:rsidRPr="00C705DF">
              <w:rPr>
                <w:rFonts w:ascii="Times New Roman" w:hAnsi="Times New Roman" w:cs="Times New Roman"/>
                <w:bCs/>
                <w:sz w:val="20"/>
                <w:szCs w:val="20"/>
              </w:rPr>
              <w:t>V prípade, že transponované ustanovenie nepredstavuje goldplating v stĺpci 9 sa uvedie poznámka: „GP – N“, čo znamená, že goldplating nie je identifikovaný a stĺpec 10 sa nevypĺňa. V opačnom prípade sa v stĺpci 10 uvedie oblasť, na ktorú má</w:t>
            </w:r>
            <w:r w:rsidRPr="00FD42E3">
              <w:rPr>
                <w:rFonts w:ascii="Arial" w:hAnsi="Arial" w:cs="Arial"/>
                <w:bCs/>
                <w:sz w:val="24"/>
              </w:rPr>
              <w:t xml:space="preserve"> </w:t>
            </w:r>
            <w:r w:rsidRPr="00C705DF">
              <w:rPr>
                <w:rFonts w:ascii="Times New Roman" w:hAnsi="Times New Roman" w:cs="Times New Roman"/>
                <w:bCs/>
                <w:sz w:val="20"/>
                <w:szCs w:val="20"/>
              </w:rPr>
              <w:t xml:space="preserve">goldplating vplyv podľa Jednotnej metodiky na posudzovanie vybraných vplyvov, alebo iná oblasť, na ktorú má goldplating vplyv, pričom ako prvá oblasť sa vždy uvedie oblasť s vplyvom na podnikateľské prostredie, ak je takýto vplyv identifikovaný. V prípade identifikácie goldplatingu (teda vyplnenia stĺpcov 9  a 10), sa pod tabuľkou zhody uvedie </w:t>
            </w:r>
            <w:r w:rsidRPr="00C705DF">
              <w:rPr>
                <w:rFonts w:ascii="Times New Roman" w:hAnsi="Times New Roman" w:cs="Times New Roman"/>
                <w:bCs/>
                <w:i/>
                <w:iCs/>
                <w:sz w:val="20"/>
                <w:szCs w:val="20"/>
              </w:rPr>
              <w:t xml:space="preserve">„Vyjadrenie k opodstatnenosti goldplatingu a jeho odôvodnenie“ </w:t>
            </w:r>
            <w:r w:rsidRPr="00C705DF">
              <w:rPr>
                <w:rFonts w:ascii="Times New Roman" w:hAnsi="Times New Roman" w:cs="Times New Roman"/>
                <w:bCs/>
                <w:sz w:val="20"/>
                <w:szCs w:val="20"/>
              </w:rPr>
              <w:t>a to podľa prílohy č. 3 k Legislatívnym pravidlám vlády SR.</w:t>
            </w:r>
          </w:p>
          <w:p w:rsidR="00C705DF" w:rsidRPr="00C705DF" w:rsidRDefault="00C705DF" w:rsidP="00C705DF">
            <w:pPr>
              <w:tabs>
                <w:tab w:val="left" w:pos="1110"/>
              </w:tabs>
              <w:ind w:right="-2"/>
              <w:jc w:val="both"/>
              <w:rPr>
                <w:rFonts w:ascii="Times New Roman" w:hAnsi="Times New Roman" w:cs="Times New Roman"/>
                <w:bCs/>
                <w:sz w:val="20"/>
                <w:szCs w:val="20"/>
              </w:rPr>
            </w:pPr>
          </w:p>
          <w:p w:rsidR="003F520F" w:rsidRPr="003F520F" w:rsidRDefault="003F520F" w:rsidP="00C705DF">
            <w:pPr>
              <w:tabs>
                <w:tab w:val="left" w:pos="1110"/>
              </w:tabs>
              <w:ind w:right="-2"/>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Pr="003F520F" w:rsidRDefault="003F520F" w:rsidP="00C705DF">
            <w:pPr>
              <w:tabs>
                <w:tab w:val="left" w:pos="1110"/>
              </w:tabs>
              <w:ind w:right="-2"/>
              <w:jc w:val="both"/>
              <w:rPr>
                <w:rFonts w:ascii="Times New Roman" w:hAnsi="Times New Roman" w:cs="Times New Roman"/>
                <w:bCs/>
                <w:sz w:val="20"/>
                <w:szCs w:val="20"/>
              </w:rPr>
            </w:pPr>
          </w:p>
          <w:p w:rsidR="00C705DF" w:rsidRPr="003F520F" w:rsidRDefault="00C705DF" w:rsidP="00C705DF">
            <w:pPr>
              <w:tabs>
                <w:tab w:val="left" w:pos="1110"/>
              </w:tabs>
              <w:ind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Všetky tabuľky zhody aktualizované so stĺpcom 9 a 10. </w:t>
            </w:r>
          </w:p>
          <w:p w:rsidR="00C705DF" w:rsidRPr="00C705DF" w:rsidRDefault="00C705DF" w:rsidP="00C705DF">
            <w:pPr>
              <w:tabs>
                <w:tab w:val="left" w:pos="1110"/>
              </w:tabs>
              <w:ind w:right="-2"/>
              <w:jc w:val="both"/>
              <w:rPr>
                <w:rFonts w:ascii="Times New Roman" w:hAnsi="Times New Roman" w:cs="Times New Roman"/>
                <w:bCs/>
                <w:sz w:val="20"/>
                <w:szCs w:val="20"/>
                <w:u w:val="single"/>
              </w:rPr>
            </w:pPr>
          </w:p>
          <w:p w:rsidR="00C705DF" w:rsidRPr="00C705DF" w:rsidRDefault="00C705DF" w:rsidP="00C705DF">
            <w:pPr>
              <w:tabs>
                <w:tab w:val="left" w:pos="1110"/>
              </w:tabs>
              <w:ind w:right="-2"/>
              <w:jc w:val="both"/>
              <w:rPr>
                <w:rFonts w:ascii="Times New Roman" w:hAnsi="Times New Roman" w:cs="Times New Roman"/>
                <w:bCs/>
                <w:sz w:val="20"/>
                <w:szCs w:val="20"/>
                <w:u w:val="single"/>
              </w:rPr>
            </w:pPr>
            <w:r w:rsidRPr="00C705DF">
              <w:rPr>
                <w:rFonts w:ascii="Times New Roman" w:hAnsi="Times New Roman" w:cs="Times New Roman"/>
                <w:bCs/>
                <w:sz w:val="20"/>
                <w:szCs w:val="20"/>
                <w:u w:val="single"/>
              </w:rPr>
              <w:t>K tabuľke zhody so smernicou 2007/59/ES v platnom znení:</w:t>
            </w:r>
          </w:p>
          <w:p w:rsidR="00C705DF" w:rsidRPr="00C705DF" w:rsidRDefault="00C705DF" w:rsidP="00C705DF">
            <w:pPr>
              <w:tabs>
                <w:tab w:val="left" w:pos="1110"/>
              </w:tabs>
              <w:ind w:right="-2"/>
              <w:jc w:val="both"/>
              <w:rPr>
                <w:rFonts w:ascii="Times New Roman" w:hAnsi="Times New Roman" w:cs="Times New Roman"/>
                <w:bCs/>
                <w:sz w:val="20"/>
                <w:szCs w:val="20"/>
              </w:rPr>
            </w:pPr>
            <w:r w:rsidRPr="00C705DF">
              <w:rPr>
                <w:rFonts w:ascii="Times New Roman" w:hAnsi="Times New Roman" w:cs="Times New Roman"/>
                <w:bCs/>
                <w:sz w:val="20"/>
                <w:szCs w:val="20"/>
              </w:rPr>
              <w:lastRenderedPageBreak/>
              <w:t>Komisia sa domnieva, že pri preukazovaní čl. 10 smernice 2007/59/ES v platnom znení dochádza ku goldplatingu, kedy smernica ustanovuje vek pre uchádzačov</w:t>
            </w:r>
            <w:r w:rsidRPr="00FD42E3">
              <w:rPr>
                <w:rFonts w:ascii="Arial" w:hAnsi="Arial" w:cs="Arial"/>
                <w:bCs/>
                <w:sz w:val="24"/>
              </w:rPr>
              <w:t xml:space="preserve"> </w:t>
            </w:r>
            <w:r w:rsidRPr="00C705DF">
              <w:rPr>
                <w:rFonts w:ascii="Times New Roman" w:hAnsi="Times New Roman" w:cs="Times New Roman"/>
                <w:bCs/>
                <w:sz w:val="20"/>
                <w:szCs w:val="20"/>
              </w:rPr>
              <w:t>o vydanie preukazu s obmedzením na</w:t>
            </w:r>
            <w:r w:rsidRPr="00FD42E3">
              <w:rPr>
                <w:rFonts w:ascii="Arial" w:hAnsi="Arial" w:cs="Arial"/>
                <w:bCs/>
                <w:sz w:val="24"/>
              </w:rPr>
              <w:t xml:space="preserve"> </w:t>
            </w:r>
            <w:r w:rsidRPr="00C705DF">
              <w:rPr>
                <w:rFonts w:ascii="Times New Roman" w:hAnsi="Times New Roman" w:cs="Times New Roman"/>
                <w:bCs/>
                <w:sz w:val="20"/>
                <w:szCs w:val="20"/>
              </w:rPr>
              <w:t>územie</w:t>
            </w:r>
            <w:r w:rsidRPr="00FD42E3">
              <w:rPr>
                <w:rFonts w:ascii="Arial" w:hAnsi="Arial" w:cs="Arial"/>
                <w:bCs/>
                <w:sz w:val="24"/>
              </w:rPr>
              <w:t xml:space="preserve"> </w:t>
            </w:r>
            <w:r w:rsidRPr="00C705DF">
              <w:rPr>
                <w:rFonts w:ascii="Times New Roman" w:hAnsi="Times New Roman" w:cs="Times New Roman"/>
                <w:bCs/>
                <w:sz w:val="20"/>
                <w:szCs w:val="20"/>
              </w:rPr>
              <w:t xml:space="preserve">vydávajúceho členského štátu od 18 rokov, pričom navrhovaná slovenská právna úprava nad rámec požiadaviek smernice ustanovuje vekovú hranicu najmenej na 19 rokov. Komisia preto žiada náležite vyplniť stĺpce (9) a (10) tabuľky zhody, pod tabuľkou zhody uviesť </w:t>
            </w:r>
            <w:r w:rsidRPr="00C705DF">
              <w:rPr>
                <w:rFonts w:ascii="Times New Roman" w:hAnsi="Times New Roman" w:cs="Times New Roman"/>
                <w:bCs/>
                <w:i/>
                <w:iCs/>
                <w:sz w:val="20"/>
                <w:szCs w:val="20"/>
              </w:rPr>
              <w:t>„Vyjadrenie k opodstatnenosti goldplatingu a jeho odôvodnenie“</w:t>
            </w:r>
            <w:r w:rsidRPr="00C705DF">
              <w:rPr>
                <w:rFonts w:ascii="Times New Roman" w:hAnsi="Times New Roman" w:cs="Times New Roman"/>
                <w:bCs/>
                <w:sz w:val="20"/>
                <w:szCs w:val="20"/>
              </w:rPr>
              <w:t xml:space="preserve"> a uvedené reflektovať v  doložke vybraných vplyvov. </w:t>
            </w:r>
          </w:p>
          <w:p w:rsidR="00C705DF" w:rsidRDefault="00C705DF" w:rsidP="00C705DF">
            <w:pPr>
              <w:tabs>
                <w:tab w:val="left" w:pos="1110"/>
              </w:tabs>
              <w:ind w:right="-2"/>
              <w:jc w:val="both"/>
              <w:rPr>
                <w:rFonts w:ascii="Times New Roman" w:hAnsi="Times New Roman" w:cs="Times New Roman"/>
                <w:bCs/>
                <w:sz w:val="20"/>
                <w:szCs w:val="20"/>
              </w:rPr>
            </w:pPr>
          </w:p>
          <w:p w:rsidR="003F520F" w:rsidRPr="003F520F" w:rsidRDefault="003F520F" w:rsidP="003F520F">
            <w:pPr>
              <w:tabs>
                <w:tab w:val="left" w:pos="1110"/>
              </w:tabs>
              <w:ind w:right="-2"/>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Pr="00C705DF" w:rsidRDefault="003F520F" w:rsidP="00C705DF">
            <w:pPr>
              <w:tabs>
                <w:tab w:val="left" w:pos="1110"/>
              </w:tabs>
              <w:ind w:right="-2"/>
              <w:jc w:val="both"/>
              <w:rPr>
                <w:rFonts w:ascii="Times New Roman" w:hAnsi="Times New Roman" w:cs="Times New Roman"/>
                <w:bCs/>
                <w:sz w:val="20"/>
                <w:szCs w:val="20"/>
              </w:rPr>
            </w:pPr>
          </w:p>
          <w:p w:rsidR="00C705DF" w:rsidRPr="003F520F" w:rsidRDefault="00C705DF" w:rsidP="00C705DF">
            <w:pPr>
              <w:tabs>
                <w:tab w:val="left" w:pos="1110"/>
              </w:tabs>
              <w:ind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Odôvodnenie goldplatingu uvedené v príslušnej tabuľke zhody. </w:t>
            </w:r>
          </w:p>
          <w:p w:rsidR="00C705DF" w:rsidRPr="003F520F" w:rsidRDefault="00C705DF" w:rsidP="00C705DF">
            <w:pPr>
              <w:tabs>
                <w:tab w:val="left" w:pos="1110"/>
              </w:tabs>
              <w:ind w:right="-2"/>
              <w:jc w:val="both"/>
              <w:rPr>
                <w:rFonts w:ascii="Times New Roman" w:hAnsi="Times New Roman" w:cs="Times New Roman"/>
                <w:bCs/>
                <w:sz w:val="20"/>
                <w:szCs w:val="20"/>
              </w:rPr>
            </w:pPr>
          </w:p>
          <w:p w:rsidR="00C705DF" w:rsidRPr="00C705DF" w:rsidRDefault="00C705DF" w:rsidP="00C705DF">
            <w:pPr>
              <w:tabs>
                <w:tab w:val="left" w:pos="1110"/>
              </w:tabs>
              <w:ind w:right="-2"/>
              <w:jc w:val="both"/>
              <w:rPr>
                <w:rFonts w:ascii="Times New Roman" w:hAnsi="Times New Roman" w:cs="Times New Roman"/>
                <w:bCs/>
                <w:sz w:val="20"/>
                <w:szCs w:val="20"/>
                <w:u w:val="single"/>
              </w:rPr>
            </w:pPr>
            <w:r w:rsidRPr="00C705DF">
              <w:rPr>
                <w:rFonts w:ascii="Times New Roman" w:hAnsi="Times New Roman" w:cs="Times New Roman"/>
                <w:bCs/>
                <w:sz w:val="20"/>
                <w:szCs w:val="20"/>
                <w:u w:val="single"/>
              </w:rPr>
              <w:t>K tabuľke zhody so smernicou 2008/68/ES v platnom znení:</w:t>
            </w:r>
          </w:p>
          <w:p w:rsidR="00C705DF" w:rsidRPr="00C705DF" w:rsidRDefault="00C705DF" w:rsidP="00C705DF">
            <w:pPr>
              <w:tabs>
                <w:tab w:val="left" w:pos="1110"/>
              </w:tabs>
              <w:ind w:right="-2"/>
              <w:jc w:val="both"/>
              <w:rPr>
                <w:rFonts w:ascii="Times New Roman" w:hAnsi="Times New Roman" w:cs="Times New Roman"/>
                <w:bCs/>
                <w:sz w:val="20"/>
                <w:szCs w:val="20"/>
              </w:rPr>
            </w:pPr>
            <w:r w:rsidRPr="00C705DF">
              <w:rPr>
                <w:rFonts w:ascii="Times New Roman" w:hAnsi="Times New Roman" w:cs="Times New Roman"/>
                <w:bCs/>
                <w:sz w:val="20"/>
                <w:szCs w:val="20"/>
              </w:rPr>
              <w:t xml:space="preserve">Komisia upozorňuje, že ustanovenia čl.1 ods. 4 a 5, čl. 5 ods. 1, čl. 6 ods. 5, príloha II časť II. 2 bod 8 smernice 2008/68/ES v platnom znení nepredstavujú bežnú transpozíciu, ako je uvedené v stĺpci III tabuľky zhody, ale dobrovoľnú transpozíciu. Uvedené je vyjadrené slovami „členský štát môže...“. Z preukázanej transpozície  týchto ustanovení v tabuľke zhody vyplýva, že navyšujú minimálne požiadavky smernice 2008/68/ES v platnom znení. Komisia žiada preto náležite vyplniť stĺpce (9) a (10) tabuľky zhody, pod tabuľkou zhody uviesť </w:t>
            </w:r>
            <w:r w:rsidRPr="00C705DF">
              <w:rPr>
                <w:rFonts w:ascii="Times New Roman" w:hAnsi="Times New Roman" w:cs="Times New Roman"/>
                <w:bCs/>
                <w:i/>
                <w:iCs/>
                <w:sz w:val="20"/>
                <w:szCs w:val="20"/>
              </w:rPr>
              <w:t>„Vyjadrenie k opodstatnenosti goldplatingu a jeho odôvodnenie“</w:t>
            </w:r>
            <w:r w:rsidRPr="00C705DF">
              <w:rPr>
                <w:rFonts w:ascii="Times New Roman" w:hAnsi="Times New Roman" w:cs="Times New Roman"/>
                <w:bCs/>
                <w:sz w:val="20"/>
                <w:szCs w:val="20"/>
              </w:rPr>
              <w:t xml:space="preserve"> a uvedené reflektovať v  doložke vybraných vplyvov. </w:t>
            </w:r>
          </w:p>
          <w:p w:rsidR="00C705DF" w:rsidRPr="00C705DF" w:rsidRDefault="00C705DF" w:rsidP="00C705DF">
            <w:pPr>
              <w:tabs>
                <w:tab w:val="left" w:pos="1110"/>
              </w:tabs>
              <w:ind w:right="-2"/>
              <w:jc w:val="both"/>
              <w:rPr>
                <w:rFonts w:ascii="Times New Roman" w:hAnsi="Times New Roman" w:cs="Times New Roman"/>
                <w:bCs/>
                <w:sz w:val="20"/>
                <w:szCs w:val="20"/>
              </w:rPr>
            </w:pPr>
          </w:p>
          <w:p w:rsidR="003F520F" w:rsidRPr="003F520F" w:rsidRDefault="003F520F" w:rsidP="003F520F">
            <w:pPr>
              <w:tabs>
                <w:tab w:val="left" w:pos="1110"/>
              </w:tabs>
              <w:ind w:right="-2"/>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tabs>
                <w:tab w:val="left" w:pos="1110"/>
              </w:tabs>
              <w:ind w:right="-2"/>
              <w:jc w:val="both"/>
              <w:rPr>
                <w:rFonts w:ascii="Times New Roman" w:hAnsi="Times New Roman" w:cs="Times New Roman"/>
                <w:bCs/>
                <w:color w:val="FF0000"/>
                <w:sz w:val="20"/>
                <w:szCs w:val="20"/>
              </w:rPr>
            </w:pPr>
          </w:p>
          <w:p w:rsidR="00C705DF" w:rsidRPr="003F520F" w:rsidRDefault="00C705DF" w:rsidP="00C705DF">
            <w:pPr>
              <w:tabs>
                <w:tab w:val="left" w:pos="1110"/>
              </w:tabs>
              <w:ind w:right="-2"/>
              <w:jc w:val="both"/>
              <w:rPr>
                <w:rFonts w:ascii="Times New Roman" w:hAnsi="Times New Roman" w:cs="Times New Roman"/>
                <w:bCs/>
                <w:sz w:val="20"/>
                <w:szCs w:val="20"/>
              </w:rPr>
            </w:pPr>
            <w:r w:rsidRPr="003F520F">
              <w:rPr>
                <w:rFonts w:ascii="Times New Roman" w:hAnsi="Times New Roman" w:cs="Times New Roman"/>
                <w:bCs/>
                <w:sz w:val="20"/>
                <w:szCs w:val="20"/>
              </w:rPr>
              <w:t>Odôvodnenie goldplatingu uvedené v príslušnej tabuľke zhody.</w:t>
            </w:r>
          </w:p>
          <w:p w:rsidR="00C705DF" w:rsidRDefault="00C705DF" w:rsidP="00C705DF">
            <w:pPr>
              <w:tabs>
                <w:tab w:val="left" w:pos="1110"/>
              </w:tabs>
              <w:ind w:right="-2"/>
              <w:jc w:val="both"/>
              <w:rPr>
                <w:rFonts w:ascii="Arial" w:hAnsi="Arial" w:cs="Arial"/>
                <w:b/>
                <w:bCs/>
                <w:sz w:val="24"/>
              </w:rPr>
            </w:pPr>
          </w:p>
          <w:p w:rsidR="00C705DF" w:rsidRPr="00C705DF" w:rsidRDefault="00C705DF" w:rsidP="00C705DF">
            <w:pPr>
              <w:tabs>
                <w:tab w:val="left" w:pos="1110"/>
              </w:tabs>
              <w:ind w:right="-2"/>
              <w:jc w:val="both"/>
              <w:rPr>
                <w:rFonts w:ascii="Times New Roman" w:hAnsi="Times New Roman" w:cs="Times New Roman"/>
                <w:bCs/>
                <w:sz w:val="20"/>
                <w:szCs w:val="20"/>
                <w:u w:val="single"/>
              </w:rPr>
            </w:pPr>
            <w:r w:rsidRPr="00C705DF">
              <w:rPr>
                <w:rFonts w:ascii="Times New Roman" w:hAnsi="Times New Roman" w:cs="Times New Roman"/>
                <w:bCs/>
                <w:sz w:val="20"/>
                <w:szCs w:val="20"/>
                <w:u w:val="single"/>
              </w:rPr>
              <w:t>K tabuľke zhody so smernicou (EÚ) 2016/798 v platnom znení:</w:t>
            </w:r>
          </w:p>
          <w:p w:rsidR="00C705DF" w:rsidRPr="00C705DF" w:rsidRDefault="00C705DF" w:rsidP="00C705DF">
            <w:pPr>
              <w:numPr>
                <w:ilvl w:val="0"/>
                <w:numId w:val="2"/>
              </w:numPr>
              <w:tabs>
                <w:tab w:val="left" w:pos="1110"/>
              </w:tabs>
              <w:suppressAutoHyphens/>
              <w:spacing w:line="100" w:lineRule="atLeast"/>
              <w:ind w:right="-2"/>
              <w:jc w:val="both"/>
              <w:rPr>
                <w:rFonts w:ascii="Times New Roman" w:hAnsi="Times New Roman" w:cs="Times New Roman"/>
                <w:bCs/>
                <w:sz w:val="20"/>
                <w:szCs w:val="20"/>
              </w:rPr>
            </w:pPr>
            <w:r w:rsidRPr="00C705DF">
              <w:rPr>
                <w:rFonts w:ascii="Times New Roman" w:hAnsi="Times New Roman" w:cs="Times New Roman"/>
                <w:bCs/>
                <w:sz w:val="20"/>
                <w:szCs w:val="20"/>
              </w:rPr>
              <w:t>Preukazovanie transpozície čl. 9 ods. 6 písm. b) smernice prostredníctvom predloženého návrhu novely § 85 ods. 2 písm. b) zákona č. 513/2009 Z. z. môže predstavovať goldplating formou nevyužitia výnimky: „pokiaľ je to relevantné pre organizáciu podávajúcu správu“. Komisia preto žiada náležite vyplniť stĺpce (9) a (10) tabuľky zhody, pod tabuľkou zhody uviesť „Vyjadrenie k opodstatnenosti goldplatingu a jeho odôvodnenie“ a uvedené reflektovať v  doložke vybraných vplyvov.</w:t>
            </w:r>
          </w:p>
          <w:p w:rsidR="00C705DF" w:rsidRPr="00C705DF" w:rsidRDefault="00C705DF" w:rsidP="00C705DF">
            <w:pPr>
              <w:tabs>
                <w:tab w:val="left" w:pos="1110"/>
              </w:tabs>
              <w:ind w:left="360" w:right="-2"/>
              <w:jc w:val="both"/>
              <w:rPr>
                <w:rFonts w:ascii="Times New Roman" w:hAnsi="Times New Roman" w:cs="Times New Roman"/>
                <w:bCs/>
                <w:sz w:val="20"/>
                <w:szCs w:val="20"/>
              </w:rPr>
            </w:pPr>
          </w:p>
          <w:p w:rsidR="003F520F" w:rsidRDefault="003F520F" w:rsidP="00C705DF">
            <w:pPr>
              <w:tabs>
                <w:tab w:val="left" w:pos="1110"/>
              </w:tabs>
              <w:ind w:left="360" w:right="-2"/>
              <w:jc w:val="both"/>
              <w:rPr>
                <w:rFonts w:ascii="Times New Roman" w:hAnsi="Times New Roman" w:cs="Times New Roman"/>
                <w:bCs/>
                <w:color w:val="FF0000"/>
                <w:sz w:val="20"/>
                <w:szCs w:val="20"/>
              </w:rPr>
            </w:pPr>
            <w:r w:rsidRPr="003F520F">
              <w:rPr>
                <w:rFonts w:ascii="Times New Roman" w:hAnsi="Times New Roman" w:cs="Times New Roman"/>
                <w:b/>
                <w:bCs/>
                <w:sz w:val="20"/>
                <w:szCs w:val="20"/>
                <w:u w:val="single"/>
              </w:rPr>
              <w:t>Vyjadrenie predkladateľa</w:t>
            </w:r>
          </w:p>
          <w:p w:rsidR="003F520F" w:rsidRDefault="003F520F" w:rsidP="00C705DF">
            <w:pPr>
              <w:tabs>
                <w:tab w:val="left" w:pos="1110"/>
              </w:tabs>
              <w:ind w:left="360" w:right="-2"/>
              <w:jc w:val="both"/>
              <w:rPr>
                <w:rFonts w:ascii="Times New Roman" w:hAnsi="Times New Roman" w:cs="Times New Roman"/>
                <w:bCs/>
                <w:color w:val="FF0000"/>
                <w:sz w:val="20"/>
                <w:szCs w:val="20"/>
              </w:rPr>
            </w:pPr>
          </w:p>
          <w:p w:rsidR="00C705DF" w:rsidRPr="003F520F" w:rsidRDefault="00C705DF" w:rsidP="00C705DF">
            <w:pPr>
              <w:tabs>
                <w:tab w:val="left" w:pos="1110"/>
              </w:tabs>
              <w:ind w:left="360"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Bezpečnostné indikátory súvisia s nehodami a ich vyšetrovaním za účelom poznania, aké opatrenia a vylepšenia je potrebné aplikovať či už v železničnej doprave alebo pri prevádzkovaní železničnej infraštruktúry, aby sa do budúcna nehodám predchádzalo. Podávanie správ je riešené prostredníctvom webového sídla vnútroštátneho bezpečnostného orgánu (DU). Informáciu o bezpečnostných indikátoroch je železničný podnik povinný poskytnúť bezpečnostnému orgánu. Pravdepodobnosť, že počas roka nedôjde v akomkoľvek železničnom podniku a u manažéra infraštruktúry k nehode, je prakticky nulová, keďže nehodou je už aj prejdenie návesti. </w:t>
            </w:r>
          </w:p>
          <w:p w:rsidR="00C705DF" w:rsidRPr="00C705DF" w:rsidRDefault="00C705DF" w:rsidP="00C705DF">
            <w:pPr>
              <w:tabs>
                <w:tab w:val="left" w:pos="1110"/>
              </w:tabs>
              <w:ind w:left="360" w:right="-2"/>
              <w:jc w:val="both"/>
              <w:rPr>
                <w:rFonts w:ascii="Times New Roman" w:hAnsi="Times New Roman" w:cs="Times New Roman"/>
                <w:bCs/>
                <w:color w:val="FF0000"/>
                <w:sz w:val="20"/>
                <w:szCs w:val="20"/>
              </w:rPr>
            </w:pPr>
          </w:p>
          <w:p w:rsidR="00C705DF" w:rsidRPr="00C705DF" w:rsidRDefault="00E64C65" w:rsidP="00C705DF">
            <w:pPr>
              <w:tabs>
                <w:tab w:val="left" w:pos="1110"/>
              </w:tabs>
              <w:ind w:left="360" w:right="-2"/>
              <w:jc w:val="both"/>
              <w:rPr>
                <w:rFonts w:ascii="Times New Roman" w:hAnsi="Times New Roman" w:cs="Times New Roman"/>
                <w:bCs/>
                <w:color w:val="FF0000"/>
                <w:sz w:val="20"/>
                <w:szCs w:val="20"/>
              </w:rPr>
            </w:pPr>
            <w:hyperlink r:id="rId12" w:history="1">
              <w:r w:rsidR="00C705DF" w:rsidRPr="00C705DF">
                <w:rPr>
                  <w:rStyle w:val="Hypertextovprepojenie"/>
                  <w:rFonts w:ascii="Times New Roman" w:hAnsi="Times New Roman" w:cs="Times New Roman"/>
                  <w:bCs/>
                  <w:sz w:val="20"/>
                  <w:szCs w:val="20"/>
                </w:rPr>
                <w:t>http://drahy.nsat.sk/bezpecnost-na-zeleznicnych-specialnych-a-lanovych-drahach/vyrocna-sprava-o-bezpecnosti/</w:t>
              </w:r>
            </w:hyperlink>
          </w:p>
          <w:p w:rsidR="00C705DF" w:rsidRPr="00C705DF" w:rsidRDefault="00C705DF" w:rsidP="00C705DF">
            <w:pPr>
              <w:tabs>
                <w:tab w:val="left" w:pos="1110"/>
              </w:tabs>
              <w:ind w:left="360" w:right="-2"/>
              <w:jc w:val="both"/>
              <w:rPr>
                <w:rFonts w:ascii="Times New Roman" w:hAnsi="Times New Roman" w:cs="Times New Roman"/>
                <w:bCs/>
                <w:color w:val="FF0000"/>
                <w:sz w:val="20"/>
                <w:szCs w:val="20"/>
              </w:rPr>
            </w:pPr>
          </w:p>
          <w:p w:rsidR="00C705DF" w:rsidRPr="00C705DF" w:rsidRDefault="00C705DF" w:rsidP="00C705DF">
            <w:pPr>
              <w:tabs>
                <w:tab w:val="left" w:pos="1110"/>
              </w:tabs>
              <w:ind w:left="360" w:right="-2"/>
              <w:jc w:val="both"/>
              <w:rPr>
                <w:rFonts w:ascii="Times New Roman" w:hAnsi="Times New Roman" w:cs="Times New Roman"/>
                <w:bCs/>
                <w:color w:val="FF0000"/>
                <w:sz w:val="20"/>
                <w:szCs w:val="20"/>
              </w:rPr>
            </w:pPr>
          </w:p>
          <w:p w:rsidR="00C705DF" w:rsidRPr="00C705DF" w:rsidRDefault="00C705DF" w:rsidP="00C705DF">
            <w:pPr>
              <w:numPr>
                <w:ilvl w:val="0"/>
                <w:numId w:val="2"/>
              </w:numPr>
              <w:tabs>
                <w:tab w:val="left" w:pos="1110"/>
              </w:tabs>
              <w:suppressAutoHyphens/>
              <w:spacing w:line="100" w:lineRule="atLeast"/>
              <w:ind w:right="-2"/>
              <w:jc w:val="both"/>
              <w:rPr>
                <w:rFonts w:ascii="Times New Roman" w:hAnsi="Times New Roman" w:cs="Times New Roman"/>
                <w:bCs/>
                <w:sz w:val="20"/>
                <w:szCs w:val="20"/>
              </w:rPr>
            </w:pPr>
            <w:r w:rsidRPr="00C705DF">
              <w:rPr>
                <w:rFonts w:ascii="Times New Roman" w:hAnsi="Times New Roman" w:cs="Times New Roman"/>
                <w:bCs/>
                <w:sz w:val="20"/>
                <w:szCs w:val="20"/>
              </w:rPr>
              <w:t>Preukazovanie transpozície čl. 16 ods. 2 smernice prostredníctvom predloženého návrhu novely § 90 ods. 1 písm. h), i) a l)  zákona č. 513/2009 Z. z. môže predstavovať goldplating formou navýšenia požiadaviek. Komisia preto žiada preto náležite vyplniť stĺpce (9) a (10) tabuľky zhody, pod tabuľkou zhody uviesť „Vyjadrenie k opodstatnenosti goldplatingu a jeho odôvodnenie“ a uvedené reflektovať v  doložke vybraných vplyvov.</w:t>
            </w:r>
          </w:p>
          <w:p w:rsidR="00C705DF" w:rsidRDefault="00C705DF" w:rsidP="00C705DF">
            <w:pPr>
              <w:tabs>
                <w:tab w:val="left" w:pos="1110"/>
              </w:tabs>
              <w:ind w:left="360" w:right="-2"/>
              <w:jc w:val="both"/>
              <w:rPr>
                <w:rFonts w:ascii="Arial" w:hAnsi="Arial" w:cs="Arial"/>
                <w:bCs/>
                <w:color w:val="FF0000"/>
                <w:sz w:val="24"/>
              </w:rPr>
            </w:pPr>
          </w:p>
          <w:p w:rsidR="003F520F" w:rsidRDefault="003F520F" w:rsidP="00C705DF">
            <w:pPr>
              <w:tabs>
                <w:tab w:val="left" w:pos="1110"/>
              </w:tabs>
              <w:ind w:left="360" w:right="-2"/>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tabs>
                <w:tab w:val="left" w:pos="1110"/>
              </w:tabs>
              <w:ind w:left="360" w:right="-2"/>
              <w:jc w:val="both"/>
              <w:rPr>
                <w:rFonts w:ascii="Arial" w:hAnsi="Arial" w:cs="Arial"/>
                <w:bCs/>
                <w:color w:val="FF0000"/>
                <w:sz w:val="24"/>
              </w:rPr>
            </w:pPr>
          </w:p>
          <w:p w:rsidR="00C705DF" w:rsidRPr="003F520F" w:rsidRDefault="00C705DF" w:rsidP="00C705DF">
            <w:pPr>
              <w:tabs>
                <w:tab w:val="left" w:pos="1110"/>
              </w:tabs>
              <w:ind w:left="360"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Bezpečnosť železničnej dopravy a prevádzkovania železničnej infraštruktúry je zložitý systém upravený značným množstvom nariadení a rozhodnutí EU. Uvedené kompetencie nie sú nad rámec smernice, ale vyplývajú buď z kontextu iných právnych inštitútov a kompetencií ustanovených v zákone alebo vyplývajú z nariadení a rozhodnutí EU (väčšina uvedená v doložke zlučiteľnosti). Úprava týchto kompetencií je plne v súlade s povinnosťami vyplývajúcimi z čl. 2 ods. 2 Ústavy SR „Štátne orgány môžu konať iba na základe ústavy, v jej medziach a v rozsahu a spôsobom, ktorý ustanoví zákon.“ Zároveň upozorňujeme, že smernica </w:t>
            </w:r>
            <w:r w:rsidRPr="003F520F">
              <w:rPr>
                <w:rFonts w:ascii="Times New Roman" w:hAnsi="Times New Roman" w:cs="Times New Roman"/>
                <w:bCs/>
                <w:sz w:val="20"/>
                <w:szCs w:val="20"/>
              </w:rPr>
              <w:lastRenderedPageBreak/>
              <w:t xml:space="preserve">v úvodnej vete používa formuláciu „aspoň týmito úlohami“, čo aj podľa vnútroštátnych legislatívnych pravidiel znamená, že ide o minimálny výpočet kompetencií. </w:t>
            </w:r>
          </w:p>
          <w:p w:rsidR="00C705DF" w:rsidRPr="00C705DF" w:rsidRDefault="00C705DF" w:rsidP="00C705DF">
            <w:pPr>
              <w:tabs>
                <w:tab w:val="left" w:pos="1110"/>
              </w:tabs>
              <w:ind w:right="-2"/>
              <w:jc w:val="both"/>
              <w:rPr>
                <w:rFonts w:ascii="Times New Roman" w:hAnsi="Times New Roman" w:cs="Times New Roman"/>
                <w:bCs/>
                <w:color w:val="FF0000"/>
                <w:sz w:val="20"/>
                <w:szCs w:val="20"/>
              </w:rPr>
            </w:pPr>
          </w:p>
          <w:p w:rsidR="00C705DF" w:rsidRPr="00C705DF" w:rsidRDefault="00C705DF" w:rsidP="00C705DF">
            <w:pPr>
              <w:tabs>
                <w:tab w:val="left" w:pos="1110"/>
              </w:tabs>
              <w:ind w:right="-2"/>
              <w:jc w:val="both"/>
              <w:rPr>
                <w:rFonts w:ascii="Times New Roman" w:hAnsi="Times New Roman" w:cs="Times New Roman"/>
                <w:bCs/>
                <w:sz w:val="20"/>
                <w:szCs w:val="20"/>
                <w:u w:val="single"/>
              </w:rPr>
            </w:pPr>
            <w:r w:rsidRPr="00C705DF">
              <w:rPr>
                <w:rFonts w:ascii="Times New Roman" w:hAnsi="Times New Roman" w:cs="Times New Roman"/>
                <w:bCs/>
                <w:sz w:val="20"/>
                <w:szCs w:val="20"/>
                <w:u w:val="single"/>
              </w:rPr>
              <w:t>K tabuľke zhody so smernicou (EÚ) 2016/797 v platnom znení:</w:t>
            </w:r>
          </w:p>
          <w:p w:rsidR="00C705DF" w:rsidRPr="00C705DF" w:rsidRDefault="00C705DF" w:rsidP="00C705DF">
            <w:pPr>
              <w:numPr>
                <w:ilvl w:val="0"/>
                <w:numId w:val="3"/>
              </w:numPr>
              <w:tabs>
                <w:tab w:val="left" w:pos="1110"/>
              </w:tabs>
              <w:suppressAutoHyphens/>
              <w:spacing w:line="100" w:lineRule="atLeast"/>
              <w:ind w:right="-2"/>
              <w:jc w:val="both"/>
              <w:rPr>
                <w:rFonts w:ascii="Times New Roman" w:hAnsi="Times New Roman" w:cs="Times New Roman"/>
                <w:bCs/>
                <w:sz w:val="20"/>
                <w:szCs w:val="20"/>
              </w:rPr>
            </w:pPr>
            <w:r w:rsidRPr="00C705DF">
              <w:rPr>
                <w:rFonts w:ascii="Times New Roman" w:hAnsi="Times New Roman" w:cs="Times New Roman"/>
                <w:bCs/>
                <w:sz w:val="20"/>
                <w:szCs w:val="20"/>
              </w:rPr>
              <w:t>Preukazovanie transpozície čl. 15 ods. 4 prostredníctvom § 73 ods. 3 zákona č. 513/2009 Z. z. Komisia pokladá za možný goldplating formou nevyužitia výnimky: „v prípade potreby“ v súvislosti s dokumentmi osvedčujúcimi zhodu. Komisia preto žiada náležite vyplniť stĺpce (9) a (10) tabuľky zhody, pod tabuľkou zhody uviesť „Vyjadrenie k opodstatnenosti goldplatingu a jeho odôvodnenie“ a uvedené reflektovať v  doložke vybraných vplyvov.</w:t>
            </w:r>
          </w:p>
          <w:p w:rsidR="00C705DF" w:rsidRPr="00C705DF" w:rsidRDefault="00C705DF" w:rsidP="00C705DF">
            <w:pPr>
              <w:tabs>
                <w:tab w:val="left" w:pos="1110"/>
              </w:tabs>
              <w:ind w:left="360" w:right="-2"/>
              <w:jc w:val="both"/>
              <w:rPr>
                <w:rFonts w:ascii="Times New Roman" w:hAnsi="Times New Roman" w:cs="Times New Roman"/>
                <w:bCs/>
                <w:sz w:val="20"/>
                <w:szCs w:val="20"/>
              </w:rPr>
            </w:pPr>
          </w:p>
          <w:p w:rsidR="003F520F" w:rsidRDefault="003F520F" w:rsidP="00C705DF">
            <w:pPr>
              <w:tabs>
                <w:tab w:val="left" w:pos="1110"/>
              </w:tabs>
              <w:ind w:right="-2"/>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tabs>
                <w:tab w:val="left" w:pos="1110"/>
              </w:tabs>
              <w:ind w:right="-2"/>
              <w:jc w:val="both"/>
              <w:rPr>
                <w:rFonts w:ascii="Times New Roman" w:hAnsi="Times New Roman" w:cs="Times New Roman"/>
                <w:bCs/>
                <w:color w:val="FF0000"/>
                <w:sz w:val="20"/>
                <w:szCs w:val="20"/>
              </w:rPr>
            </w:pPr>
          </w:p>
          <w:p w:rsidR="00C705DF" w:rsidRPr="003F520F" w:rsidRDefault="00C705DF" w:rsidP="00C705DF">
            <w:pPr>
              <w:tabs>
                <w:tab w:val="left" w:pos="1110"/>
              </w:tabs>
              <w:ind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Subsystém je zložený z jednotlivých komponentov (príklad subsystém železničné koľajové vozidlo, komponent – koleso, brzdový systém, húkačka atď.). Pri posúdení subsystému musí notifikovaná osoba spolu so žiadosťou obdŕžať všetky, ktoré sú uvedené v zákone, ako aj doklad preukazujúci zhodu jednotlivých komponentov. Inak ES certifikát nevydá. V tomto prípade ide o nesprávne zvolenú formuláciu v smernici, čím je myslené, že ak subsystém zahŕňa jednotlivé komponenty, čo zahŕňa vždy, musí predložiť aj doklad o posúdení ich zhody. Príslušné technické špecifikácie interoperability (TSI – nariadenia a rozhodnutia EU) už konkrétne upravujú zoznam dokladov, ktoré je potrebné predložiť vrátane konkrétnych požiadaviek na posúdenie zhody jednotlivých komponentov. </w:t>
            </w:r>
          </w:p>
          <w:p w:rsidR="00C705DF" w:rsidRPr="00C705DF" w:rsidRDefault="00C705DF" w:rsidP="00C705DF">
            <w:pPr>
              <w:tabs>
                <w:tab w:val="left" w:pos="1110"/>
              </w:tabs>
              <w:ind w:right="-2"/>
              <w:jc w:val="both"/>
              <w:rPr>
                <w:rFonts w:ascii="Times New Roman" w:hAnsi="Times New Roman" w:cs="Times New Roman"/>
                <w:bCs/>
                <w:sz w:val="20"/>
                <w:szCs w:val="20"/>
              </w:rPr>
            </w:pPr>
          </w:p>
          <w:p w:rsidR="00C705DF" w:rsidRPr="00C705DF" w:rsidRDefault="00C705DF" w:rsidP="00C705DF">
            <w:pPr>
              <w:tabs>
                <w:tab w:val="left" w:pos="1110"/>
              </w:tabs>
              <w:ind w:right="-2"/>
              <w:jc w:val="both"/>
              <w:rPr>
                <w:rFonts w:ascii="Times New Roman" w:hAnsi="Times New Roman" w:cs="Times New Roman"/>
                <w:bCs/>
                <w:sz w:val="20"/>
                <w:szCs w:val="20"/>
              </w:rPr>
            </w:pPr>
            <w:r w:rsidRPr="00C705DF">
              <w:rPr>
                <w:rFonts w:ascii="Times New Roman" w:hAnsi="Times New Roman" w:cs="Times New Roman"/>
                <w:bCs/>
                <w:sz w:val="20"/>
                <w:szCs w:val="20"/>
              </w:rPr>
              <w:t>2. Preukazovanie transpozície čl. 21 ods. 3 smernice prostredníctvom predloženého návrhu novely § 76 ods. 3 písm. f) zákona č. 513/2009 Z. z. Komisia pokladá za možný goldplating formou navýšenie požiadavky. Komisia preto žiada náležite vyplniť stĺpce (9) a (10) tabuľky zhody, pod tabuľkou zhody uviesť „Vyjadrenie k opodstatnenosti goldplatingu a jeho odôvodnenie“ a uvedené reflektovať v  doložke vybraných vplyvov.</w:t>
            </w:r>
          </w:p>
          <w:p w:rsidR="00C705DF" w:rsidRPr="00C705DF" w:rsidRDefault="00C705DF" w:rsidP="00C705DF">
            <w:pPr>
              <w:tabs>
                <w:tab w:val="left" w:pos="1110"/>
              </w:tabs>
              <w:ind w:right="-2"/>
              <w:jc w:val="both"/>
              <w:rPr>
                <w:rFonts w:ascii="Times New Roman" w:hAnsi="Times New Roman" w:cs="Times New Roman"/>
                <w:bCs/>
                <w:sz w:val="20"/>
                <w:szCs w:val="20"/>
              </w:rPr>
            </w:pPr>
          </w:p>
          <w:p w:rsidR="003F520F" w:rsidRDefault="003F520F" w:rsidP="00C705DF">
            <w:pPr>
              <w:tabs>
                <w:tab w:val="left" w:pos="1110"/>
              </w:tabs>
              <w:ind w:right="-2"/>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tabs>
                <w:tab w:val="left" w:pos="1110"/>
              </w:tabs>
              <w:ind w:right="-2"/>
              <w:jc w:val="both"/>
              <w:rPr>
                <w:rFonts w:ascii="Times New Roman" w:hAnsi="Times New Roman" w:cs="Times New Roman"/>
                <w:bCs/>
                <w:color w:val="FF0000"/>
                <w:sz w:val="20"/>
                <w:szCs w:val="20"/>
              </w:rPr>
            </w:pPr>
          </w:p>
          <w:p w:rsidR="00C705DF" w:rsidRPr="003F520F" w:rsidRDefault="00C705DF" w:rsidP="00C705DF">
            <w:pPr>
              <w:tabs>
                <w:tab w:val="left" w:pos="1110"/>
              </w:tabs>
              <w:ind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V prípade povoľovania na uvedenie železničného vozidla na trh ide o posúdenie zhody subsystému a jeho komponentov buď v súlade s technickou špecifikáciou interoperability  (TSI) alebo ak sa z nejakého dôvodu neuplatňuje  TSI, podľa vnútroštátnych predpisov (príloha č. 4 tretia časť). Vzhľadom na zložitosť celého postupu povoľovania železničných vozidiel ide o jeho sprehľadnenie pre užívateľov zákona, nie o požiadavku navyše.  </w:t>
            </w:r>
          </w:p>
          <w:p w:rsidR="00C705DF" w:rsidRPr="00C705DF" w:rsidRDefault="00C705DF" w:rsidP="00C705DF">
            <w:pPr>
              <w:tabs>
                <w:tab w:val="left" w:pos="1110"/>
              </w:tabs>
              <w:ind w:right="-2"/>
              <w:jc w:val="both"/>
              <w:rPr>
                <w:rFonts w:ascii="Times New Roman" w:hAnsi="Times New Roman" w:cs="Times New Roman"/>
                <w:b/>
                <w:bCs/>
                <w:sz w:val="20"/>
                <w:szCs w:val="20"/>
              </w:rPr>
            </w:pPr>
          </w:p>
          <w:p w:rsidR="00C705DF" w:rsidRPr="00C705DF" w:rsidRDefault="00C705DF" w:rsidP="00C705DF">
            <w:pPr>
              <w:tabs>
                <w:tab w:val="left" w:pos="1110"/>
              </w:tabs>
              <w:ind w:right="-2"/>
              <w:jc w:val="both"/>
              <w:rPr>
                <w:rFonts w:ascii="Times New Roman" w:hAnsi="Times New Roman" w:cs="Times New Roman"/>
                <w:b/>
                <w:bCs/>
                <w:sz w:val="20"/>
                <w:szCs w:val="20"/>
              </w:rPr>
            </w:pPr>
            <w:r w:rsidRPr="00C705DF">
              <w:rPr>
                <w:rFonts w:ascii="Times New Roman" w:hAnsi="Times New Roman" w:cs="Times New Roman"/>
                <w:b/>
                <w:bCs/>
                <w:sz w:val="20"/>
                <w:szCs w:val="20"/>
              </w:rPr>
              <w:t>Ku goldplatingu na podnikateľské prostredie</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
                <w:bCs/>
                <w:sz w:val="20"/>
                <w:szCs w:val="20"/>
              </w:rPr>
              <w:t>K tabuľke zhody 10_tab_zhod_59_2007:</w:t>
            </w:r>
            <w:r w:rsidRPr="00C705DF">
              <w:rPr>
                <w:rFonts w:ascii="Times New Roman" w:hAnsi="Times New Roman" w:cs="Times New Roman"/>
                <w:bCs/>
                <w:sz w:val="20"/>
                <w:szCs w:val="20"/>
              </w:rPr>
              <w:t xml:space="preserve"> Pri transponovaní článku čl. 10 smernice 2007/59/ES sa Komisia domnieva, že dochádza ku goldplatingu typu b) s vplyvom na podnikateľské prostredie tým, že Slovenská republika stanovila vek uchádzačov o preukaz na vedenie železničného vozidla, ktoré bude prevádzkované len na území SR nad rámec smernice a stanovila rýchlosť železničného vozidla pre túto vekovú hranicu. Na základe uvedeného Komisia žiada náležite vyplniť stĺpce (9) a (10) tabuľky zhody a pod tabuľkou zhody v poznámke „Vyjadrenie k opodstatnenosti goldplatingu a jeho odôvodnenie“ doplniť odôvodnenie takejto úpravy.</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u w:val="single"/>
              </w:rPr>
              <w:t>Odôvodnenie</w:t>
            </w:r>
            <w:r w:rsidRPr="00C705DF">
              <w:rPr>
                <w:rFonts w:ascii="Times New Roman" w:hAnsi="Times New Roman" w:cs="Times New Roman"/>
                <w:bCs/>
                <w:sz w:val="20"/>
                <w:szCs w:val="20"/>
              </w:rPr>
              <w:t>: Slovenská republika v predkladanom návrhu právneho predpisu 514/2009 Z. z. v znení návrhu v § 27, O: 1 P: a) stanovila podmienky nad rámec smernice 2007/59/ES. Uchádzači pre vydanie preukazu rušňovodiča na vedenie železničného vozidla, ktoré bude prevádzkované len na území SR musia spĺňať podmienku veku najmenej 19 rokov. Smernica neustanovuje takúto podmienku pre rýchlosť vozidla a vek takýchto uchádzačov stanovuje od 18 rokov; dochádza tým ku goldplatingu typu b).</w:t>
            </w:r>
          </w:p>
          <w:p w:rsidR="00C705DF" w:rsidRDefault="00C705DF" w:rsidP="00C705DF">
            <w:pPr>
              <w:jc w:val="both"/>
              <w:rPr>
                <w:rFonts w:ascii="Times New Roman" w:hAnsi="Times New Roman" w:cs="Times New Roman"/>
                <w:bCs/>
                <w:sz w:val="20"/>
                <w:szCs w:val="20"/>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Pr="00C705DF" w:rsidRDefault="003F520F" w:rsidP="00C705DF">
            <w:pPr>
              <w:jc w:val="both"/>
              <w:rPr>
                <w:rFonts w:ascii="Times New Roman" w:hAnsi="Times New Roman" w:cs="Times New Roman"/>
                <w:bCs/>
                <w:sz w:val="20"/>
                <w:szCs w:val="20"/>
              </w:rPr>
            </w:pPr>
          </w:p>
          <w:p w:rsidR="00C705DF" w:rsidRPr="00C705DF" w:rsidRDefault="00C705DF" w:rsidP="003F520F">
            <w:pPr>
              <w:tabs>
                <w:tab w:val="left" w:pos="1110"/>
              </w:tabs>
              <w:ind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Odôvodnenie goldplatingu uvedené v príslušnej tabuľke zhody. </w:t>
            </w:r>
          </w:p>
          <w:p w:rsidR="00C705DF" w:rsidRPr="00C705DF" w:rsidRDefault="00C705DF" w:rsidP="00C705DF">
            <w:pPr>
              <w:jc w:val="both"/>
              <w:rPr>
                <w:rFonts w:ascii="Times New Roman" w:hAnsi="Times New Roman" w:cs="Times New Roman"/>
                <w:bCs/>
                <w:sz w:val="20"/>
                <w:szCs w:val="20"/>
              </w:rPr>
            </w:pP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
                <w:bCs/>
                <w:sz w:val="20"/>
                <w:szCs w:val="20"/>
              </w:rPr>
              <w:t>K</w:t>
            </w:r>
            <w:r w:rsidRPr="00C705DF">
              <w:rPr>
                <w:rFonts w:ascii="Times New Roman" w:hAnsi="Times New Roman" w:cs="Times New Roman"/>
                <w:bCs/>
                <w:sz w:val="20"/>
                <w:szCs w:val="20"/>
              </w:rPr>
              <w:t xml:space="preserve"> </w:t>
            </w:r>
            <w:r w:rsidRPr="00C705DF">
              <w:rPr>
                <w:rFonts w:ascii="Times New Roman" w:hAnsi="Times New Roman" w:cs="Times New Roman"/>
                <w:b/>
                <w:bCs/>
                <w:sz w:val="20"/>
                <w:szCs w:val="20"/>
              </w:rPr>
              <w:t>tabuľke zhody 14_tab_zhody_798_2016</w:t>
            </w:r>
            <w:r w:rsidRPr="00C705DF">
              <w:rPr>
                <w:rFonts w:ascii="Times New Roman" w:hAnsi="Times New Roman" w:cs="Times New Roman"/>
                <w:bCs/>
                <w:sz w:val="20"/>
                <w:szCs w:val="20"/>
              </w:rPr>
              <w:t xml:space="preserve">: Pri transponovaní článku čl. 9 ods. 6 písm. b) smernice 2016/798/EÚ sa Komisia domnieva, že dochádza ku goldplatingu typu f) s vplyvom na podnikateľské prostredie tým, že Slovenská republika zachovala existujúcu právnu úpravu ktorá je nad rámec minimálnych požiadaviek smernice EÚ: „pokiaľ je to relevantné pre organizáciu podávajúcu správu“. Na základe uvedeného Komisia žiada náležite vyplniť stĺpce (9) a (10) tabuľky zhody a pod tabuľkou zhody v poznámke „Vyjadrenie k opodstatnenosti goldplatingu a jeho odôvodnenie“ doplniť odôvodnenie takejto úpravy. </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u w:val="single"/>
              </w:rPr>
              <w:t>Odôvodnenie</w:t>
            </w:r>
            <w:r w:rsidRPr="00C705DF">
              <w:rPr>
                <w:rFonts w:ascii="Times New Roman" w:hAnsi="Times New Roman" w:cs="Times New Roman"/>
                <w:bCs/>
                <w:sz w:val="20"/>
                <w:szCs w:val="20"/>
              </w:rPr>
              <w:t xml:space="preserve">: Slovenská republika v predkladanom návrhu právneho predpisu § 85 ods. 2 písm. b) zákona č. 513/2009 Z. z. netransponuje v minimálnej miere; Smernica 2016/798/ EÚ v čl. 9 ods. 6 písm. b) umožňuje </w:t>
            </w:r>
            <w:r w:rsidRPr="00C705DF">
              <w:rPr>
                <w:rFonts w:ascii="Times New Roman" w:hAnsi="Times New Roman" w:cs="Times New Roman"/>
                <w:bCs/>
                <w:sz w:val="20"/>
                <w:szCs w:val="20"/>
              </w:rPr>
              <w:lastRenderedPageBreak/>
              <w:t>využiť dané ustanovenie týkajúce sa bezpečnostnej správy a opisu vývoja vnútroštátnych bezpečnostných ukazovateľov iba pre organizácie, pre ktoré je podanie takejto správy relevantné.</w:t>
            </w:r>
          </w:p>
          <w:p w:rsidR="00C705DF" w:rsidRPr="00C705DF" w:rsidRDefault="00C705DF" w:rsidP="00C705DF">
            <w:pPr>
              <w:jc w:val="both"/>
              <w:rPr>
                <w:rFonts w:ascii="Times New Roman" w:hAnsi="Times New Roman" w:cs="Times New Roman"/>
                <w:bCs/>
                <w:sz w:val="20"/>
                <w:szCs w:val="20"/>
              </w:rPr>
            </w:pPr>
          </w:p>
          <w:p w:rsidR="003F520F" w:rsidRDefault="003F520F" w:rsidP="00C705DF">
            <w:pPr>
              <w:tabs>
                <w:tab w:val="left" w:pos="1110"/>
              </w:tabs>
              <w:ind w:left="360" w:right="-2"/>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tabs>
                <w:tab w:val="left" w:pos="1110"/>
              </w:tabs>
              <w:ind w:left="360" w:right="-2"/>
              <w:jc w:val="both"/>
              <w:rPr>
                <w:rFonts w:ascii="Times New Roman" w:hAnsi="Times New Roman" w:cs="Times New Roman"/>
                <w:bCs/>
                <w:color w:val="FF0000"/>
                <w:sz w:val="20"/>
                <w:szCs w:val="20"/>
              </w:rPr>
            </w:pPr>
          </w:p>
          <w:p w:rsidR="00C705DF" w:rsidRPr="003F520F" w:rsidRDefault="00C705DF" w:rsidP="00C705DF">
            <w:pPr>
              <w:tabs>
                <w:tab w:val="left" w:pos="1110"/>
              </w:tabs>
              <w:ind w:left="360" w:right="-2"/>
              <w:jc w:val="both"/>
              <w:rPr>
                <w:rFonts w:ascii="Times New Roman" w:hAnsi="Times New Roman" w:cs="Times New Roman"/>
                <w:bCs/>
                <w:sz w:val="20"/>
                <w:szCs w:val="20"/>
              </w:rPr>
            </w:pPr>
            <w:r w:rsidRPr="003F520F">
              <w:rPr>
                <w:rFonts w:ascii="Times New Roman" w:hAnsi="Times New Roman" w:cs="Times New Roman"/>
                <w:bCs/>
                <w:sz w:val="20"/>
                <w:szCs w:val="20"/>
              </w:rPr>
              <w:t xml:space="preserve">Bezpečnostné indikátory súvisia s nehodami a ich vyšetrovaním za účelom poznania, aké opatrenia a vylepšenia je potrebné aplikovať či už v železničnej doprave alebo pri prevádzkovaní železničnej infraštruktúry, aby sa do budúcna nehodám predchádzalo. Podávanie správ je riešené prostredníctvom webového sídla vnútroštátneho bezpečnostného orgánu (DU). Informáciu o bezpečnostných indikátoroch je železničný podnik povinný poskytnúť bezpečnostnému orgánu. Pravdepodobnosť, že počas roka nedôjde v akomkoľvek železničnom podniku a u manažéra infraštruktúry k nehode, je prakticky nulová, keďže nehodou je už aj prejdenie návesti. </w:t>
            </w:r>
          </w:p>
          <w:p w:rsidR="00C705DF" w:rsidRPr="00C705DF" w:rsidRDefault="00C705DF" w:rsidP="00C705DF">
            <w:pPr>
              <w:tabs>
                <w:tab w:val="left" w:pos="1110"/>
              </w:tabs>
              <w:ind w:left="360" w:right="-2"/>
              <w:jc w:val="both"/>
              <w:rPr>
                <w:rFonts w:ascii="Times New Roman" w:hAnsi="Times New Roman" w:cs="Times New Roman"/>
                <w:bCs/>
                <w:color w:val="FF0000"/>
                <w:sz w:val="20"/>
                <w:szCs w:val="20"/>
              </w:rPr>
            </w:pPr>
          </w:p>
          <w:p w:rsidR="00C705DF" w:rsidRPr="00C705DF" w:rsidRDefault="00E64C65" w:rsidP="00C705DF">
            <w:pPr>
              <w:tabs>
                <w:tab w:val="left" w:pos="1110"/>
              </w:tabs>
              <w:ind w:left="360" w:right="-2"/>
              <w:jc w:val="both"/>
              <w:rPr>
                <w:rFonts w:ascii="Times New Roman" w:hAnsi="Times New Roman" w:cs="Times New Roman"/>
                <w:bCs/>
                <w:color w:val="FF0000"/>
                <w:sz w:val="20"/>
                <w:szCs w:val="20"/>
              </w:rPr>
            </w:pPr>
            <w:hyperlink r:id="rId13" w:history="1">
              <w:r w:rsidR="00C705DF" w:rsidRPr="00C705DF">
                <w:rPr>
                  <w:rStyle w:val="Hypertextovprepojenie"/>
                  <w:rFonts w:ascii="Times New Roman" w:hAnsi="Times New Roman" w:cs="Times New Roman"/>
                  <w:bCs/>
                  <w:sz w:val="20"/>
                  <w:szCs w:val="20"/>
                </w:rPr>
                <w:t>http://drahy.nsat.sk/bezpecnost-na-zeleznicnych-specialnych-a-lanovych-drahach/vyrocna-sprava-o-bezpecnosti/</w:t>
              </w:r>
            </w:hyperlink>
          </w:p>
          <w:p w:rsidR="00C705DF" w:rsidRPr="00C705DF" w:rsidRDefault="00C705DF" w:rsidP="00C705DF">
            <w:pPr>
              <w:tabs>
                <w:tab w:val="left" w:pos="1110"/>
              </w:tabs>
              <w:ind w:left="360" w:right="-2"/>
              <w:jc w:val="both"/>
              <w:rPr>
                <w:rFonts w:ascii="Times New Roman" w:hAnsi="Times New Roman" w:cs="Times New Roman"/>
                <w:bCs/>
                <w:color w:val="FF0000"/>
                <w:sz w:val="20"/>
                <w:szCs w:val="20"/>
              </w:rPr>
            </w:pPr>
          </w:p>
          <w:p w:rsidR="00C705DF" w:rsidRPr="00C705DF" w:rsidRDefault="00C705DF" w:rsidP="00C705DF">
            <w:pPr>
              <w:tabs>
                <w:tab w:val="left" w:pos="1110"/>
              </w:tabs>
              <w:ind w:left="360" w:right="-2"/>
              <w:jc w:val="both"/>
              <w:rPr>
                <w:rFonts w:ascii="Times New Roman" w:hAnsi="Times New Roman" w:cs="Times New Roman"/>
                <w:bCs/>
                <w:color w:val="FF0000"/>
                <w:sz w:val="20"/>
                <w:szCs w:val="20"/>
              </w:rPr>
            </w:pPr>
          </w:p>
          <w:p w:rsidR="00C705DF" w:rsidRPr="00C705DF" w:rsidRDefault="00C705DF" w:rsidP="00C705DF">
            <w:pPr>
              <w:tabs>
                <w:tab w:val="left" w:pos="1110"/>
              </w:tabs>
              <w:ind w:right="-2"/>
              <w:jc w:val="both"/>
              <w:rPr>
                <w:rFonts w:ascii="Times New Roman" w:hAnsi="Times New Roman" w:cs="Times New Roman"/>
                <w:b/>
                <w:bCs/>
                <w:sz w:val="20"/>
                <w:szCs w:val="20"/>
              </w:rPr>
            </w:pPr>
          </w:p>
          <w:p w:rsidR="00C705DF" w:rsidRPr="00C705DF" w:rsidRDefault="00C705DF" w:rsidP="00C705DF">
            <w:pPr>
              <w:jc w:val="both"/>
              <w:rPr>
                <w:rStyle w:val="norm00e1lnychar1"/>
                <w:b/>
                <w:bCs/>
              </w:rPr>
            </w:pPr>
            <w:r w:rsidRPr="00C705DF">
              <w:rPr>
                <w:rStyle w:val="norm00e1lnychar1"/>
                <w:b/>
                <w:bCs/>
              </w:rPr>
              <w:t>K doložke vybraných vplyvov</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rPr>
              <w:t>Komisia žiada predkladateľa o dopracovanie Doložky vybraných vplyvov v bode 7. Transpozícia/implementácia práva EÚ a doplnenie dvoch vyššie uvedených regulácií s identifikovaným goldplatingom s vplyvom na podnikateľské prostredie.</w:t>
            </w:r>
          </w:p>
          <w:p w:rsidR="00C705DF" w:rsidRDefault="00C705DF" w:rsidP="00C705DF">
            <w:pPr>
              <w:jc w:val="both"/>
              <w:rPr>
                <w:rFonts w:ascii="Arial" w:hAnsi="Arial" w:cs="Arial"/>
                <w:bCs/>
                <w:sz w:val="24"/>
                <w:szCs w:val="24"/>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jc w:val="both"/>
              <w:rPr>
                <w:rFonts w:ascii="Times New Roman" w:hAnsi="Times New Roman" w:cs="Times New Roman"/>
                <w:bCs/>
                <w:color w:val="FF0000"/>
                <w:sz w:val="20"/>
                <w:szCs w:val="20"/>
              </w:rPr>
            </w:pPr>
          </w:p>
          <w:p w:rsidR="00C705DF" w:rsidRPr="003F520F" w:rsidRDefault="00C705DF" w:rsidP="00C705DF">
            <w:pPr>
              <w:jc w:val="both"/>
              <w:rPr>
                <w:rFonts w:ascii="Times New Roman" w:hAnsi="Times New Roman" w:cs="Times New Roman"/>
                <w:bCs/>
                <w:sz w:val="20"/>
                <w:szCs w:val="20"/>
              </w:rPr>
            </w:pPr>
            <w:r w:rsidRPr="003F520F">
              <w:rPr>
                <w:rFonts w:ascii="Times New Roman" w:hAnsi="Times New Roman" w:cs="Times New Roman"/>
                <w:bCs/>
                <w:sz w:val="20"/>
                <w:szCs w:val="20"/>
              </w:rPr>
              <w:t xml:space="preserve">Doplnené v Doložke. </w:t>
            </w:r>
          </w:p>
          <w:p w:rsidR="00C705DF" w:rsidRPr="00C705DF" w:rsidRDefault="00C705DF" w:rsidP="00C705DF">
            <w:pPr>
              <w:jc w:val="both"/>
              <w:rPr>
                <w:rStyle w:val="norm00e1lnychar1"/>
                <w:bCs/>
              </w:rPr>
            </w:pPr>
          </w:p>
          <w:p w:rsidR="00C705DF" w:rsidRPr="00C705DF" w:rsidRDefault="00C705DF" w:rsidP="00C705DF">
            <w:pPr>
              <w:jc w:val="both"/>
              <w:rPr>
                <w:rStyle w:val="norm00e1lnychar1"/>
                <w:b/>
                <w:bCs/>
              </w:rPr>
            </w:pPr>
            <w:r w:rsidRPr="00C705DF">
              <w:rPr>
                <w:rStyle w:val="norm00e1lnychar1"/>
                <w:b/>
                <w:bCs/>
              </w:rPr>
              <w:t>K vplyvom na podnikateľské prostredie</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rPr>
              <w:t>Komisia žiada predkladateľa o dopracovanie Analýzy vplyvov na podnikateľské prostredie a vyplnenie  časti 3.1.4, kde je potrebné  opísať obe vyššie uvedené regulácie s identifikovaným goldplatingom s vplyvom na podnikateľské prostredie.</w:t>
            </w:r>
          </w:p>
          <w:p w:rsidR="00C705DF" w:rsidRDefault="00C705DF" w:rsidP="00C705DF">
            <w:pPr>
              <w:jc w:val="both"/>
              <w:rPr>
                <w:rFonts w:ascii="Times New Roman" w:hAnsi="Times New Roman" w:cs="Times New Roman"/>
                <w:bCs/>
                <w:sz w:val="20"/>
                <w:szCs w:val="20"/>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Pr="00C705DF" w:rsidRDefault="003F520F" w:rsidP="00C705DF">
            <w:pPr>
              <w:jc w:val="both"/>
              <w:rPr>
                <w:rFonts w:ascii="Times New Roman" w:hAnsi="Times New Roman" w:cs="Times New Roman"/>
                <w:bCs/>
                <w:sz w:val="20"/>
                <w:szCs w:val="20"/>
              </w:rPr>
            </w:pPr>
          </w:p>
          <w:p w:rsidR="00C705DF" w:rsidRPr="003F520F" w:rsidRDefault="00C705DF" w:rsidP="00C705DF">
            <w:pPr>
              <w:jc w:val="both"/>
              <w:rPr>
                <w:rFonts w:ascii="Times New Roman" w:hAnsi="Times New Roman" w:cs="Times New Roman"/>
                <w:bCs/>
                <w:sz w:val="20"/>
                <w:szCs w:val="20"/>
              </w:rPr>
            </w:pPr>
            <w:r w:rsidRPr="003F520F">
              <w:rPr>
                <w:rFonts w:ascii="Times New Roman" w:hAnsi="Times New Roman" w:cs="Times New Roman"/>
                <w:bCs/>
                <w:sz w:val="20"/>
                <w:szCs w:val="20"/>
              </w:rPr>
              <w:t xml:space="preserve">Doplnené. </w:t>
            </w:r>
          </w:p>
          <w:p w:rsidR="00C705DF" w:rsidRPr="00C705DF" w:rsidRDefault="00C705DF" w:rsidP="00C705DF">
            <w:pPr>
              <w:jc w:val="both"/>
              <w:rPr>
                <w:rFonts w:ascii="Times New Roman" w:hAnsi="Times New Roman" w:cs="Times New Roman"/>
                <w:bCs/>
                <w:sz w:val="20"/>
                <w:szCs w:val="20"/>
              </w:rPr>
            </w:pP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rPr>
              <w:t>Komisia žiada predkladateľa o kontrolu a prehodnotenie počtu dotknutých podnikateľských subjektov pri všetkých reguláciách uvedených v analýze vplyvov na podnikateľské prostredie v časti 3.1 obzvlášť pri tých, kde je uvedený iba modelový príklad s počtom dotknutých subjektov 1.</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u w:val="single"/>
              </w:rPr>
              <w:t>Odôvodnenie:</w:t>
            </w:r>
            <w:r w:rsidRPr="00C705DF">
              <w:rPr>
                <w:rFonts w:ascii="Times New Roman" w:hAnsi="Times New Roman" w:cs="Times New Roman"/>
                <w:bCs/>
                <w:sz w:val="20"/>
                <w:szCs w:val="20"/>
              </w:rPr>
              <w:t xml:space="preserve"> Pre relevantnejšie reflektovanie skutočného stavu je potrebné použiť údaje z existujúcich databáz (počet dotknutých subjektov, počet konaní.. ). Modelový príklad neodzrkadľuje skutočný stav preto je vhodné prehodnotiť počet dotknutých subjektov a získať relevantné dáta. </w:t>
            </w:r>
          </w:p>
          <w:p w:rsidR="00C705DF" w:rsidRPr="00C705DF" w:rsidRDefault="00C705DF" w:rsidP="00C705DF">
            <w:pPr>
              <w:jc w:val="both"/>
              <w:rPr>
                <w:rFonts w:ascii="Times New Roman" w:hAnsi="Times New Roman" w:cs="Times New Roman"/>
                <w:bCs/>
                <w:sz w:val="20"/>
                <w:szCs w:val="20"/>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jc w:val="both"/>
              <w:rPr>
                <w:rFonts w:ascii="Times New Roman" w:hAnsi="Times New Roman" w:cs="Times New Roman"/>
                <w:bCs/>
                <w:color w:val="FF0000"/>
                <w:sz w:val="20"/>
                <w:szCs w:val="20"/>
              </w:rPr>
            </w:pPr>
          </w:p>
          <w:p w:rsidR="00C705DF" w:rsidRPr="003F520F" w:rsidRDefault="00C705DF" w:rsidP="00C705DF">
            <w:pPr>
              <w:jc w:val="both"/>
              <w:rPr>
                <w:rFonts w:ascii="Times New Roman" w:hAnsi="Times New Roman" w:cs="Times New Roman"/>
                <w:bCs/>
                <w:sz w:val="20"/>
                <w:szCs w:val="20"/>
              </w:rPr>
            </w:pPr>
            <w:r w:rsidRPr="003F520F">
              <w:rPr>
                <w:rFonts w:ascii="Times New Roman" w:hAnsi="Times New Roman" w:cs="Times New Roman"/>
                <w:bCs/>
                <w:sz w:val="20"/>
                <w:szCs w:val="20"/>
              </w:rPr>
              <w:t>Akceptované, skontrolované a modelové príklady zmenené za odborný odhad.</w:t>
            </w:r>
          </w:p>
          <w:p w:rsidR="00C705DF" w:rsidRPr="00C705DF" w:rsidRDefault="00C705DF" w:rsidP="00C705DF">
            <w:pPr>
              <w:jc w:val="both"/>
              <w:rPr>
                <w:rFonts w:ascii="Times New Roman" w:hAnsi="Times New Roman" w:cs="Times New Roman"/>
                <w:bCs/>
                <w:sz w:val="20"/>
                <w:szCs w:val="20"/>
              </w:rPr>
            </w:pPr>
          </w:p>
          <w:p w:rsidR="00C705DF" w:rsidRPr="00C705DF" w:rsidRDefault="00C705DF" w:rsidP="00C705DF">
            <w:pPr>
              <w:jc w:val="both"/>
              <w:rPr>
                <w:rFonts w:ascii="Times New Roman" w:hAnsi="Times New Roman" w:cs="Times New Roman"/>
                <w:bCs/>
                <w:sz w:val="20"/>
                <w:szCs w:val="20"/>
              </w:rPr>
            </w:pP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rPr>
              <w:t>Komisia žiada predkladateľa presnejšie identifikovať lokalizáciu jednotlivých regulácii v zákone pri všetkých položkách uvedených v analýze vplyvov na podnikateľské prostredie a v kalkulačke nákladov.</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u w:val="single"/>
              </w:rPr>
              <w:t>Odôvodnenie:</w:t>
            </w:r>
            <w:r w:rsidRPr="00C705DF">
              <w:rPr>
                <w:rFonts w:ascii="Times New Roman" w:hAnsi="Times New Roman" w:cs="Times New Roman"/>
                <w:bCs/>
                <w:sz w:val="20"/>
                <w:szCs w:val="20"/>
              </w:rPr>
              <w:t xml:space="preserve"> Správne a presne identifikované lokalizácie regulácii pomáhajú k lepšiemu sa zorientovaniu v pripravovaných zmenách. </w:t>
            </w:r>
          </w:p>
          <w:p w:rsidR="00C705DF" w:rsidRPr="00C705DF" w:rsidRDefault="00C705DF" w:rsidP="00C705DF">
            <w:pPr>
              <w:jc w:val="both"/>
              <w:rPr>
                <w:rFonts w:ascii="Times New Roman" w:hAnsi="Times New Roman" w:cs="Times New Roman"/>
                <w:bCs/>
                <w:sz w:val="20"/>
                <w:szCs w:val="20"/>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jc w:val="both"/>
              <w:rPr>
                <w:rFonts w:ascii="Times New Roman" w:hAnsi="Times New Roman" w:cs="Times New Roman"/>
                <w:bCs/>
                <w:color w:val="FF0000"/>
                <w:sz w:val="20"/>
                <w:szCs w:val="20"/>
              </w:rPr>
            </w:pPr>
          </w:p>
          <w:p w:rsidR="00C705DF" w:rsidRPr="003F520F" w:rsidRDefault="00C705DF" w:rsidP="00C705DF">
            <w:pPr>
              <w:jc w:val="both"/>
              <w:rPr>
                <w:rFonts w:ascii="Times New Roman" w:hAnsi="Times New Roman" w:cs="Times New Roman"/>
                <w:bCs/>
                <w:sz w:val="20"/>
                <w:szCs w:val="20"/>
              </w:rPr>
            </w:pPr>
            <w:r w:rsidRPr="003F520F">
              <w:rPr>
                <w:rFonts w:ascii="Times New Roman" w:hAnsi="Times New Roman" w:cs="Times New Roman"/>
                <w:bCs/>
                <w:sz w:val="20"/>
                <w:szCs w:val="20"/>
              </w:rPr>
              <w:t xml:space="preserve">Akceptované, doplnené. </w:t>
            </w:r>
          </w:p>
          <w:p w:rsidR="00C705DF" w:rsidRPr="00253F37" w:rsidRDefault="00C705DF" w:rsidP="00C705DF">
            <w:pPr>
              <w:jc w:val="both"/>
              <w:rPr>
                <w:rFonts w:ascii="Arial" w:hAnsi="Arial" w:cs="Arial"/>
                <w:b/>
                <w:bCs/>
                <w:sz w:val="24"/>
                <w:szCs w:val="24"/>
              </w:rPr>
            </w:pP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rPr>
              <w:t>Komisia žiada predkladateľa použiť aktuálny formulár Kalkulačky nákladov.</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u w:val="single"/>
              </w:rPr>
              <w:lastRenderedPageBreak/>
              <w:t>Odôvodnenie:</w:t>
            </w:r>
            <w:r w:rsidRPr="00C705DF">
              <w:rPr>
                <w:rFonts w:ascii="Times New Roman" w:hAnsi="Times New Roman" w:cs="Times New Roman"/>
                <w:bCs/>
                <w:sz w:val="20"/>
                <w:szCs w:val="20"/>
              </w:rPr>
              <w:t xml:space="preserve"> Aktuálna Kalkulačku nákladov je účinná od 04.03.2024 (aktualizácia priemernej ceny práce za rok 2023),  dostupná na webovom sídle </w:t>
            </w:r>
            <w:hyperlink r:id="rId14" w:history="1">
              <w:r w:rsidRPr="00C705DF">
                <w:rPr>
                  <w:rStyle w:val="Hypertextovprepojenie"/>
                  <w:rFonts w:ascii="Times New Roman" w:hAnsi="Times New Roman" w:cs="Times New Roman"/>
                  <w:bCs/>
                  <w:sz w:val="20"/>
                  <w:szCs w:val="20"/>
                </w:rPr>
                <w:t>https://www.mhsr.sk/podnikatelske-prostredie/jednotna-metodika/dokumenty?csrt=16206076106313978259</w:t>
              </w:r>
            </w:hyperlink>
          </w:p>
          <w:p w:rsidR="00C705DF" w:rsidRPr="00C705DF" w:rsidRDefault="00C705DF" w:rsidP="00C705DF">
            <w:pPr>
              <w:jc w:val="both"/>
              <w:rPr>
                <w:rFonts w:ascii="Times New Roman" w:hAnsi="Times New Roman" w:cs="Times New Roman"/>
                <w:bCs/>
                <w:sz w:val="20"/>
                <w:szCs w:val="20"/>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jc w:val="both"/>
              <w:rPr>
                <w:rFonts w:ascii="Times New Roman" w:hAnsi="Times New Roman" w:cs="Times New Roman"/>
                <w:bCs/>
                <w:color w:val="FF0000"/>
                <w:sz w:val="20"/>
                <w:szCs w:val="20"/>
              </w:rPr>
            </w:pPr>
          </w:p>
          <w:p w:rsidR="00C705DF" w:rsidRPr="003F520F" w:rsidRDefault="00C705DF" w:rsidP="00C705DF">
            <w:pPr>
              <w:jc w:val="both"/>
              <w:rPr>
                <w:rFonts w:ascii="Times New Roman" w:hAnsi="Times New Roman" w:cs="Times New Roman"/>
                <w:bCs/>
                <w:sz w:val="20"/>
                <w:szCs w:val="20"/>
              </w:rPr>
            </w:pPr>
            <w:r w:rsidRPr="003F520F">
              <w:rPr>
                <w:rFonts w:ascii="Times New Roman" w:hAnsi="Times New Roman" w:cs="Times New Roman"/>
                <w:bCs/>
                <w:sz w:val="20"/>
                <w:szCs w:val="20"/>
              </w:rPr>
              <w:t xml:space="preserve">Akceptované, použitá aktuálna kalkulačka. </w:t>
            </w:r>
          </w:p>
          <w:p w:rsidR="00C705DF" w:rsidRPr="00C705DF" w:rsidRDefault="00C705DF" w:rsidP="00C705DF">
            <w:pPr>
              <w:jc w:val="both"/>
              <w:rPr>
                <w:rFonts w:ascii="Times New Roman" w:hAnsi="Times New Roman" w:cs="Times New Roman"/>
                <w:bCs/>
                <w:sz w:val="20"/>
                <w:szCs w:val="20"/>
              </w:rPr>
            </w:pP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rPr>
              <w:t>Komisia žiada predkladateľa o zosúladenie výpočtov pri reguláciách týkajúcich sa správnych poplatkov.</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u w:val="single"/>
              </w:rPr>
              <w:t>Odôvodnenie:</w:t>
            </w:r>
            <w:r w:rsidRPr="00C705DF">
              <w:rPr>
                <w:rFonts w:ascii="Times New Roman" w:hAnsi="Times New Roman" w:cs="Times New Roman"/>
                <w:bCs/>
                <w:sz w:val="20"/>
                <w:szCs w:val="20"/>
              </w:rPr>
              <w:t xml:space="preserve"> Pri výpočte nákladov na jedného podnikateľa je dôležité aby predkladateľ vyrátal rozdiel medzi navrhovanou úpravou a súčasnou úpravou. Výsledné číslo predstavuje zvýšenie nákladov/úsporu na jedného podnikateľa</w:t>
            </w:r>
          </w:p>
          <w:p w:rsidR="00C705DF" w:rsidRPr="00C705DF" w:rsidRDefault="00C705DF" w:rsidP="00C705DF">
            <w:pPr>
              <w:jc w:val="both"/>
              <w:rPr>
                <w:rFonts w:ascii="Times New Roman" w:hAnsi="Times New Roman" w:cs="Times New Roman"/>
                <w:bCs/>
                <w:sz w:val="20"/>
                <w:szCs w:val="20"/>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jc w:val="both"/>
              <w:rPr>
                <w:rFonts w:ascii="Times New Roman" w:hAnsi="Times New Roman" w:cs="Times New Roman"/>
                <w:bCs/>
                <w:color w:val="FF0000"/>
                <w:sz w:val="20"/>
                <w:szCs w:val="20"/>
              </w:rPr>
            </w:pPr>
          </w:p>
          <w:p w:rsidR="00C705DF" w:rsidRPr="003F520F" w:rsidRDefault="00C705DF" w:rsidP="00C705DF">
            <w:pPr>
              <w:jc w:val="both"/>
              <w:rPr>
                <w:rFonts w:ascii="Times New Roman" w:hAnsi="Times New Roman" w:cs="Times New Roman"/>
                <w:bCs/>
                <w:sz w:val="20"/>
                <w:szCs w:val="20"/>
              </w:rPr>
            </w:pPr>
            <w:r w:rsidRPr="003F520F">
              <w:rPr>
                <w:rFonts w:ascii="Times New Roman" w:hAnsi="Times New Roman" w:cs="Times New Roman"/>
                <w:bCs/>
                <w:sz w:val="20"/>
                <w:szCs w:val="20"/>
              </w:rPr>
              <w:t>Na online stretnutí zástupcom MH SR bolo vysvetlené, že predkladateľ presne takýto model aj použil, teda vyrátal rozdiel medzi navrhovanou úpravou a súčasnou úpravou a do počtu dotknutých subjektov zadal priemerný počet konaní.</w:t>
            </w:r>
          </w:p>
          <w:p w:rsidR="00C705DF" w:rsidRPr="00C705DF" w:rsidRDefault="00C705DF" w:rsidP="00C705DF">
            <w:pPr>
              <w:jc w:val="both"/>
              <w:rPr>
                <w:rFonts w:ascii="Times New Roman" w:hAnsi="Times New Roman" w:cs="Times New Roman"/>
                <w:bCs/>
                <w:sz w:val="20"/>
                <w:szCs w:val="20"/>
              </w:rPr>
            </w:pP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rPr>
              <w:t>Komisia odporúča predkladateľovi doplniť do tabuľky na strane 14 v Analýze vplyvov na podnikateľské prostredie čísla regulácií v zmysle tabuľky č. 2 Analýzy.</w:t>
            </w:r>
          </w:p>
          <w:p w:rsidR="00C705DF" w:rsidRPr="00C705DF" w:rsidRDefault="00C705DF" w:rsidP="00C705DF">
            <w:pPr>
              <w:jc w:val="both"/>
              <w:rPr>
                <w:rFonts w:ascii="Times New Roman" w:hAnsi="Times New Roman" w:cs="Times New Roman"/>
                <w:bCs/>
                <w:sz w:val="20"/>
                <w:szCs w:val="20"/>
              </w:rPr>
            </w:pPr>
            <w:r w:rsidRPr="00C705DF">
              <w:rPr>
                <w:rFonts w:ascii="Times New Roman" w:hAnsi="Times New Roman" w:cs="Times New Roman"/>
                <w:bCs/>
                <w:sz w:val="20"/>
                <w:szCs w:val="20"/>
                <w:u w:val="single"/>
              </w:rPr>
              <w:t>Odôvodnenie:</w:t>
            </w:r>
            <w:r w:rsidRPr="00C705DF">
              <w:rPr>
                <w:rFonts w:ascii="Times New Roman" w:hAnsi="Times New Roman" w:cs="Times New Roman"/>
                <w:bCs/>
                <w:sz w:val="20"/>
                <w:szCs w:val="20"/>
              </w:rPr>
              <w:t xml:space="preserve"> Uvedenie čísla regulácií pomôže čitateľom k ľahšiemu zorientovaniu sa v tabuľke. V tabuľke na strane 14 v analýze vplyvov na podnikateľské prostredie sú regulácie poprehadzované podľa iného kritéria a poradie nesedí s tabuľkou č. 2. Preto Komisia odporúča doplniť čísla regulácií podľa tab.č.2.</w:t>
            </w:r>
          </w:p>
          <w:p w:rsidR="00C705DF" w:rsidRDefault="00C705DF" w:rsidP="00C705DF">
            <w:pPr>
              <w:jc w:val="both"/>
              <w:rPr>
                <w:rFonts w:ascii="Arial" w:hAnsi="Arial" w:cs="Arial"/>
                <w:bCs/>
                <w:sz w:val="24"/>
                <w:szCs w:val="24"/>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jc w:val="both"/>
              <w:rPr>
                <w:rFonts w:ascii="Times New Roman" w:hAnsi="Times New Roman" w:cs="Times New Roman"/>
                <w:bCs/>
                <w:color w:val="FF0000"/>
                <w:sz w:val="20"/>
                <w:szCs w:val="20"/>
              </w:rPr>
            </w:pPr>
          </w:p>
          <w:p w:rsidR="00C705DF" w:rsidRPr="003F520F" w:rsidRDefault="00C705DF" w:rsidP="00C705DF">
            <w:pPr>
              <w:jc w:val="both"/>
              <w:rPr>
                <w:rFonts w:ascii="Times New Roman" w:hAnsi="Times New Roman" w:cs="Times New Roman"/>
                <w:bCs/>
                <w:sz w:val="20"/>
                <w:szCs w:val="20"/>
              </w:rPr>
            </w:pPr>
            <w:r w:rsidRPr="003F520F">
              <w:rPr>
                <w:rFonts w:ascii="Times New Roman" w:hAnsi="Times New Roman" w:cs="Times New Roman"/>
                <w:bCs/>
                <w:sz w:val="20"/>
                <w:szCs w:val="20"/>
              </w:rPr>
              <w:t xml:space="preserve">Akceptované, doplnené. </w:t>
            </w:r>
          </w:p>
          <w:p w:rsidR="00C705DF" w:rsidRPr="00C705DF" w:rsidRDefault="00C705DF" w:rsidP="00C705DF">
            <w:pPr>
              <w:jc w:val="both"/>
              <w:rPr>
                <w:rStyle w:val="norm00e1lnychar1"/>
                <w:bCs/>
              </w:rPr>
            </w:pPr>
          </w:p>
          <w:p w:rsidR="00C705DF" w:rsidRPr="00C705DF" w:rsidRDefault="00C705DF" w:rsidP="00C705DF">
            <w:pPr>
              <w:jc w:val="both"/>
              <w:rPr>
                <w:rStyle w:val="norm00e1lnychar1"/>
                <w:b/>
                <w:bCs/>
              </w:rPr>
            </w:pPr>
            <w:r w:rsidRPr="00C705DF">
              <w:rPr>
                <w:rStyle w:val="norm00e1lnychar1"/>
                <w:b/>
                <w:bCs/>
              </w:rPr>
              <w:t>K vplyvom na rozpočet verejnej správy</w:t>
            </w:r>
          </w:p>
          <w:p w:rsidR="00C705DF" w:rsidRPr="00C705DF" w:rsidRDefault="00C705DF" w:rsidP="00C705DF">
            <w:pPr>
              <w:jc w:val="both"/>
              <w:rPr>
                <w:rStyle w:val="norm00e1lnychar1"/>
                <w:bCs/>
              </w:rPr>
            </w:pPr>
            <w:r w:rsidRPr="00C705DF">
              <w:rPr>
                <w:rStyle w:val="norm00e1lnychar1"/>
                <w:bCs/>
              </w:rPr>
              <w:t>Predkladaný návrh zákona znižuje administratívnu záťaž dopravcov a iných osôb vykonávajúcich činnosti na dráhe, upravuje nové prerozdelenie špeciálnych dráh za účelom zjednodušenia podmienok na ich prevádzkovanie, znižuje vek pre osobu, ktorá žiada o vydanie preukazu na železničné vozidlo s obmedzenou územnou pôsobnosťou na územie SR, zavádza nový inštitút licencie na zachádzanie na železničnú infraštruktúru pre vlečkárov a pod. Tieto zmeny majú vplyv aj na výber správnych poplatkov, ktoré sú upravené v čl. II navrhovaného zákona (novela zákona č. 145/1995 Z. z. o správnych poplatkoch).</w:t>
            </w:r>
          </w:p>
          <w:p w:rsidR="00C705DF" w:rsidRPr="00C705DF" w:rsidRDefault="00C705DF" w:rsidP="00C705DF">
            <w:pPr>
              <w:jc w:val="both"/>
              <w:rPr>
                <w:rStyle w:val="norm00e1lnychar1"/>
                <w:bCs/>
              </w:rPr>
            </w:pPr>
          </w:p>
          <w:p w:rsidR="00C705DF" w:rsidRPr="00C705DF" w:rsidRDefault="00C705DF" w:rsidP="00C705DF">
            <w:pPr>
              <w:jc w:val="both"/>
              <w:rPr>
                <w:rStyle w:val="norm00e1lnychar1"/>
                <w:bCs/>
              </w:rPr>
            </w:pPr>
            <w:r w:rsidRPr="00C705DF">
              <w:rPr>
                <w:rStyle w:val="norm00e1lnychar1"/>
                <w:bCs/>
              </w:rPr>
              <w:t>Predkladateľ v doložke vybraných vplyvov označil pozitívne vplyvy na rozpočet verejnej správy z titulu zvýšenia príjmov štátneho rozpočtu vzhľadom na ustanovenie nových správnych poplatkov a zvýšenie už existujúcich správnych poplatkov. Tieto vplyvy týkajúce sa príjmovej časti rozpočtu sú kvantifikované v analýze vplyvov na rozpočet verejnej správy od roku 2025 vo výške 130 309 eur ročne. Uvedené Komisia berie na vedomie. V súvislosti s predpokladanými rozpočtovými dôsledkami Komisia upozorňuje, že v analýze vplyvov na rozpočet je potrebné v súlade s § 33 zákona č. 523/2004 Z. z. o rozpočtových pravidlách verejnej správy a o zmene a doplnení niektorých zákonov a Jednotnou metodikou na posudzovanie vybraných vplyvov uviesť vplyvy na bežný rok a tri nasledujúce rozpočtové roky (bežný rok je rok 2024).</w:t>
            </w:r>
          </w:p>
          <w:p w:rsidR="00C705DF" w:rsidRPr="00C705DF" w:rsidRDefault="00C705DF" w:rsidP="00C705DF">
            <w:pPr>
              <w:jc w:val="both"/>
              <w:rPr>
                <w:rStyle w:val="norm00e1lnychar1"/>
                <w:bCs/>
              </w:rPr>
            </w:pPr>
          </w:p>
          <w:p w:rsidR="003F520F" w:rsidRDefault="003F520F" w:rsidP="00C705DF">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jc w:val="both"/>
              <w:rPr>
                <w:rStyle w:val="norm00e1lnychar1"/>
                <w:bCs/>
                <w:color w:val="FF0000"/>
              </w:rPr>
            </w:pPr>
          </w:p>
          <w:p w:rsidR="00C705DF" w:rsidRPr="003F520F" w:rsidRDefault="00C705DF" w:rsidP="00C705DF">
            <w:pPr>
              <w:jc w:val="both"/>
              <w:rPr>
                <w:rStyle w:val="norm00e1lnychar1"/>
                <w:bCs/>
              </w:rPr>
            </w:pPr>
            <w:r w:rsidRPr="003F520F">
              <w:rPr>
                <w:rStyle w:val="norm00e1lnychar1"/>
                <w:bCs/>
              </w:rPr>
              <w:t xml:space="preserve">Účinnosť zákona sa predpokladá 1. január 2025. Z uvedeného dôvodu nie je potrebné uvádzať rok 2024. </w:t>
            </w:r>
          </w:p>
          <w:p w:rsidR="00C705DF" w:rsidRPr="00C705DF" w:rsidRDefault="00C705DF" w:rsidP="00C705DF">
            <w:pPr>
              <w:jc w:val="both"/>
              <w:rPr>
                <w:rStyle w:val="norm00e1lnychar1"/>
                <w:bCs/>
              </w:rPr>
            </w:pPr>
          </w:p>
          <w:p w:rsidR="00C705DF" w:rsidRPr="00C705DF" w:rsidRDefault="00C705DF" w:rsidP="00C705DF">
            <w:pPr>
              <w:jc w:val="both"/>
              <w:rPr>
                <w:rStyle w:val="norm00e1lnychar1"/>
                <w:bCs/>
              </w:rPr>
            </w:pPr>
            <w:r w:rsidRPr="00C705DF">
              <w:rPr>
                <w:rStyle w:val="norm00e1lnychar1"/>
                <w:bCs/>
              </w:rPr>
              <w:t xml:space="preserve">V predloženom návrhu zákona sa ustanovujú aj doplnenia, resp. úpravy kompetencií regulačného, resp. kontrolného orgánu (napr. v bodoch 53, 92, 95 atď.), v tejto súvislosti Komisia upozorňuje, že všetky prípadné negatívne rozpočtové dôsledky budú musieť byť zabezpečené v rámci schválených limitov rozpočtu dotknutých subjektov na príslušný rozpočtový rok. </w:t>
            </w:r>
          </w:p>
          <w:p w:rsidR="00C705DF" w:rsidRPr="00C705DF" w:rsidRDefault="00C705DF" w:rsidP="00C705DF">
            <w:pPr>
              <w:jc w:val="both"/>
              <w:rPr>
                <w:rStyle w:val="norm00e1lnychar1"/>
                <w:bCs/>
              </w:rPr>
            </w:pPr>
          </w:p>
          <w:p w:rsidR="003F520F" w:rsidRDefault="003F520F" w:rsidP="00C705DF">
            <w:pPr>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C705DF">
            <w:pPr>
              <w:rPr>
                <w:rStyle w:val="norm00e1lnychar1"/>
                <w:bCs/>
                <w:color w:val="FF0000"/>
              </w:rPr>
            </w:pPr>
          </w:p>
          <w:p w:rsidR="00C705DF" w:rsidRPr="003F520F" w:rsidRDefault="00C705DF" w:rsidP="00C705DF">
            <w:pPr>
              <w:rPr>
                <w:rStyle w:val="norm00e1lnychar1"/>
                <w:bCs/>
              </w:rPr>
            </w:pPr>
            <w:r w:rsidRPr="003F520F">
              <w:rPr>
                <w:rStyle w:val="norm00e1lnychar1"/>
                <w:bCs/>
              </w:rPr>
              <w:t>Tieto činnosti už DU vykonáva. Vzhľadom na skutočnosť, že DU si ani nežiada nové štátnozamestnanecké miesta, úprava nemôže mať negatívne rozpočtové dôsledky.</w:t>
            </w:r>
          </w:p>
          <w:p w:rsidR="00250EB5" w:rsidRPr="003F520F" w:rsidRDefault="00250EB5" w:rsidP="00C705DF">
            <w:pPr>
              <w:rPr>
                <w:rStyle w:val="norm00e1lnychar1"/>
                <w:bCs/>
              </w:rPr>
            </w:pPr>
          </w:p>
          <w:p w:rsidR="00250EB5" w:rsidRPr="00250EB5" w:rsidRDefault="00250EB5" w:rsidP="00250EB5">
            <w:pPr>
              <w:jc w:val="both"/>
              <w:rPr>
                <w:rStyle w:val="norm00e1lnychar1"/>
                <w:bCs/>
              </w:rPr>
            </w:pPr>
            <w:r w:rsidRPr="00250EB5">
              <w:rPr>
                <w:rStyle w:val="norm00e1lnychar1"/>
                <w:bCs/>
              </w:rPr>
              <w:lastRenderedPageBreak/>
              <w:t>K sociálnym vplyvom</w:t>
            </w:r>
          </w:p>
          <w:p w:rsidR="00250EB5" w:rsidRPr="00250EB5" w:rsidRDefault="00250EB5" w:rsidP="00250EB5">
            <w:pPr>
              <w:jc w:val="both"/>
              <w:rPr>
                <w:rStyle w:val="norm00e1lnychar1"/>
                <w:bCs/>
              </w:rPr>
            </w:pPr>
            <w:r w:rsidRPr="00250EB5">
              <w:rPr>
                <w:rStyle w:val="norm00e1lnychar1"/>
                <w:bCs/>
              </w:rPr>
              <w:t xml:space="preserve">Komisia odporúča predkladateľovi v bode 9 doložky vybraných vplyvov označiť existenciu sociálnych vplyvov s ich bližším zhodnotením v separátnej analýze sociálnych vplyvov. </w:t>
            </w:r>
          </w:p>
          <w:p w:rsidR="00250EB5" w:rsidRDefault="00250EB5" w:rsidP="00250EB5">
            <w:pPr>
              <w:jc w:val="both"/>
              <w:rPr>
                <w:rStyle w:val="norm00e1lnychar1"/>
                <w:bCs/>
              </w:rPr>
            </w:pPr>
            <w:r w:rsidRPr="00250EB5">
              <w:rPr>
                <w:rStyle w:val="norm00e1lnychar1"/>
                <w:bCs/>
              </w:rPr>
              <w:t xml:space="preserve">Odôvodnenie: Z viacerých ustanovení predloženého návrhu zákona sa javí, že v porovnaní so súčasným stavom sa predpokladajú zmeny v oblasti prístupu fyzických osôb k zdrojom, právam, tovarom a službám a v oblasti zamestnanosti. Napr. novelizačný bod 22 v čl. I predpokladá ustanovenie veku 19 rokov pre osobu, ktorá vedie železničné vozidlo na území SR napriek tomu, že Európska legislatíva ustanovuje vek 20 rokov; novelizačný bod 31 v čl. I vypúšťa potrebu vysokoškolského vzdelania druhého stupňa na prevádzkovanie dráhy. Tieto zmeny by mohli v porovnaní so súčasným stavom zjednodušiť prístup k zamestnaniu na dráhach väčšej skupine osôb. Ďalej napr. novelizačné body 4,5, v čl. V predpokladajú zmeny v oblasti verejnej osobnej dopravy, ktoré sa týkajú zriaďovania zastávok, čo má vplyv na informovanie verejnosti a možné zmeny v oblasti prístupu k službám pre verejnosť. Na základe uvádzaného odporúčame zhodnotiť sociálne vplyvy predloženého materiálu. </w:t>
            </w:r>
          </w:p>
          <w:p w:rsidR="00250EB5" w:rsidRDefault="00250EB5" w:rsidP="00250EB5">
            <w:pPr>
              <w:jc w:val="both"/>
              <w:rPr>
                <w:rStyle w:val="norm00e1lnychar1"/>
                <w:bCs/>
              </w:rPr>
            </w:pPr>
          </w:p>
          <w:p w:rsidR="003F520F" w:rsidRDefault="003F520F" w:rsidP="00732001">
            <w:pPr>
              <w:jc w:val="both"/>
              <w:rPr>
                <w:rFonts w:ascii="Times New Roman" w:hAnsi="Times New Roman" w:cs="Times New Roman"/>
                <w:b/>
                <w:bCs/>
                <w:sz w:val="20"/>
                <w:szCs w:val="20"/>
                <w:u w:val="single"/>
              </w:rPr>
            </w:pPr>
            <w:r w:rsidRPr="003F520F">
              <w:rPr>
                <w:rFonts w:ascii="Times New Roman" w:hAnsi="Times New Roman" w:cs="Times New Roman"/>
                <w:b/>
                <w:bCs/>
                <w:sz w:val="20"/>
                <w:szCs w:val="20"/>
                <w:u w:val="single"/>
              </w:rPr>
              <w:t>Vyjadrenie predkladateľa</w:t>
            </w:r>
          </w:p>
          <w:p w:rsidR="003F520F" w:rsidRDefault="003F520F" w:rsidP="00732001">
            <w:pPr>
              <w:jc w:val="both"/>
              <w:rPr>
                <w:rStyle w:val="norm00e1lnychar1"/>
                <w:bCs/>
                <w:color w:val="FF0000"/>
              </w:rPr>
            </w:pPr>
          </w:p>
          <w:p w:rsidR="003F7301" w:rsidRPr="003F520F" w:rsidRDefault="00250EB5" w:rsidP="00732001">
            <w:pPr>
              <w:jc w:val="both"/>
              <w:rPr>
                <w:rStyle w:val="norm00e1lnychar1"/>
                <w:bCs/>
              </w:rPr>
            </w:pPr>
            <w:r w:rsidRPr="003F520F">
              <w:rPr>
                <w:rStyle w:val="norm00e1lnychar1"/>
                <w:bCs/>
              </w:rPr>
              <w:t>S odporúčanými sociálnymi vplyvmi predkladateľ nesúhlasí a</w:t>
            </w:r>
            <w:r w:rsidR="00732001" w:rsidRPr="003F520F">
              <w:rPr>
                <w:rStyle w:val="norm00e1lnychar1"/>
                <w:bCs/>
              </w:rPr>
              <w:t xml:space="preserve"> niektoré považuje </w:t>
            </w:r>
            <w:r w:rsidRPr="003F520F">
              <w:rPr>
                <w:rStyle w:val="norm00e1lnychar1"/>
                <w:bCs/>
              </w:rPr>
              <w:t>za marginálne</w:t>
            </w:r>
            <w:r w:rsidR="00732001" w:rsidRPr="003F520F">
              <w:rPr>
                <w:rStyle w:val="norm00e1lnychar1"/>
                <w:bCs/>
              </w:rPr>
              <w:t>, nekvantifikovateľné</w:t>
            </w:r>
            <w:r w:rsidRPr="003F520F">
              <w:rPr>
                <w:rStyle w:val="norm00e1lnychar1"/>
                <w:bCs/>
              </w:rPr>
              <w:t>. Marginálny vplyv zníženia veku rušňovodičov je odôvodnený vyššie.</w:t>
            </w:r>
          </w:p>
          <w:p w:rsidR="00732001" w:rsidRPr="003F520F" w:rsidRDefault="00732001" w:rsidP="00732001">
            <w:pPr>
              <w:jc w:val="both"/>
              <w:rPr>
                <w:rStyle w:val="norm00e1lnychar1"/>
                <w:bCs/>
              </w:rPr>
            </w:pPr>
          </w:p>
          <w:p w:rsidR="003F7301" w:rsidRPr="003F520F" w:rsidRDefault="003F7301" w:rsidP="00732001">
            <w:pPr>
              <w:jc w:val="both"/>
              <w:rPr>
                <w:rStyle w:val="norm00e1lnychar1"/>
                <w:bCs/>
              </w:rPr>
            </w:pPr>
            <w:r w:rsidRPr="003F520F">
              <w:rPr>
                <w:rStyle w:val="norm00e1lnychar1"/>
                <w:bCs/>
              </w:rPr>
              <w:t>K vypusteniu vysokoškolského vzdelania druhého stupňa</w:t>
            </w:r>
            <w:r w:rsidR="00732001" w:rsidRPr="003F520F">
              <w:rPr>
                <w:rStyle w:val="norm00e1lnychar1"/>
                <w:bCs/>
              </w:rPr>
              <w:t>. Uv</w:t>
            </w:r>
            <w:r w:rsidRPr="003F520F">
              <w:rPr>
                <w:rStyle w:val="norm00e1lnychar1"/>
                <w:bCs/>
              </w:rPr>
              <w:t xml:space="preserve">edená podmienka sa netýka zamestnanosti, ale preukázania splnenia podmienky pre </w:t>
            </w:r>
            <w:r w:rsidR="00732001" w:rsidRPr="003F520F">
              <w:rPr>
                <w:rStyle w:val="norm00e1lnychar1"/>
                <w:bCs/>
              </w:rPr>
              <w:t>žiadateľa</w:t>
            </w:r>
            <w:r w:rsidRPr="003F520F">
              <w:rPr>
                <w:rStyle w:val="norm00e1lnychar1"/>
                <w:bCs/>
              </w:rPr>
              <w:t xml:space="preserve"> o vydanie povolenia na prevádzkovanie dráhy. </w:t>
            </w:r>
            <w:r w:rsidR="002D392A" w:rsidRPr="003F520F">
              <w:rPr>
                <w:rStyle w:val="norm00e1lnychar1"/>
                <w:bCs/>
              </w:rPr>
              <w:t xml:space="preserve">Ustanovenie nenadväzuje na § 29 ods. 1 písm. c) zákona o dráhach, teda na zamestnancov, ale na § 29 ods. 2 zákona o dráhach, teda žiadateľa alebo jeho zodpovedného zástupcu. Odbornú kvalifikáciu spĺňa iba jeden. </w:t>
            </w:r>
            <w:r w:rsidRPr="003F520F">
              <w:rPr>
                <w:rStyle w:val="norm00e1lnychar1"/>
                <w:bCs/>
              </w:rPr>
              <w:t>Hovoríme teda o jednej osobe u prevádzkovateľa dráhy, ktorej sme znížili stupeň vzdela</w:t>
            </w:r>
            <w:r w:rsidR="00732001" w:rsidRPr="003F520F">
              <w:rPr>
                <w:rStyle w:val="norm00e1lnychar1"/>
                <w:bCs/>
              </w:rPr>
              <w:t>nia</w:t>
            </w:r>
            <w:r w:rsidRPr="003F520F">
              <w:rPr>
                <w:rStyle w:val="norm00e1lnychar1"/>
                <w:bCs/>
              </w:rPr>
              <w:t xml:space="preserve">. </w:t>
            </w:r>
            <w:r w:rsidR="002D392A" w:rsidRPr="003F520F">
              <w:rPr>
                <w:rStyle w:val="norm00e1lnychar1"/>
                <w:bCs/>
              </w:rPr>
              <w:t>Na základe</w:t>
            </w:r>
            <w:r w:rsidRPr="003F520F">
              <w:rPr>
                <w:rStyle w:val="norm00e1lnychar1"/>
                <w:bCs/>
              </w:rPr>
              <w:t xml:space="preserve"> vyššie uvedeného </w:t>
            </w:r>
            <w:r w:rsidR="002D392A" w:rsidRPr="003F520F">
              <w:rPr>
                <w:rStyle w:val="norm00e1lnychar1"/>
                <w:bCs/>
              </w:rPr>
              <w:t xml:space="preserve">máme za to, že ak vôbec ide o vplyv, tak o tak marginálny, že ho nie je možné ani najlepším odborným odhadom kvantifikovať. </w:t>
            </w:r>
          </w:p>
          <w:p w:rsidR="00732001" w:rsidRPr="003F520F" w:rsidRDefault="00732001" w:rsidP="00732001">
            <w:pPr>
              <w:jc w:val="both"/>
              <w:rPr>
                <w:rStyle w:val="norm00e1lnychar1"/>
                <w:bCs/>
              </w:rPr>
            </w:pPr>
          </w:p>
          <w:p w:rsidR="002D392A" w:rsidRPr="003F520F" w:rsidRDefault="002D392A" w:rsidP="00732001">
            <w:pPr>
              <w:jc w:val="both"/>
              <w:rPr>
                <w:rStyle w:val="norm00e1lnychar1"/>
                <w:bCs/>
              </w:rPr>
            </w:pPr>
            <w:r w:rsidRPr="003F520F">
              <w:rPr>
                <w:rStyle w:val="norm00e1lnychar1"/>
                <w:bCs/>
              </w:rPr>
              <w:t>K predpokladaným zmenám v oblasti</w:t>
            </w:r>
            <w:r w:rsidR="00732001" w:rsidRPr="003F520F">
              <w:rPr>
                <w:rStyle w:val="norm00e1lnychar1"/>
                <w:bCs/>
              </w:rPr>
              <w:t xml:space="preserve"> verejnej osobnej dopravy</w:t>
            </w:r>
            <w:r w:rsidRPr="003F520F">
              <w:rPr>
                <w:rStyle w:val="norm00e1lnychar1"/>
                <w:bCs/>
              </w:rPr>
              <w:t xml:space="preserve">. </w:t>
            </w:r>
          </w:p>
          <w:p w:rsidR="002D392A" w:rsidRPr="003F520F" w:rsidRDefault="002D392A" w:rsidP="00732001">
            <w:pPr>
              <w:jc w:val="both"/>
              <w:rPr>
                <w:rStyle w:val="norm00e1lnychar1"/>
                <w:bCs/>
              </w:rPr>
            </w:pPr>
            <w:r w:rsidRPr="003F520F">
              <w:rPr>
                <w:rStyle w:val="norm00e1lnychar1"/>
                <w:bCs/>
              </w:rPr>
              <w:t>Uvedené znenie je úpravou § 16 ods. 3 zákona o VOD, ktorá uvedenú problematiku už riešila. Postup zriaďovania zastávok sa dotýka orgánov verejnej správy a informovanie sa týka dopravcov, nie cestujúcej verejnosti. Podmienky informovania cestujúcej verejnos</w:t>
            </w:r>
            <w:r w:rsidR="00732001" w:rsidRPr="003F520F">
              <w:rPr>
                <w:rStyle w:val="norm00e1lnychar1"/>
                <w:bCs/>
              </w:rPr>
              <w:t xml:space="preserve">ti na zastávkach sú platné dlhodobo, zákon o VOD ich iba prevzal.  </w:t>
            </w:r>
            <w:r w:rsidRPr="003F520F">
              <w:rPr>
                <w:rStyle w:val="norm00e1lnychar1"/>
                <w:bCs/>
              </w:rPr>
              <w:t xml:space="preserve">Z tohto  dôvodu uvedená zmena nemá vplyv na prístup k službám. </w:t>
            </w:r>
          </w:p>
          <w:p w:rsidR="00250EB5" w:rsidRPr="00C705DF" w:rsidRDefault="00250EB5" w:rsidP="00C705DF">
            <w:pPr>
              <w:rPr>
                <w:rStyle w:val="norm00e1lnychar1"/>
                <w:bCs/>
                <w:color w:val="FF0000"/>
              </w:rPr>
            </w:pPr>
          </w:p>
          <w:p w:rsidR="00C705DF" w:rsidRPr="00C705DF" w:rsidRDefault="00C705DF" w:rsidP="00C705DF">
            <w:pPr>
              <w:jc w:val="both"/>
              <w:rPr>
                <w:rStyle w:val="norm00e1lnychar1"/>
                <w:bCs/>
              </w:rPr>
            </w:pPr>
            <w:r w:rsidRPr="00C705DF">
              <w:rPr>
                <w:rStyle w:val="norm00e1lnychar1"/>
                <w:bCs/>
              </w:rPr>
              <w:t xml:space="preserve">  </w:t>
            </w:r>
          </w:p>
          <w:p w:rsidR="00C705DF" w:rsidRPr="00C705DF" w:rsidRDefault="00C705DF" w:rsidP="00C705DF">
            <w:pPr>
              <w:jc w:val="both"/>
              <w:rPr>
                <w:rStyle w:val="norm00e1lnychar1"/>
                <w:b/>
                <w:bCs/>
              </w:rPr>
            </w:pPr>
          </w:p>
          <w:p w:rsidR="00C705DF" w:rsidRPr="00C705DF" w:rsidRDefault="00C705DF" w:rsidP="00C705DF">
            <w:pPr>
              <w:jc w:val="both"/>
              <w:rPr>
                <w:rFonts w:ascii="Times New Roman" w:hAnsi="Times New Roman" w:cs="Times New Roman"/>
                <w:sz w:val="20"/>
                <w:szCs w:val="20"/>
              </w:rPr>
            </w:pPr>
            <w:r w:rsidRPr="00C705DF">
              <w:rPr>
                <w:rStyle w:val="norm00e1lnychar1"/>
                <w:b/>
                <w:bCs/>
              </w:rPr>
              <w:t xml:space="preserve">III. Záver: </w:t>
            </w:r>
            <w:r w:rsidRPr="00C705DF">
              <w:rPr>
                <w:rStyle w:val="norm00e1lnychar1"/>
              </w:rPr>
              <w:t xml:space="preserve">Stála pracovná komisia na posudzovanie vybraných vplyvov vyjadruje </w:t>
            </w:r>
          </w:p>
          <w:p w:rsidR="00C705DF" w:rsidRPr="00C705DF" w:rsidRDefault="00C705DF" w:rsidP="00C705DF">
            <w:pPr>
              <w:pStyle w:val="norm00e1lny"/>
            </w:pPr>
            <w:r w:rsidRPr="00C705DF">
              <w:t> </w:t>
            </w:r>
          </w:p>
          <w:p w:rsidR="00C705DF" w:rsidRPr="00C705DF" w:rsidRDefault="00C705DF" w:rsidP="00C705DF">
            <w:pPr>
              <w:pStyle w:val="norm00e1lny"/>
              <w:rPr>
                <w:rStyle w:val="norm00e1lnychar1"/>
                <w:b/>
                <w:bCs/>
              </w:rPr>
            </w:pPr>
          </w:p>
          <w:p w:rsidR="00C705DF" w:rsidRPr="00C705DF" w:rsidRDefault="00C705DF" w:rsidP="00C705DF">
            <w:pPr>
              <w:pStyle w:val="norm00e1lny"/>
              <w:spacing w:line="240" w:lineRule="atLeast"/>
              <w:jc w:val="center"/>
            </w:pPr>
            <w:r w:rsidRPr="00C705DF">
              <w:rPr>
                <w:rStyle w:val="norm00e1lnychar1"/>
                <w:b/>
                <w:bCs/>
              </w:rPr>
              <w:t>nesúhlasné stanovisko</w:t>
            </w:r>
          </w:p>
          <w:p w:rsidR="00C705DF" w:rsidRPr="00C705DF" w:rsidRDefault="00C705DF" w:rsidP="00C705DF">
            <w:pPr>
              <w:pStyle w:val="norm00e1lny"/>
              <w:spacing w:line="240" w:lineRule="atLeast"/>
              <w:jc w:val="both"/>
              <w:rPr>
                <w:rStyle w:val="norm00e1lnychar1"/>
              </w:rPr>
            </w:pPr>
          </w:p>
          <w:p w:rsidR="00C705DF" w:rsidRPr="00C705DF" w:rsidRDefault="00C705DF" w:rsidP="00C705DF">
            <w:pPr>
              <w:pStyle w:val="norm00e1lny"/>
              <w:spacing w:line="240" w:lineRule="atLeast"/>
              <w:jc w:val="both"/>
              <w:rPr>
                <w:rStyle w:val="norm00e1lnychar1"/>
              </w:rPr>
            </w:pPr>
          </w:p>
          <w:p w:rsidR="00C705DF" w:rsidRPr="00C705DF" w:rsidRDefault="00C705DF" w:rsidP="00C705DF">
            <w:pPr>
              <w:pStyle w:val="norm00e1lny"/>
              <w:spacing w:line="240" w:lineRule="atLeast"/>
              <w:jc w:val="both"/>
            </w:pPr>
            <w:r w:rsidRPr="00C705DF">
              <w:rPr>
                <w:rStyle w:val="norm00e1lnychar1"/>
              </w:rPr>
              <w:t>s materiálom predloženým na predbežné pripomienkové konanie s odporúčaním na jeho dopracovanie podľa pripomienok v bode II.</w:t>
            </w:r>
          </w:p>
          <w:p w:rsidR="00C705DF" w:rsidRPr="00C705DF" w:rsidRDefault="00C705DF" w:rsidP="00C705DF">
            <w:pPr>
              <w:pStyle w:val="norm00e1lny"/>
            </w:pPr>
          </w:p>
          <w:p w:rsidR="00C705DF" w:rsidRPr="00C705DF" w:rsidRDefault="00C705DF" w:rsidP="00C705DF">
            <w:pPr>
              <w:pStyle w:val="norm00e1lny"/>
              <w:spacing w:line="240" w:lineRule="atLeast"/>
              <w:jc w:val="both"/>
            </w:pPr>
            <w:r w:rsidRPr="00C705DF">
              <w:rPr>
                <w:rStyle w:val="norm00e1lnychar1"/>
                <w:b/>
                <w:bCs/>
              </w:rPr>
              <w:t>IV. Poznámka:</w:t>
            </w:r>
            <w:r w:rsidRPr="00C705DF">
              <w:rPr>
                <w:rStyle w:val="norm00e1lnychar1"/>
              </w:rPr>
              <w:t xml:space="preserve"> Predkladateľ zapracuje pripomienky a odporúčania na úpravu uvedené v bode II a uvedie stanovisko Komisie do doložky vybraných vplyvov spolu s vyhodnotením pripomienok.</w:t>
            </w:r>
          </w:p>
          <w:p w:rsidR="00C705DF" w:rsidRDefault="00C705DF" w:rsidP="00C705DF">
            <w:pPr>
              <w:pStyle w:val="norm00e1lny"/>
            </w:pPr>
            <w:r>
              <w:t> </w:t>
            </w:r>
          </w:p>
          <w:p w:rsidR="00C705DF" w:rsidRPr="00C705DF" w:rsidRDefault="00C705DF" w:rsidP="00C705DF">
            <w:pPr>
              <w:pStyle w:val="z00e1kladn00fd0020text"/>
              <w:spacing w:after="0" w:line="240" w:lineRule="atLeast"/>
              <w:jc w:val="both"/>
            </w:pPr>
            <w:r w:rsidRPr="00C705DF">
              <w:rPr>
                <w:rStyle w:val="z00e1kladn00fd0020textchar1"/>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p>
          <w:p w:rsidR="00C705DF" w:rsidRPr="00612E08" w:rsidRDefault="00C705DF" w:rsidP="00C705DF">
            <w:pPr>
              <w:jc w:val="both"/>
              <w:rPr>
                <w:rFonts w:ascii="Times New Roman" w:eastAsia="Times New Roman" w:hAnsi="Times New Roman" w:cs="Times New Roman"/>
                <w:b/>
                <w:sz w:val="20"/>
                <w:szCs w:val="20"/>
                <w:lang w:eastAsia="sk-SK"/>
              </w:rPr>
            </w:pPr>
          </w:p>
          <w:p w:rsidR="001B23B7" w:rsidRPr="00612E08" w:rsidRDefault="001B23B7" w:rsidP="00C705DF">
            <w:pPr>
              <w:rPr>
                <w:rFonts w:ascii="Times New Roman" w:eastAsia="Times New Roman" w:hAnsi="Times New Roman" w:cs="Times New Roman"/>
                <w:b/>
                <w:sz w:val="20"/>
                <w:szCs w:val="20"/>
                <w:lang w:eastAsia="sk-SK"/>
              </w:rPr>
            </w:pPr>
          </w:p>
          <w:p w:rsidR="001B23B7" w:rsidRPr="00612E08" w:rsidRDefault="001B23B7" w:rsidP="00C705DF">
            <w:pPr>
              <w:rPr>
                <w:rFonts w:ascii="Times New Roman" w:eastAsia="Times New Roman" w:hAnsi="Times New Roman" w:cs="Times New Roman"/>
                <w:b/>
                <w:sz w:val="20"/>
                <w:szCs w:val="20"/>
                <w:lang w:eastAsia="sk-SK"/>
              </w:rPr>
            </w:pPr>
          </w:p>
        </w:tc>
      </w:tr>
      <w:tr w:rsidR="00612E08" w:rsidRPr="00612E08" w:rsidTr="00C705DF">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C705DF">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C705DF">
        <w:tblPrEx>
          <w:tblBorders>
            <w:insideH w:val="single" w:sz="4" w:space="0" w:color="FFFFFF"/>
            <w:insideV w:val="single" w:sz="4" w:space="0" w:color="FFFFFF"/>
          </w:tblBorders>
        </w:tblPrEx>
        <w:tc>
          <w:tcPr>
            <w:tcW w:w="9176" w:type="dxa"/>
            <w:shd w:val="clear" w:color="auto" w:fill="FFFFFF"/>
          </w:tcPr>
          <w:p w:rsidR="001B23B7" w:rsidRPr="00612E08" w:rsidRDefault="001B23B7" w:rsidP="00C705DF">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C705DF">
              <w:trPr>
                <w:trHeight w:val="396"/>
              </w:trPr>
              <w:tc>
                <w:tcPr>
                  <w:tcW w:w="2552" w:type="dxa"/>
                </w:tcPr>
                <w:p w:rsidR="001B23B7" w:rsidRPr="00612E08" w:rsidRDefault="00E64C65" w:rsidP="00C705D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E64C65" w:rsidP="00C705D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E64C65" w:rsidP="00C705DF">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C705DF">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C705DF">
            <w:pPr>
              <w:rPr>
                <w:rFonts w:ascii="Times New Roman" w:eastAsia="Times New Roman" w:hAnsi="Times New Roman" w:cs="Times New Roman"/>
                <w:b/>
                <w:sz w:val="20"/>
                <w:szCs w:val="20"/>
                <w:lang w:eastAsia="sk-SK"/>
              </w:rPr>
            </w:pPr>
          </w:p>
          <w:p w:rsidR="001B23B7" w:rsidRPr="00612E08" w:rsidRDefault="001B23B7" w:rsidP="00C705DF">
            <w:pPr>
              <w:rPr>
                <w:rFonts w:ascii="Times New Roman" w:eastAsia="Times New Roman" w:hAnsi="Times New Roman" w:cs="Times New Roman"/>
                <w:b/>
                <w:sz w:val="20"/>
                <w:szCs w:val="20"/>
                <w:lang w:eastAsia="sk-SK"/>
              </w:rPr>
            </w:pPr>
          </w:p>
        </w:tc>
      </w:tr>
    </w:tbl>
    <w:p w:rsidR="00C705DF" w:rsidRPr="00612E08" w:rsidRDefault="00C705DF"/>
    <w:sectPr w:rsidR="00C705DF" w:rsidRPr="00612E08" w:rsidSect="001E3562">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C65" w:rsidRDefault="00E64C65" w:rsidP="001B23B7">
      <w:pPr>
        <w:spacing w:after="0" w:line="240" w:lineRule="auto"/>
      </w:pPr>
      <w:r>
        <w:separator/>
      </w:r>
    </w:p>
  </w:endnote>
  <w:endnote w:type="continuationSeparator" w:id="0">
    <w:p w:rsidR="00E64C65" w:rsidRDefault="00E64C65"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C705DF" w:rsidRPr="006045CB" w:rsidRDefault="00C705DF"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76467">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rsidR="00C705DF" w:rsidRDefault="00C705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C65" w:rsidRDefault="00E64C65" w:rsidP="001B23B7">
      <w:pPr>
        <w:spacing w:after="0" w:line="240" w:lineRule="auto"/>
      </w:pPr>
      <w:r>
        <w:separator/>
      </w:r>
    </w:p>
  </w:footnote>
  <w:footnote w:type="continuationSeparator" w:id="0">
    <w:p w:rsidR="00E64C65" w:rsidRDefault="00E64C65"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DF" w:rsidRPr="006045CB" w:rsidRDefault="00C705DF"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C705DF" w:rsidRDefault="00C705DF">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42B0"/>
    <w:multiLevelType w:val="hybridMultilevel"/>
    <w:tmpl w:val="675CBB8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3AAA521A"/>
    <w:multiLevelType w:val="hybridMultilevel"/>
    <w:tmpl w:val="675CBB8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4F9956C2"/>
    <w:multiLevelType w:val="hybridMultilevel"/>
    <w:tmpl w:val="35CE8BEC"/>
    <w:lvl w:ilvl="0" w:tplc="93DA81AC">
      <w:numFmt w:val="bullet"/>
      <w:lvlText w:val="-"/>
      <w:lvlJc w:val="left"/>
      <w:pPr>
        <w:ind w:left="720" w:hanging="360"/>
      </w:pPr>
      <w:rPr>
        <w:rFonts w:ascii="Calibri" w:eastAsia="Calibr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5A60"/>
    <w:rsid w:val="000306D1"/>
    <w:rsid w:val="00043706"/>
    <w:rsid w:val="00097069"/>
    <w:rsid w:val="000D348F"/>
    <w:rsid w:val="000F2BE9"/>
    <w:rsid w:val="00113AE4"/>
    <w:rsid w:val="00156064"/>
    <w:rsid w:val="00187182"/>
    <w:rsid w:val="0019384A"/>
    <w:rsid w:val="001B23B7"/>
    <w:rsid w:val="001E3562"/>
    <w:rsid w:val="00203EE3"/>
    <w:rsid w:val="002243BB"/>
    <w:rsid w:val="0023360B"/>
    <w:rsid w:val="00243652"/>
    <w:rsid w:val="00250EB5"/>
    <w:rsid w:val="002D392A"/>
    <w:rsid w:val="002F6ADB"/>
    <w:rsid w:val="003145AE"/>
    <w:rsid w:val="003553ED"/>
    <w:rsid w:val="003A057B"/>
    <w:rsid w:val="003A381E"/>
    <w:rsid w:val="003F520F"/>
    <w:rsid w:val="003F7301"/>
    <w:rsid w:val="00411898"/>
    <w:rsid w:val="0048261F"/>
    <w:rsid w:val="0049476D"/>
    <w:rsid w:val="004A4383"/>
    <w:rsid w:val="004C6831"/>
    <w:rsid w:val="004D2627"/>
    <w:rsid w:val="005908C7"/>
    <w:rsid w:val="00591EC6"/>
    <w:rsid w:val="00591ED3"/>
    <w:rsid w:val="005D76BA"/>
    <w:rsid w:val="00612E08"/>
    <w:rsid w:val="006878A8"/>
    <w:rsid w:val="006F678E"/>
    <w:rsid w:val="006F6B62"/>
    <w:rsid w:val="00720322"/>
    <w:rsid w:val="00721B04"/>
    <w:rsid w:val="00723CAF"/>
    <w:rsid w:val="00732001"/>
    <w:rsid w:val="0075197E"/>
    <w:rsid w:val="00761208"/>
    <w:rsid w:val="007756BE"/>
    <w:rsid w:val="007B40C1"/>
    <w:rsid w:val="007C5312"/>
    <w:rsid w:val="007D6F2C"/>
    <w:rsid w:val="007F587A"/>
    <w:rsid w:val="0080042A"/>
    <w:rsid w:val="00865E81"/>
    <w:rsid w:val="00876467"/>
    <w:rsid w:val="008801B5"/>
    <w:rsid w:val="0088092A"/>
    <w:rsid w:val="00881E07"/>
    <w:rsid w:val="008B222D"/>
    <w:rsid w:val="008C79B7"/>
    <w:rsid w:val="009431E3"/>
    <w:rsid w:val="009475F5"/>
    <w:rsid w:val="009717F5"/>
    <w:rsid w:val="0098472E"/>
    <w:rsid w:val="009C424C"/>
    <w:rsid w:val="009E09F7"/>
    <w:rsid w:val="009F4832"/>
    <w:rsid w:val="00A340BB"/>
    <w:rsid w:val="00A413B8"/>
    <w:rsid w:val="00A56B98"/>
    <w:rsid w:val="00A60413"/>
    <w:rsid w:val="00A7788F"/>
    <w:rsid w:val="00AA1269"/>
    <w:rsid w:val="00AA3AFC"/>
    <w:rsid w:val="00AC30D6"/>
    <w:rsid w:val="00B00B6E"/>
    <w:rsid w:val="00B4455F"/>
    <w:rsid w:val="00B547F5"/>
    <w:rsid w:val="00B84F87"/>
    <w:rsid w:val="00BA2BF4"/>
    <w:rsid w:val="00BC7751"/>
    <w:rsid w:val="00C705DF"/>
    <w:rsid w:val="00C71086"/>
    <w:rsid w:val="00C8429A"/>
    <w:rsid w:val="00C86714"/>
    <w:rsid w:val="00C94E4E"/>
    <w:rsid w:val="00CB08AE"/>
    <w:rsid w:val="00CC61B1"/>
    <w:rsid w:val="00CD6E04"/>
    <w:rsid w:val="00CE6AAE"/>
    <w:rsid w:val="00CF1A25"/>
    <w:rsid w:val="00CF6E10"/>
    <w:rsid w:val="00D2313B"/>
    <w:rsid w:val="00D50F1E"/>
    <w:rsid w:val="00D67183"/>
    <w:rsid w:val="00D72AE8"/>
    <w:rsid w:val="00D82D7E"/>
    <w:rsid w:val="00DA75D3"/>
    <w:rsid w:val="00DF357C"/>
    <w:rsid w:val="00E440B4"/>
    <w:rsid w:val="00E64C65"/>
    <w:rsid w:val="00E91C27"/>
    <w:rsid w:val="00ED165A"/>
    <w:rsid w:val="00ED1AC0"/>
    <w:rsid w:val="00ED667F"/>
    <w:rsid w:val="00F50A84"/>
    <w:rsid w:val="00F665CA"/>
    <w:rsid w:val="00F87681"/>
    <w:rsid w:val="00FA02DB"/>
    <w:rsid w:val="00FE66CD"/>
    <w:rsid w:val="00FF4D4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67183"/>
    <w:rPr>
      <w:color w:val="0563C1" w:themeColor="hyperlink"/>
      <w:u w:val="single"/>
    </w:rPr>
  </w:style>
  <w:style w:type="paragraph" w:customStyle="1" w:styleId="title-doc-first">
    <w:name w:val="title-doc-first"/>
    <w:basedOn w:val="Normlny"/>
    <w:rsid w:val="005D76BA"/>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00e1lnychar1">
    <w:name w:val="norm_00e1lny__char1"/>
    <w:rsid w:val="00C705DF"/>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C705DF"/>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C705DF"/>
    <w:pPr>
      <w:spacing w:after="0" w:line="200" w:lineRule="atLeast"/>
    </w:pPr>
    <w:rPr>
      <w:rFonts w:ascii="Times New Roman" w:eastAsia="Times New Roman" w:hAnsi="Times New Roman" w:cs="Times New Roman"/>
      <w:sz w:val="20"/>
      <w:szCs w:val="20"/>
      <w:lang w:eastAsia="sk-SK"/>
    </w:rPr>
  </w:style>
  <w:style w:type="paragraph" w:customStyle="1" w:styleId="z00e1kladn00fd0020text">
    <w:name w:val="z_00e1kladn_00fd_0020text"/>
    <w:basedOn w:val="Normlny"/>
    <w:rsid w:val="00C705DF"/>
    <w:pPr>
      <w:spacing w:after="120" w:line="200" w:lineRule="atLeast"/>
    </w:pPr>
    <w:rPr>
      <w:rFonts w:ascii="Times New Roman" w:eastAsia="Times New Roman" w:hAnsi="Times New Roman" w:cs="Times New Roman"/>
      <w:sz w:val="20"/>
      <w:szCs w:val="20"/>
      <w:lang w:eastAsia="sk-SK"/>
    </w:rPr>
  </w:style>
  <w:style w:type="paragraph" w:styleId="Odsekzoznamu">
    <w:name w:val="List Paragraph"/>
    <w:basedOn w:val="Normlny"/>
    <w:uiPriority w:val="34"/>
    <w:qFormat/>
    <w:rsid w:val="003F7301"/>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531152">
      <w:bodyDiv w:val="1"/>
      <w:marLeft w:val="0"/>
      <w:marRight w:val="0"/>
      <w:marTop w:val="0"/>
      <w:marBottom w:val="0"/>
      <w:divBdr>
        <w:top w:val="none" w:sz="0" w:space="0" w:color="auto"/>
        <w:left w:val="none" w:sz="0" w:space="0" w:color="auto"/>
        <w:bottom w:val="none" w:sz="0" w:space="0" w:color="auto"/>
        <w:right w:val="none" w:sz="0" w:space="0" w:color="auto"/>
      </w:divBdr>
    </w:div>
    <w:div w:id="160387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rahy.nsat.sk/bezpecnost-na-zeleznicnych-specialnych-a-lanovych-drahach/vyrocna-sprava-o-bezpecnosti/"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rahy.nsat.sk/bezpecnost-na-zeleznicnych-specialnych-a-lanovych-drahach/vyrocna-sprava-o-bezpecnost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sat.sk/dopravny-urad-menu-udaje-a-dokumenty/vyrocne-spravy/"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eur-lex.europa.eu/legal-content/SK/AUTO/?uri=celex:32007L0059" TargetMode="External"/><Relationship Id="rId4" Type="http://schemas.openxmlformats.org/officeDocument/2006/relationships/styles" Target="styles.xml"/><Relationship Id="rId9" Type="http://schemas.openxmlformats.org/officeDocument/2006/relationships/hyperlink" Target="https://eur-lex.europa.eu/legal-content/SK/AUTO/?uri=celex:32007L0059" TargetMode="External"/><Relationship Id="rId14" Type="http://schemas.openxmlformats.org/officeDocument/2006/relationships/hyperlink" Target="https://www.mhsr.sk/podnikatelske-prostredie/jednotna-metodika/dokumenty?csrt=16206076106313978259"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7_dolozka_vybranych_vplyvov"/>
    <f:field ref="objsubject" par="" edit="true" text=""/>
    <f:field ref="objcreatedby" par="" text="Horváthová, Andrea, JUDr."/>
    <f:field ref="objcreatedat" par="" text="9.7.2024 13:46:39"/>
    <f:field ref="objchangedby" par="" text="Administrator, System"/>
    <f:field ref="objmodifiedat" par="" text="9.7.2024 13:46:3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F81F256-258A-4545-9BB7-94BA7044B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5460</Words>
  <Characters>31124</Characters>
  <Application>Microsoft Office Word</Application>
  <DocSecurity>0</DocSecurity>
  <Lines>259</Lines>
  <Paragraphs>73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Horváthová, Andrea</cp:lastModifiedBy>
  <cp:revision>2</cp:revision>
  <cp:lastPrinted>2024-06-17T13:29:00Z</cp:lastPrinted>
  <dcterms:created xsi:type="dcterms:W3CDTF">2024-07-02T08:01:00Z</dcterms:created>
  <dcterms:modified xsi:type="dcterms:W3CDTF">2024-07-02T08:01:00Z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 príprave návrhu zákona, ktorým mení a dopĺňa zákon č. 513/2009 Z. z. o&amp;nbsp;dráhach a&amp;nbsp;o&amp;nbsp;zmene a&amp;nbsp;doplnení niektorých zákonov v&amp;nbsp;znení neskorších predpisov a ktorým sa menia a&amp;nbsp;dopĺňajú niektoré zákony prostredníctvom zverejnenej predbežnej informácie (PI/2024/10).&lt;/p&gt;&lt;p style="text-align: justify;"&gt;Po zverejnení predbežnej informácie požiadala o konzultáciu Asociácia železničných dopravcov Slovenska, s ktorou sa následne dňa 05.02.2024 konzultácia uskutočnila za účasti zástupcov Ministerstva hospodárstva Slovenskej republiky.&lt;/p&gt;&lt;p style="text-align: justify;"&gt;Na príprave návrhu zákona sa zúčastnili zástupcovia Dopravného úradu, manažéra železničnej infraštruktúry, železničných podnikov a&amp;nbsp;Asociácie zamestnávateľských zväzov a združení SR.&lt;/p&gt;&lt;p style="text-align: justify;"&gt;Konzultácie boli realizované formou pracovných stretnutí (5. 2. 2024, 6.2.2024, 7.2.2024, 12.02.2024 a 13.02.2024), ako aj prostredníctvom elektronickej komunikácie.&lt;/p&gt;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poradných orgánov vlády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právo_x000d__x000a_Doprava_x000d__x000a_Železničná doprava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Andrea Horváthová</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ktorým sa mení a dopĺňa zákon č. 513/2009 Z. z. o dráhach a o zmene a doplnení niektorých zákonov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Ministerstvo dopravy Slovenskej republiky</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513/2009 Z. z. o dráhach a o zmene a doplnení niektorých zákonov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6659/2024/SZDD/40968 - 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LP/2024/218</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22. 4. 2024</vt:lpwstr>
  </property>
  <property name="FSC#SKEDITIONSLOVLEX@103.510:AttrDateDocPropUkonceniePKK" pid="59" fmtid="{D5CDD505-2E9C-101B-9397-08002B2CF9AE}">
    <vt:lpwstr>6. 5. 2024</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Nesúhlasné</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vlády,_x000d__x000a_minister dopravy </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zákona, ktorým sa mení a&amp;nbsp;dopĺňa zákon č. 513/2009 Z. z. o&amp;nbsp;dráhach a&amp;nbsp;o&amp;nbsp;zmene a&amp;nbsp;doplnení niektorých zákonov v&amp;nbsp;znení neskorších predpisov a ktorým sa menia a&amp;nbsp;dopĺňajú niektoré zákony sa predkladá ako iniciatívny materiál.&lt;/p&gt;&lt;p style="text-align: justify;"&gt;Účelom návrhu zákona je zjednodušiť proces niektorých činností a právnych inštitútov v&amp;nbsp;oblasti dráh a&amp;nbsp;dopravy na dráhe za účelom zníženia administratívnej záťaže dopravcov a&amp;nbsp;iných osôb vykonávajúcich činnosti na dráhe a&amp;nbsp;v&amp;nbsp;doprave na dráhe a&amp;nbsp;zároveň sprehľadniť proces tých činností a právnych inštitútov v&amp;nbsp;oblasti železničných dráh a&amp;nbsp;dopravy na železničnej dráhe, ktoré sú upravené vo vnútroštátnej legislatíve transponovaním smernice Európskeho parlamentu a&amp;nbsp;Rady (EÚ) 2016/797 z&amp;nbsp;11. mája 2016 o&amp;nbsp;interoperabilite železničného systému v&amp;nbsp;Európskej únii (prepracované znenie) (Ú. v. EÚ L 138, 26.5.2016) v&amp;nbsp;platnom znení a smernice Európskeho parlamentu a&amp;nbsp;Rady (EÚ) 2016/798 z&amp;nbsp;11. mája 2016 o&amp;nbsp;bezpečnosti železníc (prepracované znenie) (Ú. v. EÚ L 138, 26.5.2016) v&amp;nbsp;platnom znení a&amp;nbsp;sú bližšie špecifikované vo vykonávacích aktoch, ktoré boli prijaté na základe uvedených smerníc.&lt;/p&gt;&lt;p style="text-align: justify;"&gt;Na základe poznatkov z&amp;nbsp;aplikačnej praxe návrh zákona upravuje nové prerozdelenie špeciálnych dráh za účelom zjednodušenia podmienok na ich prevádzkovanie za súčasného zaručenia bezpečnosti prevádzky a zníženie veku pre osobu, ktorá žiada o&amp;nbsp;vydanie preukazu na železničné vozidlo s&amp;nbsp;obmedzenou územnou pôsobnosťou na územie Slovenskej republiky. Návrh zákona zavádza nový inštitút licencie na zachádzanie na železničnú infraštruktúru, keďže ako ukázala aplikačná prax, doterajšie požiadavky pre prevádzkovateľov vlečiek, ktorí zachádzajú na železničnú sieť, sú neprimerane prísne.&lt;/p&gt;&lt;p style="text-align: justify;"&gt;Predkladaný návrh nemá byť predmetom vnútrokomunitárneho pripomienkového konania.&lt;/p&gt;&lt;p style="text-align: justify;"&gt;Predkladaný návrh zákona je v&amp;nbsp;súlade s&amp;nbsp;Ústavou Slovenskej republiky, ústavnými zákonmi a&amp;nbsp; nálezmi Ústavného súdu Slovenskej republiky, inými zákonmi a medzinárodnými zmluvami a&amp;nbsp;inými medzinárodnými dokumentmi, ktorými je Slovenská republika viazaná, a&amp;nbsp;v&amp;nbsp;súlade s&amp;nbsp;právom Európskej únie.&lt;/p&gt;&lt;p style="text-align: justify;"&gt;Návrh zákona bude mať pozitívny vplyv na rozpočet verejnej správy a&amp;nbsp;pozitívny a&amp;nbsp;negatívny vplyv na podnikateľské prostredie. Nebude mať sociálne vplyvy, ani vplyv na služby verejnej správy pre občana, na informatizáciu spoločnosti, životné prostredie a&amp;nbsp;na manželstvo, rodičovstvo a rodinu.&lt;/p&gt;&lt;p style="text-align: justify;"&gt;Návrh zákona sa predkladá na&amp;nbsp;rokovanie Legislatívnej rady vlády Slovenskej republiky bez&amp;nbsp;rozporov.&lt;/p&gt;&lt;p&gt;&amp;nbsp;&lt;/p&gt;&lt;p&gt;&amp;nbsp;&lt;/p&gt;&lt;p&gt;&amp;nbsp;&lt;/p&gt;</vt:lpwstr>
  </property>
  <property name="FSC#SKEDITIONSLOVLEX@103.510:vytvorenedna" pid="150" fmtid="{D5CDD505-2E9C-101B-9397-08002B2CF9AE}">
    <vt:lpwstr>9. 7. 2024</vt:lpwstr>
  </property>
  <property name="FSC#COOSYSTEM@1.1:Container" pid="151" fmtid="{D5CDD505-2E9C-101B-9397-08002B2CF9AE}">
    <vt:lpwstr>COO.2145.1000.3.6255939</vt:lpwstr>
  </property>
  <property name="FSC#FSCFOLIO@1.1001:docpropproject" pid="152" fmtid="{D5CDD505-2E9C-101B-9397-08002B2CF9AE}">
    <vt:lpwstr/>
  </property>
</Properties>
</file>