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264/2022 Z. z. o mediálnych službách a o zmene a doplnení niektorých zákonov (zákon o mediálnych službách) v znení neskorších predpisov a o zmene a doplnení zákona č. 265/2022 Z. z. o vydavateľoch publikácií a o registri v oblasti médií a audiovízie a o zmene a doplnení niektorých zákonov (zákon o publikáciách)</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LP/2025/65</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71/6</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71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52</w:t>
      </w:r>
      <w:r w:rsidR="00754CB0">
        <w:rPr>
          <w:rFonts w:ascii="Times New Roman" w:eastAsia="Times New Roman" w:hAnsi="Times New Roman" w:cs="Times New Roman"/>
          <w:sz w:val="24"/>
          <w:szCs w:val="24"/>
        </w:rPr>
        <w:t>/4</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4/</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15</w:t>
      </w:r>
      <w:r w:rsidR="004A48F0">
        <w:rPr>
          <w:rFonts w:ascii="Times New Roman" w:eastAsia="Times New Roman" w:hAnsi="Times New Roman" w:cs="Times New Roman"/>
          <w:sz w:val="24"/>
          <w:szCs w:val="24"/>
        </w:rPr>
        <w:t>/2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APKT</w:t>
              <w:br/>
            </w:r>
            <w:r>
              <w:rPr>
                <w:b w:val="off"/>
                <w:color w:val="000000"/>
                <w:rFonts w:ascii="Times New Roman" w:hAnsi="Times New Roman" w:cs="Times New Roman" w:eastAsia="Times New Roman"/>
                <w:sz w:val="24"/>
              </w:rPr>
              <w:t>APKT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140 ods. 2 písmeno a)</w:t>
              <w:br/>
            </w:r>
            <w:r>
              <w:rPr>
                <w:b w:val="off"/>
                <w:color w:val="000000"/>
                <w:rFonts w:ascii="Times New Roman" w:hAnsi="Times New Roman" w:cs="Times New Roman" w:eastAsia="Times New Roman"/>
                <w:sz w:val="24"/>
              </w:rPr>
              <w:t>Doplniť sankciu za porušenie povinnosti podľa §20, odsek 7.</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Sankcia za porušenie tohoto ustanovenia nebola v zákone uvedená.</w:t>
              <w:br/>
            </w:r>
            <w:r>
              <w:rPr>
                <w:b w:val="off"/>
                <w:color w:val="000000"/>
                <w:rFonts w:ascii="Times New Roman" w:hAnsi="Times New Roman" w:cs="Times New Roman" w:eastAsia="Times New Roman"/>
                <w:sz w:val="24"/>
              </w:rPr>
              <w:t>Vysieľateľ uzatvára s prevádzkovateľmi retransmisie obchodné zmluvy na dlhšie obdobie, kde v rozpore s ustanovením §20, ods.7 podmieňuje zaradenie svojich programových služieb inými, vlastnými  programovými službami.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ide svojím obsahom nad rámec navrhovanej právnej úpravy a obsahovo nesúvisí s  cieľom sledovaným navrhovanou právnou úpravou, ktorým je implementácia EMFA.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 2</w:t>
              <w:br/>
            </w:r>
            <w:r>
              <w:rPr>
                <w:b w:val="off"/>
                <w:color w:val="000000"/>
                <w:rFonts w:ascii="Times New Roman" w:hAnsi="Times New Roman" w:cs="Times New Roman" w:eastAsia="Times New Roman"/>
                <w:sz w:val="24"/>
              </w:rPr>
              <w:t>V čl. I bod 2 znie: „2. V § 1 písm. g) sa slová „podľa tohto zákona“ nahrádzajú slovami  „alebo v oblastiach regulovaných týmto zákonom alebo osobitným predpisom1a)“.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1a znie:</w:t>
              <w:br/>
            </w:r>
            <w:r>
              <w:rPr>
                <w:b w:val="off"/>
                <w:color w:val="000000"/>
                <w:rFonts w:ascii="Times New Roman" w:hAnsi="Times New Roman" w:cs="Times New Roman" w:eastAsia="Times New Roman"/>
                <w:sz w:val="24"/>
              </w:rPr>
              <w:t>„1a) Napríklad nariadenie (EÚ) 2024/1083, zákon č. 147/2001 Z. z. o reklame a o zmene a doplnení niektorých zákonov v znení neskorších predpisov, zákon č. 265/2022 Z. z. o vydavateľoch publikácií a o registri v oblasti médií a audiovízie a o zmene a doplnení niektorých zákonov (zákon o publikáciách) v znení zákona č. ...../.....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odkaz 1a sa označuje ako odkaz 1b.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Legislatívno-technické spresnenie textu. Účinné ustanovenie zákona odkazuje na samoreguláciu „pri poskytovaní obsahových služieb podľa tohto zákona“, čo zahŕňa aj samoreguláciu podľa zákona o periodických publikáciách a zákona o reklame, keďže ide o právnu úpravu poskytovania obsahových služieb. Z navrhovanej zmeny textácie na „oblasti podľa tohto zákona“, nie je zrejmé, či ide aj o oblasti regulované nariadením, resp. doterajšiu oblasť „poskytovania obsahových služieb“ regulovanú aj zákonom o publikáciách a zákonom o reklame. Rozumieme tomu tak, že samoregulácia sa má s ohľadom na znenie EMFA rozšíriť aj na iné oblasti, preto navrhujeme rozšírenie textu o tieto oblasti popri pôvodnom znení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 4</w:t>
              <w:br/>
            </w:r>
            <w:r>
              <w:rPr>
                <w:b w:val="off"/>
                <w:color w:val="000000"/>
                <w:rFonts w:ascii="Times New Roman" w:hAnsi="Times New Roman" w:cs="Times New Roman" w:eastAsia="Times New Roman"/>
                <w:sz w:val="24"/>
              </w:rPr>
              <w:t>Zásadne nesúhlasíme so zmenou definície programu a žiadame bod 4 vypustiť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Zmenu definície žiadame vypustiť ako nadbytočnú. Definícia programu v EMFA je autonómnou definíciou, ktorá sa uplatňuje pri aplikácii EMFA. Nevyžaduje si preto implementáciu. Naopak rozšírenie definície programu v národnej legislatíve o podcasty (katalógy podcastov) spôsobí viaceré nezamýšľané problémy v regulácii. Podcasty sú v súčasnosti v národnej regulácii považované za periodické publikácie. Zmenou definície prestanú byť publikáciami, teda zodpovednosť za ne ani nemôže ležať na vydavateľovi periodických publikácií. Na druhej strane, zámerom predkladateľa zrejme nebolo vztiahnuť na podcasty reguláciu platnú pre programy, napr. v oblasti mediálnej komerčnej komunikácie. Vypustenie zmeny definície žiadnym spôsobom neovplyvní rozsah pôsobnosti EMFA, ktorá je kompatibilná už dnes, pokiaľ ide o podcasty, s národnou legislatívou.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 5</w:t>
              <w:br/>
            </w:r>
            <w:r>
              <w:rPr>
                <w:b w:val="off"/>
                <w:color w:val="000000"/>
                <w:rFonts w:ascii="Times New Roman" w:hAnsi="Times New Roman" w:cs="Times New Roman" w:eastAsia="Times New Roman"/>
                <w:sz w:val="24"/>
              </w:rPr>
              <w:t>V čl. I bod 5 znie: „5. V § 10 ods. 1 sa na konci pripája veta, ktorá znie: „Redakčná zodpovednosť je tiež vykonávanie účinnej kontroly poskytovateľom obsahovej služby nad výberom komunikátov novinárskej povahy a iných komunikátov tvoriacich periodickú publikáciu, spravodajský webový portál alebo agentúrny servis a nad usporiadaním týchto komunikátov v rámci poskytovanej obsahovej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ustanovenia vychádza zo zmeny definície programu, ktorá je problematická s ohľadom na zodpovednosť za obsah periodickej publikácie, keďže program nie je periodickou publikáciou. Zároveň návrh nezohľadňuje redakčnú zodpovednosť tlačovej agentúry. Navrhujeme preto legislatívnu úpravu, ktorá vychádza z aktuálnych zodpovednostných vzťahov tak, aby vo všeobecnosti zahŕňala všetkých poskytovateľov médií tak, ako to vyplýva zo zákona o publikáciách.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 6</w:t>
              <w:br/>
            </w:r>
            <w:r>
              <w:rPr>
                <w:b w:val="off"/>
                <w:color w:val="000000"/>
                <w:rFonts w:ascii="Times New Roman" w:hAnsi="Times New Roman" w:cs="Times New Roman" w:eastAsia="Times New Roman"/>
                <w:sz w:val="24"/>
              </w:rPr>
              <w:t>V čl. I bod 6 sa za slovo „publikácie“ vkladá čiarka a slová „agentúrneho servisu“.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opomína tlačové agentúry, ktoré rovnako ako ďalší poskytovatelia mediálnych služieb činia redakčné rozhodnutia.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body 8 až 10</w:t>
              <w:br/>
            </w:r>
            <w:r>
              <w:rPr>
                <w:b w:val="off"/>
                <w:color w:val="000000"/>
                <w:rFonts w:ascii="Times New Roman" w:hAnsi="Times New Roman" w:cs="Times New Roman" w:eastAsia="Times New Roman"/>
                <w:sz w:val="24"/>
              </w:rPr>
              <w:t>V čl. I navrhujeme vypustiť body 8 a 19 bez náhrady, zároveň navrhujeme v bode 9 vypustiť slová „a vypúšťajú sa slová „a reklamný trh““ a v bode 10 vypustiť slová „a slovo „reklamnom“ sa nahrádza slovom „mediálnom““. Zároveň je potrebné umiestniť nad pojem poskytovateľ online platformy odkaz na príslušné ustanovenie DSA.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hľadiska skúmania vplyvu média na pluralitu možno pomerne presne vymedziť parametre reklamného trhu, na rozdiel od mediálneho trhu, kde to vieme len čiastočne. Posudzovanie a meranie reklamného trhu je v súčasnosti dlhodobé, ustálené a podložené dátami a metodikou. Iba technické nahradenie pojmu reklamný trh pojmom mediálny trh preto nie je možné, keďže sa (nielen) ako pojmy neprekrývajú. Vzhľadom na neexistenciu dát, ako aj analýzy, ktorá by testovala hraničné prahy (ktoré sú dnes určené pre reklamný trh) a absenciu metodiky určovania mediálneho trhu, trváme na vypustení, resp. úprave uvedených bodov tak, aby zohľadňovali reálne postavenie média na trhu.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bodu 13 a 45</w:t>
              <w:br/>
            </w:r>
            <w:r>
              <w:rPr>
                <w:b w:val="off"/>
                <w:color w:val="000000"/>
                <w:rFonts w:ascii="Times New Roman" w:hAnsi="Times New Roman" w:cs="Times New Roman" w:eastAsia="Times New Roman"/>
                <w:sz w:val="24"/>
              </w:rPr>
              <w:t>V čl. I bod 13 sa v § 103a na konci pripája odsek 4, ktorý znie:</w:t>
              <w:br/>
            </w:r>
            <w:r>
              <w:rPr>
                <w:b w:val="off"/>
                <w:color w:val="000000"/>
                <w:rFonts w:ascii="Times New Roman" w:hAnsi="Times New Roman" w:cs="Times New Roman" w:eastAsia="Times New Roman"/>
                <w:sz w:val="24"/>
              </w:rPr>
              <w:t xml:space="preserve">„(4) Zadávateľ štátnej reklamy je povinný </w:t>
              <w:br/>
            </w:r>
            <w:r>
              <w:rPr>
                <w:b w:val="off"/>
                <w:color w:val="000000"/>
                <w:rFonts w:ascii="Times New Roman" w:hAnsi="Times New Roman" w:cs="Times New Roman" w:eastAsia="Times New Roman"/>
                <w:sz w:val="24"/>
              </w:rPr>
              <w:t>a)	na svojom webovom sídle alebo webovom sídle na to určenom vopred uverejniť informácie o zámere objednať alebo zadať štátnu reklamu vrátane transparentných, objektívnych, primeraných a nediskriminačných kritérií na obsahovú službu, kde sa zverejní štátna reklama, na poskytovateľa obsahovej služby a na ich výber,</w:t>
              <w:br/>
            </w:r>
            <w:r>
              <w:rPr>
                <w:b w:val="off"/>
                <w:color w:val="000000"/>
                <w:rFonts w:ascii="Times New Roman" w:hAnsi="Times New Roman" w:cs="Times New Roman" w:eastAsia="Times New Roman"/>
                <w:sz w:val="24"/>
              </w:rPr>
              <w:t>b)	pri procese výberu podľa písmena a) uplatniť otvorený, primeraný a nediskriminačný postup, ktorý bude vopred známy,</w:t>
              <w:br/>
            </w:r>
            <w:r>
              <w:rPr>
                <w:b w:val="off"/>
                <w:color w:val="000000"/>
                <w:rFonts w:ascii="Times New Roman" w:hAnsi="Times New Roman" w:cs="Times New Roman" w:eastAsia="Times New Roman"/>
                <w:sz w:val="24"/>
              </w:rPr>
              <w:t>c)	zabezpečiť ľahký, priamy a stály prístup verejnosti k informáciám podľa písmena a) po dobu najmenej troch rokov,</w:t>
              <w:br/>
            </w:r>
            <w:r>
              <w:rPr>
                <w:b w:val="off"/>
                <w:color w:val="000000"/>
                <w:rFonts w:ascii="Times New Roman" w:hAnsi="Times New Roman" w:cs="Times New Roman" w:eastAsia="Times New Roman"/>
                <w:sz w:val="24"/>
              </w:rPr>
              <w:t>d)	zabezpečiť, aby výdavky na štátnu reklamu, ktoré vynaloží v príslušnom kalendárnom roku, distribuoval širokej škále poskytovateľov obsahových služieb zastúpených na relevantnom mediálnom trhu.“.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primerane upraviť ustanovenie o sankciách v čl I bod 45 v § 145e.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EMFA explicitne kladie požiadavky na reguláciu štátnej reklamy, ktoré nespočívajú len v oznamovacej povinnosti, ale aj v povinnostiach zadávateľov štátnej reklamy, pokiaľ ide o jej objednávanie a výdavky na ňu. Navrhujeme preto zohľadniť tieto požiadavky EMFA v legislatívnom texte, osobitne pokiaľ ide o kritériá a spôsob zadávania, kritériá a spôsob výberu a o spôsob nákupu.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 28 (dopl</w:t>
              <w:br/>
            </w:r>
            <w:r>
              <w:rPr>
                <w:b w:val="off"/>
                <w:color w:val="000000"/>
                <w:rFonts w:ascii="Times New Roman" w:hAnsi="Times New Roman" w:cs="Times New Roman" w:eastAsia="Times New Roman"/>
                <w:sz w:val="24"/>
              </w:rPr>
              <w:t xml:space="preserve">V čl. I sa za bod 28 vkladá nový bod 29. ktorý znie: „29. V § 127 ods. 2 sa za slovo „zákona“ vkladajú slová „alebo osobitného predpisu1a)“. </w:t>
              <w:br/>
            </w:r>
            <w:r>
              <w:rPr>
                <w:b w:val="off"/>
                <w:color w:val="000000"/>
                <w:rFonts w:ascii="Times New Roman" w:hAnsi="Times New Roman" w:cs="Times New Roman" w:eastAsia="Times New Roman"/>
                <w:sz w:val="24"/>
              </w:rPr>
              <w:t xml:space="preserve">Ostatné body sa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úprava s ohľadom na EMFA, ktorá je v tomto prípade osobitným predpisom, pričom jej jednotlivé povinnosti sa v zásade nerecipujú. Zároveň sa tým legislatívno-technicky zjednocuje existujúca koregulácia v oblasti obsahových služieb ustanovená osobitnými predpismi tak, aby tieto samoregulačné mechanizmy mohli byť nielen predmetom zápisu, ale aj hodnotenia efektívnosti.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 29</w:t>
              <w:br/>
            </w:r>
            <w:r>
              <w:rPr>
                <w:b w:val="off"/>
                <w:color w:val="000000"/>
                <w:rFonts w:ascii="Times New Roman" w:hAnsi="Times New Roman" w:cs="Times New Roman" w:eastAsia="Times New Roman"/>
                <w:sz w:val="24"/>
              </w:rPr>
              <w:t xml:space="preserve">V čl. I bod 29 sa v úvodnej vete odseku 3 za slová „podľa tohto zákona“ vkladajú slová „alebo osobitného predpisu1a)“ a v písmene b) sa slová „a uplatňovaním práva podľa § 17 ods. 4 a 5“ nahrádzajú slovami „alebo s uplatňovaním práva alebo ochrany podľa tohto zákona alebo osobitného predpisu89a)“.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89a znie:</w:t>
              <w:br/>
            </w:r>
            <w:r>
              <w:rPr>
                <w:b w:val="off"/>
                <w:color w:val="000000"/>
                <w:rFonts w:ascii="Times New Roman" w:hAnsi="Times New Roman" w:cs="Times New Roman" w:eastAsia="Times New Roman"/>
                <w:sz w:val="24"/>
              </w:rPr>
              <w:t>„89a) Napríklad čl. 4 nariadenia (EÚ) 2024/1083, § 6 zákona č. 265/2022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Legislatívno-technická zmena, ktorou sa precizuje text tak, aby zodpovedal požiadavke EMFA. Je zrejmé, že ochrana zdroja nesúvisí len s úpravou v zákone o mediálnych službách, keďže práva naviazané na ochranu zdroja sú zahrnuté tak v EMFA, ako aj v zákone o publikáciách. Je preto potrebné samoregulačný mechanizmus, ak má splniť požiadavky EMFA, koncipovať v nadväznosti na celú úpravu reflektujúcu EMFA.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 30 a súv</w:t>
              <w:br/>
            </w:r>
            <w:r>
              <w:rPr>
                <w:b w:val="off"/>
                <w:color w:val="000000"/>
                <w:rFonts w:ascii="Times New Roman" w:hAnsi="Times New Roman" w:cs="Times New Roman" w:eastAsia="Times New Roman"/>
                <w:sz w:val="24"/>
              </w:rPr>
              <w:t xml:space="preserve">V čl. I bode 30 sa v úvodnej vete bodu slová „vkladá nový odsek 3, ktorý znie:“ nahrádzajú slovami „vkladajú nové odseky 3 a 4, ktoré znejú:“ a za odsek 3 sa vkladá odsek 4, ktorý znie: </w:t>
              <w:br/>
            </w:r>
            <w:r>
              <w:rPr>
                <w:b w:val="off"/>
                <w:color w:val="000000"/>
                <w:rFonts w:ascii="Times New Roman" w:hAnsi="Times New Roman" w:cs="Times New Roman" w:eastAsia="Times New Roman"/>
                <w:sz w:val="24"/>
              </w:rPr>
              <w:t xml:space="preserve">„(4) Regulátor zapíše do evidencie aj kódex, ktorý je samoregulačným systémom pravidiel podľa § 127 ods. 2 písm. b), ak </w:t>
              <w:br/>
            </w:r>
            <w:r>
              <w:rPr>
                <w:b w:val="off"/>
                <w:color w:val="000000"/>
                <w:rFonts w:ascii="Times New Roman" w:hAnsi="Times New Roman" w:cs="Times New Roman" w:eastAsia="Times New Roman"/>
                <w:sz w:val="24"/>
              </w:rPr>
              <w:t>a) sa uplatňuje viacerými poskytovateľmi obsahových služieb najmenej jeden rok pod kontrolou samoregulačného orgánu, ktorý je združením právnických osôb alebo mimovládnou neziskovou organizáciou,</w:t>
              <w:br/>
            </w:r>
            <w:r>
              <w:rPr>
                <w:b w:val="off"/>
                <w:color w:val="000000"/>
                <w:rFonts w:ascii="Times New Roman" w:hAnsi="Times New Roman" w:cs="Times New Roman" w:eastAsia="Times New Roman"/>
                <w:sz w:val="24"/>
              </w:rPr>
              <w:t>b) má zavedený mechanizmus pravidelného a transparentného monitorovania jeho využívania a nezávislého hodnotenia výsledkov jeho uplatňovania, ktoré sú verejne prístupné, a</w:t>
              <w:br/>
            </w:r>
            <w:r>
              <w:rPr>
                <w:b w:val="off"/>
                <w:color w:val="000000"/>
                <w:rFonts w:ascii="Times New Roman" w:hAnsi="Times New Roman" w:cs="Times New Roman" w:eastAsia="Times New Roman"/>
                <w:sz w:val="24"/>
              </w:rPr>
              <w:t>c) samoregulačný orgán v žiadosti preukáže splnenie podmienok podľa písmen a) a b); ustanovenie odseku 5 sa v takom prípade nepoužije.“.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3 až 12 sa označujú ako odseky  5 až 14.</w:t>
              <w:br/>
            </w:r>
            <w:r>
              <w:rPr>
                <w:b w:val="off"/>
                <w:color w:val="000000"/>
                <w:rFonts w:ascii="Times New Roman" w:hAnsi="Times New Roman" w:cs="Times New Roman" w:eastAsia="Times New Roman"/>
                <w:sz w:val="24"/>
              </w:rPr>
              <w:t xml:space="preserve">Primerane tomu (vzhľadom na prečíslovanie odsekov)je potrebné upraviť v čl. I aj body 31 až 36.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Je potrebné upraviť samostatne podmienky pre kódex v oblasti uplatňovania práv (§ 127 ods. 3 písm. b/), keďže primárne nejde o dodržiavanie povinností, ale o ochranu pri uplatňovaní práv, resp. asistenciu pri súdnej ochrane. Od samoregulačného systému, ktorý ma napomáhať súdnu ochranu, je preto možné očakávať dobrú prax a štatistické výstupy, nie je preto logicky možné vyžadovať najmä sankcie spojené s porušovaním kódexu. Rovnako v tomto prípade je potrebné hovoriť o uplatňovaní kódexu, nie o dodržiavaní kódexu, preto ani požiadavky týkajúce sa „dodržiavania“ nemajú opodstatnenie.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ARS</w:t>
              <w:br/>
            </w:r>
            <w:r>
              <w:rPr>
                <w:b w:val="off"/>
                <w:color w:val="000000"/>
                <w:rFonts w:ascii="Times New Roman" w:hAnsi="Times New Roman" w:cs="Times New Roman" w:eastAsia="Times New Roman"/>
                <w:sz w:val="24"/>
              </w:rPr>
              <w:t>Asociácia rádií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analýze vplyvu na podnikateľského prostredia a ustanovenia súvisiace s čl. I bod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analýzu podnikateľského prostredia, v prípadoch týkajúcich sa poskytovateľov systémov meraní sledovanosti analýza vychádza z výpočtov za jediný subjekt. Už v súčasnosti však na trhu pôsobia viaceré subjekty, ktoré spadajú pod definíciu, a nie sú zároveň tzv. proprietárnymi poskytovateľmi. Analýza tak vytvára mylnú predstavu o tom, že regulácia sa v súčasnosti týka jediného subjektu, resp. merania sledovanosti (peoplemetrové merania), čo nezodpovedá skutočnosti. Podľa EMFA je pritom „meranie sledovanosti“ činnosťou získavania, interpretovania alebo iného spracúvania údajov o počte a vlastnostiach používateľov mediálnych služieb alebo používateľov obsahu na online platformách na účely rozhodovania o prideľovaní, cenách, nákupe alebo predaji reklamy, alebo rozhodovania o plánovaní alebo distribúcii obsahu. Návrh tiež úplne opomenul proprietárne merania publika, keďže ich nezahrnul do analýzy.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Požadujeme preto návrh upraviť tak, aby bolo aj zo sprievodnej dokumentácie (analýza vplyvov, dôvodová správa) zrejmé, kto spadá pod reguláciu. Keďže návrh ustanovuje oznamovaciu povinnosť poskytovateľa voči regulátorovi, je dôležité, aby bolo úplne zrejmé, okruhu akých subjektov už v súčasnosti sa regulácia týka. Tiež odporúčame zohľadniť existenciu proprietárnych systémom meraní, napr. v rámci evidencie.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s ohľadom na predpokladanú ohlasovaciu povinnosť v čl. I bode 7, upraviť zodpovedajúcim spôsobom aj evidenciu v § 125 ods. 1 až 3, ktorú je potrebné rozšíriť o poskytovateľov systémom merania sledovanosti (vrátane proprietárnych), ako aj § 21 ods. 1 zákona o publikáciách. Uvedené je dôležité s ohľadom na práva používateľov, pokiaľ ide o proprietárne meranie sledovanosti (návštevnosti).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V analýze sa úplne opomína napríklad existencia merania návštevnosti on-line tlače (IAB Slovakia), či počúvanosti rozhlasového vysielania. Hoci definícia (v angl. verzii audience measurement) podľa EMFA zahŕňa systémy merania akéhokoľvek publika (konzumácie obsahov), predložený návrh (analýza vplyvov) ostáva len v rovine „sledovanosti“. Podľa analýzy vplyvu na podnikateľské prostredie sa totiž povinnosť informovať regulátora o výkone činnosti merania sledovanosti, ako aj povinnosť na požiadanie poskytnúť regulátorovi metodiku merania sledovanosti dotkne jediného subjektu (meranie TV peoplemetrami). </w:t>
              <w:br/>
            </w:r>
            <w:r>
              <w:rPr>
                <w:b w:val="off"/>
                <w:color w:val="000000"/>
                <w:rFonts w:ascii="Times New Roman" w:hAnsi="Times New Roman" w:cs="Times New Roman" w:eastAsia="Times New Roman"/>
                <w:sz w:val="24"/>
              </w:rPr>
              <w:t>Pokiaľ ide o evidenciu, ktorá tvorí súčasť registra médií, rozšírenie regulácie o systémy meraní sledovanosti by malo reflektovať aj okruh verejne dostupných informácií o týchto subjektoch a ich systémoch, predovšetkým s ohľadom na proprietárne merania. Je preto nutné upraviť § 125 zákona o mediálnych službách, ako aj § 21 zákona o publikáciách.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 2</w:t>
              <w:br/>
            </w:r>
            <w:r>
              <w:rPr>
                <w:b w:val="off"/>
                <w:color w:val="000000"/>
                <w:rFonts w:ascii="Times New Roman" w:hAnsi="Times New Roman" w:cs="Times New Roman" w:eastAsia="Times New Roman"/>
                <w:sz w:val="24"/>
              </w:rPr>
              <w:t>V čl. I bod 2 znie: „2. V § 1 písm. g) sa slová „podľa tohto zákona“ nahrádzajú slovami  „alebo v oblastiach regulovaných týmto zákonom alebo osobitným predpisom1a)“.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1a znie:</w:t>
              <w:br/>
            </w:r>
            <w:r>
              <w:rPr>
                <w:b w:val="off"/>
                <w:color w:val="000000"/>
                <w:rFonts w:ascii="Times New Roman" w:hAnsi="Times New Roman" w:cs="Times New Roman" w:eastAsia="Times New Roman"/>
                <w:sz w:val="24"/>
              </w:rPr>
              <w:t>„1a) Napríklad nariadenie (EÚ) 2024/1083, zákon č. 147/2001 Z. z. o reklame a o zmene a doplnení niektorých zákonov v znení neskorších predpisov, zákon č. 265/2022 Z. z. o vydavateľoch publikácií a o registri v oblasti médií a audiovízie a o zmene a doplnení niektorých zákonov (zákon o publikáciách) v znení zákona č. ...../.....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Doterajší odkaz 1a sa označuje ako odkaz 1b.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Legislatívno-technické spresnenie textu. Účinné ustanovenie zákona odkazuje na samoreguláciu „pri poskytovaní obsahových služieb podľa tohto zákona“, čo zahŕňa aj samoreguláciu podľa zákona o periodických publikáciách a zákona o reklame, keďže ide o právnu úpravu poskytovania obsahových služieb. Z navrhovanej zmeny textácie na „oblasti podľa tohto zákona“, nie je zrejmé, či ide aj o oblasti regulované nariadením, resp. doterajšiu oblasť „poskytovania obsahových služieb“ regulovanú aj zákonom o publikáciách a zákonom o reklame. Rozumieme tomu tak, že samoregulácia sa má s ohľadom na znenie EMFA rozšíriť aj na iné oblasti, preto navrhujeme rozšírenie textu o tieto oblasti popri pôvodnom znení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 4</w:t>
              <w:br/>
            </w:r>
            <w:r>
              <w:rPr>
                <w:b w:val="off"/>
                <w:color w:val="000000"/>
                <w:rFonts w:ascii="Times New Roman" w:hAnsi="Times New Roman" w:cs="Times New Roman" w:eastAsia="Times New Roman"/>
                <w:sz w:val="24"/>
              </w:rPr>
              <w:t>Zásadne nesúhlasíme so zmenou definície programu a žiadame bod 4 vypustiť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Zmenu definície žiadame vypustiť ako nadbytočnú. Definícia programu v EMFA je autonómnou definíciou, ktorá sa uplatňuje pri aplikácii EMFA. Nevyžaduje si preto implementáciu. Naopak rozšírenie definície programu v národnej legislatíve o podcasty (katalógy podcastov) spôsobí viaceré nezamýšľané problémy v regulácii. Podcasty sú v súčasnosti v národnej regulácii považované za periodické publikácie. Zmenou definície prestanú byť publikáciami, teda zodpovednosť za ne ani nemôže ležať na vydavateľovi periodických publikácií. Na druhej strane, zámerom predkladateľa zrejme nebolo vztiahnuť na podcasty reguláciu platnú pre programy, napr. v oblasti mediálnej komerčnej komunikácie. Vypustenie zmeny definície žiadnym spôsobom neovplyvní rozsah pôsobnosti EMFA, ktorá je kompatibilná už dnes, pokiaľ ide o podcasty, s národnou legislatívou.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 5</w:t>
              <w:br/>
            </w:r>
            <w:r>
              <w:rPr>
                <w:b w:val="off"/>
                <w:color w:val="000000"/>
                <w:rFonts w:ascii="Times New Roman" w:hAnsi="Times New Roman" w:cs="Times New Roman" w:eastAsia="Times New Roman"/>
                <w:sz w:val="24"/>
              </w:rPr>
              <w:t>V čl. I bod 5 znie: „5. V § 10 ods. 1 sa na konci pripája veta, ktorá znie: „Redakčná zodpovednosť je tiež vykonávanie účinnej kontroly poskytovateľom obsahovej služby nad výberom komunikátov novinárskej povahy a iných komunikátov tvoriacich periodickú publikáciu, spravodajský webový portál alebo agentúrny servis a nad usporiadaním týchto komunikátov v rámci poskytovanej obsahovej služby.“.“.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ustanovenia vychádza zo zmeny definície programu, ktorá je problematická s ohľadom na zodpovednosť za obsah periodickej publikácie, keďže program nie je periodickou publikáciou. Zároveň návrh nezohľadňuje redakčnú zodpovednosť tlačovej agentúry. Navrhujeme preto legislatívnu úpravu, ktorá vychádza z aktuálnych zodpovednostných vzťahov tak, aby vo všeobecnosti zahŕňala všetkých poskytovateľov médií tak, ako to vyplýva zo zákona o publikáciách.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 6</w:t>
              <w:br/>
            </w:r>
            <w:r>
              <w:rPr>
                <w:b w:val="off"/>
                <w:color w:val="000000"/>
                <w:rFonts w:ascii="Times New Roman" w:hAnsi="Times New Roman" w:cs="Times New Roman" w:eastAsia="Times New Roman"/>
                <w:sz w:val="24"/>
              </w:rPr>
              <w:t>V čl. I bod 6 sa za slovo „publikácie“ vkladá čiarka a slová „agentúrneho servisu“.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opomína tlačové agentúry, ktoré rovnako ako ďalší poskytovatelia mediálnych služieb činia redakčné rozhodnutia.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body 8 až 10</w:t>
              <w:br/>
            </w:r>
            <w:r>
              <w:rPr>
                <w:b w:val="off"/>
                <w:color w:val="000000"/>
                <w:rFonts w:ascii="Times New Roman" w:hAnsi="Times New Roman" w:cs="Times New Roman" w:eastAsia="Times New Roman"/>
                <w:sz w:val="24"/>
              </w:rPr>
              <w:t>V čl. I navrhujeme vypustiť body 8 a 19 bez náhrady, zároveň navrhujeme v bode 9 vypustiť slová „a vypúšťajú sa slová „a reklamný trh““ a v bode 10 vypustiť slová „a slovo „reklamnom“ sa nahrádza slovom „mediálnom““. Zároveň je potrebné umiestniť nad pojem poskytovateľ online platformy odkaz na príslušné ustanovenie DSA.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hľadiska skúmania vplyvu média na pluralitu možno pomerne presne vymedziť parametre reklamného trhu, na rozdiel od mediálneho trhu, kde to vieme len čiastočne. Posudzovanie a meranie reklamného trhu je v súčasnosti dlhodobé, ustálené a podložené dátami a metodikou. Iba technické nahradenie pojmu reklamný trh pojmom mediálny trh preto nie je možné, keďže sa (nielen) ako pojmy neprekrývajú. Vzhľadom na neexistenciu dát, ako aj analýzy, ktorá by testovala hraničné prahy (ktoré sú dnes určené pre reklamný trh) a absenciu metodiky určovania mediálneho trhu, trváme na vypustení, resp. úprave uvedených bodov tak, aby zohľadňovali reálne postavenie média na trhu.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bodu 13 a 45</w:t>
              <w:br/>
            </w:r>
            <w:r>
              <w:rPr>
                <w:b w:val="off"/>
                <w:color w:val="000000"/>
                <w:rFonts w:ascii="Times New Roman" w:hAnsi="Times New Roman" w:cs="Times New Roman" w:eastAsia="Times New Roman"/>
                <w:sz w:val="24"/>
              </w:rPr>
              <w:t>V čl. I bod 13 sa v § 103a na konci pripája odsek 4,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Zadávateľ štátnej reklamy je povinný </w:t>
              <w:br/>
            </w:r>
            <w:r>
              <w:rPr>
                <w:b w:val="off"/>
                <w:color w:val="000000"/>
                <w:rFonts w:ascii="Times New Roman" w:hAnsi="Times New Roman" w:cs="Times New Roman" w:eastAsia="Times New Roman"/>
                <w:sz w:val="24"/>
              </w:rPr>
              <w:t>a)	na svojom webovom sídle alebo webovom sídle na to určenom vopred uverejniť informácie o zámere objednať alebo zadať štátnu reklamu vrátane transparentných, objektívnych, primeraných a nediskriminačných kritérií na obsahovú službu, kde sa zverejní štátna reklama, na poskytovateľa obsahovej služby a na ich výber,</w:t>
              <w:br/>
            </w:r>
            <w:r>
              <w:rPr>
                <w:b w:val="off"/>
                <w:color w:val="000000"/>
                <w:rFonts w:ascii="Times New Roman" w:hAnsi="Times New Roman" w:cs="Times New Roman" w:eastAsia="Times New Roman"/>
                <w:sz w:val="24"/>
              </w:rPr>
              <w:t>b)	pri procese výberu podľa písmena a) uplatniť otvorený, primeraný a nediskriminačný postup, ktorý bude vopred známy,</w:t>
              <w:br/>
            </w:r>
            <w:r>
              <w:rPr>
                <w:b w:val="off"/>
                <w:color w:val="000000"/>
                <w:rFonts w:ascii="Times New Roman" w:hAnsi="Times New Roman" w:cs="Times New Roman" w:eastAsia="Times New Roman"/>
                <w:sz w:val="24"/>
              </w:rPr>
              <w:t>c)	zabezpečiť ľahký, priamy a stály prístup verejnosti k informáciám podľa písmena a) po dobu najmenej troch rokov,</w:t>
              <w:br/>
            </w:r>
            <w:r>
              <w:rPr>
                <w:b w:val="off"/>
                <w:color w:val="000000"/>
                <w:rFonts w:ascii="Times New Roman" w:hAnsi="Times New Roman" w:cs="Times New Roman" w:eastAsia="Times New Roman"/>
                <w:sz w:val="24"/>
              </w:rPr>
              <w:t>d)	zabezpečiť, aby výdavky na štátnu reklamu, ktoré vynaloží v príslušnom kalendárnom roku, distribuoval širokej škále poskytovateľov obsahových služieb zastúpených na relevantnom mediálnom trhu.“.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je potrebné primerane upraviť ustanovenie o sankciách v čl I bod 45 v § 145e.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Odovodnenie: </w:t>
              <w:br/>
            </w:r>
            <w:r>
              <w:rPr>
                <w:b w:val="off"/>
                <w:color w:val="000000"/>
                <w:rFonts w:ascii="Times New Roman" w:hAnsi="Times New Roman" w:cs="Times New Roman" w:eastAsia="Times New Roman"/>
                <w:sz w:val="24"/>
              </w:rPr>
              <w:t xml:space="preserve">EMFA explicitne kladie požiadavky na reguláciu štátnej reklamy, ktoré nespočívajú len v oznamovacej povinnosti, ale aj v povinnostiach zadávateľov štátnej reklamy, pokiaľ ide o jej objednávanie a výdavky na ňu. Navrhujeme preto zohľadniť tieto požiadavky EMFA v legislatívnom texte, osobitne pokiaľ ide o kritériá a spôsob zadávania, kritériá a spôsob výberu a o spôsob nákupu.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 28 (dopl</w:t>
              <w:br/>
            </w:r>
            <w:r>
              <w:rPr>
                <w:b w:val="off"/>
                <w:color w:val="000000"/>
                <w:rFonts w:ascii="Times New Roman" w:hAnsi="Times New Roman" w:cs="Times New Roman" w:eastAsia="Times New Roman"/>
                <w:sz w:val="24"/>
              </w:rPr>
              <w:t xml:space="preserve">V čl. I sa za bod 28 vkladá nový bod 29. ktorý znie: „29. V § 127 ods. 2 sa za slovo „zákona“ vkladajú slová „alebo osobitného predpisu1a)“. </w:t>
              <w:br/>
            </w:r>
            <w:r>
              <w:rPr>
                <w:b w:val="off"/>
                <w:color w:val="000000"/>
                <w:rFonts w:ascii="Times New Roman" w:hAnsi="Times New Roman" w:cs="Times New Roman" w:eastAsia="Times New Roman"/>
                <w:sz w:val="24"/>
              </w:rPr>
              <w:t xml:space="preserve">Ostatné body sa prečíslujú.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Odovodnenie: </w:t>
              <w:br/>
            </w:r>
            <w:r>
              <w:rPr>
                <w:b w:val="off"/>
                <w:color w:val="000000"/>
                <w:rFonts w:ascii="Times New Roman" w:hAnsi="Times New Roman" w:cs="Times New Roman" w:eastAsia="Times New Roman"/>
                <w:sz w:val="24"/>
              </w:rPr>
              <w:t>Legislatívno-technická úprava s ohľadom na EMFA, ktorá je v tomto prípade osobitným predpisom, pričom jej jednotlivé povinnosti sa v zásade nerecipujú. Zároveň sa tým legislatívno-technicky zjednocuje existujúca koregulácia v oblasti obsahových služieb ustanovená osobitnými predpismi tak, aby tieto samoregulačné mechanizmy mohli byť nielen predmetom zápisu, ale aj hodnotenia efektívnosti.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 29</w:t>
              <w:br/>
            </w:r>
            <w:r>
              <w:rPr>
                <w:b w:val="off"/>
                <w:color w:val="000000"/>
                <w:rFonts w:ascii="Times New Roman" w:hAnsi="Times New Roman" w:cs="Times New Roman" w:eastAsia="Times New Roman"/>
                <w:sz w:val="24"/>
              </w:rPr>
              <w:t xml:space="preserve">V čl. I bod 29 sa v úvodnej vete odseku 3 za slová „podľa tohto zákona“ vkladajú slová „alebo osobitného predpisu1a)“ a v písmene b) sa slová „a uplatňovaním práva podľa § 17 ods. 4 a 5“ nahrádzajú slovami „alebo s uplatňovaním práva alebo ochrany podľa tohto zákona alebo osobitného predpisu89a)“.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89a znie:</w:t>
              <w:br/>
            </w:r>
            <w:r>
              <w:rPr>
                <w:b w:val="off"/>
                <w:color w:val="000000"/>
                <w:rFonts w:ascii="Times New Roman" w:hAnsi="Times New Roman" w:cs="Times New Roman" w:eastAsia="Times New Roman"/>
                <w:sz w:val="24"/>
              </w:rPr>
              <w:t>„89a) Napríklad čl. 4 nariadenia (EÚ) 2024/1083, § 6 zákona č. 265/2022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Legislatívno-technická zmena, ktorou sa precizuje text tak, aby zodpovedal požiadavke EMFA. Je zrejmé, že ochrana zdroja nesúvisí len s úpravou v zákone o mediálnych službách, keďže práva naviazané na ochranu zdroja sú zahrnuté tak v EMFA, ako aj v zákone o publikáciách. Je preto potrebné samoregulačný mechanizmus, ak má splniť požiadavky EMFA, koncipovať v nadväznosti na celú úpravu reflektujúcu EMFA.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K čl. I bod 30 a súv</w:t>
              <w:br/>
            </w:r>
            <w:r>
              <w:rPr>
                <w:b w:val="off"/>
                <w:color w:val="000000"/>
                <w:rFonts w:ascii="Times New Roman" w:hAnsi="Times New Roman" w:cs="Times New Roman" w:eastAsia="Times New Roman"/>
                <w:sz w:val="24"/>
              </w:rPr>
              <w:t xml:space="preserve">V čl. I bode 30 sa v úvodnej vete bodu slová „vkladá nový odsek 3, ktorý znie:“ nahrádzajú slovami „vkladajú nové odseky 3 a 4, ktoré znejú:“ a za odsek 3 sa vkladá odsek 4, ktorý znie: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Regulátor zapíše do evidencie aj kódex, ktorý je samoregulačným systémom pravidiel podľa § 127 ods. 2 písm. b), ak </w:t>
              <w:br/>
            </w:r>
            <w:r>
              <w:rPr>
                <w:b w:val="off"/>
                <w:color w:val="000000"/>
                <w:rFonts w:ascii="Times New Roman" w:hAnsi="Times New Roman" w:cs="Times New Roman" w:eastAsia="Times New Roman"/>
                <w:sz w:val="24"/>
              </w:rPr>
              <w:t>a) sa uplatňuje viacerými poskytovateľmi obsahových služieb najmenej jeden rok pod kontrolou samoregulačného orgánu, ktorý je združením právnických osôb alebo mimovládnou neziskovou organizáciou,</w:t>
              <w:br/>
            </w:r>
            <w:r>
              <w:rPr>
                <w:b w:val="off"/>
                <w:color w:val="000000"/>
                <w:rFonts w:ascii="Times New Roman" w:hAnsi="Times New Roman" w:cs="Times New Roman" w:eastAsia="Times New Roman"/>
                <w:sz w:val="24"/>
              </w:rPr>
              <w:t>b) má zavedený mechanizmus pravidelného a transparentného monitorovania jeho využívania a nezávislého hodnotenia výsledkov jeho uplatňovania, ktoré sú verejne prístupné, a</w:t>
              <w:br/>
            </w:r>
            <w:r>
              <w:rPr>
                <w:b w:val="off"/>
                <w:color w:val="000000"/>
                <w:rFonts w:ascii="Times New Roman" w:hAnsi="Times New Roman" w:cs="Times New Roman" w:eastAsia="Times New Roman"/>
                <w:sz w:val="24"/>
              </w:rPr>
              <w:t>c) samoregulačný orgán v žiadosti preukáže splnenie podmienok podľa písmen a) a b); ustanovenie odseku 5 sa v takom prípade nepoužije.“.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odseky 3 až 12 sa označujú ako odseky  5 až 14.</w:t>
              <w:br/>
            </w:r>
            <w:r>
              <w:rPr>
                <w:b w:val="off"/>
                <w:color w:val="000000"/>
                <w:rFonts w:ascii="Times New Roman" w:hAnsi="Times New Roman" w:cs="Times New Roman" w:eastAsia="Times New Roman"/>
                <w:sz w:val="24"/>
              </w:rPr>
              <w:t xml:space="preserve">Primerane tomu (vzhľadom na prečíslovanie odsekov)je potrebné upraviť v čl. I aj body 31 až 36.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Je potrebné upraviť samostatne podmienky pre kódex v oblasti uplatňovania práv (§ 127 ods. 3 písm. b/), keďže primárne nejde o dodržiavanie povinností, ale o ochranu pri uplatňovaní práv, resp. asistenciu pri súdnej ochrane. Od samoregulačného systému, ktorý ma napomáhať súdnu ochranu, je preto možné očakávať dobrú prax a štatistické výstupy, nie je preto logicky možné vyžadovať najmä sankcie spojené s porušovaním kódexu. Rovnako v tomto prípade je potrebné hovoriť o uplatňovaní kódexu, nie o dodržiavaní kódexu, preto ani požiadavky týkajúce sa „dodržiavania“ nemajú opodstatnenie.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ATVS</w:t>
              <w:br/>
            </w:r>
            <w:r>
              <w:rPr>
                <w:b w:val="off"/>
                <w:color w:val="000000"/>
                <w:rFonts w:ascii="Times New Roman" w:hAnsi="Times New Roman" w:cs="Times New Roman" w:eastAsia="Times New Roman"/>
                <w:sz w:val="24"/>
              </w:rPr>
              <w:t>Asociácia televíznych vysielateľov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analýze vplyvu na podnikateľského prostredia a ustanovenia súvisiace s čl. I bod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analýzu podnikateľského prostredia, v prípadoch týkajúcich sa poskytovateľov systémov meraní sledovanosti analýza vychádza z výpočtov za jediný subjekt. Už v súčasnosti však na trhu pôsobia viaceré subjekty, ktoré spadajú pod definíciu, a nie sú zároveň tzv. proprietárnymi poskytovateľmi. Analýza tak vytvára mylnú predstavu o tom, že regulácia sa v súčasnosti týka jediného subjektu, resp. merania sledovanosti (peoplemetrové merania), čo nezodpovedá skutočnosti. Podľa EMFA je pritom „meranie sledovanosti“ činnosťou získavania, interpretovania alebo iného spracúvania údajov o počte a vlastnostiach používateľov mediálnych služieb alebo používateľov obsahu na online platformách na účely rozhodovania o prideľovaní, cenách, nákupe alebo predaji reklamy, alebo rozhodovania o plánovaní alebo distribúcii obsahu. Návrh tiež úplne opomenul proprietárne merania publika, keďže ich nezahrnul do analýzy.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Požadujeme preto návrh upraviť tak, aby bolo aj zo sprievodnej dokumentácie (analýza vplyvov, dôvodová správa) zrejmé, kto spadá pod reguláciu. Keďže návrh ustanovuje oznamovaciu povinnosť poskytovateľa voči regulátorovi, je dôležité, aby bolo úplne zrejmé, okruhu akých subjektov už v súčasnosti sa regulácia týka. Tiež odporúčame zohľadniť existenciu proprietárnych systémom meraní, napr. v rámci evidencie.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s ohľadom na predpokladanú ohlasovaciu povinnosť v čl. I bode 7, upraviť zodpovedajúcim spôsobom aj evidenciu v § 125 ods. 1 až 3, ktorú je potrebné rozšíriť o poskytovateľov systémom merania sledovanosti (vrátane proprietárnych), ako aj § 21 ods. 1 zákona o publikáciách. Uvedené je dôležité s ohľadom na práva používateľov, pokiaľ ide o proprietárne meranie sledovanosti (návštevnosti).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analýze sa úplne opomína napríklad existencia merania návštevnosti on-line tlače (IAB Slovakia), či počúvanosti rozhlasového vysielania. Hoci definícia (v angl. verzii audience measurement) podľa EMFA zahŕňa systémy merania akéhokoľvek publika (konzumácie obsahov), predložený návrh (analýza vplyvov) ostáva len v rovine „sledovanosti“. Podľa analýzy vplyvu na podnikateľské prostredie sa totiž povinnosť informovať regulátora o výkone činnosti merania sledovanosti, ako aj povinnosť na požiadanie poskytnúť regulátorovi metodiku merania sledovanosti dotkne jediného subjektu (meranie TV peoplemetrami). </w:t>
              <w:br/>
            </w:r>
            <w:r>
              <w:rPr>
                <w:b w:val="off"/>
                <w:color w:val="000000"/>
                <w:rFonts w:ascii="Times New Roman" w:hAnsi="Times New Roman" w:cs="Times New Roman" w:eastAsia="Times New Roman"/>
                <w:sz w:val="24"/>
              </w:rPr>
              <w:t>Pokiaľ ide o evidenciu, ktorá tvorí súčasť registra médií, rozšírenie regulácie o systémy meraní sledovanosti by malo reflektovať aj okruh verejne dostupných informácií o týchto subjektoch a ich systémoch, predovšetkým s ohľadom na proprietárne merania. Je preto nutné upraviť § 125 zákona o mediálnych službách, ako aj § 21 zákona o publikáciách.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Bod 13 § §103a ods. 1</w:t>
              <w:br/>
            </w:r>
            <w:r>
              <w:rPr>
                <w:b w:val="off"/>
                <w:color w:val="000000"/>
                <w:rFonts w:ascii="Times New Roman" w:hAnsi="Times New Roman" w:cs="Times New Roman" w:eastAsia="Times New Roman"/>
                <w:sz w:val="24"/>
              </w:rPr>
              <w:t>Ustanovenie § 103a ods. 1 navrhujeme v súlade s článkom 6 ods. 1 písm. d) EMFA odkazovať len na príjmy z reklamy nie na mediálnu komerčnú komunikáciu a iné formy propagácie.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ZMS nedefinuje pojem reklama a v zmysle § 225 ods. 4 ZMS sa na mediálnu komerčnú komunikáciu podľa tohto zákona nevzťahuje všeobecný predpis o reklame. Navyše z recitálu č. 13 EMFA vyplýva, že štátna reklama by sa všeobecne mala chápať ako propagačné alebo</w:t>
              <w:br/>
            </w:r>
            <w:r>
              <w:rPr>
                <w:b w:val="off"/>
                <w:color w:val="000000"/>
                <w:rFonts w:ascii="Times New Roman" w:hAnsi="Times New Roman" w:cs="Times New Roman" w:eastAsia="Times New Roman"/>
                <w:sz w:val="24"/>
              </w:rPr>
              <w:t>sebapropagačné činnosti, oznámenia pre verejnosť alebo informačné kampane. Na základe uvedeného považujeme za potrebné v § 103a ods. 1 odkazovať aj na iné formy propagácie.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Bod 42 § §133h</w:t>
              <w:br/>
            </w:r>
            <w:r>
              <w:rPr>
                <w:b w:val="off"/>
                <w:color w:val="000000"/>
                <w:rFonts w:ascii="Times New Roman" w:hAnsi="Times New Roman" w:cs="Times New Roman" w:eastAsia="Times New Roman"/>
                <w:sz w:val="24"/>
              </w:rPr>
              <w:t>Ustanovenie § 133h navrhujeme, aby bola výslovne zakotvená primeranosť lehoty určenej regulátorom ako je to v ustanovení EMFA článok 7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 133 h bolo 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Bod 7 § §25</w:t>
              <w:br/>
            </w:r>
            <w:r>
              <w:rPr>
                <w:b w:val="off"/>
                <w:color w:val="000000"/>
                <w:rFonts w:ascii="Times New Roman" w:hAnsi="Times New Roman" w:cs="Times New Roman" w:eastAsia="Times New Roman"/>
                <w:sz w:val="24"/>
              </w:rPr>
              <w:t>Ustanovenie § 25 navrhujeme obdobne, aby lehota stanovená Radou bola lehotou primeranou, viď ustanovenie EMFA článok 7 ods. 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15 dňovú lehotu na poskytnutie informácií regulátorovi podľa § 25 ods. 3 považujeme za primeranú. Rovnaká lehota je pre poskytovanie informácií ustanovená aj v iných častiach ZMS (napr. § 20 ods. 4 písm. e), ods. 5 písm. c) a ods. 6 písm. b), § 56 ods. 2, § 59 ods. 3 atď.)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Informácia bola vzatá na vedomie.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 xml:space="preserve">V doložke vybraných vplyvov (ďalej len „doložka vplyvov“) je označený negatívny vplyv na rozpočet verejnej správy a rozpočtová zabezpečenosť nie je označená. V Analýze vplyvov na rozpočet verejnej správy, na zamestnanosť vo verejnej správe a financovanie návrhu (ďalej len „analýza vplyvov“) sú kvantifikované požadované zvýšené osobné výdavky z dôvodu rozšírenia pracovnej náplne 26 zamestnancov na analytických a právnických pozíciách na rok 2026 vo výške 339 331 eur, na rok 2027 vo výške 350 529 eur a na rok 2028 vo výške 361 045 eur s tým, že „Financovanie bude predmetom rokovaní o návrhu rozpočtu verejnej správy na roky 2026 až 2028.“.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materiálom zakladajúcim rozpočtovo nekrytý vplyv nesúhlasíme. Žiadame, aby všetky negatívne vplyvy návrhu zákona, týkajúce sa osobných výdavkov v organizácii Rada pre mediálne služby, boli rozpočtovo zabezpečené v rámci schválených limitov organizácie na príslušný rozpočtový rok. V nadväznosti na to žiadame v doložke vplyvov uviesť negatívny vplyv na rozpočet ako rozpočtovo zabezpečený. Uvedené je potrebné zohľadniť aj v analýze vplyvov tak, že z nej nebude vyplývať rozpočtovo nekrytý vplyv.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Prebiehajú rozporové konania.</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V doložke vplyvov žiadame upraviť označenie vplyvov na rozpočty obcí a vyšších územných celkov, keďže v analýze vplyvov nie sú kvantifikované žiadne vplyvy na územnú samosprávu. Zároveň upozorňujeme, že v prípade žiadnych vplyvov sa rozpočtová zabezpečenosť neoznačuje.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Doložka vplyvov bola upravená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 xml:space="preserve">Analýzu vplyvov žiadame upraviť takto: </w:t>
              <w:br/>
            </w:r>
            <w:r>
              <w:rPr>
                <w:b w:val="off"/>
                <w:color w:val="000000"/>
                <w:rFonts w:ascii="Times New Roman" w:hAnsi="Times New Roman" w:cs="Times New Roman" w:eastAsia="Times New Roman"/>
                <w:sz w:val="24"/>
              </w:rPr>
              <w:t>a)  v tabuľke č. 1/A riadku „Vplyv na mzdové výdavky“ údaje zosúladiť s údajmi uvedenými v tabuľke č. 4/A v riadku Mzdy, platy ... (610), pretože predkladateľ v riadku „Vplyv na mzdové výdavky“ uviedol osobné výdavky,</w:t>
              <w:br/>
            </w:r>
            <w:r>
              <w:rPr>
                <w:b w:val="off"/>
                <w:color w:val="000000"/>
                <w:rFonts w:ascii="Times New Roman" w:hAnsi="Times New Roman" w:cs="Times New Roman" w:eastAsia="Times New Roman"/>
                <w:sz w:val="24"/>
              </w:rPr>
              <w:t>b) v tabuľke č. 2.2.4.2. „Potreba navýšenia osobných výdavkov v súvislosti s novými povinnosťami z EMFA“ výpočet mzdových nákladov prepočítať bez akéhokoľvek zvýšenia rastu miezd; mzdy zamestnancom vo verejnej správe sa valorizujú vždy na základe Kolektívnej zmluvy vyššieho stupňa uzatvorenej na príslušné obdobie, resp. podľa zákona o štátnom rozpočte na príslušný rozpočtový rok, a nie podľa makroekonomickej prognózy; následne žiadame takto upravené prepočty na osobné výdavky vrátane mzdových výdavkov uviesť vo všetkých tabuľkách analýzy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Analýza vplyvov na rozpočet verejnej správy, na zamestnanosť vo verejnej správe a financovanie návrhu bola upravená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názve návrhu zákona slová „o zmene a doplnení zákona“ nahradiť slovami „ktorým sa mení a dopĺňa zákon“, v čl. I bode 1 poslednú vetu preformulovať takto: „Doterajší odkaz 1 a poznámka pod čiarou k odkazu 1 sa označujú ako odkaz 1a a poznámka pod čiarou k odkazu 1a.“, v bode 3 poslednú vetu preformulovať takto: „Doterajší odkaz 1a a poznámka pod čiarou k odkazu 1a sa označujú ako odkaz 1b a poznámka pod čiarou k odkazu 1b.“, v bodoch 4 a 5 slová „pripájajú slová“ nahradiť slovami „pripájajú tieto slová:“, v bode 6 slová „a slová“ nahradiť slovami „a tieto slová:“, v bode 12 za slovo „znie“ vložiť dvojbodku, v bode 13 § 103a ods. 1 slová „na svojom webovom sídle“ premiestniť za slovo „zverejniť“, v §103a ods. 3 odkaz 65a uviesť už v § 103a ods. 1 a za slovo „reklamy“)“ vložiť čiarku, v bode 18 poznámke pod čiarou k odkazu 72 v citácii zákona č. 265/2022 Z. z. na konci pripojiť slová „v znení zákona č. .../2025 Z. z.“, v bode 24 slová „bod 3“ nahradiť slovami „treťom bode“, v bode 29 úvodnej vete slovo „ods.“ nahradiť slovom „odsek“, v bode 30 § 128 ods. 3 písm. b) nad slovom „predpise,“ odkaz „20ba“ nahradiť odkazom „20a“ alebo nahradiť iným vhodným odkazom a príslušnou poznámkou pod čiarou, v bode 33 za slovom „a“ vypustiť slovo „v“, slová „pripájajú slová“ nahradiť slovami „pripájajú tieto slová:“ a za slovo „alebo“ vložiť slovo „ods.“, v bode 35 slová „alebo 8“ nahradiť slovami „alebo ods. 8“,  v bode 46 úvodnej vete slovo „vkladá“ nahradiť slovom „vkladajú“, v bode 48 § 242b ods. 2 za slová „augustu 2025“ vložiť čiarku, v čl. II bode 1 úvodnú vetu preformulovať takto: „Nad § 11 sa vkladá nadpis, ktorý znie:“, v bode 3 § 11a ods. 1 slová „na svojom webovom sídle“ premiestniť za slovo „zverejniť“, v bode 5 úvodnej vete za slovo „vkladá“ vložiť slovo „nový“, v súvislosti s vložením nového odseku 2 do § 24 zvážiť doplnenie vnútorného odkazu na nový odsek 2 v § 24 ods. 2 platného znenia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pripomienok, okrem pripomienky k bodu 4, ktorý bol z čl. I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predkladateľovi v bode 7 doložky vybraných vplyvov uviesť, že sa jedná o goldplating s vplyvom na podnikateľské prostredie a zároveň odôvodniť v Analýze vplyvov na podnikateľské prostredie v bode 3.1.4 zavedenie goldplating typu d).</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145d vlastného materiálu sa navrhuje pokuta poskytovateľovi systémov merania sledovanosti od 500 eur do 3 000 eur, pričom nariadenie Komisie (EÚ) č. 2024/1083 udeľovanie pokút nevyžaduje. Domnievame sa, že ide o goldplating typu d), s vplyvom na podnikateľské prostredie tým, že navrhovaná slovenská úprava je prísnejšia ako umožňuje nariadenie EÚ (zavádza pokuty).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Uvedené sankcie sú naviazané na nesplnenie povinností vyplývajúcich z EMFA. Cieľom zavedenia sankcií je zabezpečiť vymožiteľnosť plnenia uvedených povinností a preto sa domnievame, že v danom prípade sa nejedná o goldplating.</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a 10 novelizačný bod 4 a 5</w:t>
              <w:br/>
            </w:r>
            <w:r>
              <w:rPr>
                <w:b w:val="off"/>
                <w:color w:val="000000"/>
                <w:rFonts w:ascii="Times New Roman" w:hAnsi="Times New Roman" w:cs="Times New Roman" w:eastAsia="Times New Roman"/>
                <w:sz w:val="24"/>
              </w:rPr>
              <w:t>Navrhujeme upraviť novelizačné vety podľa bodu 35.2 Legislatívnych pravidiel vlády SR (ďalej len "LPV SR") pridaním slova "tieto" a dvojbodky.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Novelizačný bod  4 bol z návrhu zákona vypustený. Znenie bodu 5 bolo preformulované.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24a ods. 3 novelizačný bod 7</w:t>
              <w:br/>
            </w:r>
            <w:r>
              <w:rPr>
                <w:b w:val="off"/>
                <w:color w:val="000000"/>
                <w:rFonts w:ascii="Times New Roman" w:hAnsi="Times New Roman" w:cs="Times New Roman" w:eastAsia="Times New Roman"/>
                <w:sz w:val="24"/>
              </w:rPr>
              <w:t>Navrhujeme opraviť preklep v slove "doručenia".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108 ods. 6 novelizačný bod 15</w:t>
              <w:br/>
            </w:r>
            <w:r>
              <w:rPr>
                <w:b w:val="off"/>
                <w:color w:val="000000"/>
                <w:rFonts w:ascii="Times New Roman" w:hAnsi="Times New Roman" w:cs="Times New Roman" w:eastAsia="Times New Roman"/>
                <w:sz w:val="24"/>
              </w:rPr>
              <w:t>V poznámke pod čiarou k odkazu 66 navrhujeme slovo "Kapitola" začať malým písmenom, keďže nasleduje po čiarke.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103 novelizačný bod 12</w:t>
              <w:br/>
            </w:r>
            <w:r>
              <w:rPr>
                <w:b w:val="off"/>
                <w:color w:val="000000"/>
                <w:rFonts w:ascii="Times New Roman" w:hAnsi="Times New Roman" w:cs="Times New Roman" w:eastAsia="Times New Roman"/>
                <w:sz w:val="24"/>
              </w:rPr>
              <w:t>Za slovom "znie" navrhujeme vložiť dvojbodku.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124 ods. 1 písm. i) novelizačný bod 24</w:t>
              <w:br/>
            </w:r>
            <w:r>
              <w:rPr>
                <w:b w:val="off"/>
                <w:color w:val="000000"/>
                <w:rFonts w:ascii="Times New Roman" w:hAnsi="Times New Roman" w:cs="Times New Roman" w:eastAsia="Times New Roman"/>
                <w:sz w:val="24"/>
              </w:rPr>
              <w:t>Navrhujeme vypísať "bod 3" celým slovom ako radovú číslovku v zmysle bodov 57 až 59 LPV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127 ods. 3 novelizačný bod 29</w:t>
              <w:br/>
            </w:r>
            <w:r>
              <w:rPr>
                <w:b w:val="off"/>
                <w:color w:val="000000"/>
                <w:rFonts w:ascii="Times New Roman" w:hAnsi="Times New Roman" w:cs="Times New Roman" w:eastAsia="Times New Roman"/>
                <w:sz w:val="24"/>
              </w:rPr>
              <w:t>Navrhujeme vypísať skratku "ods." celým slovom podľa bodu 30.3. LPV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128 novelizačný bod 32 a 33</w:t>
              <w:br/>
            </w:r>
            <w:r>
              <w:rPr>
                <w:b w:val="off"/>
                <w:color w:val="000000"/>
                <w:rFonts w:ascii="Times New Roman" w:hAnsi="Times New Roman" w:cs="Times New Roman" w:eastAsia="Times New Roman"/>
                <w:sz w:val="24"/>
              </w:rPr>
              <w:t>V novelizačnom bode 32 navrhujeme vymenovať odseky s použitím slova "až" a v novelizačnom bode 33 navrhujeme vložiť slovo "tieto" a dvojbodku podľa bodu 35.2. LPV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131 novelizačný bod 39</w:t>
              <w:br/>
            </w:r>
            <w:r>
              <w:rPr>
                <w:b w:val="off"/>
                <w:color w:val="000000"/>
                <w:rFonts w:ascii="Times New Roman" w:hAnsi="Times New Roman" w:cs="Times New Roman" w:eastAsia="Times New Roman"/>
                <w:sz w:val="24"/>
              </w:rPr>
              <w:t>Navrhujeme vypustiť v novelizačnej vete druhé slovo "sa"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145c novelizačný bod 46</w:t>
              <w:br/>
            </w:r>
            <w:r>
              <w:rPr>
                <w:b w:val="off"/>
                <w:color w:val="000000"/>
                <w:rFonts w:ascii="Times New Roman" w:hAnsi="Times New Roman" w:cs="Times New Roman" w:eastAsia="Times New Roman"/>
                <w:sz w:val="24"/>
              </w:rPr>
              <w:t>Navrhujeme použiť slovo "vkladajú", keďže ide o dva paragrafy.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242b ods. 1 novelizačný bod 48</w:t>
              <w:br/>
            </w:r>
            <w:r>
              <w:rPr>
                <w:b w:val="off"/>
                <w:color w:val="000000"/>
                <w:rFonts w:ascii="Times New Roman" w:hAnsi="Times New Roman" w:cs="Times New Roman" w:eastAsia="Times New Roman"/>
                <w:sz w:val="24"/>
              </w:rPr>
              <w:t>Navrhujeme v odseku 1 vypustiť bodku za slovom "augustu".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24 novelizačný bod 5</w:t>
              <w:br/>
            </w:r>
            <w:r>
              <w:rPr>
                <w:b w:val="off"/>
                <w:color w:val="000000"/>
                <w:rFonts w:ascii="Times New Roman" w:hAnsi="Times New Roman" w:cs="Times New Roman" w:eastAsia="Times New Roman"/>
                <w:sz w:val="24"/>
              </w:rPr>
              <w:t>Navrhujeme za slovo "vkladá" vložiť slovo "nový" podľa bodu 32 LPV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4 až 6</w:t>
              <w:br/>
            </w:r>
            <w:r>
              <w:rPr>
                <w:b w:val="off"/>
                <w:color w:val="000000"/>
                <w:rFonts w:ascii="Times New Roman" w:hAnsi="Times New Roman" w:cs="Times New Roman" w:eastAsia="Times New Roman"/>
                <w:sz w:val="24"/>
              </w:rPr>
              <w:t>K čl. I bodom 4 až 6: Znenie novelizačných bodov treba dať do súladu s bodom  35.2 prílohy č. 1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Novelizačný bod  4 bol z návrhu zákona vypustený. Znenie bodu 5 bolo preformulované.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24</w:t>
              <w:br/>
            </w:r>
            <w:r>
              <w:rPr>
                <w:b w:val="off"/>
                <w:color w:val="000000"/>
                <w:rFonts w:ascii="Times New Roman" w:hAnsi="Times New Roman" w:cs="Times New Roman" w:eastAsia="Times New Roman"/>
                <w:sz w:val="24"/>
              </w:rPr>
              <w:t>K čl. I bodu 24: Slová „bod 3“ treba nahradiť slovami „treťom bode“.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29</w:t>
              <w:br/>
            </w:r>
            <w:r>
              <w:rPr>
                <w:b w:val="off"/>
                <w:color w:val="000000"/>
                <w:rFonts w:ascii="Times New Roman" w:hAnsi="Times New Roman" w:cs="Times New Roman" w:eastAsia="Times New Roman"/>
                <w:sz w:val="24"/>
              </w:rPr>
              <w:t>K čl. I bodu 29: : Znenie novelizačného bodu treba dať do súladu s bodom  33.3 prílohy č. 1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Predkladacia správa</w:t>
              <w:br/>
            </w:r>
            <w:r>
              <w:rPr>
                <w:b w:val="off"/>
                <w:color w:val="000000"/>
                <w:rFonts w:ascii="Times New Roman" w:hAnsi="Times New Roman" w:cs="Times New Roman" w:eastAsia="Times New Roman"/>
                <w:sz w:val="24"/>
              </w:rPr>
              <w:t>V predkladacej správe odporúčame vypustiť informáciu o vnútrokomunitárnom pripomienkovom konaní, nakoľko má byť súčasťou všeobecnej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Predkladacia správa bola upravená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čl. I</w:t>
              <w:br/>
            </w:r>
            <w:r>
              <w:rPr>
                <w:b w:val="off"/>
                <w:color w:val="000000"/>
                <w:rFonts w:ascii="Times New Roman" w:hAnsi="Times New Roman" w:cs="Times New Roman" w:eastAsia="Times New Roman"/>
                <w:sz w:val="24"/>
              </w:rPr>
              <w:t>Do čl. I predkladaného návrhu zákona žiadame zaradiť samostatný novelizačný bod, v ktorom dôjde k vypusteniu neúčinnej smernice 2006/141/ES zo štvrtého bodu transpozičnej prílohy k zákonu č. 264/2022 Z. z. a k následnému prečíslovaniu ostatných smerníc uvádzaných v transpozičnej prílohe.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Žiadame preukázať, do ktorých ustanovení zákona č. 264/2022 Z. z. resp. do ktorých ustanovení navrhovaných v čl. I predkladaného návrhu zákona boli implementované čl. 4 ods. 2 až 6, čl. 6 ods. 2, čl. 7 ods. 3 a čl. 17 ods. 3 nariadenia (EÚ) 2024/1083, nakoľko máme za to, že ich implementácia predkladaným návrhom zákona nie je dostatočná.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Čl. 4 ods. 2 až 6 EMFA nie je implementovaný ustanoveniami čl. I predkladaného návrhu zákona, nakoľko máme za to, že implementácia uvedených ustanovení EMFA je zabezpečená § 16 a 17 ZMS, § 6 zákona č. 265/2022 Z. z. (zákon o publikáciách) a v súlade so stanoviskom MS SR aj prostredníctvom ustanovení Trestného poriadku. </w:t>
              <w:br/>
            </w:r>
            <w:r>
              <w:rPr>
                <w:b w:val="off"/>
                <w:color w:val="000000"/>
                <w:rFonts w:ascii="Times New Roman" w:hAnsi="Times New Roman" w:cs="Times New Roman" w:eastAsia="Times New Roman"/>
                <w:sz w:val="24"/>
              </w:rPr>
              <w:t xml:space="preserve">Implementácia čl. 6 ods. 2 je zabezpečená prostredníctvom § 125 ZMS, v zmysle ktorého  regulátor vedie a aktualizuje evidenciu týkajúcu sa poskytovateľov obsahových služieb (vrátane vysielateľov a poskytovateľov audiovizuálnych mediálnych služieb) a poskytovaných obsahových služieb v jeho pôsobnosti a evidenciu samoregulácie. Táto evidencia okrem iných údajov o poskytovateľoch obsahových služieb obsahuje aj údaje o ich obchodnom názve a kontaktných údajoch,  vlastnícku štruktúru poskytovateľa služby a informáciu o konečnom užívateľovi výhod. V súlade s § 3 zákona o publikáciách vedie ministerstvo kultúry zoznam periodických publikácií, ktorý je verejne prístupnou evidenciou, v ktorej sú zverejňované zákonom ustanovené údaje o vydavateľoch periodických publikácií a prevádzkovateľoch spravodajských webových portálov. Súčasťou evidencie sú ich identifikačné údaje vrátane obchodného názvu a kontaktných údajov, informácie o ich podieloch na hlasovacích právach alebo základnom imaní poskytovateľa obsahovej služby, ktorý je držiteľom oprávnenia podľa ZMS, informácie o ich štruktúre vlastníckych vzťahov, ak sú právnickou osobou a taktiež informácie o konečnom užívateľovi výhod.  V zmysle § 21 zákona o publikáciách ministerstvo kultúry vedie a na svojom webovom sídle zverejňuje register médií, ktorý je informačným systémom verejnej správy obsahujúcim aktualizované údaje, okrem iných subjektoch aj  o </w:t>
              <w:br/>
            </w:r>
            <w:r>
              <w:rPr>
                <w:b w:val="off"/>
                <w:color w:val="000000"/>
                <w:rFonts w:ascii="Times New Roman" w:hAnsi="Times New Roman" w:cs="Times New Roman" w:eastAsia="Times New Roman"/>
                <w:sz w:val="24"/>
              </w:rPr>
              <w:t xml:space="preserve">•	vydavateľoch periodických publikácií a nimi vydávaných periodických publikáciách, </w:t>
              <w:br/>
            </w:r>
            <w:r>
              <w:rPr>
                <w:b w:val="off"/>
                <w:color w:val="000000"/>
                <w:rFonts w:ascii="Times New Roman" w:hAnsi="Times New Roman" w:cs="Times New Roman" w:eastAsia="Times New Roman"/>
                <w:sz w:val="24"/>
              </w:rPr>
              <w:t xml:space="preserve">•	prevádzkovateľoch spravodajských webových portálov a nimi prevádzkovaných spravodajských webových portáloch, </w:t>
              <w:br/>
            </w:r>
            <w:r>
              <w:rPr>
                <w:b w:val="off"/>
                <w:color w:val="000000"/>
                <w:rFonts w:ascii="Times New Roman" w:hAnsi="Times New Roman" w:cs="Times New Roman" w:eastAsia="Times New Roman"/>
                <w:sz w:val="24"/>
              </w:rPr>
              <w:t xml:space="preserve">•	vysielateľoch programových služieb a nimi vysielaných programových službách, </w:t>
              <w:br/>
            </w:r>
            <w:r>
              <w:rPr>
                <w:b w:val="off"/>
                <w:color w:val="000000"/>
                <w:rFonts w:ascii="Times New Roman" w:hAnsi="Times New Roman" w:cs="Times New Roman" w:eastAsia="Times New Roman"/>
                <w:sz w:val="24"/>
              </w:rPr>
              <w:t xml:space="preserve">•	prevádzkovateľoch retransmisie, </w:t>
              <w:br/>
            </w:r>
            <w:r>
              <w:rPr>
                <w:b w:val="off"/>
                <w:color w:val="000000"/>
                <w:rFonts w:ascii="Times New Roman" w:hAnsi="Times New Roman" w:cs="Times New Roman" w:eastAsia="Times New Roman"/>
                <w:sz w:val="24"/>
              </w:rPr>
              <w:t xml:space="preserve">•	poskytovateľoch multiplexu, </w:t>
              <w:br/>
            </w:r>
            <w:r>
              <w:rPr>
                <w:b w:val="off"/>
                <w:color w:val="000000"/>
                <w:rFonts w:ascii="Times New Roman" w:hAnsi="Times New Roman" w:cs="Times New Roman" w:eastAsia="Times New Roman"/>
                <w:sz w:val="24"/>
              </w:rPr>
              <w:t xml:space="preserve">•	poskytovateľoch audiovizuálnej mediálnej služby na požiadanie a nimi poskytovaných audiovizuálnych mediálnych službách na požiadanie, </w:t>
              <w:br/>
            </w:r>
            <w:r>
              <w:rPr>
                <w:b w:val="off"/>
                <w:color w:val="000000"/>
                <w:rFonts w:ascii="Times New Roman" w:hAnsi="Times New Roman" w:cs="Times New Roman" w:eastAsia="Times New Roman"/>
                <w:sz w:val="24"/>
              </w:rPr>
              <w:t>•	poskytovateľoch platformy na zdieľanie videí a nimi poskytovaných platformách na zdieľanie videí.</w:t>
              <w:br/>
            </w:r>
            <w:r>
              <w:rPr>
                <w:b w:val="off"/>
                <w:color w:val="000000"/>
                <w:rFonts w:ascii="Times New Roman" w:hAnsi="Times New Roman" w:cs="Times New Roman" w:eastAsia="Times New Roman"/>
                <w:sz w:val="24"/>
              </w:rPr>
              <w:t xml:space="preserve">Register médií v súčasnosti ešte nie je funkčný, no v zmysle prechodných ustanovení zákona o publikáciách do uvedenia registra médií do prevádzky sa evidencia podľa tohto zákona a evidencia podľa ZMS vedú samostatne a nie sú súčasťou registra. </w:t>
              <w:br/>
            </w:r>
            <w:r>
              <w:rPr>
                <w:b w:val="off"/>
                <w:color w:val="000000"/>
                <w:rFonts w:ascii="Times New Roman" w:hAnsi="Times New Roman" w:cs="Times New Roman" w:eastAsia="Times New Roman"/>
                <w:sz w:val="24"/>
              </w:rPr>
              <w:t xml:space="preserve">Implementáciu Čl. 7 ods. 3 nie je potrebné zabezpečiť prostredníctvom ustanovení čl. I predkladaného návrhu. Predložený návrh zákona počíta v doložke vybraných vplyvov s nárastom rozpočtu Rady pre mediálne služby, najmä v mzdovej agende, keďže nové kompetencie vyplývajúce z predloženého návrhu zákona (implementácia EMFA) budú predstavovať ďalšie zaťaženie zamestnancov Rady pre mediálne služby. V prípade, že bude navrhované navýšenie rozpočtu Rady pre mediálne služby aj reálne zodpovedať schválenému rozpočtu v najbližších rokoch, Rada pre mediálne služby by mala mať dostatok finančných, ľudských a technických zdrojov na výkon zverených kompetencií.  </w:t>
              <w:br/>
            </w:r>
            <w:r>
              <w:rPr>
                <w:b w:val="off"/>
                <w:color w:val="000000"/>
                <w:rFonts w:ascii="Times New Roman" w:hAnsi="Times New Roman" w:cs="Times New Roman" w:eastAsia="Times New Roman"/>
                <w:sz w:val="24"/>
              </w:rPr>
              <w:t>Máme za to, že za účelom implementácie Čl. 17 ods. 3 EMFA nie je potrebné prijímať žiadne legislatívne zmeny. Povinnosť Rady pre mediálne služby zohľadňovať stanoviská Európskej rady pre mediálne služby vyplýva priamo z Čl. 17 ods. 2 EMFA. Právny poriadok SR neobsahuje ustanovenie, ktoré by Rade pre mediálne služby bránilo pri zvažovaní prijatia opatrení uvedených v Čl. 17 ods. 1 EMFA zohľadniť stanovisko Európskej rady pre mediálne služby vydané podľa Čl. 17 ods. 2 EMFA.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navrhovanom § 11a ods. 1 v čl. II bode 3 predkladaného návrhu zákona žiadame v oboch prípadoch slová „z iného členského štátu“ nahradiť slovami „z iného členského štátu Európskej únie“ a slová „z tretieho štátu“ nahradiť slovami „zo štátu, ktorý nie je členským štátom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a III</w:t>
              <w:br/>
            </w:r>
            <w:r>
              <w:rPr>
                <w:b w:val="off"/>
                <w:color w:val="000000"/>
                <w:rFonts w:ascii="Times New Roman" w:hAnsi="Times New Roman" w:cs="Times New Roman" w:eastAsia="Times New Roman"/>
                <w:sz w:val="24"/>
              </w:rPr>
              <w:t>Upozorňujeme, že podľa čl. 29 nariadenia (EÚ) 2024/1083 sa má čl. 20 tohto nariadenia pojednávajúci o práve na prispôsobenie mediálnej ponuky uplatňovať až od 8. mája 2027, a žiadame na uvedenú skutočnosť reflektovať aj v čl. III predkladaného návrhu zákona pojednávajúcom o účinnosti navrhovanej právnej úpravy. Zároveň žiadame preukázať, do ktorého zákonného ustanovenia je implementovaný ods. 4 čl. 20 nariadenia (EÚ) 2024/1083, podľa ktorého sú členské štáty povinné prijať vhodné opatrenia na zabezpečenie toho, aby výrobcovia, vývojári a dovozcovia zariadení alebo používateľských rozhraní uvedených v čl. 20 ods. 1 dodržiavali čl. 20 ods. 2 a 3 o ohľadom na zmenu konfigurácie zariadení a používateľských rozhraní a konzistenciu a jasnú viditeľnosť vizuálnej identity poskytovateľov mediálnych služieb.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skutočnosť, že čl. 20 EMFA sa má uplatňovať až od 8. mája 2028, implementácia tohto ustanovenia nie je predmetom navrhovanej právnej úpravy, ktorej účinnosť sa navrhuje od 8. augusta 2025.</w:t>
              <w:br/>
            </w:r>
            <w:r>
              <w:rPr>
                <w:b w:val="off"/>
                <w:color w:val="000000"/>
                <w:rFonts w:ascii="Times New Roman" w:hAnsi="Times New Roman" w:cs="Times New Roman" w:eastAsia="Times New Roman"/>
                <w:sz w:val="24"/>
              </w:rPr>
              <w:t>Príprava implementácie čl. 20 EMFA bude prebiehať v spolupráci s MH SR v nasledujúcom období.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transpozičným záväzkom Slovenskej republiky:</w:t>
              <w:br/>
            </w:r>
            <w:r>
              <w:rPr>
                <w:b w:val="off"/>
                <w:color w:val="000000"/>
                <w:rFonts w:ascii="Times New Roman" w:hAnsi="Times New Roman" w:cs="Times New Roman" w:eastAsia="Times New Roman"/>
                <w:sz w:val="24"/>
              </w:rPr>
              <w:t xml:space="preserve">Nakoľko predkladaným návrhom zákona dochádza v čl. I k zásahu do transpozičných opatrení smernice Európskeho parlamentu a Rady 2010/13/EÚ z 10. marca 2010 o koordinácii niektorých ustanovení upravených zákonom, iným právnym predpisom alebo správnym opatrením v členských štátoch týkajúcich sa poskytovania audiovizuálnych mediálnych služieb (smernica o audiovizuálnych mediálnych službách) (kodifikované znenie) v znení smernice Európskeho parlamentu a Rady (EÚ) 2018/1808 zo 14. novembra 2018, ktorou sa mení smernica 2010/13/EÚ o koordinácii niektorých ustanovení upravených zákonom, iným právnym predpisom alebo správnym opatrením v členských štátoch týkajúcich sa poskytovania audiovizuálnych mediálnych služieb (smernica o audiovizuálnych mediálnych službách) s ohľadom na meniace sa podmienky na trhu, žiadame do ďalšieho štádia legislatívneho procesu predložiť čiastkovú tabuľku zhody so smernicou 2010/13/EÚ v platnom znení, v ktorej bude preukázané zachovanie úplnej transpozície nasledovných ustanovení smernice: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čl. 1 ods. 1 písm. b) smernice 2010/13/EÚ v platnom znení, ktorý bol transponovaný do § 8 zákona o mediálnych službách, k novelizácií ktorého dochádza v čl. I bode 4 predkladaného návrhu zákona;</w:t>
              <w:br/>
            </w:r>
            <w:r>
              <w:rPr>
                <w:b w:val="off"/>
                <w:color w:val="000000"/>
                <w:rFonts w:ascii="Times New Roman" w:hAnsi="Times New Roman" w:cs="Times New Roman" w:eastAsia="Times New Roman"/>
                <w:sz w:val="24"/>
              </w:rPr>
              <w:t>- čl. 1 ods. 1 písm. bb) smernice 2010/13/EÚ v platnom znení, ktorý bol transponovaný do § 10 ods. 2 zákona o mediálnych službách, k novelizácií ktorého dochádza v čl. I bode 6 predkladaného návrhu zákona;</w:t>
              <w:br/>
            </w:r>
            <w:r>
              <w:rPr>
                <w:b w:val="off"/>
                <w:color w:val="000000"/>
                <w:rFonts w:ascii="Times New Roman" w:hAnsi="Times New Roman" w:cs="Times New Roman" w:eastAsia="Times New Roman"/>
                <w:sz w:val="24"/>
              </w:rPr>
              <w:t>- čl. 1 ods. 1 písm. c) smernice 2010/13/EÚ v platnom znení, ktorý bol transponovaný do § 10 ods. 1 zákona o mediálnych službách, k novelizácií ktorého dochádza v čl. I bode 5 predkladaného návrhu zákona;</w:t>
              <w:br/>
            </w:r>
            <w:r>
              <w:rPr>
                <w:b w:val="off"/>
                <w:color w:val="000000"/>
                <w:rFonts w:ascii="Times New Roman" w:hAnsi="Times New Roman" w:cs="Times New Roman" w:eastAsia="Times New Roman"/>
                <w:sz w:val="24"/>
              </w:rPr>
              <w:t>- čl. 4a ods. 1 smernice 2010/13/EÚ v platnom znení, ktorý bol transponovaný do § 127 a 128 zákona o mediálnych službách, k novelizácií ktorých dochádza v čl. I bodoch 28 až 36 predkladaného návrhu zákona, a do § 130 a 131 zákona o mediálnych službách, k novelizácií ktorých dochádza v čl. I bodoch 37 až 41 predkladaného návrhu zákona;</w:t>
              <w:br/>
            </w:r>
            <w:r>
              <w:rPr>
                <w:b w:val="off"/>
                <w:color w:val="000000"/>
                <w:rFonts w:ascii="Times New Roman" w:hAnsi="Times New Roman" w:cs="Times New Roman" w:eastAsia="Times New Roman"/>
                <w:sz w:val="24"/>
              </w:rPr>
              <w:t>- čl. 9 ods. 3 a 4 a čl. 28b ods. 2 a 4 smernice 2010/13/EÚ v platnom znení, ktoré boli transponované do § 127 zákona o mediálnych službách, k novelizácií ktorého dochádza v čl. I bodoch 28 a 29 predkladaného návrhu zákona;</w:t>
              <w:br/>
            </w:r>
            <w:r>
              <w:rPr>
                <w:b w:val="off"/>
                <w:color w:val="000000"/>
                <w:rFonts w:ascii="Times New Roman" w:hAnsi="Times New Roman" w:cs="Times New Roman" w:eastAsia="Times New Roman"/>
                <w:sz w:val="24"/>
              </w:rPr>
              <w:t xml:space="preserve">- čl. 30 ods. 1 smernice 2010/13/EÚ v platnom znení, ktorý bol transponovaný do § 109 zákona o mediálnych službách, k novelizácií ktorého dochádza v čl. I bodoch 16 a 17 predkladaného návrhu zákona; a </w:t>
              <w:br/>
            </w:r>
            <w:r>
              <w:rPr>
                <w:b w:val="off"/>
                <w:color w:val="000000"/>
                <w:rFonts w:ascii="Times New Roman" w:hAnsi="Times New Roman" w:cs="Times New Roman" w:eastAsia="Times New Roman"/>
                <w:sz w:val="24"/>
              </w:rPr>
              <w:t>- čl. 30 ods. 3 smernice 2010/13/EÚ v platnom znení, ktorý bol transponovaný do § 110 zákona o mediálnych službách, k novelizácií ktorého dochádza v čl. I bodoch 19 až 22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 ďalšieho štádia legislatívneho procesu bude predložená aj čiastková tabuľka zhody so smernicou 2010/13/EÚ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 xml:space="preserve">1.	V bode 3 písm. a) doložky zlučiteľnosti žiadame ako relevantné primárne právo Európskej únie uvádzať aj: </w:t>
              <w:br/>
            </w:r>
            <w:r>
              <w:rPr>
                <w:b w:val="off"/>
                <w:color w:val="000000"/>
                <w:rFonts w:ascii="Times New Roman" w:hAnsi="Times New Roman" w:cs="Times New Roman" w:eastAsia="Times New Roman"/>
                <w:sz w:val="24"/>
              </w:rPr>
              <w:t>-	čl. 53 ods. 1 a čl. 56 až 62 Zmluvy o fungovaní Európskej únie;</w:t>
              <w:br/>
            </w:r>
            <w:r>
              <w:rPr>
                <w:b w:val="off"/>
                <w:color w:val="000000"/>
                <w:rFonts w:ascii="Times New Roman" w:hAnsi="Times New Roman" w:cs="Times New Roman" w:eastAsia="Times New Roman"/>
                <w:sz w:val="24"/>
              </w:rPr>
              <w:t xml:space="preserve">-	čl. 11 a 52 ods. 1 Charty základných práv Európskej únie; a </w:t>
              <w:br/>
            </w:r>
            <w:r>
              <w:rPr>
                <w:b w:val="off"/>
                <w:color w:val="000000"/>
                <w:rFonts w:ascii="Times New Roman" w:hAnsi="Times New Roman" w:cs="Times New Roman" w:eastAsia="Times New Roman"/>
                <w:sz w:val="24"/>
              </w:rPr>
              <w:t>-	Protokol č. 29 o systéme verejnoprávneho vysielania v členských štátoch, ktorý je pripojený k Zmluve o Európskej únií a Zmluve o fungovaní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Doložka zlučiteľnosti bola upravená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za názvom nariadenia (EÚ) 2024/1083 uvádzať aj jeho publikačný zdroj.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Doložka zlučiteľnosti bola upravená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Z bodu 4 písm. a) doložky zlučiteľnosti žiadame vypustiť uvádzaný text týkajúci sa transpozície smernice (EÚ) 2018/1808. V bode 4 písm. a) doložky zlučiteľnosti žiadame uvádzať informáciu týkajúcu sa lehoty na implementáciu nariadenia (EÚ) 2024/1083 do slovenského právneho poriadku.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Doložka zlučiteľnosti bola upravená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4.	V bode 4 písm. b) doložky zlučiteľnosti žiadame uviesť, či proti Slovenskej republike aktuálne prebieha konanie zo strany Európskej komisie.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Doložka zlučiteľnosti bola upravená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1.	V treťom odseku všeobecnej časti dôvodovej správy žiadame zaviesť skrátenú citáciu nariadenia (EÚ) 2024/1083 nasledovne: „nariadenie (EÚ) 2024/1083“. Takto zavedenú skrátenú citáciu žiadame dôsledne používať v celom texte dôvodovej správy k predkladanému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Nepovažujeme za nevyhnutné vo všeobecnej časti dôvodovej správy zavádzať skrátenú citáciu nariadenia „nariadenie (EÚ) 2024/1083“. Máme za to, že používanie skráteného názvu nariadenia „Európsky akt o slobode médií“ je vhodnejšie a zrozumiteľnejšie.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2.	V štvrtom odseku všeobecnej časti dôvodovej správy žiadame za názvom smernice 2010/13/EÚ v platnom znení uvádzať slová „(kodifikované znenie)“.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dôvodovej správy bolo 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3.	V odôvodnení k čl. I bodu 1 predkladaného návrhu zákona v osobitnej časti dôvodovej správy žiadame skrátenú citáciu nariadenia (EÚ) 2024/1083 upraviť nasledovne: „nariadenie (EÚ) 2024/1083“. Takto zavedenú skrátenú citáciu žiadame dôsledne používať v celom texte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Nepovažujeme za nevyhnutné v osobitnej časti dôvodovej správy zavádzať skrátenú citáciu nariadenia „nariadenie (EÚ) 2024/1083“. Máme za to, že používanie skráteného názvu nariadenia „Európsky akt o slobode médií“ je vhodnejšie a zrozumiteľnejšie.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str. 3 – posudzovanie koncentrácií na mediálnom trhu Čl. I,  § 101 ods. 7</w:t>
              <w:br/>
            </w:r>
            <w:r>
              <w:rPr>
                <w:b w:val="off"/>
                <w:color w:val="000000"/>
                <w:rFonts w:ascii="Times New Roman" w:hAnsi="Times New Roman" w:cs="Times New Roman" w:eastAsia="Times New Roman"/>
                <w:sz w:val="24"/>
              </w:rPr>
              <w:t xml:space="preserve">V rámci § 101 ods. 7 zákon odkazuje na čl. 22 ods. 2 Európskeho aktu o slobode médií (ďalej ako „EMFA“). </w:t>
              <w:br/>
            </w:r>
            <w:r>
              <w:rPr>
                <w:b w:val="off"/>
                <w:color w:val="000000"/>
                <w:rFonts w:ascii="Times New Roman" w:hAnsi="Times New Roman" w:cs="Times New Roman" w:eastAsia="Times New Roman"/>
                <w:sz w:val="24"/>
              </w:rPr>
              <w:t>Úrad však vníma, že pre potrebu celkovej transpozície EMFA je potrebné vnímať samotný článok 22 a preambulu nariadenia ako celok. Pre ochranu mediálneho trhu, ale zároveň aj práv podnikateľov, ktorí na ňom vystupujú je preto potrebné vymedziť nielen hmotnoprávne pravidlá (tieto sú sčasti vymedzené s odkazom na čl. 22 EMFA), ale rovnako aj celkové (vrátane procesných) pravidiel posudzovania koncentrácie na mediálnom trhu. Teda náležitostí, ktoré sú uvedené napríklad v bode 64 preambuly EMFA alebo v bode 65 poslednej vety preambuly nariadenia a zároveň čl. 22 ods. 1 nariadenia. V tomto návrh zákona takéto pravidlá neobsahuje, vrátane časových rámcov rozhodovania a pod. a  obsahuje len odkaz na vydanie všeobecne záväzného predpisu, ktorý má byť v tejto súvislosti vydaný (§ 11 ods. 6 návrhu). V tomto smere úrad  upozorňuje, že uvedené zrejme presahuje rámec možností podzákonnej  normy, keďže jej obsahom by nemalo byť stanovenie konkrétnych práv a povinnosti dotknutých subjektov. Úrad v tomto smere podporne poukazuje na obdobnú úpravu posudzovania koncentrácií podľa zákona č. 187/2021 Z.z., ktorý sa vzťahuje na posudzovanie koncentrácií z hľadiska ochrany iného verejného záujmu – ochrana hospodárskej súťaže. Zákon obsahuje podrobné povinnosti uvádzajúce ktoré subjekty a kedy majú koncentráciu oznámiť a v akých časových lehotách o nej úrad rozhodne (až podrobnosti náležitosti oznámenia sú stanovené vykonávacím predpisom).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Základné pravidlá, ktorými sa umožní posúdenie koncentrácií na mediálnom trhu, ktoré by mohli mať významný vplyv na pluralitu médií a redakčnú nezávislosť, sú už v súčasnosti upravené v dvanástej časti ZMS (§ 100, 101 a 104), ktorá upravuje pluralitu informácií a transparentnosť majetkových a personálnych vzťahov. V zmysle zákona o publikáciách sa ustanovenia § 101, § 102, § 104, § 105 zákona o mediálnych službách vzťahujú aj na vydavateľa periodickej publikácie, prevádzkovateľa spravodajského webového portálu a tlačovú agentúru.</w:t>
              <w:br/>
            </w:r>
            <w:r>
              <w:rPr>
                <w:b w:val="off"/>
                <w:color w:val="000000"/>
                <w:rFonts w:ascii="Times New Roman" w:hAnsi="Times New Roman" w:cs="Times New Roman" w:eastAsia="Times New Roman"/>
                <w:sz w:val="24"/>
              </w:rPr>
              <w:t>Regulátor posudzuje koncentráciu na mediálnom trhu vždy vopred pred udelením príslušného oprávnenia (autorizácie, licencie) na poskytovanie príslušnej mediálnej služby, ako aj pri zmene oprávnenia. Procesné pravidlá týchto konaní sú upravené zákonom rovnako ako lehoty, v ktorých je regulátor povinný rozhodnúť. Podrobnosti o posudzovaní vplyvu na pluralitu informácií na mediálnom trhu, posudzovaní reklamného trhu a podrobnosti o vyhodnocovaní rizík narušenia plurality informácií ustanoví všeobecne záväzný právny predpis, ktorý vydá regulátor.Pri posudzovaní vplyvu na pluralitu informácií na mediálnom trhu a pri vyhodnocovaní rizík narušenia plurality informácií je regulátor povinný zohľadniť skutočnosti podľa čl. 22 ods. 2 EMFA.</w:t>
              <w:br/>
            </w:r>
            <w:r>
              <w:rPr>
                <w:b w:val="off"/>
                <w:color w:val="000000"/>
                <w:rFonts w:ascii="Times New Roman" w:hAnsi="Times New Roman" w:cs="Times New Roman" w:eastAsia="Times New Roman"/>
                <w:sz w:val="24"/>
              </w:rPr>
              <w:t>V zmysle § 105 ZMS je vysielateľ alebo iná osoba povinná na požiadanie predložiť regulátorovi na posúdenie doklady potrebné na preukázanie splnenia podmienok a obmedzení podľa dvanástej časti zákona o mediálnych službách, upravujúcej pluralitu informácií a transparentnosť majetkových a personálnych vzťahov.  Za  nesplnenie tejto povinnosti, môže  regulátor povinnému subjektu uložiť pokutu. Ak sa preukáže, že poskytovateľ obsahovej služby nespĺňa podmienky ustanovené v tejto (dvanástej) časti, regulátor mu určí primeranú lehotu na nápravu, prípadne určí aj spôsob nápravy. Ak v určenej lehote nenastane náprava, regulátor zruší príslušné oprávnenie na poskytovanie obsahovej služby alebo zabezpečí nápravu iným spôsobom.</w:t>
              <w:br/>
            </w:r>
            <w:r>
              <w:rPr>
                <w:b w:val="off"/>
                <w:color w:val="000000"/>
                <w:rFonts w:ascii="Times New Roman" w:hAnsi="Times New Roman" w:cs="Times New Roman" w:eastAsia="Times New Roman"/>
                <w:sz w:val="24"/>
              </w:rPr>
              <w:t xml:space="preserve">Navyše, podľa čl. 22 ods. 1 EMFA, posudzovanie koncentrácií na mediálnom trhu uvedené v ods. 1 tohto článku, je odlišné od posudzovania v oblasti práva hospodárskej súťaže na úrovni Únie a vnútroštátnej úrovni vrátane posudzovania vykonávaného podľa pravidiel kontroly fúzií.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str. 2 – nahradenie pojmu reklamný trh pojmom mediálny trh Čl. 1, § 101</w:t>
              <w:br/>
            </w:r>
            <w:r>
              <w:rPr>
                <w:b w:val="off"/>
                <w:color w:val="000000"/>
                <w:rFonts w:ascii="Times New Roman" w:hAnsi="Times New Roman" w:cs="Times New Roman" w:eastAsia="Times New Roman"/>
                <w:sz w:val="24"/>
              </w:rPr>
              <w:t xml:space="preserve">Pripomienka smeruje k nahradeniu pojmu „reklamný trh“ pojmom „mediálny trh“ v kontexte vymedzenia podielu, dosiahnutím ktorého sa poskytovateľ považuje za podnikateľa s rozhodujúcim vplyvom, relevantným vplyvom alebo nízkym vplyvom na pluralitu.  Pojem mediálny trh sa už nachádzal v zákonnom znení presnejšie v rámci § 11 ods. 6 zákona o mediálnych službách. Teda daná definícia bola vytvorená pre potrebu posúdenia formy prepojenia na základe § 11 zákona  o mediálnych službách. Úrad nevníma, že táto definícia je dostatočná pre potreby ustanovenia § 101 tohto zákona a čl. 22 nariadenia.  Zákon pred plánovanou novelizáciou využíval v rámci § 101 zákona o mediálnych službách termín reklamného trhu. Z pohľadu úradu táto zmena nie je odôvodnená, nie je zrejmé, čo predstavuje ukazovateľ, na základe ktorého sa bude merať výška podielu na takomto „trhu“ a teda čo bude predstavovať 100% tohto trhu. Navyše, uvedená formulácia akoby predpokladá akési zrátavanie podielov poskytovateľov poskytujúcich rôzne druhy mediálnych služieb, teda o to viac nie je zrejmé, ako sa bude k uvedenému výpočtu podielu pristupovať. V prípade takejto zásadnej zmeny je potrebné určiť, ako má byť daný pojem vnímaný z pohľadu poskytovateľov mediálnych služieb z hľadiska predvídateľnosti ich nových zákonných práv a povinností.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Novela zákona o mediálnych službách vymedzuje podiely na mediálnom trhu, ktoré spája s narušením alebo nenarušením fungovania mediálneho trhu z hľadiska plurality médií a redakčnej nezávislosti. Pre zabezpečenie transparentnosti a právnej istoty je potrebné, aby novela reflektovala na základe akých skutočností dôjde k výpočtu daných podielov.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RpMS</w:t>
              <w:br/>
            </w:r>
            <w:r>
              <w:rPr>
                <w:b w:val="off"/>
                <w:color w:val="000000"/>
                <w:rFonts w:ascii="Times New Roman" w:hAnsi="Times New Roman" w:cs="Times New Roman" w:eastAsia="Times New Roman"/>
                <w:sz w:val="24"/>
              </w:rPr>
              <w:t>Rada pre mediálne služby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103a ods. 1 a Čl. II § 11a ods. 1</w:t>
              <w:br/>
            </w:r>
            <w:r>
              <w:rPr>
                <w:b w:val="off"/>
                <w:color w:val="000000"/>
                <w:rFonts w:ascii="Times New Roman" w:hAnsi="Times New Roman" w:cs="Times New Roman" w:eastAsia="Times New Roman"/>
                <w:sz w:val="24"/>
              </w:rPr>
              <w:t>V Čl. I v § 103a ods. 1 a v čl. II v § 11a ods. 1 navrhujeme zvážiť za slovom „subjektov“ vypustenie „z iného členského štátu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Ide o rozšírenie rozsahu pôsobnosti právneho predpisu navýšením povinností nad rámec čl. 6 ods. 1 písm. d) Nariadenia Európskeho parlamentu a Rady (EÚ) 2024/1083 z 11. apríla 2024, ktorým sa stanovuje spoločný rámec pre mediálne služby na vnútornom trhu a mení smernica 2010/13/EÚ (Európsky akt o slobode médií).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zmysle príslušných ustanovení EMFA by mali povinné subjekty zverejniť na svojom webovom sídle informácie o tom, že im boli poskytnuté finančné prostriedky na štátnu reklamu, či už z verejných finančných prostriedkov alebo od orgánov verejnej moci alebo verejných subjektov nielen z tretieho štátu ale aj z iného členského štátu.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RpMS</w:t>
              <w:br/>
            </w:r>
            <w:r>
              <w:rPr>
                <w:b w:val="off"/>
                <w:color w:val="000000"/>
                <w:rFonts w:ascii="Times New Roman" w:hAnsi="Times New Roman" w:cs="Times New Roman" w:eastAsia="Times New Roman"/>
                <w:sz w:val="24"/>
              </w:rPr>
              <w:t>Rada pre mediálne služby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110 ods. 2 písm. k)</w:t>
              <w:br/>
            </w:r>
            <w:r>
              <w:rPr>
                <w:b w:val="off"/>
                <w:color w:val="000000"/>
                <w:rFonts w:ascii="Times New Roman" w:hAnsi="Times New Roman" w:cs="Times New Roman" w:eastAsia="Times New Roman"/>
                <w:sz w:val="24"/>
              </w:rPr>
              <w:t>Navrhujeme vypustiť v čl. I § 110 ods. 2 písm. 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RpMS je mediálnym regulátorom dohliadajúcim na verejný záujem v oblasti obsahových a sprostredkovateľských služieb. Nedisponuje kompetenciami na monitorovanie nezávislosti, kreovania manažmentu a financovania verejnoprávneho vysielateľa. Návrh zákona neprináša žiadne zákonné nástroje, ktorými by mohla dodržiavanie požiadaviek stanovených článkom 5 Nariadenia (EÚ) 2024/1083 efektívne monitorovať a už vôbec nie ich vynucovať. RpMS ako nezávislý regulátor dohliada na fungovanie všetkých relevantných subjektov bez ohľadu na ich povahu a zameranie, nie je preto v súlade s jej postavením a poslaním dohliadať na ktorýkoľvek z nich špeciálnym spôsobom. Ak by bola poverená takouto úlohou navrhovaným spôsobom, jej výkon by bol len formálny, bez reálneho dopadu na zámer formulovaný Nariadením.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Posudzovanie nezávislosti verejnoprávneho vysielateľa (v rozsahu ako to vyžaduje čl. 5 Nariadenia) je komplexná činnosť, ktorá si vyžaduje podrobnú znalosť jeho interných procesov, financovania a riadenia. RpMS v súčasnosti nemá zákonné oprávnenia na prístup k takýmto podrobným informáciám ani odborné kapacity na ich analýzu v požadovanom rozsahu. Rovnako neexistujú zodpovedajúce povinnosti verejnoprávneho vysielateľa, ktoré by takéto kompetencie regulátora mali zrkadliť. Cielený</w:t>
              <w:br/>
            </w:r>
            <w:r>
              <w:rPr>
                <w:b w:val="off"/>
                <w:color w:val="000000"/>
                <w:rFonts w:ascii="Times New Roman" w:hAnsi="Times New Roman" w:cs="Times New Roman" w:eastAsia="Times New Roman"/>
                <w:sz w:val="24"/>
              </w:rPr>
              <w:t>a detailný dohľad nad jedným konkrétnym vysielateľom by bol neprimeraným zásahom do jej kompetenčného rámca a mohol by narušiť rovnováhu na mediálnom trhu.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Zákonom č. 157/2024 Z. z. je obdobná kompetencia zverená Rade Slovenskej televízie a rozhlasu. Zavádzanie duplicitného dohľadu by mohlo viesť k nejasnému rozdeleniu právomocí a potenciálnym kompetenčným sporom. Rada STVR by zároveň mala spĺňať definíciu subjektu zodpovedného za monitorovanie ustanovení čl. 5 Nariadenia podľa jeho odseku č.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je z pohľadu RpMS nedostatočné a neprispieva k naplneniu zámeru sledovaného Nariadením. Nariadenie vyžaduje od členských štátov systematické a efektívne opatrenia na ochranu nezávislosti verejnoprávnych médií. Predložená zmena je však len formálna, bez dostatočných legislatívnych záruk na účinné vykonanie dohľadu.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zmysle čl. 5 ods. 4 EMFA majú členské štáty na účel monitorovania uplatňovania odsekov 1 až 3  povinnosť určiť subjekt, ktorý je nezávislý od politického vplyvu vlády. V podmienkach Slovenskej republiky predkladateľ neidentifikoval vhodnejší subjekt, ktorý by mohol byť poverený uvedenou kompetenciou a ktorý by zároveň napĺňal podmienku nezávislosti, ako je Rada pre mediálne služby. Na základe pripomienky Rady pre mediálne služby bol návrh zákona doplnený o zákonné nástroje, ktoré prispejú k zabezpečeniu efektívneho výkonu monitorovania. Bolo doplnené oprávnenie Rady pre mediálne služby, požadovať získavať, spracúvať a vyhodnocovať informácie a podklady od verejnoprávneho vysielateľa, jeho zamestnanca alebo inej osoby, o ktorej možno odôvodnene predpokladať, že má informácie, ktoré sú relevantné pre výkon monitoringu a analýzy. Zároveň návrh zákona upravuje aj povinnosť týchto osôb takúto súčinnosť Rade pre mediálne služby poskytnúť. Prekladateľ sa nestotožňuje s tvrdením uvedeným v pripomienke, že predložený návrh zákona by bol spôsobilý narušiť rovnováhu na mediálnom trhu z dôvodu, že by ustanovil cielený a detailný  dohľad Rady pre mediálne služby nad jedným konkrétnym vysielateľom. V tomto prípade sa nejedná o výkon dohľadu, t.j Rada pre mediálne služby nie je povinná vykonávať dohľad nad plnením podmienok uvedených v čl. 5 ods. 1 až 3 EMFA a nie je oprávnená ani ukladať sankcie v prípade ich nedodržania. Cieľom uvedeného ustanovenia je iba vykonávať monitorovanie a analýzu uplatňovania podmienok uvedených v čl. 5 ods. 1 až 3 EMFA, nakoľko verejnoprávny vysielateľ ma vzhľadom na svoju úlohu, poskytovať službu verejnosti, osobitné postavenie.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RpMS</w:t>
              <w:br/>
            </w:r>
            <w:r>
              <w:rPr>
                <w:b w:val="off"/>
                <w:color w:val="000000"/>
                <w:rFonts w:ascii="Times New Roman" w:hAnsi="Times New Roman" w:cs="Times New Roman" w:eastAsia="Times New Roman"/>
                <w:sz w:val="24"/>
              </w:rPr>
              <w:t>Rada pre mediálne služby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145e a § 110 ods. 2 písm. l)</w:t>
              <w:br/>
            </w:r>
            <w:r>
              <w:rPr>
                <w:b w:val="off"/>
                <w:color w:val="000000"/>
                <w:rFonts w:ascii="Times New Roman" w:hAnsi="Times New Roman" w:cs="Times New Roman" w:eastAsia="Times New Roman"/>
                <w:sz w:val="24"/>
              </w:rPr>
              <w:t>Navrhujeme vypustiť v čl. I § 110 ods. 2 písm. l) a § 145e.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Navrhovaný spôsob výkonu dohľadu nad prideľovaním verejných finančných prostriedkov na štátnu reklamu je nedostatočný a nenapĺňa požiadavky čl. 25 Nariadenia. Tento článok vyžaduje, aby dohľad nad rozdeľovaním štátnej reklamy zabezpečoval transparentnosť, objektivitu, nediskrimináciu a primeranosť kritérií. Navrhované ustanovenie však RpMS vymedzuje len ako orgán dohľadu, bez toho, aby jej poskytlo adekvátne právomoci a nástroje na efektívne preskúmanie dodržiavania týchto zásad. Takto koncipované kompetencie nie sú v praxi reálne aplikovateľné.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RpMS je regulátorom trhu sprostredkovateľských a obsahových služieb bez expertízy a kompetencií na výkon dohľadu nad verejnými financiami. Skutočné naplnenie čl. 25 Nariadenia si vyžaduje detailnú kontrolu účtovníctva, finančných výkazov a zmlúv zadávateľov štátnej reklamy. Zároveň je potrebný výkon dohľadu nad širokým spektrom verejných inštitúcií, vrátane ministerstiev, štátnych podnikov, samospráv či obcí. Taký objem subjektov si vyžaduje rozsiahle kapacity a expertízu najmä v oblasti finančného riadenia a efektívneho využívania verejných financií, čo nie je oblasť dohľadu mediálneho regulátora.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podstatnou je otázka primeranosti a vhodnosti postavenia mediálneho regulátora ako subjektu ukladajúceho sankcie sankcií štátnym orgánom, štátnym podnikom či samosprávam, za nakladanie s verejnými prostriedkami. Výkon takýchto kompetencií má tiež potenciál smerovať k politickému tlaku a oslabovať tak nezávislé postavenie RpMS.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nastavenie zároveň môže vytvárať kompetenčné konflikty s orgánmi, ktoré už kontrolu verejných financií vykonávajú. Efektívnosť a kompatibilitu dohľadu nad prideľovaním štátnej reklamy s Nariadením si vyžaduje komplexné riešenie zahŕňajúce aj iné kontrolné orgány ako Najvyšší kontrolný úrad SR alebo Úrad pre verejné obstarávanie.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to, že samotná EMFA pripúšťa možnosť, aby monitorovanie prideľovania výdavkov na štátnu reklamu poskytovateľom mediálnych služieb bola zverená národným regulačným orgánom a predkladateľ neidentifikoval vhodnejší subjekt, ktorý by mohol byť poverený uvedenou kompetenciou, navrhuje sa túto kompetenciu zveriť Rade pre mediálne služby. Do návrhu zákona bolo doplnené ustanovenie, ktoré upravuje povinnosti zadávateľov štátnej reklamy s cieľom zabezpečiť transparentnosť, objektivitu, nediskrimináciu a primeranosť kritérií, ktoré musia byť dodržané pri prideľovaní finančných prostriedkov na štátnu reklamu. Oblasť spolupráce ministerstiev, ostatných ústredných orgánov štátnej správy a iných orgány verejnej správy s regulátorom sa v zmysle návrhu zákona vzťahuje aj na oblasť štátnej reklamy. Okrem orgánov verejnej správy budú pri výkone kompetencií regulátora v oblasti štátnej reklamy, povinní poskytovať Rade pre mediálne služby súčinnosť aj vysielatelia, poskytovatelia audiovizuálnej mediálnej služby na požiadanie a iné osoby, ktoré by mohli mať relevantné informácie potrebné, pre výkon tejto kompetencie regulátora.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vloženie nového novelizačného bodu</w:t>
              <w:br/>
            </w:r>
            <w:r>
              <w:rPr>
                <w:b w:val="off"/>
                <w:color w:val="000000"/>
                <w:rFonts w:ascii="Times New Roman" w:hAnsi="Times New Roman" w:cs="Times New Roman" w:eastAsia="Times New Roman"/>
                <w:sz w:val="24"/>
              </w:rPr>
              <w:t>RÚZ navrhuje vložiť do návrhu zákona nový bod č. 4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Vkladá sa nový § 7a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Poskytovateľ systémov merania sledovanosti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zákon sa vzťahuje na poskytovateľa systémov merania sledovanosti, ak má svoje sídlo alebo sídlo organizačnej zložky, miesto podnikania alebo bydlisko v Slovenskej republike.“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Povinnosti poskytovateľov systémov merania sledovanosti vyplývajú priamo z čl. 24 nariadenia (EÚ) 2024/1083, ktorým sa stanovuje spoločný rámec pre mediálne služby na vnútornom trhu (Európsky akt o slobode médií) a aplikujú sa priamo na každý subjekt, ktorý poskytuje v EU systémy merania sledovanosti. </w:t>
              <w:br/>
            </w:r>
            <w:r>
              <w:rPr>
                <w:b w:val="off"/>
                <w:color w:val="000000"/>
                <w:rFonts w:ascii="Times New Roman" w:hAnsi="Times New Roman" w:cs="Times New Roman" w:eastAsia="Times New Roman"/>
                <w:sz w:val="24"/>
              </w:rPr>
              <w:t>Každý poskytovateľ systémov merania sledovanosti by mal podliehať právnemu predpisu toho členského štátu, v ktorom má svoje sídlo/miesto podnikania/ bydlisko.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STVR</w:t>
              <w:br/>
            </w:r>
            <w:r>
              <w:rPr>
                <w:b w:val="off"/>
                <w:color w:val="000000"/>
                <w:rFonts w:ascii="Times New Roman" w:hAnsi="Times New Roman" w:cs="Times New Roman" w:eastAsia="Times New Roman"/>
                <w:sz w:val="24"/>
              </w:rPr>
              <w:t>Slovenská televízia a rozhlas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21 [§ 110 ods. 3 písm. f)]</w:t>
              <w:br/>
            </w:r>
            <w:r>
              <w:rPr>
                <w:b w:val="off"/>
                <w:color w:val="000000"/>
                <w:rFonts w:ascii="Times New Roman" w:hAnsi="Times New Roman" w:cs="Times New Roman" w:eastAsia="Times New Roman"/>
                <w:sz w:val="24"/>
              </w:rPr>
              <w:t>Obdobným spôsobom ako v prípade ustanovenia § 110 ods. 3 písm. f) odporúčame slová „Rozhlas a televízia Slovenska“ nahradiť aj v ustanovení § 115 ods. 2 písm. r), § 159 ods. 4 a § 176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Odporúčame jednotne upraviť zmenu názvu verejnoprávneho vysielateľa vo všetkých ustanoveniach zákona o mediálnych službách, v ktorých sa tento názov uvádza, nie len v jednom ustanovení.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STVR</w:t>
              <w:br/>
            </w:r>
            <w:r>
              <w:rPr>
                <w:b w:val="off"/>
                <w:color w:val="000000"/>
                <w:rFonts w:ascii="Times New Roman" w:hAnsi="Times New Roman" w:cs="Times New Roman" w:eastAsia="Times New Roman"/>
                <w:sz w:val="24"/>
              </w:rPr>
              <w:t>Slovenská televízia a rozhlas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48  [§ 242 ods. 2]</w:t>
              <w:br/>
            </w:r>
            <w:r>
              <w:rPr>
                <w:b w:val="off"/>
                <w:color w:val="000000"/>
                <w:rFonts w:ascii="Times New Roman" w:hAnsi="Times New Roman" w:cs="Times New Roman" w:eastAsia="Times New Roman"/>
                <w:sz w:val="24"/>
              </w:rPr>
              <w:t>Odporúčame za slová „8. augusta 2025“ vložiť čiarku a slová „podľa § 25a“ nahradiť slovami „podľa § 25a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rámci prechodného ustanovenia je potrebné riešiť dodatočné splnenie oznamovacej povinnosti podľa § 25a ods. 2, ktorá sa má splniť najneskôr v deň začatia poskytovania systémov merania sledovanosti, pre tých poskytovateľov systému merania sledovanosti, ktorí v čase nadobudnutia účinnosti predmetnej novely už vykonávajú takúto činnosť. Oznamovacia povinnosť podľa § 25a ods. 3 sa realizuje len na základe žiadosti regulátora. Z týchto dôvodov je vhodné namiesto odkazu na celé ustanovenie § 25a odkázať na konkrétne ustanovenie tohto paragrafu (tzn. § 25a ods.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STVR</w:t>
              <w:br/>
            </w:r>
            <w:r>
              <w:rPr>
                <w:b w:val="off"/>
                <w:color w:val="000000"/>
                <w:rFonts w:ascii="Times New Roman" w:hAnsi="Times New Roman" w:cs="Times New Roman" w:eastAsia="Times New Roman"/>
                <w:sz w:val="24"/>
              </w:rPr>
              <w:t>Slovenská televízia a rozhlas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 ods. 5</w:t>
              <w:br/>
            </w:r>
            <w:r>
              <w:rPr>
                <w:b w:val="off"/>
                <w:color w:val="000000"/>
                <w:rFonts w:ascii="Times New Roman" w:hAnsi="Times New Roman" w:cs="Times New Roman" w:eastAsia="Times New Roman"/>
                <w:sz w:val="24"/>
              </w:rPr>
              <w:t>V § 24 ods. 5 žiadame slová „viac ako 80% obyvateľov“ nahradiť slovami „viac ako 90% obyvateľov“.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záujme zabezpečenia prístupu verejnosti k významným podujatiam navrhujeme, aby do skupiny televíznych programových služieb s neobmedzeným prístupom verejnosti patrili tie televízne programové služby, ktorých spôsob vysielania umožňuje bezplatný prístup viac ako 90 % obyvateľov.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ide svojím obsahom nad rámec navrhovanej právnej úpravy a obsahovo nesúvisí s  cieľom sledovaným navrhovanou právnou úpravou, ktorým je implementácia EMFA.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STVR</w:t>
              <w:br/>
            </w:r>
            <w:r>
              <w:rPr>
                <w:b w:val="off"/>
                <w:color w:val="000000"/>
                <w:rFonts w:ascii="Times New Roman" w:hAnsi="Times New Roman" w:cs="Times New Roman" w:eastAsia="Times New Roman"/>
                <w:sz w:val="24"/>
              </w:rPr>
              <w:t>Slovenská televízia a rozhlas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55 ods. 5</w:t>
              <w:br/>
            </w:r>
            <w:r>
              <w:rPr>
                <w:b w:val="off"/>
                <w:color w:val="000000"/>
                <w:rFonts w:ascii="Times New Roman" w:hAnsi="Times New Roman" w:cs="Times New Roman" w:eastAsia="Times New Roman"/>
                <w:sz w:val="24"/>
              </w:rPr>
              <w:t xml:space="preserve">V § 55 ods. 5 navrhujeme za slová „nevzťahuje na“ vložiť slová „športové programy,“.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Rovnako ako pri oprávnených vysielateľoch sa aj pre verejnoprávneho vysielateľa vynímajú športové programy z povinnosti zabezpečiť ich sprevádzanie titulkami pre osoby so sluchovým postihnutím alebo tlmočením do slovenského posunkového jazyka. Športové programy (prenosy zo športových súťaží/zápasov) sú pri ich vysielaní v obraze dopĺňané rôznymi ďalšími údajmi v grafickej podobe (najmä časomiera, stav zápasu, priebežné poradie súťažiacich a pod.). Titulky pre osoby so sluchovým postihnutým, ktoré musia byť vysielané na tmavom podklade, ako aj zobrazenie osoby, ktorá tlmočí do slovenského posunkového jazyka, tieto údaje často prekrývajú. Titulky pre osoby so sluchovým postihnutým ako aj zobrazenie osoby, ktorá tlmočí do slovenského posunkového jazyka spravidla prekrývajú aj časť obrazu priebehu samotnej športovej súťaže/zápasu, čo výrazne znižuje kvalitu sledovania športovej súťaže/zápasu.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ide svojím obsahom nad rámec navrhovanej právnej úpravy a obsahovo nesúvisí s  cieľom sledovaným navrhovanou právnou úpravou, ktorým je implementácia EMFA.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STVR</w:t>
              <w:br/>
            </w:r>
            <w:r>
              <w:rPr>
                <w:b w:val="off"/>
                <w:color w:val="000000"/>
                <w:rFonts w:ascii="Times New Roman" w:hAnsi="Times New Roman" w:cs="Times New Roman" w:eastAsia="Times New Roman"/>
                <w:sz w:val="24"/>
              </w:rPr>
              <w:t>Slovenská televízia a rozhlas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89 ods. 2</w:t>
              <w:br/>
            </w:r>
            <w:r>
              <w:rPr>
                <w:b w:val="off"/>
                <w:color w:val="000000"/>
                <w:rFonts w:ascii="Times New Roman" w:hAnsi="Times New Roman" w:cs="Times New Roman" w:eastAsia="Times New Roman"/>
                <w:sz w:val="24"/>
              </w:rPr>
              <w:t>V § 89 ods. 2 navrhujeme slová „osem minút počas jednej celej hodiny“ nahradiť slovami „20% tohto času“.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Ako sa uvádza v nariadení EP a Rady (EÚ) 2024/1083 poskytovatelia mediálnych služieb by mali byť schopní slobodne vykonávať svoje činnosti na vnútornom trhu a konkurovať si za rovnakých podmienok. Ako sa ďalej v tomto nariadení konštatuje „Vo vnútroštátnom mediálnom prostredí, ktoré sa vyznačuje koexistenciou verejných a súkromných poskytovateľov mediálnych služieb, prispievajú poskytovatelia verejnoprávnych médií k podpore plurality médií a podporujú hospodársku súťaž v mediálnom sektore tým, že vytvárajú širokú škálu obsahu, ktorý zodpovedá rôznym záujmom, perspektívam a demografii, a tým, že ponúkajú alternatívne pohľady a programové možnosti, čo poskytuje bohatú a jedinečnú ponuku.“  V záujme dosiahnutia týchto cieľov sa navrhuje stanoviť obmedzenie rozsahu reklamy vo vysielaní televíznych programových služieb verejnoprávneho vysielateľa v čase od 19.00 h do 22.00 h obdobným spôsobom, ako to zákon stanovuje pri súkromných vysielateľoch (tzn. nie počtom minút za hodinu, ale percentuálnym limitom pre daný časový úsek). Takáto úprava na jednej strane podporuje konkurenčné prostredie a na druhej strane umožňuje verejnoprávnemu vysielateľovi väčšiu flexibilitu pri zostavovaní televíznej programovej ponuky a zaraďovaní reklamných oznamov do vysielania v danom časovom období. Takáto flexibilita je nevyhnutná aj s ohľadom na skutočnosť, že verejnoprávny vysielateľ môže zaraďovať reklamné oznamy do vysielania len medzi jednotlivé programy (tzn. nemôže prerušovať programy reklamným oznámeným). Ak preto verejnoprávny vysielateľ zaradí v čase od 19.00 h do 22.00 h. do vysielania program, ktorého trvanie presiahlo jednu hodinu, tak súčasná právna úprava mu neumožňuje využiť povolený časový rozsah vysielania reklamných oznamov za danú hodinu a tento časový rozsah bez náhrady prepadne.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ide svojím obsahom nad rámec navrhovanej právnej úpravy. Znenie § 89 ods. 2 nie je v rozpore s EMFA.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STVR</w:t>
              <w:br/>
            </w:r>
            <w:r>
              <w:rPr>
                <w:b w:val="off"/>
                <w:color w:val="000000"/>
                <w:rFonts w:ascii="Times New Roman" w:hAnsi="Times New Roman" w:cs="Times New Roman" w:eastAsia="Times New Roman"/>
                <w:sz w:val="24"/>
              </w:rPr>
              <w:t>Slovenská televízia a rozhlas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210 ods. 2</w:t>
              <w:br/>
            </w:r>
            <w:r>
              <w:rPr>
                <w:b w:val="off"/>
                <w:color w:val="000000"/>
                <w:rFonts w:ascii="Times New Roman" w:hAnsi="Times New Roman" w:cs="Times New Roman" w:eastAsia="Times New Roman"/>
                <w:sz w:val="24"/>
              </w:rPr>
              <w:t>V § 210 navrhujeme vypustiť odsek 2. Doterajší odsek 3 sa označí ako odsek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Ako sa uvádza v nariadení EP a Rady (EÚ) 2024/1083 poskytovatelia mediálnych služieb by mali byť schopní slobodne vykonávať svoje činnosti na vnútornom trhu a konkurovať si za rovnakých podmienok. Ako sa ďalej v tomto nariadení konštatuje „Vo vnútroštátnom mediálnom prostredí, ktoré sa vyznačuje koexistenciou verejných a súkromných poskytovateľov mediálnych služieb, prispievajú poskytovatelia verejnoprávnych médií k podpore plurality médií a podporujú hospodársku súťaž v mediálnom sektore tým, že vytvárajú širokú škálu obsahu, ktorý zodpovedá rôznym záujmom, perspektívam a demografii, a tým, že ponúkajú alternatívne pohľady a programové možnosti, čo poskytuje bohatú a jedinečnú ponuku.“  V záujme dosiahnutia týchto cieľov sa navrhuje vypustiť diskriminačné ustanovenie, ktoré znevýhodňuje verejnoprávneho vysielateľa pri uchádzaní sa o voľné frekvencie na analógové terestriálne vysielanie rozhlasovej programovej služby oproti oprávneným (súkromným) vysielateľom.  Podľa daného ustanovenia môže byť verejnoprávnemu vysielateľovi udelená licencia na voľnú frekvenciu, o ktorú nemajú záujem oprávnení (súkromní) vysielateľa, najskôr po uplynutí dvoch rokov odkedy je takáto frekvencia voľná. Takáto voľná frekvencia tak musí fakticky zostať dva roky nevyužívaná a až po tom ju možno prideliť verejnoprávnemu vysielateľovi, čo nemožno považovať ani za účelné a efektívne využívanie frekvenčného spektra. Takýto stav v dôsledku nerovnosti podmienok ohrozuje hospodársku súťaž.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ide svojím obsahom nad rámec navrhovanej právnej úpravy. Znenie § 89 ods. 2 nie je v rozpore s EMFA.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242b ods. 1 I. K vlastnému materiálu:</w:t>
              <w:br/>
            </w:r>
            <w:r>
              <w:rPr>
                <w:b w:val="off"/>
                <w:color w:val="000000"/>
                <w:rFonts w:ascii="Times New Roman" w:hAnsi="Times New Roman" w:cs="Times New Roman" w:eastAsia="Times New Roman"/>
                <w:sz w:val="24"/>
              </w:rPr>
              <w:t>1.	V Čl. I. v § 242b ods. 1 za slovom „augustu“ vypustiť bodku.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242b ods. 2 I. K vlastnému materiálu:</w:t>
              <w:br/>
            </w:r>
            <w:r>
              <w:rPr>
                <w:b w:val="off"/>
                <w:color w:val="000000"/>
                <w:rFonts w:ascii="Times New Roman" w:hAnsi="Times New Roman" w:cs="Times New Roman" w:eastAsia="Times New Roman"/>
                <w:sz w:val="24"/>
              </w:rPr>
              <w:t>2.	V Čl. I. v § 242b ods. 2 za textom „2025“ vložiť čiarku.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APKT</w:t>
            </w:r>
            <w:r>
              <w:rPr>
                <w:b w:val="off"/>
                <w:color w:val="000000"/>
                <w:rFonts w:ascii="Times New Roman" w:hAnsi="Times New Roman" w:cs="Times New Roman" w:eastAsia="Times New Roman"/>
                <w:sz w:val="24"/>
              </w:rPr>
              <w:t xml:space="preserve"> – APKT</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ARS</w:t>
            </w:r>
            <w:r>
              <w:rPr>
                <w:b w:val="off"/>
                <w:color w:val="000000"/>
                <w:rFonts w:ascii="Times New Roman" w:hAnsi="Times New Roman" w:cs="Times New Roman" w:eastAsia="Times New Roman"/>
                <w:sz w:val="24"/>
              </w:rPr>
              <w:t xml:space="preserve"> – Asociácia rádií Slovenska</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ATVS</w:t>
            </w:r>
            <w:r>
              <w:rPr>
                <w:b w:val="off"/>
                <w:color w:val="000000"/>
                <w:rFonts w:ascii="Times New Roman" w:hAnsi="Times New Roman" w:cs="Times New Roman" w:eastAsia="Times New Roman"/>
                <w:sz w:val="24"/>
              </w:rPr>
              <w:t xml:space="preserve"> – Asociácia televíznych vysielateľov Slovenska</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AmCham Slovakia</w:t>
            </w:r>
            <w:r>
              <w:rPr>
                <w:b w:val="off"/>
                <w:color w:val="000000"/>
                <w:rFonts w:ascii="Times New Roman" w:hAnsi="Times New Roman" w:cs="Times New Roman" w:eastAsia="Times New Roman"/>
                <w:sz w:val="24"/>
              </w:rPr>
              <w:t xml:space="preserve"> – Americká obchodná komora v Slovenskej republike</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4 (1o,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11 (11o,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RpMS</w:t>
            </w:r>
            <w:r>
              <w:rPr>
                <w:b w:val="off"/>
                <w:color w:val="000000"/>
                <w:rFonts w:ascii="Times New Roman" w:hAnsi="Times New Roman" w:cs="Times New Roman" w:eastAsia="Times New Roman"/>
                <w:sz w:val="24"/>
              </w:rPr>
              <w:t xml:space="preserve"> – Rada pre mediálne služby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STVR</w:t>
            </w:r>
            <w:r>
              <w:rPr>
                <w:b w:val="off"/>
                <w:color w:val="000000"/>
                <w:rFonts w:ascii="Times New Roman" w:hAnsi="Times New Roman" w:cs="Times New Roman" w:eastAsia="Times New Roman"/>
                <w:sz w:val="24"/>
              </w:rPr>
              <w:t xml:space="preserve"> – Slovenská televízia a rozhlas</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71 (65o, 6z)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11</w:t>
            </w:r>
          </w:p>
        </w:tc>
        <w:tc>
          <w:tcPr>
            <w:vAlign w:val="center"/>
          </w:tcPr>
          <w:p>
            <w:pPr>
              <w:spacing w:after="0"/>
              <w:jc w:val="center"/>
            </w:pPr>
            <w:r>
              <w:rPr>
                <w:b w:val="on"/>
                <w:color w:val="000000"/>
                <w:rFonts w:ascii="Times New Roman" w:hAnsi="Times New Roman" w:cs="Times New Roman" w:eastAsia="Times New Roman"/>
                <w:sz w:val="24"/>
              </w:rPr>
              <w:t>35</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