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203/2011 Z. z. o kolektívnom investovaní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LP/2025/585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155/14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155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124</w:t>
      </w:r>
      <w:r w:rsidR="00754CB0">
        <w:rPr>
          <w:rFonts w:ascii="Times New Roman" w:eastAsia="Times New Roman" w:hAnsi="Times New Roman" w:cs="Times New Roman"/>
          <w:sz w:val="24"/>
          <w:szCs w:val="24"/>
        </w:rPr>
        <w:t>/11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18</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 12 ods. 7</w:t>
              <w:br/>
            </w:r>
            <w:r>
              <w:rPr>
                <w:b w:val="off"/>
                <w:color w:val="000000"/>
                <w:rFonts w:ascii="Times New Roman" w:hAnsi="Times New Roman" w:cs="Times New Roman" w:eastAsia="Times New Roman"/>
                <w:sz w:val="24"/>
              </w:rPr>
              <w:t>Ust. § 12 ods. 7 navrhujeme upraviť nasledovne:</w:t>
              <w:br/>
            </w:r>
            <w:r>
              <w:rPr>
                <w:b w:val="off"/>
                <w:color w:val="000000"/>
                <w:rFonts w:ascii="Times New Roman" w:hAnsi="Times New Roman" w:cs="Times New Roman" w:eastAsia="Times New Roman"/>
                <w:sz w:val="24"/>
              </w:rPr>
              <w:t xml:space="preserve">Ak pri splatnosti dlhopisu a vyplácaní výnosov z dlhopisu emitent alebo iná osoba zabezpečujúca vykonávanie činností súvisiacich so splácaním menovitej hodnoty dlhopisov a vyplácaním výnosov z dlhopisov nemôže poukázať príslušné peňažné prostriedky na peňažný účet majiteľa dlhopisu alebo inej oprávnenej osoby výlučne z dôvodov na strane tohto majiteľa dlhopisu alebo inej oprávnenej osoby, dňom výmazu dlhopisu z účtu cenných papierov x sa právo majiteľa daného dlhopisu požadovať splácanie dlžnej sumy v menovitej hodnote a vyplácanie výnosov z nej podľa tohto zákona stáva pohľadávkou oprávnenej osoby, ktorá zodpovedá výške nevyplatených peňažných prostriedkov. To platí aj v prípade, ak emitent zabezpečuje vykonávanie činností súvisiacich so splácaním menovitej hodnoty dlhopisov a vyplácaním výnosov z dlhopisov prostredníctvom osôb, ktoré majú povolenie na vykonávanie týchto činností podľa tohto zákona alebo osobitného právneho predpisu xx. </w:t>
              <w:br/>
            </w:r>
            <w:r>
              <w:rPr>
                <w:b w:val="off"/>
                <w:color w:val="000000"/>
                <w:rFonts w:ascii="Times New Roman" w:hAnsi="Times New Roman" w:cs="Times New Roman" w:eastAsia="Times New Roman"/>
                <w:sz w:val="24"/>
              </w:rPr>
              <w:t>Odkazy:</w:t>
              <w:br/>
            </w:r>
            <w:r>
              <w:rPr>
                <w:b w:val="off"/>
                <w:color w:val="000000"/>
                <w:rFonts w:ascii="Times New Roman" w:hAnsi="Times New Roman" w:cs="Times New Roman" w:eastAsia="Times New Roman"/>
                <w:sz w:val="24"/>
              </w:rPr>
              <w:t xml:space="preserve">x § 105, § 105a a § 106 zákona č. 566/2001 Z.z. o cenných papieroch a investičných službách a o zmene a doplnení niektorých zákonov </w:t>
              <w:br/>
            </w:r>
            <w:r>
              <w:rPr>
                <w:b w:val="off"/>
                <w:color w:val="000000"/>
                <w:rFonts w:ascii="Times New Roman" w:hAnsi="Times New Roman" w:cs="Times New Roman" w:eastAsia="Times New Roman"/>
                <w:sz w:val="24"/>
              </w:rPr>
              <w:t xml:space="preserve">xx Napríklad § 6 ods. 2 písm. a) zákona č. 566/2001 Z.z . o cenných papieroch a investičných službách a o zmene a doplnení niektorých zákonov (zákon o cenných papieroch), čl. 16 nariadenia Európskeho parlamentu a Rady (EÚ) č. 909/2014 z 23. júla 2014 o zlepšení vyrovnania transakcií s cennými papiermi v Európskej únii, centrálnych depozitároch cenných papierov a o zmene smerníc 98/26/ES a 2014/65/EÚ a nariadenia (EÚ) č. 236/2012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Primerane je vhodné upraviť aj dôvodovú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zohľadňuje viaceré skutočnosti:</w:t>
              <w:br/>
            </w:r>
            <w:r>
              <w:rPr>
                <w:b w:val="off"/>
                <w:color w:val="000000"/>
                <w:rFonts w:ascii="Times New Roman" w:hAnsi="Times New Roman" w:cs="Times New Roman" w:eastAsia="Times New Roman"/>
                <w:sz w:val="24"/>
              </w:rPr>
              <w:t>1.	Je vhodné pojem „oprávnená osoba“, ktorou je myslená osoba, ktoré vypláca prostriedky v úvode vety nahradiť iným pojmom tak, aby tento pojem nebol zamieňaný alebo rovnako používaný aj pre osobu, ktorá je oprávnená na prijatie peňažných prostriedkov namiesto majiteľa dlhopisu.</w:t>
              <w:br/>
            </w:r>
            <w:r>
              <w:rPr>
                <w:b w:val="off"/>
                <w:color w:val="000000"/>
                <w:rFonts w:ascii="Times New Roman" w:hAnsi="Times New Roman" w:cs="Times New Roman" w:eastAsia="Times New Roman"/>
                <w:sz w:val="24"/>
              </w:rPr>
              <w:t>2.	V praxi môže nastať, že peňažné prostriedky budú vyplácané na peňažný účet inej osoby ako majiteľa dlhopisu (napr. na účet veriteľa, ak sú splnené zákonné predpoklady a pod.) – t.j. inej oprávnenej osoby. Preto je potrebné počítať s takouto situáciou, z ktorej sa vychádza pri zániku dlhopisov,  pri nemožnosti poukázania peňažných prostriedkov v prospech účtu.</w:t>
              <w:br/>
            </w:r>
            <w:r>
              <w:rPr>
                <w:b w:val="off"/>
                <w:color w:val="000000"/>
                <w:rFonts w:ascii="Times New Roman" w:hAnsi="Times New Roman" w:cs="Times New Roman" w:eastAsia="Times New Roman"/>
                <w:sz w:val="24"/>
              </w:rPr>
              <w:t>3.	Navrhujeme upresniť okamih zániku dlhopisu. Konkrétne nahradiť slová „dňom výmazu dlhopisu z evidencie zaknihovaných cenných papierov vedenej podľa osobitného predpisu 2fa)“ slovami „dňom výmazu dlhopisu z účtu cenných papierov“. Súčasne je potrebné doplniť odkaz na § 105, § 105a a § 106 zákona č. 566/2001 Z.z.. V praxi sú cenné papiere vedené na účtoch cenných papieroch (podľa § 105, § 105a alebo § 106 zákona č. 566/2001 Z. z.), zároveň sú cenné papiere vedené v registri emitenta  (podľa § 107 zákona č. 566/2001 Z.z.). Obidva typy zápisov predstavujú evidenciu zaknihovaných cenných papierov, vedenú podľa príslušného zákona. Z hľadiska vzniku a zániku dlhopisu (ako predmetu vlastníctva) je rozhodujúci zápis na účte cenných papierov. Registrácia emisie (zápis v registri emitenta) predchádza vzniku dlhopisu, rovnako zrušenie registrácie emisie nastáva až po výmaze všetkých dlhopisov z účtov cenných papierov (platia pravidlá TARGET2-Securities, kedy sa zrušenie registrácie emisie vykonáva až po uplynutí určenej lehoty po dni výmazu cenných papierov z účtov – spravidla 20 dní).</w:t>
              <w:br/>
            </w:r>
            <w:r>
              <w:rPr>
                <w:b w:val="off"/>
                <w:color w:val="000000"/>
                <w:rFonts w:ascii="Times New Roman" w:hAnsi="Times New Roman" w:cs="Times New Roman" w:eastAsia="Times New Roman"/>
                <w:sz w:val="24"/>
              </w:rPr>
              <w:t>4.	Zmenu formulácie druhej vety odôvodňujeme spôsobom vedenia evidencie zaknihovaných cenných papierov, zapojením ďalších subjektov v reťazi držby cenných papierov – účastníkov centrálneho depozitára. V prípade, ak budú výplata/splatenie realizované prostredníctvom centrálneho depozitára (teda ak emitent poverí centrálny depozitár výplatou/splatením), do zabezpečenia realizácie tejto výplaty/splatenia budú zapojení aj účastníci/členovia centrálneho depozitára na základe ich oprávnenia poskytovať investičné služby pre klientov (službu správy alebo držiteľskej správy). V uvedenom prípade emitent osobitne nepoveruje takouto činnosťou účastníkov/členov. Konkrétny postup, a teda či výplatu/splatenie bude realizovať centrálny depozitár alebo účastník/člen, závisí od toho na akom účte cenných papierov je cenný papier vedený a od rozsahu služieb, ktoré účastník/člen poskytuje vo vzťahu k účtu majiteľa (ak je účet majiteľa vedený v evidencii člena - § 106 zákona 566/2001 Z.z.). „Oprávnením podľa tohto zákona alebo osobitného predpisu“ je myslené najmä poverenie podľa zákona o dlhopisoch (napr. § 18 ods. 4), činnosť centrálneho depozitára podľa nariadenia CSDR, vykonávanie investičnej služby správy cenných papierov podľa zákona č. 566/2001 Z. z. (o cenných papieroch).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zmeny primerane uvádzame aj k ďalším odsekom predmetného článku, ak je to relevantné. Primerane platia aj vyššie uvedené odôvodenia.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správna. Celý článok II. však bol vypustený, je potrebné dopracovať aspekty súvisiace s ochranou peňažných prostriedkov oprávnených osôb v spojení s premlčaním oprávnených nárokov v súvislosti s realizáciou korporátnych udalostí.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8</w:t>
              <w:br/>
            </w:r>
            <w:r>
              <w:rPr>
                <w:b w:val="off"/>
                <w:color w:val="000000"/>
                <w:rFonts w:ascii="Times New Roman" w:hAnsi="Times New Roman" w:cs="Times New Roman" w:eastAsia="Times New Roman"/>
                <w:sz w:val="24"/>
              </w:rPr>
              <w:t>Obdobne ako v prípade pripomienky k § 12 ods. 7 navrhujeme v rámci § 12 ods. 8 slová „odo dňa výmazu dlhopisu z evidencie cenných papierov vedenej podľa osobitného predpisu.2fa)“ nahradiť slovami „odo dňa výmazu dlhopisu z účtu cenných papierov“. Zároveň je potrebné pri účte cenných papierov doplniť odkaz na § 105, § 105a a § 106 zákona 566/2001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navrhujeme zvážiť úpravu premlčania pohľadávky. Konkrétne je na zvážení naviazať lehotu premlčania pohľadávky na pôvodnú premlčaciu lehotu podľa § 23, kedy sa práva z dlhopisov premlčujú uplynutím 10 rokov odo dňa ich splatnosti. T.j. premlčacia lehota novej pohľadávky by nemala byť dlhšia ako pôvodná lehota podľa § 23 zákona o dlhopisoch. Zavedením novej premlčacej lehoty sa oproti súčasnému stavu zvýhodňuje majiteľ dlhopisu, ktorý svoj nárok bude môcť v niektorých prípadoch uplatniť v rámci dlhšej lehoty. Uvedené môže nastať najmä v prípadoch, ak výplata výnosov nebude realizovaná prostredníctvom centrálneho depozitára (napr. ak ju bude emitent realizovať priamo, alebo poverí inú osobu ako centrálny depozitár). V takomto prípade sa vyžaduje ďalšie konanie emitenta, emitent musí požiadať centrálny depozitár o výmaz cenných papierov a zrušenie registrácie emisie potom ako emisiu dlhopisov splatil. Ide teda o následné konanie, kedy vzniká časový úsek medzi splatením dlhopisov a ich výmazom z účtov cenných papierov – dĺžka tohto časového úseku závisí od toho ako včasne emitent o službu požiada a od času potrebného na spracovanie služby zo strany centrálneho depozitára. Pre doplnenie, ak by bola výplata dlhopisov realizovaná prostredníctvom centrálneho depozitára (vrátane účastníkov), centrálny depozitár by v rámci spracovania tejto korporátnej udalosti v súlade so štandardmi vykonal k rovnakému dátumu splatenie dlhopisu a taktiež  jeho výmaz z účtu cenných papierov.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obdobne platí aj pre emisie dlhopisov, ktoré budú v čase účinnosti zmien už po splatnosti, avšak emitent nemohol z dôvodov na strane majiteľov úspešne poukázať peniaze na ich účet v banke – a zároveň bude emitent chcieť uplatniť novú úpravu, pokiaľ ide o zrušenie registrácie emisie/zánik dlhopisov. V súčasnosti centrálny depozitár zruší registráciu emisie dlhopisov, len ak je plne splatená. Premlčacia lehota by sa teda pre majiteľa dlhopisu reálne predĺžila.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problematická situácia nastáva pri dlhopisoch, z ktorých nároky sú už premlčané podľa § 23, avšak tieto dlhopisy sú naďalej nesplatené a registrované v centrálnom depozitári (majitelia sa právne nemôžu domáhať splatenia a zároveň dlhopisy nezanikli, a teda neboli ani vymazané z evidencie). Pri zachovaní pôvodného návrhu premlčania pohľadávky je vhodné danú situáciu zohľadniť v prechodných ustanoveniach (s ohľadom na už existujúce prípady).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správna. Celý článok II. však bol vypustený, je potrebné dopracovať aspekty súvisiace s ochranou peňažných prostriedkov oprávnených osôb v spojení s premlčaním oprávnených nárokov v súvislosti s realizáciou korporátnych udalostí.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9</w:t>
              <w:br/>
            </w:r>
            <w:r>
              <w:rPr>
                <w:b w:val="off"/>
                <w:color w:val="000000"/>
                <w:rFonts w:ascii="Times New Roman" w:hAnsi="Times New Roman" w:cs="Times New Roman" w:eastAsia="Times New Roman"/>
                <w:sz w:val="24"/>
              </w:rPr>
              <w:t>Navrhujeme v rámci § 12 ods. 9 slová „alebo v prípade výplaty výnosov a istiny dlhopisu prostredníctvom oprávnenej osoby emitentom poverená oprávnená osoba“ nahradiť slovami „alebo iná osoba, ktorá zabezpečuje vykonávanie činností súvisiacich so splácaním menovitej hodnoty dlhopisov a vyplácaním výnosov z dlhopisov za emitenta“.  Primerane platí odôvodnenie v rámci pripomienky k § 12 ods. 7 (bod 4).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10</w:t>
              <w:br/>
            </w:r>
            <w:r>
              <w:rPr>
                <w:b w:val="off"/>
                <w:color w:val="000000"/>
                <w:rFonts w:ascii="Times New Roman" w:hAnsi="Times New Roman" w:cs="Times New Roman" w:eastAsia="Times New Roman"/>
                <w:sz w:val="24"/>
              </w:rPr>
              <w:t>Navrhujeme v rámci § 12 ods. 10 slová „alebo ním poverená oprávnená osoba na vyplatenie dlhopisu“ nahradiť slovami „alebo iná osoba, ktorá zabezpečuje vykonávanie činností súvisiacich so splácaním menovitej hodnoty dlhopisov a vyplácaním výnosov z dlhopisov za emitenta“.  Primerane platí odôvodnenie v rámci pripomienky k § 12 ods. 7 (bod 1 a 4).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dôvodová správa</w:t>
              <w:br/>
            </w:r>
            <w:r>
              <w:rPr>
                <w:b w:val="off"/>
                <w:color w:val="000000"/>
                <w:rFonts w:ascii="Times New Roman" w:hAnsi="Times New Roman" w:cs="Times New Roman" w:eastAsia="Times New Roman"/>
                <w:sz w:val="24"/>
              </w:rPr>
              <w:t xml:space="preserve">V rámci štvrtej vety - "Návrh odzrkadľuje pravidlá pre realizáciu korporátnych udalostí na základe trhových štandardov, podľa ktorých má byť dlhopis vymazaný z evidencie centrálneho depozitára po dátume jeho splatnosti." - navrhujeme doplniť aj odkaz na evidenciu člena (nie len centrálneho depozitára). Alternatívne možno používať pojem evidencia zaknihovaných cenných papierov.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je formulovaná tak, že výplatu výnosov a splatenie dlhopisov zabezpečuje CDCP, vrátane účastníkov podľa štandardov (čo mohol byť pôvodný zámer úpravy). Pri súčasnom znení je vhodné v rámci dôvodovej správy aspoň čiastočne zohľadniť aj výplatu inou osobou (napr. ak emitent poverí inú osobu ako centrálny depozitár). Teda v takomto prípade budú platiť rovnaké pravidlá pre zánik dlhopisov.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správna. Celý článok II. však bol vypustený, je potrebné dopracovať aspekty súvisiace s ochranou peňažných prostriedkov oprávnených osôb v spojení s premlčaním oprávnených nárokov v súvislosti s realizáciou korporátnych udalostí.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22 (§ 31b ods. 14) – O:</w:t>
              <w:br/>
            </w:r>
            <w:r>
              <w:rPr>
                <w:b w:val="off"/>
                <w:color w:val="000000"/>
                <w:rFonts w:ascii="Times New Roman" w:hAnsi="Times New Roman" w:cs="Times New Roman" w:eastAsia="Times New Roman"/>
                <w:sz w:val="24"/>
              </w:rPr>
              <w:t>V § 31b ods. 14 navrhujeme za slovo „nie“ vložiť slovo „je“ (oprava zrejmej nesprávnosti).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odporúčame vypustiť slová „a rozhodnutie o jej likvidácii“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bodom 25 a 26 (§ 31d a 37e) – O:</w:t>
              <w:br/>
            </w:r>
            <w:r>
              <w:rPr>
                <w:b w:val="off"/>
                <w:color w:val="000000"/>
                <w:rFonts w:ascii="Times New Roman" w:hAnsi="Times New Roman" w:cs="Times New Roman" w:eastAsia="Times New Roman"/>
                <w:sz w:val="24"/>
              </w:rPr>
              <w:t>Body 25 a 26 navrhujeme zlúčiť do jedného novelizačného bodu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úvodnej vete odporúčame vypustiť spojku ,,a“ pred slovami ,,zákona č. 334/2024 Z. z.“ a za týmito slovami vložiť slová ,,a zákona č. 187/2025 Z. z.“.</w:t>
              <w:br/>
            </w:r>
            <w:r>
              <w:rPr>
                <w:b w:val="off"/>
                <w:color w:val="000000"/>
                <w:rFonts w:ascii="Times New Roman" w:hAnsi="Times New Roman" w:cs="Times New Roman" w:eastAsia="Times New Roman"/>
                <w:sz w:val="24"/>
              </w:rPr>
              <w:t>2.	V bode 2 navrhujeme vypustiť  odsek 1  a nasledujúce odseky prečíslovať a upraviť vnútorné odkazy, pričom tam kde sa odkazuje na § 14a ods. 1 a konkrétne pododseky odkazovať na § 14a a príslušné odseky (napr.  čl. I bod 24 § 37b  ods. 12), keďže  odsek 1 je len výpočtom nástrojov na riadenie likvidity ktoré sú v rovnakom poradí definované v odsekoch 2 až 10.</w:t>
              <w:br/>
            </w:r>
            <w:r>
              <w:rPr>
                <w:b w:val="off"/>
                <w:color w:val="000000"/>
                <w:rFonts w:ascii="Times New Roman" w:hAnsi="Times New Roman" w:cs="Times New Roman" w:eastAsia="Times New Roman"/>
                <w:sz w:val="24"/>
              </w:rPr>
              <w:t xml:space="preserve">3.	V bode 2 §14c ods. 1 písm. a) odporúčame upraviť vnútorný odkaz na § 14a ods. 11 až 15, ktoré sa v navrhovanom texte nenachádzajú. V  písmene b) odporúčame nahradiť slová ,,§ 14a odseku 1 písm. a)“ slovami ,, § 14a ods. 1 písm. a)“. </w:t>
              <w:br/>
            </w:r>
            <w:r>
              <w:rPr>
                <w:b w:val="off"/>
                <w:color w:val="000000"/>
                <w:rFonts w:ascii="Times New Roman" w:hAnsi="Times New Roman" w:cs="Times New Roman" w:eastAsia="Times New Roman"/>
                <w:sz w:val="24"/>
              </w:rPr>
              <w:t>4.	V bode 3 navrhujeme  upraviť takto „V § 26h ods. 2 sa slová „možná...fondom“ nahrádzajú slovami „neprípustná, tým nie je dotknutý § 25a“.“.</w:t>
              <w:br/>
            </w:r>
            <w:r>
              <w:rPr>
                <w:b w:val="off"/>
                <w:color w:val="000000"/>
                <w:rFonts w:ascii="Times New Roman" w:hAnsi="Times New Roman" w:cs="Times New Roman" w:eastAsia="Times New Roman"/>
                <w:sz w:val="24"/>
              </w:rPr>
              <w:t>5.	V bode 4 v § 27 ods. 3 písm. e) navrhujeme slovo „odsekom“ nahradiť slovom „odsekmi“.</w:t>
              <w:br/>
            </w:r>
            <w:r>
              <w:rPr>
                <w:b w:val="off"/>
                <w:color w:val="000000"/>
                <w:rFonts w:ascii="Times New Roman" w:hAnsi="Times New Roman" w:cs="Times New Roman" w:eastAsia="Times New Roman"/>
                <w:sz w:val="24"/>
              </w:rPr>
              <w:t>6.	V bode 6 navrhujeme slová „odsekmi 1 až 5“ nahradiť slovami „týmto paragrafom“.</w:t>
              <w:br/>
            </w:r>
            <w:r>
              <w:rPr>
                <w:b w:val="off"/>
                <w:color w:val="000000"/>
                <w:rFonts w:ascii="Times New Roman" w:hAnsi="Times New Roman" w:cs="Times New Roman" w:eastAsia="Times New Roman"/>
                <w:sz w:val="24"/>
              </w:rPr>
              <w:t>7.	V bode 7 navrhujeme slovo „nemôže“ nahradiť sovom „nesmie“ (obdobne ako je tomu v bode  26 § 37e ods. 10 písm. a)).</w:t>
              <w:br/>
            </w:r>
            <w:r>
              <w:rPr>
                <w:b w:val="off"/>
                <w:color w:val="000000"/>
                <w:rFonts w:ascii="Times New Roman" w:hAnsi="Times New Roman" w:cs="Times New Roman" w:eastAsia="Times New Roman"/>
                <w:sz w:val="24"/>
              </w:rPr>
              <w:t>8.	V bode 8 navrhujeme slová „uplatňujú ustanovenia osobitného predpisu“ nahradiť slovami „uplatňuje osobitný predpis“.</w:t>
              <w:br/>
            </w:r>
            <w:r>
              <w:rPr>
                <w:b w:val="off"/>
                <w:color w:val="000000"/>
                <w:rFonts w:ascii="Times New Roman" w:hAnsi="Times New Roman" w:cs="Times New Roman" w:eastAsia="Times New Roman"/>
                <w:sz w:val="24"/>
              </w:rPr>
              <w:t>9.	V bode 9 navrhujeme slovo „nasledujúce“ nahradiť slovom „tieto“.</w:t>
              <w:br/>
            </w:r>
            <w:r>
              <w:rPr>
                <w:b w:val="off"/>
                <w:color w:val="000000"/>
                <w:rFonts w:ascii="Times New Roman" w:hAnsi="Times New Roman" w:cs="Times New Roman" w:eastAsia="Times New Roman"/>
                <w:sz w:val="24"/>
              </w:rPr>
              <w:t>10.	V bode 11 navrhujeme gramaticky upraviť slová „prijatých zverenie“ a v písm. i) bode 4 na konci vypustiť dvojbodku.</w:t>
              <w:br/>
            </w:r>
            <w:r>
              <w:rPr>
                <w:b w:val="off"/>
                <w:color w:val="000000"/>
                <w:rFonts w:ascii="Times New Roman" w:hAnsi="Times New Roman" w:cs="Times New Roman" w:eastAsia="Times New Roman"/>
                <w:sz w:val="24"/>
              </w:rPr>
              <w:t>11.	Navrhujeme spojiť body 12 a 18 napríklad takto: „V § 28 ods. 6 a § 28a ods. 6 sa vypúšťa druhá veta“ a nasledujúce body primerane prečíslovať.</w:t>
              <w:br/>
            </w:r>
            <w:r>
              <w:rPr>
                <w:b w:val="off"/>
                <w:color w:val="000000"/>
                <w:rFonts w:ascii="Times New Roman" w:hAnsi="Times New Roman" w:cs="Times New Roman" w:eastAsia="Times New Roman"/>
                <w:sz w:val="24"/>
              </w:rPr>
              <w:t>12.	V bode 13 navrhujeme slová „jej bolo udelené“ nahradiť slovami „sa jej udelilo“ a slová „odsekov 1 až 6, tohto odseku a odsekov 8 až 17 nahradiť slovami „tohto paragrafu“.</w:t>
              <w:br/>
            </w:r>
            <w:r>
              <w:rPr>
                <w:b w:val="off"/>
                <w:color w:val="000000"/>
                <w:rFonts w:ascii="Times New Roman" w:hAnsi="Times New Roman" w:cs="Times New Roman" w:eastAsia="Times New Roman"/>
                <w:sz w:val="24"/>
              </w:rPr>
              <w:t>13.	V bode 14 v písmene d) sú dve bodkočiarky (za slovami „spoločnosťou“ a „Slovenska“) a slovo „nasledujúce“ navrhujeme nahradiť slovom „tieto“.</w:t>
              <w:br/>
            </w:r>
            <w:r>
              <w:rPr>
                <w:b w:val="off"/>
                <w:color w:val="000000"/>
                <w:rFonts w:ascii="Times New Roman" w:hAnsi="Times New Roman" w:cs="Times New Roman" w:eastAsia="Times New Roman"/>
                <w:sz w:val="24"/>
              </w:rPr>
              <w:t>14.	Body 15 a 16 navrhujeme spojiť takto: „V § 28a ods. 4 písmená e a f) znejú:...“ vzhľadom na rozsah zmien v § 28a ods. 4 písm. e), keďže oba body majú mať rovnakú účinnosť a v nadväznosti na uvedené upraviť číslovanie nasledujúcich bodov a účinnosť.</w:t>
              <w:br/>
            </w:r>
            <w:r>
              <w:rPr>
                <w:b w:val="off"/>
                <w:color w:val="000000"/>
                <w:rFonts w:ascii="Times New Roman" w:hAnsi="Times New Roman" w:cs="Times New Roman" w:eastAsia="Times New Roman"/>
                <w:sz w:val="24"/>
              </w:rPr>
              <w:t>15.	V bode 16  v § 28a ods. 4 písm. f) navrhujeme  slová „na tretie osoby“ nahradiť slovami „tretím osobám“.</w:t>
              <w:br/>
            </w:r>
            <w:r>
              <w:rPr>
                <w:b w:val="off"/>
                <w:color w:val="000000"/>
                <w:rFonts w:ascii="Times New Roman" w:hAnsi="Times New Roman" w:cs="Times New Roman" w:eastAsia="Times New Roman"/>
                <w:sz w:val="24"/>
              </w:rPr>
              <w:t>16.	V bode 17 v § 28a ods. 4 písm. k) štvrtom bode navrhujem bodku na konci nahradiť čiarkou.</w:t>
              <w:br/>
            </w:r>
            <w:r>
              <w:rPr>
                <w:b w:val="off"/>
                <w:color w:val="000000"/>
                <w:rFonts w:ascii="Times New Roman" w:hAnsi="Times New Roman" w:cs="Times New Roman" w:eastAsia="Times New Roman"/>
                <w:sz w:val="24"/>
              </w:rPr>
              <w:t>17.	Bod 19 navrhujeme upraviť takto: „V § 30 ods. 10 sa na konci pripájajú tieto slová:...“ , keďže odsek má len dve vety.</w:t>
              <w:br/>
            </w:r>
            <w:r>
              <w:rPr>
                <w:b w:val="off"/>
                <w:color w:val="000000"/>
                <w:rFonts w:ascii="Times New Roman" w:hAnsi="Times New Roman" w:cs="Times New Roman" w:eastAsia="Times New Roman"/>
                <w:sz w:val="24"/>
              </w:rPr>
              <w:t>18.	V bode 21 v § 31b ods. 11 písm. b) navrhujeme vypustiť  „§“ za slovom „až“ a v písm. c) na konci čiarku nahradiť spojkou „alebo“.</w:t>
              <w:br/>
            </w:r>
            <w:r>
              <w:rPr>
                <w:b w:val="off"/>
                <w:color w:val="000000"/>
                <w:rFonts w:ascii="Times New Roman" w:hAnsi="Times New Roman" w:cs="Times New Roman" w:eastAsia="Times New Roman"/>
                <w:sz w:val="24"/>
              </w:rPr>
              <w:t>19.	V bode 22 v § 31b ods. 14 sa navrhuje ustanoviť pre NBS  oprávnenie podať  návrh na zrušenie  právnickej osoby, keďže ide o oprávnenie a nie  povinnosť  nie je zrejmé čo sa stane, ak NBS toto svoje oprávnenie nevyužije.</w:t>
              <w:br/>
            </w:r>
            <w:r>
              <w:rPr>
                <w:b w:val="off"/>
                <w:color w:val="000000"/>
                <w:rFonts w:ascii="Times New Roman" w:hAnsi="Times New Roman" w:cs="Times New Roman" w:eastAsia="Times New Roman"/>
                <w:sz w:val="24"/>
              </w:rPr>
              <w:t>20.	V bode 22 sa navrhuje v § 31b za odsek 11 vložiť nové odseky 12 až 14, navrhujeme zvážiť potrebu úpravy vnútorného odkazu v (platnom) odseku 13.</w:t>
              <w:br/>
            </w:r>
            <w:r>
              <w:rPr>
                <w:b w:val="off"/>
                <w:color w:val="000000"/>
                <w:rFonts w:ascii="Times New Roman" w:hAnsi="Times New Roman" w:cs="Times New Roman" w:eastAsia="Times New Roman"/>
                <w:sz w:val="24"/>
              </w:rPr>
              <w:t>21.	 V bode 24 § 37b ods. 17 navrhujeme vypustiť slová „a) až i)“ pre nadbytočnosť a  na konci nahradiť slová ,,Poznámky pod čiarou k odkazom 25ka, 25kb a  25kc znejú.“ slovami ,, Poznámky pod čiarou k odkazom 25ka až 25kc znejú:“.</w:t>
              <w:br/>
            </w:r>
            <w:r>
              <w:rPr>
                <w:b w:val="off"/>
                <w:color w:val="000000"/>
                <w:rFonts w:ascii="Times New Roman" w:hAnsi="Times New Roman" w:cs="Times New Roman" w:eastAsia="Times New Roman"/>
                <w:sz w:val="24"/>
              </w:rPr>
              <w:t>22.	V bodoch 25 a 26 vložiť za slovom ,,ktorý“ slová ,,vrátene nadpisu“.</w:t>
              <w:br/>
            </w:r>
            <w:r>
              <w:rPr>
                <w:b w:val="off"/>
                <w:color w:val="000000"/>
                <w:rFonts w:ascii="Times New Roman" w:hAnsi="Times New Roman" w:cs="Times New Roman" w:eastAsia="Times New Roman"/>
                <w:sz w:val="24"/>
              </w:rPr>
              <w:t>23.	Odporúčame spojiť body 25 a 26 s úvodnou vetou: ,,Za § 37c sa vkladajú § 37d a 37e, ktoré vrátane nadpisov znejú:“, keďže oba body majú mať rovnakú účinnosť a v nadväznosti na uvedené upraviť číslovanie nasledujúcich bodov a účinnosť..</w:t>
              <w:br/>
            </w:r>
            <w:r>
              <w:rPr>
                <w:b w:val="off"/>
                <w:color w:val="000000"/>
                <w:rFonts w:ascii="Times New Roman" w:hAnsi="Times New Roman" w:cs="Times New Roman" w:eastAsia="Times New Roman"/>
                <w:sz w:val="24"/>
              </w:rPr>
              <w:t>24.	V bode 26 v § 37e ods. 12 navrhujeme slová „12 ďalších “ nahradiť slovami „ďalších 12“, v odseku 13 písm. d) slová „a), b) a c)“ nahradiť slovami „a) až c)“, v odseku 16 slová „výlučne na účely“ nahradiť sovami „len na účel“, v odseku 18 slová „Ustanovenia odseku“ nahradiť slovami „Odsek“.</w:t>
              <w:br/>
            </w:r>
            <w:r>
              <w:rPr>
                <w:b w:val="off"/>
                <w:color w:val="000000"/>
                <w:rFonts w:ascii="Times New Roman" w:hAnsi="Times New Roman" w:cs="Times New Roman" w:eastAsia="Times New Roman"/>
                <w:sz w:val="24"/>
              </w:rPr>
              <w:t>25.	V vode 27 navrhujeme vypustiť slová „alebo obchodné meno“ pre nadbytočnosť, keďže pojem názov je nadradený a zahŕňa aj obchodné meno, pripomienka  platí  aj pre bod 28 § 45a ods. 8.</w:t>
              <w:br/>
            </w:r>
            <w:r>
              <w:rPr>
                <w:b w:val="off"/>
                <w:color w:val="000000"/>
                <w:rFonts w:ascii="Times New Roman" w:hAnsi="Times New Roman" w:cs="Times New Roman" w:eastAsia="Times New Roman"/>
                <w:sz w:val="24"/>
              </w:rPr>
              <w:t>26.	V bode 28 § 45a ods. 8 navrhujeme slová „za účelom“ nahradiť slovami „na účel“.</w:t>
              <w:br/>
            </w:r>
            <w:r>
              <w:rPr>
                <w:b w:val="off"/>
                <w:color w:val="000000"/>
                <w:rFonts w:ascii="Times New Roman" w:hAnsi="Times New Roman" w:cs="Times New Roman" w:eastAsia="Times New Roman"/>
                <w:sz w:val="24"/>
              </w:rPr>
              <w:t>27.	V bode 29 navrhujeme vypustiť slová „prvej vete“, keďže  sa slová za ktoré sa má vložiť nový text inde nenachádzajú. Pripomienka platí primerane aj pre bod 37</w:t>
              <w:br/>
            </w:r>
            <w:r>
              <w:rPr>
                <w:b w:val="off"/>
                <w:color w:val="000000"/>
                <w:rFonts w:ascii="Times New Roman" w:hAnsi="Times New Roman" w:cs="Times New Roman" w:eastAsia="Times New Roman"/>
                <w:sz w:val="24"/>
              </w:rPr>
              <w:t>28.	Bod 32 navrhujeme upraviť takto: „V § 57 ods. 2 písm. b) sa za slovo „činností“ vkladá čiarka a slová „funkcií alebo služieb“.“.</w:t>
              <w:br/>
            </w:r>
            <w:r>
              <w:rPr>
                <w:b w:val="off"/>
                <w:color w:val="000000"/>
                <w:rFonts w:ascii="Times New Roman" w:hAnsi="Times New Roman" w:cs="Times New Roman" w:eastAsia="Times New Roman"/>
                <w:sz w:val="24"/>
              </w:rPr>
              <w:t>29.	Body 38 až 40 navrhujeme spojiť keďže všetky novelizujú § 57a ods. 4, a majú mať rovnakú účinnosť a v nadväznosti na uvedené upraviť číslovanie nasledujúcich bodov a účinnosť.</w:t>
              <w:br/>
            </w:r>
            <w:r>
              <w:rPr>
                <w:b w:val="off"/>
                <w:color w:val="000000"/>
                <w:rFonts w:ascii="Times New Roman" w:hAnsi="Times New Roman" w:cs="Times New Roman" w:eastAsia="Times New Roman"/>
                <w:sz w:val="24"/>
              </w:rPr>
              <w:t>30.	V bode 41 navrhujeme slová „ v § 57a“ vypustiť pre nadbytočnosť.</w:t>
              <w:br/>
            </w:r>
            <w:r>
              <w:rPr>
                <w:b w:val="off"/>
                <w:color w:val="000000"/>
                <w:rFonts w:ascii="Times New Roman" w:hAnsi="Times New Roman" w:cs="Times New Roman" w:eastAsia="Times New Roman"/>
                <w:sz w:val="24"/>
              </w:rPr>
              <w:t>31.	V bode 43 a 46 navrhujeme slovo „článkom“ nahradiť slovom „čl.“.</w:t>
              <w:br/>
            </w:r>
            <w:r>
              <w:rPr>
                <w:b w:val="off"/>
                <w:color w:val="000000"/>
                <w:rFonts w:ascii="Times New Roman" w:hAnsi="Times New Roman" w:cs="Times New Roman" w:eastAsia="Times New Roman"/>
                <w:sz w:val="24"/>
              </w:rPr>
              <w:t>32.	V bode 44 navrhujeme slová „najneskôr do dvoch rokov povinná“ nahradiť slovami „povinná do dvoch rokov“.</w:t>
              <w:br/>
            </w:r>
            <w:r>
              <w:rPr>
                <w:b w:val="off"/>
                <w:color w:val="000000"/>
                <w:rFonts w:ascii="Times New Roman" w:hAnsi="Times New Roman" w:cs="Times New Roman" w:eastAsia="Times New Roman"/>
                <w:sz w:val="24"/>
              </w:rPr>
              <w:t>33.	V bode 47 v § 70 ods. 8 predvetí sa odkazuje na  „osoba uvedená v odseku 3 písm. a)“ avšak ten bez ďalšieho odkazuje na osobu podľa odseku 12, teda na depozitára štandardného fondu a špeciálneho fondu, máme teda za to, že ide o reťazenie vnútorných odkazov.</w:t>
              <w:br/>
            </w:r>
            <w:r>
              <w:rPr>
                <w:b w:val="off"/>
                <w:color w:val="000000"/>
                <w:rFonts w:ascii="Times New Roman" w:hAnsi="Times New Roman" w:cs="Times New Roman" w:eastAsia="Times New Roman"/>
                <w:sz w:val="24"/>
              </w:rPr>
              <w:t>34.	V bode 48 navrhujeme vypustiť slová „prvej vete“ a „v prvej vete“ pre nadbytočnosť.</w:t>
              <w:br/>
            </w:r>
            <w:r>
              <w:rPr>
                <w:b w:val="off"/>
                <w:color w:val="000000"/>
                <w:rFonts w:ascii="Times New Roman" w:hAnsi="Times New Roman" w:cs="Times New Roman" w:eastAsia="Times New Roman"/>
                <w:sz w:val="24"/>
              </w:rPr>
              <w:t>35.	Odporúčame spojiť body 89 a 90 do jedného bodu s úvodnou vetou: ,,Za § 220g sa vkladajú §220h a 220i, ktoré vrátane nadpisu § 220i znejú:“ a v nadväznosti na uvedené upraviť označenie nasledujúcich novelizačných bodov.</w:t>
              <w:br/>
            </w:r>
            <w:r>
              <w:rPr>
                <w:b w:val="off"/>
                <w:color w:val="000000"/>
                <w:rFonts w:ascii="Times New Roman" w:hAnsi="Times New Roman" w:cs="Times New Roman" w:eastAsia="Times New Roman"/>
                <w:sz w:val="24"/>
              </w:rPr>
              <w:t>36.	V bode 90  § 220i ods. 4 odporúčame nahradiť slovo ,,ustanovenými“ slovom ,,podľa“.</w:t>
              <w:br/>
            </w:r>
            <w:r>
              <w:rPr>
                <w:b w:val="off"/>
                <w:color w:val="000000"/>
                <w:rFonts w:ascii="Times New Roman" w:hAnsi="Times New Roman" w:cs="Times New Roman" w:eastAsia="Times New Roman"/>
                <w:sz w:val="24"/>
              </w:rPr>
              <w:t>39.	V bode 54 navrhujeme vypustiť slová „§ 80a ods. 1 písm. c)“ a zároveň bod 55 upraviť takto „V § 80a ods. 1 písm. c) sa slovo „činností“ nahrádza slovami „činností, funkcií a služieb“ a slovo „činnosťami“ sa nahrádza slovami „činnosťami, funkciami a službami“, tak aby sa jedno a to isté ustanovenie novelizovalo len jedným bodom.</w:t>
              <w:br/>
            </w:r>
            <w:r>
              <w:rPr>
                <w:b w:val="off"/>
                <w:color w:val="000000"/>
                <w:rFonts w:ascii="Times New Roman" w:hAnsi="Times New Roman" w:cs="Times New Roman" w:eastAsia="Times New Roman"/>
                <w:sz w:val="24"/>
              </w:rPr>
              <w:t>40.	V bode 59 navrhujeme slová „bolo udelené“ nahradiť slovami „sa udelilo“. Pripomienkam platí aj pre body 66 a 77 (písmeno d) prvý bod).</w:t>
              <w:br/>
            </w:r>
            <w:r>
              <w:rPr>
                <w:b w:val="off"/>
                <w:color w:val="000000"/>
                <w:rFonts w:ascii="Times New Roman" w:hAnsi="Times New Roman" w:cs="Times New Roman" w:eastAsia="Times New Roman"/>
                <w:sz w:val="24"/>
              </w:rPr>
              <w:t>41.	V bode 60 navrhujeme vypustiť slová „poslednej vete“ pre nadbytočnosť.</w:t>
              <w:br/>
            </w:r>
            <w:r>
              <w:rPr>
                <w:b w:val="off"/>
                <w:color w:val="000000"/>
                <w:rFonts w:ascii="Times New Roman" w:hAnsi="Times New Roman" w:cs="Times New Roman" w:eastAsia="Times New Roman"/>
                <w:sz w:val="24"/>
              </w:rPr>
              <w:t>42.	V bode 63 navrhujeme na konci pripojiť horné úvodzovky.</w:t>
              <w:br/>
            </w:r>
            <w:r>
              <w:rPr>
                <w:b w:val="off"/>
                <w:color w:val="000000"/>
                <w:rFonts w:ascii="Times New Roman" w:hAnsi="Times New Roman" w:cs="Times New Roman" w:eastAsia="Times New Roman"/>
                <w:sz w:val="24"/>
              </w:rPr>
              <w:t>43.	V bode 64 navrhujeme vypustiť slová „úvodnej vete “ pre nadbytočnosť.</w:t>
              <w:br/>
            </w:r>
            <w:r>
              <w:rPr>
                <w:b w:val="off"/>
                <w:color w:val="000000"/>
                <w:rFonts w:ascii="Times New Roman" w:hAnsi="Times New Roman" w:cs="Times New Roman" w:eastAsia="Times New Roman"/>
                <w:sz w:val="24"/>
              </w:rPr>
              <w:t>44.	V bode 68 navrhujeme uviesť konkrétne číslo článku  Modelovej zmluvy.</w:t>
              <w:br/>
            </w:r>
            <w:r>
              <w:rPr>
                <w:b w:val="off"/>
                <w:color w:val="000000"/>
                <w:rFonts w:ascii="Times New Roman" w:hAnsi="Times New Roman" w:cs="Times New Roman" w:eastAsia="Times New Roman"/>
                <w:sz w:val="24"/>
              </w:rPr>
              <w:t>45.	V bode 70 navrhujeme slová  „sa na začiatku“ nahradiť slovami „sa na začiatok“.</w:t>
              <w:br/>
            </w:r>
            <w:r>
              <w:rPr>
                <w:b w:val="off"/>
                <w:color w:val="000000"/>
                <w:rFonts w:ascii="Times New Roman" w:hAnsi="Times New Roman" w:cs="Times New Roman" w:eastAsia="Times New Roman"/>
                <w:sz w:val="24"/>
              </w:rPr>
              <w:t>46.	V bode 72 navrhujem upraviť bod tak, aby sa doterajšie  písmeno  p) po vložení nového písmena p) neoznačilo ako písmen r), ale ako písmeno q).</w:t>
              <w:br/>
            </w:r>
            <w:r>
              <w:rPr>
                <w:b w:val="off"/>
                <w:color w:val="000000"/>
                <w:rFonts w:ascii="Times New Roman" w:hAnsi="Times New Roman" w:cs="Times New Roman" w:eastAsia="Times New Roman"/>
                <w:sz w:val="24"/>
              </w:rPr>
              <w:t>47.	V bode 74 v § 161a ods. 1 sa navrhujeme, aby správcovská spoločnosť pravidelne podávala NBS správy, navrhujeme zvážiť v akej periodicite.</w:t>
              <w:br/>
            </w:r>
            <w:r>
              <w:rPr>
                <w:b w:val="off"/>
                <w:color w:val="000000"/>
                <w:rFonts w:ascii="Times New Roman" w:hAnsi="Times New Roman" w:cs="Times New Roman" w:eastAsia="Times New Roman"/>
                <w:sz w:val="24"/>
              </w:rPr>
              <w:t>48.	V bode 74 v § 161a ods. 3 písm. d) prvom bode navrhujeme slová „bol zverený“ nahradiť slovami „sa zveril“.</w:t>
              <w:br/>
            </w:r>
            <w:r>
              <w:rPr>
                <w:b w:val="off"/>
                <w:color w:val="000000"/>
                <w:rFonts w:ascii="Times New Roman" w:hAnsi="Times New Roman" w:cs="Times New Roman" w:eastAsia="Times New Roman"/>
                <w:sz w:val="24"/>
              </w:rPr>
              <w:t>49.	V bode 77 v písmene d) prvom bode navrhujeme slová „obchodného mena alebo“ vypustiť pre nadbytočnosť.</w:t>
              <w:br/>
            </w:r>
            <w:r>
              <w:rPr>
                <w:b w:val="off"/>
                <w:color w:val="000000"/>
                <w:rFonts w:ascii="Times New Roman" w:hAnsi="Times New Roman" w:cs="Times New Roman" w:eastAsia="Times New Roman"/>
                <w:sz w:val="24"/>
              </w:rPr>
              <w:t>50.	V bode 84 v § 201ca ods. 1 písm. b)  sa ustanovuje, kedy sa informácie  vymieňané medzi  NBS a ERSB nepovažujú za dôverné – ak je to potrebné na účely súdneho konania, navrhujeme zvážiť rozšírenie výnimky aj pre OČTK v predsúdnom konaní.</w:t>
              <w:br/>
            </w:r>
            <w:r>
              <w:rPr>
                <w:b w:val="off"/>
                <w:color w:val="000000"/>
                <w:rFonts w:ascii="Times New Roman" w:hAnsi="Times New Roman" w:cs="Times New Roman" w:eastAsia="Times New Roman"/>
                <w:sz w:val="24"/>
              </w:rPr>
              <w:t>51.	V bode 84 v § 201ca ods. 2 navrhujeme slová „Ustanoveniami odseku“ nahradiť slovom „Odsekom“.</w:t>
              <w:br/>
            </w:r>
            <w:r>
              <w:rPr>
                <w:b w:val="off"/>
                <w:color w:val="000000"/>
                <w:rFonts w:ascii="Times New Roman" w:hAnsi="Times New Roman" w:cs="Times New Roman" w:eastAsia="Times New Roman"/>
                <w:sz w:val="24"/>
              </w:rPr>
              <w:t>52.	V bode 86 sa navrhuje v § 202 za odsek 12 vložiť nový odsek 13 a nasledujúce odseky prečíslovať, navrhujeme zvážiť úpravu vnútorných odkazov v platnom § 16 o písm. a) a ods. 17 ktoré odkazujú na odsek 15.</w:t>
              <w:br/>
            </w:r>
            <w:r>
              <w:rPr>
                <w:b w:val="off"/>
                <w:color w:val="000000"/>
                <w:rFonts w:ascii="Times New Roman" w:hAnsi="Times New Roman" w:cs="Times New Roman" w:eastAsia="Times New Roman"/>
                <w:sz w:val="24"/>
              </w:rPr>
              <w:t>53.	Bod 87 navrhujeme upraviť takto: „V § 202 ods. 14 sa na konci bodka nahrádza čiarkou a pripájajú sa tieto slová: „Európsky...“.“.</w:t>
              <w:br/>
            </w:r>
            <w:r>
              <w:rPr>
                <w:b w:val="off"/>
                <w:color w:val="000000"/>
                <w:rFonts w:ascii="Times New Roman" w:hAnsi="Times New Roman" w:cs="Times New Roman" w:eastAsia="Times New Roman"/>
                <w:sz w:val="24"/>
              </w:rPr>
              <w:t>54.	Odporúčame spojiť body 89 a 90 do jedného bodu s úvodnou vetou: ,,Za § 220g sa vkladajú §220h a 220i, ktoré vrátane nadpisu § 220i znejú:“, keďže oba body majú mať rovnakú účinnosť a v nadväznosti na uvedené upraviť označenie nasledujúcich novelizačných bodov .</w:t>
              <w:br/>
            </w:r>
            <w:r>
              <w:rPr>
                <w:b w:val="off"/>
                <w:color w:val="000000"/>
                <w:rFonts w:ascii="Times New Roman" w:hAnsi="Times New Roman" w:cs="Times New Roman" w:eastAsia="Times New Roman"/>
                <w:sz w:val="24"/>
              </w:rPr>
              <w:t>55.	V bode 89  navrhujeme za slová „§ 31b“ vložiť slová, ktorými sa vyjadrí v akom účinnom znení sa má § 31b na mysli, keďže sa § 31b novelizuje bodmi 20 až 22, pripomienka platí primerane aj pre odkaz na § 31b ods. 3 písm. a) a pre bod 90 (§ 220i ods. 1 odkaz na § 28a).</w:t>
              <w:br/>
            </w:r>
            <w:r>
              <w:rPr>
                <w:b w:val="off"/>
                <w:color w:val="000000"/>
                <w:rFonts w:ascii="Times New Roman" w:hAnsi="Times New Roman" w:cs="Times New Roman" w:eastAsia="Times New Roman"/>
                <w:sz w:val="24"/>
              </w:rPr>
              <w:t>56.	V bode 90  § 220i ods. 4 odporúčame nahradiť slovo ,,ustanovenými“ slovom ,,podľa“.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Čl. II</w:t>
              <w:br/>
            </w:r>
            <w:r>
              <w:rPr>
                <w:b w:val="off"/>
                <w:color w:val="000000"/>
                <w:rFonts w:ascii="Times New Roman" w:hAnsi="Times New Roman" w:cs="Times New Roman" w:eastAsia="Times New Roman"/>
                <w:sz w:val="24"/>
              </w:rPr>
              <w:t>37. V Čl. II odseku 7 navrhujeme slová „v prípade“ naradiť slovami „vtedy“ a v odseku 10 odporúčame nahradiť slová ,,sú povinní“ slovami ,,je povinný“.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II bol z návrhu novely zákona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38.	V Čl. III odporúčame nahradiť slová ,,bodu 74 a 76 až 79“ slovami ,,bodov 74 a 76 až 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dopracovanie analýzy vplyvov na podnikateľské prostredie s kalkulačkou nákladov.</w:t>
              <w:br/>
            </w:r>
            <w:r>
              <w:rPr>
                <w:b w:val="off"/>
                <w:color w:val="000000"/>
                <w:rFonts w:ascii="Times New Roman" w:hAnsi="Times New Roman" w:cs="Times New Roman" w:eastAsia="Times New Roman"/>
                <w:sz w:val="24"/>
              </w:rPr>
              <w:t>Odôvodnenie: Po predbežnom pripomienkovom konaní bol do vlastného materiálu doplnený nový Čl. II - zákon č. 530/1990 Zb. o dlhopisoch, ktorý zakladá nový vplyv na podnikateľské prostredie, ktorý nie je zohľadnený v príslušnej analýze. V predmetnom článku sa upravujú vznik pohľadávky v prípade vymazania nesplateného dlhopisu po dátume jeho splatnosti z evidencie centrálneho depozitára a členov centrálneho depozitára. Zároveň sa ustanovuje povinnosť, že emitent alebo ním poverená osoba na realizáciu výplaty dlhopisu (teda centrálny depozitár) je povinný viesť evidenciu pohľadávok zo strany majiteľov vymazaného dlhopisu z evidencie centrálneho depozitára až do ich premlčania.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Celý článok II.  bol z návrhu zákona vyňatý, je k nemu potrebná hlbšia diskusia.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zosúladiť časť 5. Alternatívne riešenia s ďalšími časťami doložky.</w:t>
              <w:br/>
            </w:r>
            <w:r>
              <w:rPr>
                <w:b w:val="off"/>
                <w:color w:val="000000"/>
                <w:rFonts w:ascii="Times New Roman" w:hAnsi="Times New Roman" w:cs="Times New Roman" w:eastAsia="Times New Roman"/>
                <w:sz w:val="24"/>
              </w:rPr>
              <w:t>Odôvodnenie: Predkladateľ v časti 5. uvádza, že ,,Obe vyššie uvedené smernice (EÚ) sú transponované do zákona o kolektívnom investovaní bez goldplatingu, pritom žiadne ďalšie alternatívy neboli zvažované, pretože takýto prístup by znamenal odklon od znenia uvedených smerníc (EÚ)“. Následne v časti 7. Transpozícia/Implementácia práve EÚ je identifikovaný 3x goldplating v transponovanej smernici 2024/927. Z tohto dôvodu navrhujeme doplniť v časti 5. konkrétnu alternatívu, kde sa goldplating neuplatní.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 v čl. I úvodnej vete odporúčame doplniť chýbajúcu novelizáciu, a to zákon č. 187/2025 Z. z.,</w:t>
              <w:br/>
            </w:r>
            <w:r>
              <w:rPr>
                <w:b w:val="off"/>
                <w:color w:val="000000"/>
                <w:rFonts w:ascii="Times New Roman" w:hAnsi="Times New Roman" w:cs="Times New Roman" w:eastAsia="Times New Roman"/>
                <w:sz w:val="24"/>
              </w:rPr>
              <w:t>- v čl. I bode 14 § 28a ods. 2 písm. d) prvom bode odporúčame za čiarkou vypustiť slovo „a“,</w:t>
              <w:br/>
            </w:r>
            <w:r>
              <w:rPr>
                <w:b w:val="off"/>
                <w:color w:val="000000"/>
                <w:rFonts w:ascii="Times New Roman" w:hAnsi="Times New Roman" w:cs="Times New Roman" w:eastAsia="Times New Roman"/>
                <w:sz w:val="24"/>
              </w:rPr>
              <w:t>- v čl. I odporúčame novelizačné body 25 a 26 spojiť do jedného novelizačného bodu, ktorý znie: „25. Za § 37c sa vkladajú § 37d a 37e, ktoré vrátane nadpisov znejú:",</w:t>
              <w:br/>
            </w:r>
            <w:r>
              <w:rPr>
                <w:b w:val="off"/>
                <w:color w:val="000000"/>
                <w:rFonts w:ascii="Times New Roman" w:hAnsi="Times New Roman" w:cs="Times New Roman" w:eastAsia="Times New Roman"/>
                <w:sz w:val="24"/>
              </w:rPr>
              <w:t>- v čl. I bode 26 § 37e ods. 13 písm. d) odporúčame slová „a), b) a c)“ nahradiť slovami „a) až c)“,</w:t>
              <w:br/>
            </w:r>
            <w:r>
              <w:rPr>
                <w:b w:val="off"/>
                <w:color w:val="000000"/>
                <w:rFonts w:ascii="Times New Roman" w:hAnsi="Times New Roman" w:cs="Times New Roman" w:eastAsia="Times New Roman"/>
                <w:sz w:val="24"/>
              </w:rPr>
              <w:t>- v čl. I bode 77 úvodnej vete odporúčame slovo „d)“ nahradiť slovom „g)“, keďže bod 77 novelizuje znenie písmen c) až g).</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bodu 9: V § 28 ods. 2 písm. d) na konci prvého bodu odporúčame vypustiť pred spojkou „a“ čiarku.</w:t>
              <w:br/>
            </w:r>
            <w:r>
              <w:rPr>
                <w:b w:val="off"/>
                <w:color w:val="000000"/>
                <w:rFonts w:ascii="Times New Roman" w:hAnsi="Times New Roman" w:cs="Times New Roman" w:eastAsia="Times New Roman"/>
                <w:sz w:val="24"/>
              </w:rPr>
              <w:t>Rovnakú pripomienku máme aj k bodu 14 (§ 28a ods. 2 písm. d) prvý bod).</w:t>
              <w:br/>
            </w:r>
            <w:r>
              <w:rPr>
                <w:b w:val="off"/>
                <w:color w:val="000000"/>
                <w:rFonts w:ascii="Times New Roman" w:hAnsi="Times New Roman" w:cs="Times New Roman" w:eastAsia="Times New Roman"/>
                <w:sz w:val="24"/>
              </w:rPr>
              <w:t>Odôvodnenie: Súlad s bodom 5.1. prílohy č. 1 legislatívnych pravidiel vlády, ktorý upravuje formuláciu kumulatívnych zákonných podmienok.</w:t>
              <w:br/>
            </w:r>
            <w:r>
              <w:rPr>
                <w:b w:val="off"/>
                <w:color w:val="000000"/>
                <w:rFonts w:ascii="Times New Roman" w:hAnsi="Times New Roman" w:cs="Times New Roman" w:eastAsia="Times New Roman"/>
                <w:sz w:val="24"/>
              </w:rPr>
              <w:t>K bodu 22: V § 31b ods. 12 je potrebné vzhľadom na odôvodnenie tohto ustanovenia nahradiť za slovami „ovládaná správcom“ spojku „ale“ spojkou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 xml:space="preserve">Odporúčame v čl. I bode 2 navrhovanom § 14c ods. 1 písm. a) overiť a upraviť vnútorný odkaz </w:t>
              <w:br/>
            </w:r>
            <w:r>
              <w:rPr>
                <w:b w:val="off"/>
                <w:color w:val="000000"/>
                <w:rFonts w:ascii="Times New Roman" w:hAnsi="Times New Roman" w:cs="Times New Roman" w:eastAsia="Times New Roman"/>
                <w:sz w:val="24"/>
              </w:rPr>
              <w:t>na § 14a ods. 11 až 15.</w:t>
              <w:br/>
            </w:r>
            <w:r>
              <w:rPr>
                <w:b w:val="off"/>
                <w:color w:val="000000"/>
                <w:rFonts w:ascii="Times New Roman" w:hAnsi="Times New Roman" w:cs="Times New Roman" w:eastAsia="Times New Roman"/>
                <w:sz w:val="24"/>
              </w:rPr>
              <w:t>Odôvodnenie: Legislatívno-technická pripomienka. Ide o odkaz na neexistujúce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25 a 26</w:t>
              <w:br/>
            </w:r>
            <w:r>
              <w:rPr>
                <w:b w:val="off"/>
                <w:color w:val="000000"/>
                <w:rFonts w:ascii="Times New Roman" w:hAnsi="Times New Roman" w:cs="Times New Roman" w:eastAsia="Times New Roman"/>
                <w:sz w:val="24"/>
              </w:rPr>
              <w:t>Odporúčame novelizácie v novelizačných bodoch 25 a 26 upraviť v jednom novelizačnom bode 25 a úvodnú vetu upraviť nasledovne: „Za § 37c sa vkladajú § 37d a 37e, ktoré vrátane nadpisov znejú:“.</w:t>
              <w:br/>
            </w:r>
            <w:r>
              <w:rPr>
                <w:b w:val="off"/>
                <w:color w:val="000000"/>
                <w:rFonts w:ascii="Times New Roman" w:hAnsi="Times New Roman" w:cs="Times New Roman" w:eastAsia="Times New Roman"/>
                <w:sz w:val="24"/>
              </w:rPr>
              <w:t>Pripomienka smeruje aj  k novelizačným bodom 89 a 90 a novelizačným bodom 91 a 92.</w:t>
              <w:br/>
            </w:r>
            <w:r>
              <w:rPr>
                <w:b w:val="off"/>
                <w:color w:val="000000"/>
                <w:rFonts w:ascii="Times New Roman" w:hAnsi="Times New Roman" w:cs="Times New Roman" w:eastAsia="Times New Roman"/>
                <w:sz w:val="24"/>
              </w:rPr>
              <w:t>Nasledujúce novelizačné body je potrebné primerane prečíslovať.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26</w:t>
              <w:br/>
            </w:r>
            <w:r>
              <w:rPr>
                <w:b w:val="off"/>
                <w:color w:val="000000"/>
                <w:rFonts w:ascii="Times New Roman" w:hAnsi="Times New Roman" w:cs="Times New Roman" w:eastAsia="Times New Roman"/>
                <w:sz w:val="24"/>
              </w:rPr>
              <w:t>Odporúčame v čl. I bode 26 navrhovanom § 37e ods. 17 znenie prvej vety upraviť nasledovne:</w:t>
              <w:br/>
            </w:r>
            <w:r>
              <w:rPr>
                <w:b w:val="off"/>
                <w:color w:val="000000"/>
                <w:rFonts w:ascii="Times New Roman" w:hAnsi="Times New Roman" w:cs="Times New Roman" w:eastAsia="Times New Roman"/>
                <w:sz w:val="24"/>
              </w:rPr>
              <w:t xml:space="preserve">„Správcovská spoločnosť alternatívneho investičného fondu poskytujúceho úvery zabezpečí, aby si tento fond ponechal 5 % nominálnej hodnoty každého úveru, ktorý poskytol </w:t>
              <w:br/>
            </w:r>
            <w:r>
              <w:rPr>
                <w:b w:val="off"/>
                <w:color w:val="000000"/>
                <w:rFonts w:ascii="Times New Roman" w:hAnsi="Times New Roman" w:cs="Times New Roman" w:eastAsia="Times New Roman"/>
                <w:sz w:val="24"/>
              </w:rPr>
              <w:t>a následne previedol na tretie osoby.“.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Rozumieme zámeru predkladateľa a tento ako taký nerozporujeme. V tejto súvislosti považujeme za potrebné všeobecne uviesť, že uvedená právna úprava by mohla byť koncipovaná aj inak, keďže vo svojej podstate predstavuje úpravu osobitného dôvodu (osobitnej právne skutočnosti) pre zánik dlhopisu ako cenného papiera, ktorú je vo väzbe na všeobecný predpis (§ 14 ods. 1 písm. d) zákona č. 566/2001 Z. z. o cenných papieroch a investičných službách a o zmene a doplnení niektorých zákonov (zákon o cenných papieroch) v znení neskorších predpisov) možné a vhodné osobitne upraviť v zákone č. 530/1990 Zb. o dlhopisoch v znení neskorších predpisov. Nechávame však na zvážení predkladateľa ako uvedenú tému uchopí a legislatívno-technicky spracuje.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Odhliadnuc od vyššie uvedeného, odporúčame predkladateľovi najmä z dôvodu viacnásobného výskytu rôznych variácií slovného spojenia „iná oprávnená osoba“, „poverená oprávnená osoba“ alebo „oprávnená osoba“ v ustanovení, ktoré vždy z kontextu ustanovenia označujú iný subjekt alebo množinu subjektov, precizovať znenie § 12 tak, aby nemohlo dochádzať k interpretačným pochybnostiam. Osobitne považujeme za potrebné uviesť, že súhlasíme s tým, že nie je správne a vhodné pri transformovanej pohľadávke ďalej uvádzať a používať označenie „majiteľ“, resp. „majiteľ dlhopisu“, nakoľko zánikom dlhopisu zanikajú aj práva a povinnosti s jeho vlastníctvom spojené, preto súhlasíme, že je potrebné aj terminologické odlíšenie a toto ako také nenamietame, avšak v situácii, keď má použitý pojem „oprávnenej osoby“ zahŕňať aj iné osoby ako pôvodného majiteľa zaniknutého dlhopisu (viď odôvodenie uvádzané v osobitnej časti dôvodovej správy k čl. II návrhu zákona, kde predkladateľ uvádza, že oprávneným z transformovanej pohľadávky môže byť nielen majiteľ zaniknutého dlhopisu, ale aj iná oprávnená osoba ako napr. oprávnený dedič po pôvodnom majiteľovi dlhopisu alebo veriteľ), malo by dôjsť podľa nášho názoru k jeho výslovnej legálnej definícii pre účely ustanovenia § 12 ods. 7, napríklad aj v samostatnom novom odseku. V tomto zmysle by sa znenie ustanovenia mohlo niesť v nasledujúcom duchu: „(...) Oprávnenou osobou na účely splnenia povinnosti podľa odseku 7 spočívajúcej v poukázaní pohľadávky, ktorá zodpovedá výške nevyplatených peňažných prostriedkov, sa rozumie osoba, ktorej svedčí posledný zápis v evidencii zaknihovaných cenných papierov vedenej podľa osobitného predpisu2fa) alebo iná osoba, ktorá osvedčí právny titul k pohľadávke.“. Uvedené je podľa nášho názoru potrebné aj z hľadiska právnej istoty povinnej osoby, že plnením inej oprávnenej osobe (veriteľovi) dôjde k zániku jej záväzku vzniknutého ex lege zánikom dlhopisu v tomto zákonom osobitne vymienenom prípade.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odporúčame predkladateľovi či už priamo v § 12 ods. 7 alebo systematicky inak radenom ustanovení výslovne pozitívno-právne upraviť kedy (čas splnenia) a kde (miesto splnenia) je emitent alebo ním poverená oprávnená osoba povinná splniť transformovanú pohľadávku. Uvedená úprava v návrhu zákona aktuálne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správna. Celý článok II. však bol vypustený, je potrebné dopracovať aspekty súvisiace s ochranou peňažných prostriedkov oprávnených osôb v spojení s premlčaním oprávnených nárokov v súvislosti s realizáciou korporátnych udalostí.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37d ods. 1 písm. d)</w:t>
              <w:br/>
            </w:r>
            <w:r>
              <w:rPr>
                <w:b w:val="off"/>
                <w:color w:val="000000"/>
                <w:rFonts w:ascii="Times New Roman" w:hAnsi="Times New Roman" w:cs="Times New Roman" w:eastAsia="Times New Roman"/>
                <w:sz w:val="24"/>
              </w:rPr>
              <w:t>K navrhovanému zneniu § 37d ods. 1 písm. c) k textu „v súlade s medzinárodnými štandardami oceňovania“</w:t>
              <w:br/>
            </w:r>
            <w:r>
              <w:rPr>
                <w:b w:val="off"/>
                <w:color w:val="000000"/>
                <w:rFonts w:ascii="Times New Roman" w:hAnsi="Times New Roman" w:cs="Times New Roman" w:eastAsia="Times New Roman"/>
                <w:sz w:val="24"/>
              </w:rPr>
              <w:t>Slovenský preklad Internationa Valuation Standards je Medzinárodné ohodnocovacie štandardy, šieste vydanie bolo kompletne preložené v roku 2005. Buď je myslené na tieto štandardy alebo ide o celkovo rôzne ohodnocovacie štandardy, ktoré sú reziduálne akceptované v niektorých krajinách. Podľa navrhovaného znenia by mohli byť pod medzinárodnými štandardmi oceňovania akceptované aj odlišné štandardy ako Medzinárodné ohodnocovacie štandardy.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Prípustné sú rôzne medzinárodné ohodnocovacie štandardy, keďže tieto štandardy sa ešte stále vyvíjajú. Podstatné je, aby bol príslušný medzinárodný ohodnocovací štandard využívaný v praxi v širokej miere.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37d ods. 1</w:t>
              <w:br/>
            </w:r>
            <w:r>
              <w:rPr>
                <w:b w:val="off"/>
                <w:color w:val="000000"/>
                <w:rFonts w:ascii="Times New Roman" w:hAnsi="Times New Roman" w:cs="Times New Roman" w:eastAsia="Times New Roman"/>
                <w:sz w:val="24"/>
              </w:rPr>
              <w:t>Legislatívny návrh obsahuje nový druh odbornej osoby, tzv. nezávislý oceňovateľ nehnuteľností. Nezávislý oceňovateľ nehnuteľností môže byť</w:t>
              <w:br/>
            </w:r>
            <w:r>
              <w:rPr>
                <w:b w:val="off"/>
                <w:color w:val="000000"/>
                <w:rFonts w:ascii="Times New Roman" w:hAnsi="Times New Roman" w:cs="Times New Roman" w:eastAsia="Times New Roman"/>
                <w:sz w:val="24"/>
              </w:rPr>
              <w:t>a)	znalcom podľa zákona č. 382/2004 Z. z. o znalcoch, tlmočníkoch a prekladateľoch a o zmene a doplnení niektorých zákonov v znení neskorších predpisov (ďalej len „slovenskí znalci“).</w:t>
              <w:br/>
            </w:r>
            <w:r>
              <w:rPr>
                <w:b w:val="off"/>
                <w:color w:val="000000"/>
                <w:rFonts w:ascii="Times New Roman" w:hAnsi="Times New Roman" w:cs="Times New Roman" w:eastAsia="Times New Roman"/>
                <w:sz w:val="24"/>
              </w:rPr>
              <w:t>b)	osobou s obdobným oprávnením ako osoba podľa písmena a) podľa právneho predpisu iného štátu, na území ktorého sa nachádza nehnuteľnosť, ktorej hodnota sa určuje, (touto osobou môže byť napr. znalec zapísaný v zozname znalcov vedenom Ministerstvom spravodlivosti Českej republiky)</w:t>
              <w:br/>
            </w:r>
            <w:r>
              <w:rPr>
                <w:b w:val="off"/>
                <w:color w:val="000000"/>
                <w:rFonts w:ascii="Times New Roman" w:hAnsi="Times New Roman" w:cs="Times New Roman" w:eastAsia="Times New Roman"/>
                <w:sz w:val="24"/>
              </w:rPr>
              <w:t xml:space="preserve">c)	osobou uvedenou v zahraničnom zozname oceňovateľov, ktorá vykonáva oceňovanie v súlade s medzinárodnými štandardmi oceňovania, alebo </w:t>
              <w:br/>
            </w:r>
            <w:r>
              <w:rPr>
                <w:b w:val="off"/>
                <w:color w:val="000000"/>
                <w:rFonts w:ascii="Times New Roman" w:hAnsi="Times New Roman" w:cs="Times New Roman" w:eastAsia="Times New Roman"/>
                <w:sz w:val="24"/>
              </w:rPr>
              <w:t>d)	osobou, ktorá má oprávnenie orgánu dohľadu členského štátu na určovanie hodnoty takéhoto majetku v zahraničných subjektoch kolektívneho investovania.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obsahového vymedzenia znaleckej činnosti (príloha č. 2 k vyhláške č. 228/2018 Z. z.) stavby a stavebné pozemky ohodnocujú slovenskí znalci zapísaní v odbore Stavebníctvo, odvetví Odhad hodnoty nehnuteľností. Slovenskí znalci sú povinní riadiť sa ustanoveniami vyhlášky č. 492/2004 Z. z. o stanovení všeobecnej hodnoty majetku v znení neskorších predpisov (ďalej len „vyhláška č. 492/2004 Z. z.“), čiže pri stanovení všeobecnej hodnoty nehnuteľností sú povinní dodržiavať postupy, uvedené v prílohe č. 3 k vyhláške č. 492/2004 Z. z.</w:t>
              <w:br/>
            </w:r>
            <w:r>
              <w:rPr>
                <w:b w:val="off"/>
                <w:color w:val="000000"/>
                <w:rFonts w:ascii="Times New Roman" w:hAnsi="Times New Roman" w:cs="Times New Roman" w:eastAsia="Times New Roman"/>
                <w:sz w:val="24"/>
              </w:rPr>
              <w:t>Podľa uvedenej prílohy môžu slovenskí znalci zapísaní v odvetví Odhad hodnoty nehnuteľností stanoviť všeobecnú hodnotu stavieb len nasledovnými metódami: porovnávacou, kombinovanou a metódou polohovej diferenciácie. Všeobecnú hodnotu stavebných pozemkov je možné stanoviť len týmito metódami: porovnávacou, výnosovou a metódou polohovej diferenciácie.</w:t>
              <w:br/>
            </w:r>
            <w:r>
              <w:rPr>
                <w:b w:val="off"/>
                <w:color w:val="000000"/>
                <w:rFonts w:ascii="Times New Roman" w:hAnsi="Times New Roman" w:cs="Times New Roman" w:eastAsia="Times New Roman"/>
                <w:sz w:val="24"/>
              </w:rPr>
              <w:t>Aktuálne znenie zákona č. 203/2011 Z. z. ustanovuje, akým spôsobom sa ohodnocujú nehnuteľnosti, ktoré sú nadobúdané do majetku vo verejnom špeciálnom fonde nehnuteľností. Podľa § 125 ods. 3 zákona č. 203/2011 Z. z. je možné nadobudnúť do takého fondu nehnuteľnosti, ktoré sú spôsobilé prinášať pravidelný a dlhodobý výnos a ktorých hodnotu je možné určiť porovnávacou metódou, alebo výnosovou metódou, ak je to odôvodnené. Podľa § 125 ods. 4 zákona č. 203/2011 Z. z. je možné nadobudnúť do fondu nehnuteľnosti, ktoré sú spôsobilé priniesť zisk z predaja a ktorých hodnotu je možné určiť porovnávacou metódou, alebo výnosovou metódou, ak je to odôvodnené.</w:t>
              <w:br/>
            </w:r>
            <w:r>
              <w:rPr>
                <w:b w:val="off"/>
                <w:color w:val="000000"/>
                <w:rFonts w:ascii="Times New Roman" w:hAnsi="Times New Roman" w:cs="Times New Roman" w:eastAsia="Times New Roman"/>
                <w:sz w:val="24"/>
              </w:rPr>
              <w:t>Stavby: prenájom a predaj</w:t>
              <w:br/>
            </w:r>
            <w:r>
              <w:rPr>
                <w:b w:val="off"/>
                <w:color w:val="000000"/>
                <w:rFonts w:ascii="Times New Roman" w:hAnsi="Times New Roman" w:cs="Times New Roman" w:eastAsia="Times New Roman"/>
                <w:sz w:val="24"/>
              </w:rPr>
              <w:t>Slovenskí znalci však nemajú možnosť použiť výnosovú metódu pri ohodnocovaní stavieb. Jednoducho to vyhláška č. 492/2004 Z. z. neumožňuje a nie sú v tejto metóde vzdelávaný. Môžu použiť kombinovanú metódu, ktorá je kombináciou výnosového princípu s nákladovým. Okrem toho môžu použiť tzv. metódou polohovej diferenciácie, ktorá však nezodpovedá medzinárodným ohodnocovacím štandardom.</w:t>
              <w:br/>
            </w:r>
            <w:r>
              <w:rPr>
                <w:b w:val="off"/>
                <w:color w:val="000000"/>
                <w:rFonts w:ascii="Times New Roman" w:hAnsi="Times New Roman" w:cs="Times New Roman" w:eastAsia="Times New Roman"/>
                <w:sz w:val="24"/>
              </w:rPr>
              <w:t xml:space="preserve">V slovenskej znaleckej praxi sa najviac využíva metóda polohovej diferenciácie. </w:t>
              <w:br/>
            </w:r>
            <w:r>
              <w:rPr>
                <w:b w:val="off"/>
                <w:color w:val="000000"/>
                <w:rFonts w:ascii="Times New Roman" w:hAnsi="Times New Roman" w:cs="Times New Roman" w:eastAsia="Times New Roman"/>
                <w:sz w:val="24"/>
              </w:rPr>
              <w:t>Dôsledkom uvedeného sú prípady, že slovenskí znalci môžu vzhľadom na ustanovenia § 125 zákona č. 203/2011 Z. z. ohodnotiť stavby len porovnávacou metódou, ale nemôžu ohodnotiť stavby výnosovou metódou, keďže táto metóda nie je prípustná podľa vyhlášky č. 492/2004 Z. z.</w:t>
              <w:br/>
            </w:r>
            <w:r>
              <w:rPr>
                <w:b w:val="off"/>
                <w:color w:val="000000"/>
                <w:rFonts w:ascii="Times New Roman" w:hAnsi="Times New Roman" w:cs="Times New Roman" w:eastAsia="Times New Roman"/>
                <w:sz w:val="24"/>
              </w:rPr>
              <w:t>Pozemky: prenájom a predaj</w:t>
              <w:br/>
            </w:r>
            <w:r>
              <w:rPr>
                <w:b w:val="off"/>
                <w:color w:val="000000"/>
                <w:rFonts w:ascii="Times New Roman" w:hAnsi="Times New Roman" w:cs="Times New Roman" w:eastAsia="Times New Roman"/>
                <w:sz w:val="24"/>
              </w:rPr>
              <w:t>Podľa vyhlášky č. 492/2004 Z. z. je možné pozemky ohodnotiť aj výnosovou metódou, ale len v prípade, že pozemky sú schopné dosahovať výnos formou prenájmu. Čiže ak by mal slovenský znalec ohodnotiť pozemky na predaj, ktoré aktuálne nedosahujú výnos formou prenájmu, napr. pozemky určené na zastavanie bytovými budovami, nemôže použiť výnosovú metódu.</w:t>
              <w:br/>
            </w:r>
            <w:r>
              <w:rPr>
                <w:b w:val="off"/>
                <w:color w:val="000000"/>
                <w:rFonts w:ascii="Times New Roman" w:hAnsi="Times New Roman" w:cs="Times New Roman" w:eastAsia="Times New Roman"/>
                <w:sz w:val="24"/>
              </w:rPr>
              <w:t>Dôsledky:</w:t>
              <w:br/>
            </w:r>
            <w:r>
              <w:rPr>
                <w:b w:val="off"/>
                <w:color w:val="000000"/>
                <w:rFonts w:ascii="Times New Roman" w:hAnsi="Times New Roman" w:cs="Times New Roman" w:eastAsia="Times New Roman"/>
                <w:sz w:val="24"/>
              </w:rPr>
              <w:t>Upozorňujeme na tento rozdiel, že nezávislí oceňovatelia nehnuteľností podľa písm. a), čiže slovenskí znalci, používajú metódu, ktorá nie je v súlade s medzinárodnými ohodnocovacími štandardami a taktiež nestanovujú výnosovú hodnotu stavieb a pozemkov určených na predaj, ktoré nedosahujú výnos formou prenájmu. Na druhej strane oceňovatelia podľa písm. b) – napr. aj českí znalci, keďže môžu používať metódy podľa medzinárodných ohodnocovacích štandardov, podľa písm. c) a aj písm. d), t. j. v súlade s medzinárodnými ohodnocovacími štandardmi výnosovou metódou (napr. stavba je komerčne využiteľná na prenájom alebo predaj s kalkulovateľnou mierou výnosnosti, mierou kapitalizácie atď.), môže nastať veľký rozdiel v hodnotách určených oceňovateľmi podľa písm. a) a oceňovateľmi  podľa zvyšných písmen, keďže výnosová metóda môže byť pri komerčne využiteľných nehnuteľnostiach optimálnou metódou na stanovenie hodnoty nehnuteľností.</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Buď upraviť ustanovenie § 125 zákona č. 203/2011 Z. z., aby mohli aj slovenskí znalci stanovovať hodnotu nehnuteľností podľa existujúcich slovenských ohodnocovacích noriem, alebo vypustiť písm. a) z § 37d, keďže slovenskí znalci nestanovujú hodnotu stavieb výnosovou metódou.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Navrhovaná úprava nebráni slovenským znalcom stanovovať hodnotu nehnuteľností podľa slovenských ohodnocovacích noriem. Navrhovaná úprava smeruje k tomu, aby slovenskí znalci mohli postupovať podľa medzinárodných ohodnocovacích štandardov. Zároveň sa umožňuje, aby nehnuteľnosti v zahraničí, ktoré sa nachádzajú v portfóliách fondov nehnuteľností, mohli oceňovať tak slovenskí ako aj  zahraniční oceňovatelia, podľa medzinárodných ohodnocovacích štandardov.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K čl. I úvodnej vete: Slová „zákon č. 108/2024 Z. z., a zákona č. 334/2024 Z. z.“ treba nahradiť slovami „zákon č. 108/2024 Z. z., zákona č. 334/2024 Z. z. a zákona č. 187/2025 Z. z. “. Zákon č. 203/2011 Z. z. o kolektívnom investovaní bol novelizovaný aj zákonom č. 187/2025 Z. z., ktorým sa dopĺňa zákon č. 566/2001 Z. z. o cenných papieroch a investičných službách a o zmene a doplnení niektorých zákonov (zákon o cenných papieroch)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25 a 26</w:t>
              <w:br/>
            </w:r>
            <w:r>
              <w:rPr>
                <w:b w:val="off"/>
                <w:color w:val="000000"/>
                <w:rFonts w:ascii="Times New Roman" w:hAnsi="Times New Roman" w:cs="Times New Roman" w:eastAsia="Times New Roman"/>
                <w:sz w:val="24"/>
              </w:rPr>
              <w:t>K čl. I bodom 25 a 26: Novelizačné body navrhujeme spojiť do jedného novelizačného bodu a novelizačný bod uviesť nasledovnou vetou: „Za § 37c sa vkladajú § 37d a 37e, ktoré vrátane nadpisov znejú:“. Rovnako ako to spravil predkladateľ v čl. I bode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38 až 40</w:t>
              <w:br/>
            </w:r>
            <w:r>
              <w:rPr>
                <w:b w:val="off"/>
                <w:color w:val="000000"/>
                <w:rFonts w:ascii="Times New Roman" w:hAnsi="Times New Roman" w:cs="Times New Roman" w:eastAsia="Times New Roman"/>
                <w:sz w:val="24"/>
              </w:rPr>
              <w:t>K čl. I bodom 38 až 40: Novelizačné body navrhujem spojiť do jedného novelizačného bodu. Všetky body sa týkajú § 57a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K čl. I bodu 43: V poznámke pod čiarou k odkazu 45a navrhujeme citácie: „delegované nariadenie Komisie (EÚ) 2023/2070 z 18. augusta 2023, ktorým sa mení delegované nariadenie (EÚ) 2016/1675 s cieľom doplniť Kamerun a Vietnam do zoznamu vysokorizikových tretích krajín (Ú. v. EÚ L 239, 28.9.2023), delegované nariadenie Komisie (EÚ) 2024/163 z 12. decembra 2023, ktorým sa mení delegované nariadenie (EÚ) 2016/1675, pokiaľ ide o vypustenie Kajmaních ostrovov a Jordánska z tabuľky v bode I prílohy (Ú. v. EÚ L, 2024/163, 18.1.2024)“ nahradiť citáciou „Delegované nariadenie Komisie (EÚ) 2016/1675 zo 14. júla 2016, ktorým sa smernica Európskeho parlamentu a Rady (EÚ) 2015/849 dopĺňa o identifikáciu vysokorizikových tretích krajín so strategickými nedostatkami (Ú. v. EÚ L 254, 20. 9. 2016) v platnom znení.“. Navrhujeme citovať delegované nariadenie v platnom znení a nie je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77</w:t>
              <w:br/>
            </w:r>
            <w:r>
              <w:rPr>
                <w:b w:val="off"/>
                <w:color w:val="000000"/>
                <w:rFonts w:ascii="Times New Roman" w:hAnsi="Times New Roman" w:cs="Times New Roman" w:eastAsia="Times New Roman"/>
                <w:sz w:val="24"/>
              </w:rPr>
              <w:t>K čl. I bodu 77: Znenie navrhovaného novelizačného bodu treba dať do súladu s jeho úvodnou vetou. Úvodná veta novelizačného bodu znie: „V § 189 ods. 2 písmená c) a d) znejú:“, avšak novelizačný bod obsahuje znenia písmen c) až g). Zároveň upozorňujeme, že platné znenie § 189 ods. 2 obsahuje len písmená a) až 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doložke zlučiteľnosti v bode 1 odporúčame slová „Vláda Slovenskej republiky“ nahradiť slovami „Ministerstvo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vypracovaní doložky zlučiteľnosti k návrhu zákona je potrebné pri bode 1 doložky zlučiteľnosti vychádzať z § 67 ods. 1 zákona č. 350/1996 Z. z. o rokovacom poriadku Národnej rady Slovenskej republiky, podľa ktorého sú len poslanci NR SR, výbory NR SR a vláda SR navrhovatelia zákonov. Z tohto dôvodu je v doložke zlučiteľnosti pri tomto bode uvedená vláda SR ako navrhovateľ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Bod 6 návrhu zákona žiadame upraviť takto:</w:t>
              <w:br/>
            </w:r>
            <w:r>
              <w:rPr>
                <w:b w:val="off"/>
                <w:color w:val="000000"/>
                <w:rFonts w:ascii="Times New Roman" w:hAnsi="Times New Roman" w:cs="Times New Roman" w:eastAsia="Times New Roman"/>
                <w:sz w:val="24"/>
              </w:rPr>
              <w:t>„6. V § 27 sa odsek 6 dopĺňa písmenami e) až g), ktoré znejú:</w:t>
              <w:br/>
            </w:r>
            <w:r>
              <w:rPr>
                <w:b w:val="off"/>
                <w:color w:val="000000"/>
                <w:rFonts w:ascii="Times New Roman" w:hAnsi="Times New Roman" w:cs="Times New Roman" w:eastAsia="Times New Roman"/>
                <w:sz w:val="24"/>
              </w:rPr>
              <w:t>„e) akúkoľvek inú funkciu alebo činnosť, ktorú správcovská spoločnosť alternatívneho investičného fondu už vykonáva vo vzťahu k alternatívnemu investičnému fondu, ktorý spravuje v súlade s odsekmi 4 a 5, alebo v súvislosti so službami, ktoré poskytuje podľa tohto odseku, za predpokladu, že akýkoľvek potenciálny konflikt záujmov vzniknutý poskytovaním tejto funkcie alebo činnosti iným osobám je primerane riadený,</w:t>
              <w:br/>
            </w:r>
            <w:r>
              <w:rPr>
                <w:b w:val="off"/>
                <w:color w:val="000000"/>
                <w:rFonts w:ascii="Times New Roman" w:hAnsi="Times New Roman" w:cs="Times New Roman" w:eastAsia="Times New Roman"/>
                <w:sz w:val="24"/>
              </w:rPr>
              <w:t>f) správu referenčných hodnôt podľa osobitného predpisu,15a)</w:t>
              <w:br/>
            </w:r>
            <w:r>
              <w:rPr>
                <w:b w:val="off"/>
                <w:color w:val="000000"/>
                <w:rFonts w:ascii="Times New Roman" w:hAnsi="Times New Roman" w:cs="Times New Roman" w:eastAsia="Times New Roman"/>
                <w:sz w:val="24"/>
              </w:rPr>
              <w:t>g) spravovanie úverov v súlade s osobitným predpisom.15b)“.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15b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„15b) Zákon č. 106/2024 Z. z. o správcoch úverov a nákupcoch úverov a o zmene a doplnení niektorých zákonov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Ad písm. e): </w:t>
              <w:br/>
            </w:r>
            <w:r>
              <w:rPr>
                <w:b w:val="off"/>
                <w:color w:val="000000"/>
                <w:rFonts w:ascii="Times New Roman" w:hAnsi="Times New Roman" w:cs="Times New Roman" w:eastAsia="Times New Roman"/>
                <w:sz w:val="24"/>
              </w:rPr>
              <w:t>Obdobná pripomienka ako pri správcovskej spoločnosti s povolením podľa § 28 ZKI (UCITS).</w:t>
              <w:br/>
            </w:r>
            <w:r>
              <w:rPr>
                <w:b w:val="off"/>
                <w:color w:val="000000"/>
                <w:rFonts w:ascii="Times New Roman" w:hAnsi="Times New Roman" w:cs="Times New Roman" w:eastAsia="Times New Roman"/>
                <w:sz w:val="24"/>
              </w:rPr>
              <w:t xml:space="preserve">Postačuje uvedenie vnútorného odkazu na § 27 ods. 4 a 5 a pri ďalších službách na odsek 6, ďalšie odseky 7 až 16 neriešia služby a činnosti poskytované zo strany správcovských spoločností (napr. obchodné meno).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písm. f): Táto služba nie je naviazaná len na alternatívne investičné fondy poskytujúce úvery. Návrh považujeme za nesprávnu transpozíciu. Správcovským spoločnostiam so sídlom v SR by sa v porovnaní so správcovskými spoločnosťami v inom členskom štáte EÚ obmedzilo poskytovanie tejto služby len na určitý jeden typ úverov bez zjavného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Ad písm. g): </w:t>
              <w:br/>
            </w:r>
            <w:r>
              <w:rPr>
                <w:b w:val="off"/>
                <w:color w:val="000000"/>
                <w:rFonts w:ascii="Times New Roman" w:hAnsi="Times New Roman" w:cs="Times New Roman" w:eastAsia="Times New Roman"/>
                <w:sz w:val="24"/>
              </w:rPr>
              <w:t>Účelom novely zákona nie je zakazovať správcovským spoločnostiam poskytovanie iných služieb, ale práve naopak, cieľom má byť, aby mali rovnaké podmienky ako inde 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SR síce môže využiť národnú opciu uvedenú v článku 15 ods. 4g smernice AIFMD a nepovoliť, aby AIF poskytujúce úvery poskytovali úvery spotrebiteľom na území SR a spravovali úvery poskytnuté spotrebiteľom na území SR, ale stále by sa malo transponovať ustanovenie článku 6 ods. 4 písm. d) smernice AIFMD, ktorým sa AIFM (správcovská spoločnosť s povolením podľa § 28a ZKI) umožňuje spravovať úvery poskytnuté podnikateľom.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 bode 24, § 37b ods. 17 žiadame vypustiť slová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bodu 20 smernice 2024/927 časť I, ktorou sa mení smernica AIFMD v článku 46 ods. 2 písm. j), má NCA len oprávnenie vyžadovať aktiváciu a deaktiváciu LMT nástroja podľa prílohy V bodu 1, čo je v prípade ZKI nástroj na riadenie likvidity uvedený v § 14a ods. 1 písm. a) ZKI. NBS nemá mať v zmysle smernice 2024/927 oprávnenie žiadať od správcovskej spoločnosti aktiváciu žiadneho iného LMT nástroja len tohto jedného.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má byť ekvivalentom ustanovenia § 14c ods. 1 písm. b), kde sa taktiež spomína len LMT nástroj uvedený v § 14a ods. 1 písm. a), t. j. len pozastavenie upisovania, spätného odkupu a vyplácania.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bode 26 žiadame § 37e ods. 15 upraviť takto:</w:t>
              <w:br/>
            </w:r>
            <w:r>
              <w:rPr>
                <w:b w:val="off"/>
                <w:color w:val="000000"/>
                <w:rFonts w:ascii="Times New Roman" w:hAnsi="Times New Roman" w:cs="Times New Roman" w:eastAsia="Times New Roman"/>
                <w:sz w:val="24"/>
              </w:rPr>
              <w:t>„(15) Alternatívny investičný fond, ktorý poskytuje úvery, nie je oprávnený poskytovať úvery spotrebiteľom25ne) na území Slovenskej republiky a spravovať úvery poskytnuté spotrebiteľom na území Slovenskej republiky podľa osobitných predpisov.25nf)  Tento zákaz nemá vplyv na uvádzanie alternatívnych investičných fondov, ktoré poskytujú úvery spotrebiteľom alebo spravujú úvery poskytnuté spotrebiteľom na trh v Európskej únii.“.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nášho názoru ide o nesprávne transponované ustanovenie čl. 15 (4g) smernice AIFMD z nasledujúcich dôvodov:</w:t>
              <w:br/>
            </w:r>
            <w:r>
              <w:rPr>
                <w:b w:val="off"/>
                <w:color w:val="000000"/>
                <w:rFonts w:ascii="Times New Roman" w:hAnsi="Times New Roman" w:cs="Times New Roman" w:eastAsia="Times New Roman"/>
                <w:sz w:val="24"/>
              </w:rPr>
              <w:t xml:space="preserve">1. Pri transpozícii článku 15 ods. 4g smernice AIFMD je možné obmedziť poskytovanie úverov spotrebiteľom len na území SR. </w:t>
              <w:br/>
            </w:r>
            <w:r>
              <w:rPr>
                <w:b w:val="off"/>
                <w:color w:val="000000"/>
                <w:rFonts w:ascii="Times New Roman" w:hAnsi="Times New Roman" w:cs="Times New Roman" w:eastAsia="Times New Roman"/>
                <w:sz w:val="24"/>
              </w:rPr>
              <w:t>2. Slovenská republika nemôže obmedziť toto právo AIF poskytujúceho úvery na území iných členských štátov, išlo by o nesprávne transponované ustanovenie a obmedzenie podnikania. Napríklad, ak vznikne v SR AIF poskytujúci úvery a tento bude mať v investičnej politike poskytovanie úverov spotrebiteľom v členskom štáte EÚ, kde to je povolené, bude môcť úvery poskytovať v tomto členskom štáte. NBS navrhovaným znením sa zabezpečí, že AIF poskytujúci úvery založený v inom členskom štáte alebo v SR nebude môcť poskytovať úvery spotrebiteľom v SR (na území SR).</w:t>
              <w:br/>
            </w:r>
            <w:r>
              <w:rPr>
                <w:b w:val="off"/>
                <w:color w:val="000000"/>
                <w:rFonts w:ascii="Times New Roman" w:hAnsi="Times New Roman" w:cs="Times New Roman" w:eastAsia="Times New Roman"/>
                <w:sz w:val="24"/>
              </w:rPr>
              <w:t>3. Taktiež je potrebné transponovať druhú vetu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47</w:t>
              <w:br/>
            </w:r>
            <w:r>
              <w:rPr>
                <w:b w:val="off"/>
                <w:color w:val="000000"/>
                <w:rFonts w:ascii="Times New Roman" w:hAnsi="Times New Roman" w:cs="Times New Roman" w:eastAsia="Times New Roman"/>
                <w:sz w:val="24"/>
              </w:rPr>
              <w:t xml:space="preserve">V bode 47, § 70 ods. 8 písm. a) žiadame slovo „určiť“ nahradiť slovami „na určenie“ a slová „poukazuje na“ žiadame nahradiť slovom „preukazuje“.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Názov povolenia by malo byť povolenie na určenie depozitára usadeného v inom členskom štáte. Slovné spojenie „v tejto žiadosti sa poukazuje na skutočnosť“ je potrebné zmeniť na „v tejto žiadosti sa preukazuje skutočnosť“. V AJ sa používa pojem „demonstrates“. Z procesnoprávneho hľadiska je nevyhnutné, aby to bol žiadateľ, ktorý preukazuje nedostatok služieb depozitárov v SR. Toto je povinný v konaní preukázať žiadateľ. V konaní o udelenie povolenia nemôže stačiť, aby žiadateľ len poukázal v žiadosti bez hodnoverných dôkazov, že v SR nie sú poskytované určité služby depozitárov, t. j. nestačí tvrdenie žiadateľa.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85</w:t>
              <w:br/>
            </w:r>
            <w:r>
              <w:rPr>
                <w:b w:val="off"/>
                <w:color w:val="000000"/>
                <w:rFonts w:ascii="Times New Roman" w:hAnsi="Times New Roman" w:cs="Times New Roman" w:eastAsia="Times New Roman"/>
                <w:sz w:val="24"/>
              </w:rPr>
              <w:t>V bode 85, § 202 ods. 1 písm. c) žiadame upraviť takto:</w:t>
              <w:br/>
            </w:r>
            <w:r>
              <w:rPr>
                <w:b w:val="off"/>
                <w:color w:val="000000"/>
                <w:rFonts w:ascii="Times New Roman" w:hAnsi="Times New Roman" w:cs="Times New Roman" w:eastAsia="Times New Roman"/>
                <w:sz w:val="24"/>
              </w:rPr>
              <w:t>„c) pozastaví na vymedzenú dobu a vymedzenom rozsahu nakladanie s majetkom tuzemského fondu a vydávanie, vyplácanie alebo odkupovanie cenných papierov tuzemského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202 tiež navrhujeme odsek 1 doplniť písmenom s), ktoré znie:</w:t>
              <w:br/>
            </w:r>
            <w:r>
              <w:rPr>
                <w:b w:val="off"/>
                <w:color w:val="000000"/>
                <w:rFonts w:ascii="Times New Roman" w:hAnsi="Times New Roman" w:cs="Times New Roman" w:eastAsia="Times New Roman"/>
                <w:sz w:val="24"/>
              </w:rPr>
              <w:t>„s) v záujme investorov, za mimoriadnych okolností a po konzultácii so správcovskou spoločnosťou s povolením podľa § 28a uloží tejto správcovskej spoločnosti, aby aktivovala alebo deaktivovala nástroj na riadenie likvidity podľa § 14a ods. 1 písm. a), ak existujú riziká pre ochranu investorov alebo finančnú stabilitu, ktoré si z primeraného a vyváženého hľadiska vyžadujú takúto aktiváciu alebo deaktiváciu.“.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touto pripomienkou navrhujeme upraviť aj ostatné novelizačné body týkajúce sa napríklad § 201b ods. 8 až 10,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202 ods. 1 písm. c) predstavuje ustanovenie, prostredníctvom ktorého sa transponovali do slovenského právneho poriadku ustanovenie článku 98 ods. 2 písm. j) smernice UCITS a článku 46 ods. 2 písm. j) smernice AIFMD.  Táto právomoc NBS sa v súčasnosti teda vzťahuje:</w:t>
              <w:br/>
            </w:r>
            <w:r>
              <w:rPr>
                <w:b w:val="off"/>
                <w:color w:val="000000"/>
                <w:rFonts w:ascii="Times New Roman" w:hAnsi="Times New Roman" w:cs="Times New Roman" w:eastAsia="Times New Roman"/>
                <w:sz w:val="24"/>
              </w:rPr>
              <w:t>1. jednak na tuzemské štandardné fondy podľa smernice UCITS, v správe tuzemskej alebo zahraničnej správcovskej spoločnosti (vzhľadom na odkaz na § 193 ods. 1),</w:t>
              <w:br/>
            </w:r>
            <w:r>
              <w:rPr>
                <w:b w:val="off"/>
                <w:color w:val="000000"/>
                <w:rFonts w:ascii="Times New Roman" w:hAnsi="Times New Roman" w:cs="Times New Roman" w:eastAsia="Times New Roman"/>
                <w:sz w:val="24"/>
              </w:rPr>
              <w:t>2. ako aj na tuzemské alternatívne investičné fondy podľa smernice AIFMD v správe tuzemskej alebo zahraničnej správcovskej spoločnosti (vzhľadom na odkaz na § 193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novelizačnom bode 85 sa však navrhuje toto oprávnenie v § 202 ods. 1 písm. c) ZKI zúžiť výlučne na tuzemské alebo zahraničné alternatívne investičné fondy v správe tuzemskej správcovskej spoločnosti s povolením podľa § 28a ZKI.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ustanovenia § 202 ods. 1 písm. c) by nám vypadlo oprávnenie NBS požadovať pozastavenie vo vzťahu k štandardným fondom podľa smernice UCITS a zároveň vo vzťahu k tuzemským alternatívnym investičným fondom v správe zahraničnej správcovskej spoločnosti, ktoré vyplýva z lokálnej právnej úpravy uvedenej v § 15 ZKI (Pozastavenie vydávania, vyplácania a odkupovania cenných papierov fondov).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potrebné toto ustanovenie doplniť tak, aby postihovalo všetky situácie uvedené vyššie a zároveň transponovalo z nového článku 46 ods. 2 písm. j) aj kvalitatívne požiadavky (v záujme investorov, za mimoriadnych okolností a po konzultácii so správcovskou spoločnosťou s povolením podľa § 28a, ak existujú riziká pre ochranu investorov alebo finančnú stabilitu, ktoré si z primeraného a vyváženého hľadiska vyžadujú takúto aktiváciu alebo deaktiváciu).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textácii navyše chýba slovné spojenie „z primeraného a vyváženého hľadiska“ (v AJ „on a reasonable and balanced view“), ktoré vyjadruje kvalitatívnu požiadavku a podmienku pre to, aby NBS mohla prijať rozhodnutie o uložení tohto opatrenia. Bez vloženia tohto slovného spojenia pôjde o neúplnú transpozíciu článku 46 ods. 2 písm. j) smernice AIFMD (bod 20 smernice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89</w:t>
              <w:br/>
            </w:r>
            <w:r>
              <w:rPr>
                <w:b w:val="off"/>
                <w:color w:val="000000"/>
                <w:rFonts w:ascii="Times New Roman" w:hAnsi="Times New Roman" w:cs="Times New Roman" w:eastAsia="Times New Roman"/>
                <w:sz w:val="24"/>
              </w:rPr>
              <w:t>Bod 89, § 220h žiadame upraviť takto:</w:t>
              <w:br/>
            </w:r>
            <w:r>
              <w:rPr>
                <w:b w:val="off"/>
                <w:color w:val="000000"/>
                <w:rFonts w:ascii="Times New Roman" w:hAnsi="Times New Roman" w:cs="Times New Roman" w:eastAsia="Times New Roman"/>
                <w:sz w:val="24"/>
              </w:rPr>
              <w:t>„89. Za § 220g sa vkladá § 220h, ktorý znie:</w:t>
              <w:br/>
            </w:r>
            <w:r>
              <w:rPr>
                <w:b w:val="off"/>
                <w:color w:val="000000"/>
                <w:rFonts w:ascii="Times New Roman" w:hAnsi="Times New Roman" w:cs="Times New Roman" w:eastAsia="Times New Roman"/>
                <w:sz w:val="24"/>
              </w:rPr>
              <w:t>„§ 220h</w:t>
              <w:br/>
            </w:r>
            <w:r>
              <w:rPr>
                <w:b w:val="off"/>
                <w:color w:val="000000"/>
                <w:rFonts w:ascii="Times New Roman" w:hAnsi="Times New Roman" w:cs="Times New Roman" w:eastAsia="Times New Roman"/>
                <w:sz w:val="24"/>
              </w:rPr>
              <w:t>(1) Správca registrovaný v registri správcov podľa § 31b je povinný zosúladiť svoje obchodné meno s požiadavkami uvedenými v § 31b ods. 3 písm. a) a požiadať o zmenu zápisu do registra správcov najneskôr do 31. decembra 2026.</w:t>
              <w:br/>
            </w:r>
            <w:r>
              <w:rPr>
                <w:b w:val="off"/>
                <w:color w:val="000000"/>
                <w:rFonts w:ascii="Times New Roman" w:hAnsi="Times New Roman" w:cs="Times New Roman" w:eastAsia="Times New Roman"/>
                <w:sz w:val="24"/>
              </w:rPr>
              <w:t>(2) Povolenie na vytváranie a spravovanie alternatívnych investičných fondov a zahraničných alternatívnych investičných fondov podľa § 28a udelené pred 16. aprílom 2026 sa považuje za povolenie udelené podľa tohto zákona.</w:t>
              <w:br/>
            </w:r>
            <w:r>
              <w:rPr>
                <w:b w:val="off"/>
                <w:color w:val="000000"/>
                <w:rFonts w:ascii="Times New Roman" w:hAnsi="Times New Roman" w:cs="Times New Roman" w:eastAsia="Times New Roman"/>
                <w:sz w:val="24"/>
              </w:rPr>
              <w:t>(3) Národná banka Slovenska vydá po 16. apríli 2026 správcovskej spoločnosti s povolením podľa § 28a udeleným pred 16. aprílom 2026 osvedčenie o rozsahu činnosti správcovskej spoločnosti podľa § 27 ods. 4 až 6.</w:t>
              <w:br/>
            </w:r>
            <w:r>
              <w:rPr>
                <w:b w:val="off"/>
                <w:color w:val="000000"/>
                <w:rFonts w:ascii="Times New Roman" w:hAnsi="Times New Roman" w:cs="Times New Roman" w:eastAsia="Times New Roman"/>
                <w:sz w:val="24"/>
              </w:rPr>
              <w:t>(4) Správcovská spoločnosť s povolením podľa § 28a je povinná podať príslušnému súdu návrh na zápis zmeny zapísaných údajov v predmete činnosti do obchodného registra na základe osvedčenia podľa odseku 3 do 31. decembra 2026.</w:t>
              <w:br/>
            </w:r>
            <w:r>
              <w:rPr>
                <w:b w:val="off"/>
                <w:color w:val="000000"/>
                <w:rFonts w:ascii="Times New Roman" w:hAnsi="Times New Roman" w:cs="Times New Roman" w:eastAsia="Times New Roman"/>
                <w:sz w:val="24"/>
              </w:rPr>
              <w:t>(5) Ak správcovská spoločnosť vykonávala činnosti uvedené v § 27 odsek 5 písm. d) alebo písm. e) pred 16. aprílom 2026, § 30 ods. 8 sa neuplatňuje. Tým nie je dotknutý odsek 4.</w:t>
              <w:br/>
            </w:r>
            <w:r>
              <w:rPr>
                <w:b w:val="off"/>
                <w:color w:val="000000"/>
                <w:rFonts w:ascii="Times New Roman" w:hAnsi="Times New Roman" w:cs="Times New Roman" w:eastAsia="Times New Roman"/>
                <w:sz w:val="24"/>
              </w:rPr>
              <w:t xml:space="preserve">(6) Správcovská spoločnosť s povolením podľa § 28a, ktorá má záujem o poskytovanie služieb podľa § 27 odsek 6 písm. e), f) alebo písm. g), je povinná požiadať o zmenu povolenia v súlade s § 30 ods. 5 za účelom rozšírenia povolenia. </w:t>
              <w:br/>
            </w:r>
            <w:r>
              <w:rPr>
                <w:b w:val="off"/>
                <w:color w:val="000000"/>
                <w:rFonts w:ascii="Times New Roman" w:hAnsi="Times New Roman" w:cs="Times New Roman" w:eastAsia="Times New Roman"/>
                <w:sz w:val="24"/>
              </w:rPr>
              <w:t>(7) Správcovská spoločnosť s povolením podľa § 28, ktorá má záujem o poskytovanie služieb podľa § 27 ods. 3 písm. d), e) alebo písm. f) je povinná požiadať o zmenu povolenia v súlade s § 30 ods. 5 za účelom rozšírenia povolenia.</w:t>
              <w:br/>
            </w:r>
            <w:r>
              <w:rPr>
                <w:b w:val="off"/>
                <w:color w:val="000000"/>
                <w:rFonts w:ascii="Times New Roman" w:hAnsi="Times New Roman" w:cs="Times New Roman" w:eastAsia="Times New Roman"/>
                <w:sz w:val="24"/>
              </w:rPr>
              <w:t>(8) Správcovské spoločnosti, ktorým bolo udelené povolenie podľa § 28 alebo povolenie podľa § 28a pred 16. aprílom 2026, sú do 16. novembra 2026 povinné prispôsobiť svoju činnosť ustanoveniam tohto zákona, ktoré ukladajú odlišné povinnosti od povinností podľa predpisov účinných do 16. apríla 2026; to neplatí pre ustanovenia § 14a až 14c, § 37b a § 37e. Následne sú povinné akékoľvek významné zmeny podmienok, na základe ktorých im bolo udelené povolenie podľa § 28 alebo povolenie podľa § 28a, oznámiť Národnej banke Slovenska podľa § 30 ods.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prechodných ustanoveniach je potrebné sa vysporiadať s viacerými procesnými aspektmi.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220h odseku 1 sa upravuje prechodné ustanovenie vo vzťahu k registrovaným správcom podľa § 31b ZKI, ktorí sú podľa tejto novely povinní zmeniť svoje obchodné 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220h ods. 2 až 5 sa upravuje postup pre správcovské spoločnosti s povolením podľa § 28a ZKI a ich účelom je zabezpečiť, aby výrok rozhodnutia NBS, ktorým bolo udelené povolenie podľa § 28a ZKI týmto správcovským spoločnostiam bolo totožné s textáciou novely ZKI uvedenej v § 28a ods.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220h ods. 6 sa upravuje postup pre správcovské spoločnosti s povolením podľa § 28a ZKI, ktoré majú záujem o rozšírenie svojho existujúceho povolenia podľa § 28a ZKI o služby uvedené v § 27 ods. 6 ZKI.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220h ods. 7 sa upravuje postup pre správcovské spoločnosti s povolením podľa § 28 ZKI, ktoré majú záujem o rozšírenie svojho existujúceho povolenia podľa § 28 ZKI o služby uvedené v § 27 ods. 3 ZKI.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220h ods. 8 sa upravuje postup a termín pre správcovské spoločnosti s povolením podľa § 28 a § 28a ZKI na zosúladenie svojej činnosti s novými požiadavkami vyplývajúcimi z novely ZKI, najmä vo vzťahu k novým požiadavkám vzťahujúcim sa na organizáciu správcovskej spoločnosti. Následne sú povinné akékoľvek významné zmeny podmienok, na základe ktorých im bolo udelené povolenie podľa § 28 alebo § 28a, oznámiť Národnej banke Slovenska v zmysle ustanovenia § 30 ods. 11 ZKI.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sa nevzťahuje na povinnosti uvedené v ustanoveniach § 14a až 14c, 37b a 37e ZKI, ku ktorým sa viažu osobitné prechodné ustanovenia v § 220i a § 220j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„Za § 220i sa vkladá § 220j, ktorý znie: </w:t>
              <w:br/>
            </w:r>
            <w:r>
              <w:rPr>
                <w:b w:val="off"/>
                <w:color w:val="000000"/>
                <w:rFonts w:ascii="Times New Roman" w:hAnsi="Times New Roman" w:cs="Times New Roman" w:eastAsia="Times New Roman"/>
                <w:sz w:val="24"/>
              </w:rPr>
              <w:t>„§ 220j</w:t>
              <w:br/>
            </w:r>
            <w:r>
              <w:rPr>
                <w:b w:val="off"/>
                <w:color w:val="000000"/>
                <w:rFonts w:ascii="Times New Roman" w:hAnsi="Times New Roman" w:cs="Times New Roman" w:eastAsia="Times New Roman"/>
                <w:sz w:val="24"/>
              </w:rPr>
              <w:t>Správcovská spoločnosť alebo zahraničná správcovská spoločnosť je povinná zosúladiť štatúty ňou spravovaných tuzemských fondov s požiadavkami vyplývajúcimi z § 14b ods. 1 a § 37b ods. 7 najneskôr do 30. novembra 2026 a oznámiť skutočnosti podľa § 14b ods. 3 alebo § 37b ods. 10 Národnej banke Slovenska za každý spravovaný fond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upraviť prechodné ustanovenie aj pre zosúladenie štatútov a zakladajúcich dokumentov fondov s požiadavkami, ktoré vyplývajú z § 14b ods. 1 a § 37b ods. 7 ZKI vo vzťahu k povinnosti, aby každý fond mal k dispozícii aspoň dva nástroje na riadenie likvidity podľa § 14a ods. 1 písm. b) až h). V návrhu novely sa totiž navrhuje, aby boli tieto ustanovenia, ktoré upravujú povinnosť mať najmenej dva nástroje na riadenie likvidity pre každý spravovaný fond účinné od 16. apríla 2026. K rovnakému dátumu nadobudnú účinnosť nové inštitúty uvedené v § 14a určené na riadenie likvidity. Na to, aby správcovská spoločnosť upravila určitý nástroj na riadene likvidity v štatúte fondu, je potrebný predchádzajúci súhlas NBS v zmysle § 163 ods. 1 písm. k) ZKI, pričom konanie o udelenie predchádzajúce súhlasu na zmenu štatútu fondu trvá do dvoch mesiacov od doručenia alebo doplnenia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SR je súčasnosti 89 fondov, pričom na konanie o zmene štatútu každého z nich je potrebné alokovať ľudské zdroje zo strany správcovských spoločností, ako aj Národnej banky Slovenska. Zmenu teda nie je možné zabezpečiť okamžite, ale z procesno-právneho hľadiska je potrebné prechodné obdobie v trvaní najmenej deväť mesiacov.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2 [§ 14a až 14c]</w:t>
              <w:br/>
            </w:r>
            <w:r>
              <w:rPr>
                <w:b w:val="off"/>
                <w:color w:val="000000"/>
                <w:rFonts w:ascii="Times New Roman" w:hAnsi="Times New Roman" w:cs="Times New Roman" w:eastAsia="Times New Roman"/>
                <w:sz w:val="24"/>
              </w:rPr>
              <w:t xml:space="preserve">V bode 2 [§ 14a až 14c] prvej vete žiadame slová „2 písm. a)“ nahradiť slovami „6 a prílohy II a IV“.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ôsmej vete žiadame slovo „situácie“ nahradiť slovom „situácia“ a za slovo „situáciu“ žiadame vložiť čiarku a slová „kedy sa vo fonde nenachádza dostatok likvidných aktív, predajom ktorých by správcovská spoločnosť vedela pokryť nároky podielnikov plynúce z podaných žiadostí o redemáciu, obvykle“.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ôsmu vetu žiadame doplniť túto vetu: „Nástroje na riadenie likvidity uvedené v § 14a predstavujú nástroje na riadenie likvidity podľa práva Európskej únie, ktoré sa do zákona vkladajú ako nové nástroje na riadenie likvidity, pričom v niektorých prípadoch budú existovať popri existujúcich nástrojoch na riadenie likvidity, ako napríklad poplatky za likviditu podľa § 13 ods. 12 alebo pozastavenie vydávania, vyplácania a odkupovania cenných papierov fondov podľa § 15 vo vzťahu k tuzemským alternatívnym investičným fondom.“.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je uvedený nesprávny odkaz na smernicu. V čl. 2 bode 2 a) smernice 2024/927 sa rieši rozšírenie predmetu činnosti správcovskej spoločnosti a nie povinnosť zaviesť aspoň 2 nástroje na riadenie likvidity. Správne má byť odkaz na prílohy II a IV smernice 2024/927, ako aj na článok 2 odsek 6 smernice 2024/927, pretože § 14b a 14c rieši podrobnosti pri aktivácii a deaktivácii nástrojov na riadenie likvidity pri správe tuzemských štandardných fondov.</w:t>
              <w:br/>
            </w:r>
            <w:r>
              <w:rPr>
                <w:b w:val="off"/>
                <w:color w:val="000000"/>
                <w:rFonts w:ascii="Times New Roman" w:hAnsi="Times New Roman" w:cs="Times New Roman" w:eastAsia="Times New Roman"/>
                <w:sz w:val="24"/>
              </w:rPr>
              <w:t>V ôsmej vete sa navrhuje precizovať, čo sa myslí pod mimoriadnou situáciou.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posledná veta predstavuje vysvetlenie toho, akým spôsobom komunitárne nástroje na riadenie likvidity budú k dispozícii pre využitie zo strany správcovskej spoločnosti popri existujúcich nástrojoch na riadenie likvidity. Nástroje na riadenie likvidity podľa § 14a nenahrádzajú doterajšie nástroje na riadenie likvidity podľa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5 [§ 27 ods. 5]</w:t>
              <w:br/>
            </w:r>
            <w:r>
              <w:rPr>
                <w:b w:val="off"/>
                <w:color w:val="000000"/>
                <w:rFonts w:ascii="Times New Roman" w:hAnsi="Times New Roman" w:cs="Times New Roman" w:eastAsia="Times New Roman"/>
                <w:sz w:val="24"/>
              </w:rPr>
              <w:t>V bode 5 [§ 27 ods. 5] žiadame vetu „Ide o samostatné činnosti, na ktoré sa bude vyžadovať osobitné povolenie alebo rozšírenie povolenia na činnosť správcovskej spoločnosti podľa § 28a.“ nahradiť touto vetou: „Ide o činnosti, ktoré sú súčasťou povolenia na činnosť správcovskej spoločnosti podľa § 28a.“.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Veta, ktorú žiadame vypustiť, má byť uvedená v bode 6 [§ 27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Činnosti vymenované v § 27 ods. 5 ZKI sú ďalšími činnosťami, ktoré správcovská spoločnosť s povolením podľa § 28a môže, ale nemusí vykonávať ako súčasť povolenia podľa § 28a ZKI. Tieto ďalšie činnosti sú však súčasťou povolenia podľa § 28a ZKI a na ich vykonávanie správcovská spoločnosť nepotrebuje rozširovať povolenie podľa § 28a ZKI.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činnosti vymenované v § 27 ods. 4 ZKI predstavujú kľúčové činnosti, ktoré správcovská spoločnosť s povolením podľa § 28a musí vykonávať ako súčasť povolenia podľa § 28a ZKI. Ak by ich nevykonávala, nešlo by o správcovskú spoločnosť, ale o schránkovú spoločnosť.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6 [§ 27 ods. 6]</w:t>
              <w:br/>
            </w:r>
            <w:r>
              <w:rPr>
                <w:b w:val="off"/>
                <w:color w:val="000000"/>
                <w:rFonts w:ascii="Times New Roman" w:hAnsi="Times New Roman" w:cs="Times New Roman" w:eastAsia="Times New Roman"/>
                <w:sz w:val="24"/>
              </w:rPr>
              <w:t>V bode 6 [§ 27 ods. 6] žiadame na konci doplniť túto vetu: „Ide o samostatné činnosti, na ktoré sa bude vyžadovať osobitné povolenie alebo rozšírenie povolenia na činnosť správcovskej spoločnosti podľa § 28a.“.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Služby vymenované v § 27 ods. 6 ZKI sú ďalšími službami, ktoré správcovská spoločnosť s povolením podľa § 28a môže, ale nemusí vykonávať. Nie sú súčasťou povolenia podľa § 28a ZKI. Na ich vykonávanie správcovská spoločnosť potrebuje rozširovať povolenie podľa § 28a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novelizačné body:</w:t>
              <w:br/>
            </w:r>
            <w:r>
              <w:rPr>
                <w:b w:val="off"/>
                <w:color w:val="000000"/>
                <w:rFonts w:ascii="Times New Roman" w:hAnsi="Times New Roman" w:cs="Times New Roman" w:eastAsia="Times New Roman"/>
                <w:sz w:val="24"/>
              </w:rPr>
              <w:t>„V § 191 ods. 1 sa za slovo „spoločnosť“ vkladá čiarka a slová „samosprávny investičný fond s  povolením podľa § 28 alebo s povolením podľa § 28a“.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192 odsek 1 znie:</w:t>
              <w:br/>
            </w:r>
            <w:r>
              <w:rPr>
                <w:b w:val="off"/>
                <w:color w:val="000000"/>
                <w:rFonts w:ascii="Times New Roman" w:hAnsi="Times New Roman" w:cs="Times New Roman" w:eastAsia="Times New Roman"/>
                <w:sz w:val="24"/>
              </w:rPr>
              <w:t>„(1) Národná banka Slovenska môže na účely štatistiky vyžadovať, aby zahraničná správcovská spoločnosť, ktorá má na území Slovenskej republiky zriadenú pobočku podľa § 64, podávala pravidelné správy o jej činnosti vykonávanej na území Slovenskej republiky. Zahraničná správcovská spoločnosť je povinná vypracúvať a predkladať Národnej banke Slovenska údaje z účtovnej evidencie a štatistickej evidencie a ďalšie údaje a informácie vo forme výkazov, hlásení  a iných správ ustanoveným spôsobom a v ustanovených termínoch; také poskytovanie údajov sa nepovažuje za porušenie povinnosti mlčanlivosti podľa § 162.“.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192 ods. 3 sa za slovo „predkladania“ vkladajú slová „údajov z účtovnej evidencie a zo štatistickej evidencie a“, za slovo „hlásení“ sa vkladá čiarka a slová „odseku 2“ sa nahrádzajú slovami „odsekov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192 ods. 4 sa slová „odseku 2“ nahrádzajú slovami „odsekov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192a sa dopĺňa odsekom 3, ktorý znie:</w:t>
              <w:br/>
            </w:r>
            <w:r>
              <w:rPr>
                <w:b w:val="off"/>
                <w:color w:val="000000"/>
                <w:rFonts w:ascii="Times New Roman" w:hAnsi="Times New Roman" w:cs="Times New Roman" w:eastAsia="Times New Roman"/>
                <w:sz w:val="24"/>
              </w:rPr>
              <w:t xml:space="preserve">„(3) Osoba zapísaná v registri podľa § 31b je povinná vypracúvať a predkladať Národnej banke Slovenska údaje z účtovnej evidencie a štatistickej evidencie a ďalšie údaje a informácie vo forme výkazov, hlásení, prehľadov a iných správ ustanoveným spôsobom a v ustanovených termínoch; také poskytovanie údajov sa nepovažuje za porušenie povinnosti mlčanlivosti podľa § 162. Národná banka Slovenska ustanoví opatrením, ktoré sa zverejňuje v zbierke zákonov, štruktúru, rozsah, obsah, formu, členenie, termíny, spôsob, postup a miesto predkladania údajov z účtovnej evidencie a zo štatistickej evidencie vrátane metodiky na vypracúvanie výkazov, hlásení, prehľadov a iných správ.“.“.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jednotlivých splnomocňovacích ustanoveniach navrhujeme upraviť okruh subjektov, od ktorých Národná banka Slovenska zbiera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celom návrhu zákona navrhujeme z dôvodu jeho jasnosti a zrozumiteľnosti zjednotiť používanie terminológie týkajúcej sa nástrojov na riadenie likvidity, pretože v niektorých ustanoveniach sa používa slovný pojem, v niektorých len odkaz na príslušné písmeno § 14a ods. 1. Navrhujeme zjednotiť tak, aby sa text návrhu zákona odkazoval na príslušné písmená § 14a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použitá iná legislatívna technika. LMT podľa § 14a ods. 1 má dlhý názov, preto sa používa odkaz na konkrétny paragraf.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V bode 1, § 3 písm. au) druhom bode je potrebné slovo „štruktúrovaného“ nahradiť slovom „štruktúrovania“. Zároveň navrhujeme označenie písmen ax) a ay) upraviť na písmená aw) a ax).</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Navrhovaný text považujeme za chybnú transpozíciu. V AJ znie textácia „involved in structuring the loan“, čo sa má preložiť ako „zapojený do štruktúrovania úveru“ alebo „zapojený do nastavovania podmienok úveru“. Textácia „štruktúrovaný úver“ znamená, že by sa definícia nepriamo poskytnutých úverov zúžila na štruktúrované úvery (v AJ „structured loans“).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slovami "nastavovania podmienok".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V bode 1, § 3 písm. av) je potrebné slová „základného imania“ nahradiť slovom „kapitálu“.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text považujeme za chybnú transpozíciu. V AJ znie textácia „it holds directly or indirectly at least 5 % of the capital or voting rights “, čo sa má preložiť ako „priamo alebo nepriamo drží aspoň 5 % kapitálu alebo hlasovacích práv“. Pojem „capital“ nemôže byť preložený ako základné imanie. Pojem „capital“ alebo kapitál je širším pojmom ako základné imanie. Ak by v AJ verzii bol použitý pojem počiatočný kapitál, bolo by možné rozmýšľať o nahradení pojmu za základné imanie, ale smernica používa pojem „capital“, čo môže byť počiatočný kapitál alebo vlastný kapitál.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14a ods. 2 až 10 navrhujeme vypustiť anglické výrazy v zátvorkách a prípadne ponechať tieto termíny len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(čl. 7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14a ods. 2 až 10 navrhujeme zjednotiť používanie pojmov. V odseku 2 sa používa pojem „akcií fondu“, v odseku 3 teda tiež navrhujeme doplniť za slovo „akcií“ slovo „fondu“ (2x) a v odseku 6 navrhujeme vypustiť za slovom „akcií“ slovo „investičného“.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 xml:space="preserve">V bode 2, § 14a ods. 5 navrhujeme slová „vo vopred určenej výške, ktorá“ nahradiť slovami „vo vopred určenom rozmedzí, ktorý“.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text považujeme za chybnú transpozíciu. V AJ znie textácia “redemption fee means a fee, within a predetermined range that takes account of the cost of liquidity“. Pojem „range“ sa nemôže preložiť ako výška, pretože ide o „rozsah“ alebo „rozmedzie“ (od do). Obdobne je textácia uvedená aj v českom preklade smernice 2024/927 („poplatkem za vyplacení se rozumí poplatek v předem stanoveném rozmezí,“).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inak, slovami "určenom rozpätí určenom v štatúte, ktorý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14a ods. 6 navrhujeme vypustiť slová „podľa odseku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zjednotenie ustanovenia s ostatnými odsekmi § 14a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14b ods. 3 druhej vete navrhujeme za slová „správcovská spoločnosť“ vložiť slová „alebo zahraničná správcovská spoločnosť“ a za slovo „spravovaný“ navrhujeme vložiť slovo „štandardný“.</w:t>
              <w:br/>
            </w:r>
            <w:r>
              <w:rPr>
                <w:b w:val="off"/>
                <w:color w:val="000000"/>
                <w:rFonts w:ascii="Times New Roman" w:hAnsi="Times New Roman" w:cs="Times New Roman" w:eastAsia="Times New Roman"/>
                <w:sz w:val="24"/>
              </w:rPr>
              <w:t>Rovnaká pripomienka platí primerane aj pre § 14c ods. 3 písm. b) a § 14c ods. 6 (vo vzťahu k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precizovať, že oznámenie podľa tohto § 14b ods. 3 ZKI musí spraviť za každý tuzemský štandardný fond správcovská spoločnosť alebo zahraničná správcovská spoločnosť a adresovať ho NBS, pretože NBS vykonáva dohľad nad tuzemskými štandardnými fondmi bez ohľadu na to, či ho spravuje tuzemská alebo zahraničná správcovská spoločnosť.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14c ods. 1 písm. a) navrhujeme slová „aktivuje a“ nahradiť slovami „aktivuje či“ a slová „§ 14a ods. 11 až 15,“ nahradiť slovami „§ 14b ods. 1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slovnom spojení „aktivuje a deaktivuje“ je potrebné spojku „a“ nahradiť spojkou „či“ alebo spojkou „alebo“, pretože správcovská spoločnosť nemôže naraz aktivovať a deaktivovať nástroj na riadenie likvidity. Aj smernica 2024/927 používa slovné spojenie „aktivovať či deaktivovať“ nástroje na riadenie likvidity.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Oprava chybného vnútorného odkazu, za ktorý má nasledovať bodkočiarka.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to 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14c ods. 5 navrhujeme za slová „odseku 3“ vložiť slová „alebo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smernici 2024/927 sa v článku 84 (3) 3. pododsek UCITS smernice odkazuje na oznámenia uvedené v článku 84 (3), t. j. v prípade ZKI je potrebné odkázať aj na § 14c ods. 3 ako aj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14c ods. 1 písm. b) navrhujeme zvážiť správnosť slov „koná v mene štandardného fondu“ a ich nahradenie slovami „spravuje štandardný fond“.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 14c ods. 5 navrhujeme vypustiť skratku „(ESRB)“, keďže ZKI používa len názov „Európsky výbor pre systémové riziká“, bez uvedenia skratky.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z dôvodu zjednotenia s platným textom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 xml:space="preserve">V bode 2 navrhujeme do § 14c ods. 7 doplniť druhú vetu, ktorá znie: „Príslušné  orgány hostiteľského členského štátu štandardného fondu alebo príslušné orgány domovského členského štátu zahraničnej správcovskej spoločnosti môžu od Národnej banky Slovenska ako príslušného orgánu domovského členského štátu štandardného fondu vyžadovať uplatnenie právomocí podľa odseku 1 písm. b), pričom uvedú dôvody žiadosti a informujú o tom Európsky orgán dohľadu (Európsky orgán pre cenné papiere a trhy) a pri potenciálnych rizikách pre stabilitu a integritu finančného systému aj Európsky výbor pre systémové riziká.“.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upraviť aj situáciu, kedy je NBS požiadaná o uplatnenie právomoci podľa § 14c ods. 1 písm. b) ako príslušný orgán domovského členského štátu štandardného fondu.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zákone nie je možné ukladať povinnosti týkajúce sa zahraničných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„V § 16 ods. 2 sa na konci pripája táto veta: „Obmedzenie doby podľa prvej vety neplatí pre alternatívne investičné fondy poskytujúce úvery, ktoré môžu byť vytvorené na dobu určitú, ktorá je potrebná vzhľadom na investičnú stratégiu tohto fondu a dĺžku poskytovaných úverov týmto fondom, ani pre európske dlhodobé investičné fondy, ktoré môžu byť založené na dobu určitú, ktorá je potrebná vzhľadom na investičnú stratégiu a životnosť tohto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ZKI v § 16 obmedzuje založenie fondov uzatvoreného typu na 10 rokov. </w:t>
              <w:br/>
            </w:r>
            <w:r>
              <w:rPr>
                <w:b w:val="off"/>
                <w:color w:val="000000"/>
                <w:rFonts w:ascii="Times New Roman" w:hAnsi="Times New Roman" w:cs="Times New Roman" w:eastAsia="Times New Roman"/>
                <w:sz w:val="24"/>
              </w:rPr>
              <w:t>Pri ELTIF (európske dlhodobé investičné fondy) a fondoch poskytujúcich úvery to však môže byť prekážka pre ich vznik podľa slovenského právneho poriadku. ELTIF-y majú dlhodobú životnosť, keďže majú financovať dlhodobé projekty. Fondy poskytujúce úvery zas ako základné pravidlo majú byť vytvárané ako fondy uzatvoreného typu (a len výnimočne ako fondy otvoreného typu). Obmedzenie ich existencia na najviac 10 rokov môže byť prekážkou pre ich vznik, ak projekt, ktorý financujú má trvať dlhšie ako 10 rokov. Pre porovnanie, ani právo EÚ nedefinuje maximálnu životnosť ELTIF a nestanovuje obmedzenie doby.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V bode 4, § 27 ods. 3 písm. e) navrhujeme slová “v súlade s odsekom 1 a 2, týmto odsekom a odsekmi 4 až 16“ nahradiť slovami „v súlade s odsekom 2“ a za slovo „službami“ navrhujeme vložiť slová „podľa tohto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Postačuje uvedenie vnútorného odkazu na § 27 ods. 2, ďalšie odseky 4 až 6 riešia správcovské spoločnosti s povolením podľa § 28a (AIFMD).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V bode 8, v poznámke pod čiarou k odkazu 16a navrhujeme číslo „11“ nahradiť číslom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27 ods. 16, v poznámke pod čiarou k odkazu 16a postačuje odkázať na ustanovenia § 54 ods. 12 až 15 zákona č. 566/2001 Z. z., t. j. netreba uvádzať odkaz na § 54 ods. 11 zákona č. 566/2001 Z. z. z dôvodu, že odsek 11 sa týka požiadaviek na počiatočný kapitál obchodníka s cennými papiermi, ktorý poskytuje investičné služby podľa  § 6 ods. 1 písm. c) alebo písm. f) (t. j. obchodovanie na vlastný účet, upisovanie a umiestňovanie finančných nástrojov na základe pevného záväzku). Správcovská spoločnosť však nikdy nebude môcť vykonávať tieto investičné služby v zmysle ZKI, a preto odkaz na tento odsek 11 nie je potrebný a správny.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 xml:space="preserve">V bode 9 navrhujeme znenie § 28 ods. 2 písm. d) upraviť takto: </w:t>
              <w:br/>
            </w:r>
            <w:r>
              <w:rPr>
                <w:b w:val="off"/>
                <w:color w:val="000000"/>
                <w:rFonts w:ascii="Times New Roman" w:hAnsi="Times New Roman" w:cs="Times New Roman" w:eastAsia="Times New Roman"/>
                <w:sz w:val="24"/>
              </w:rPr>
              <w:t xml:space="preserve">„d) fyzická osoba, ktorá je členom predstavenstva, prokuristom, členom dozornej rady, alebo ktorá je navrhovaná za vedúceho zamestnanca18) v priamej riadiacej pôsobnosti predstavenstva zodpovedného za odborné činnosti podľa tohto zákona, za osobu zodpovednú za riadenie investícií, výkon funkcie dodržiavania, výkon funkcie vnútorného auditu a výkon funkcie riadenia rizík podľa tohto zákona, je odborne spôsobilá a dôveryhodná, má dostatočne dobrú povesť a dostatočnú prax aj v súvislosti s typom štandardného fondu a európskeho štandardného fondu spravovaného správcovskou spoločnosťou; o riadení podnikania správcovskej spoločnosti rozhodujú najmenej dve fyzické osoby spĺňajúce tieto podmienky: </w:t>
              <w:br/>
            </w:r>
            <w:r>
              <w:rPr>
                <w:b w:val="off"/>
                <w:color w:val="000000"/>
                <w:rFonts w:ascii="Times New Roman" w:hAnsi="Times New Roman" w:cs="Times New Roman" w:eastAsia="Times New Roman"/>
                <w:sz w:val="24"/>
              </w:rPr>
              <w:t>1. táto osoba je zamestnancom správcovskej spoločnosti alebo výkonným členom alebo členom predstavenstva správcovskej spoločnosti, povereným riadením podnikania tejto správcovskej spoločnosti, ktorý sa zaväzuje vyhradiť tejto činnosti náležitú časovú pozornosť a starostlivosť, a</w:t>
              <w:br/>
            </w:r>
            <w:r>
              <w:rPr>
                <w:b w:val="off"/>
                <w:color w:val="000000"/>
                <w:rFonts w:ascii="Times New Roman" w:hAnsi="Times New Roman" w:cs="Times New Roman" w:eastAsia="Times New Roman"/>
                <w:sz w:val="24"/>
              </w:rPr>
              <w:t xml:space="preserve">2. má bydlisko v členskom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smernici UCITS sa v čl. 7 ods. 1 písm. b) uvádza aj požiadavka na „dostatočne dobrú povesť“. Túto charakteristiku nie je možné z transpozície vynechať.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textácii prvého bodu taktiež chýba slovné spojenie „povereným riadením podnikania danej správcovskej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v tomto ustanovení chýba preklad pojmu „committed full-time“. Ak pojem „na plný úväzok“ použitý v smernici nevyhovuje pre pracovnoprávne konotácie pri členoch predstavenstva, riešením nie je úplné vypustenie. Navrhujeme uviesť náhradné slovné spojenie „ktorý sa zaväzuje venovať tejto činnosti náležitú časovú pozornosť a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„riadiaceho orgánu“ žiadame zameniť za „predstavenstva“.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vypustenie slov „pričom mená týchto osôb a každej osoby, ktorá ich nahradí v tejto pozícii, sa bezodkladne oznámia Národnej banke Slovenska“ z dôvodu, že povinnosť oznamovania zmeny v osobách uvedených v § 28 ods. 2 písm. d) je potrebné upraviť samostatne ako povinnosť v § 30 ods. 11 zákona, pričom konkrétnu textáciu navrhujeme v príslušnej pripomienke.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V bode 10, § 28 ods. 4 písm. c) navrhujeme zvážiť vložiť slovo „budúcej“ pred slová „správcovskej spoločnosti“ a za slová „osobách, ktoré“ navrhujeme vložiť slová „v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Legislatívno-technická pripomienka (zosúladenie s textom § 28 ods. 4). </w:t>
              <w:br/>
            </w:r>
            <w:r>
              <w:rPr>
                <w:b w:val="off"/>
                <w:color w:val="000000"/>
                <w:rFonts w:ascii="Times New Roman" w:hAnsi="Times New Roman" w:cs="Times New Roman" w:eastAsia="Times New Roman"/>
                <w:sz w:val="24"/>
              </w:rPr>
              <w:t>Smernica 2024/927 pri novele článku 7 ods. 1 písm. c) smernice UCITS uvádza v AJ slovné spojenie „the persons effectively conducting the business“, pričom v návrhu novely zákona sa uvádza preklad bez pojmu „effectively“, ktorá vyjadruje kvalitatívnu požiadavku. Pojem effectively je potrebné upraviť ako „v skutočnosti“ alebo „skutočne“.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V bode 11, § 28 ods. 4 písm. i) navrhujeme slová „informácia o postupe podľa § 57 a opatreniach prijatých zverenie výkon činností, funkcií alebo služieb správcovskou spoločnosťou inej osobe, alebo akomkoľvek ďalšom zverením“ nahradiť slovami „informácia o opatreniach podľa § 57 prijatých na zverenie výkonu činností, funkcií alebo služieb správcovskou spoločnosťou inej osobe, alebo akomkoľvek ďalšom zverení“.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zvážiť zavedenie legislatívnej skratky „(ďalej len „zverenie“)“, keďže v ďalšom texte návrhu zákona sa používa len pojem „zverenie“.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Úvod vety je potrebné upraviť tak, že sa týka informácií o opatreniach podľa § 57 ZKI. Eventuálne môže znieť ako „Informácia o postupe a opatreniach podľa § 57“. Opatrenia prijaté správcovskou spoločnosťou však musia odkazovať na § 57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 xml:space="preserve">Navrhujeme vypustiť novelizačný bod 13 týkajúci sa § 28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už transponované do § 30 ods. 11 ZKI („Správcovská spoločnosť je povinná oznámiť Národnej banke Slovenska akékoľvek významné zmeny podmienok, na základe ktorých jej bolo udelené povolenie podľa § 28 alebo povolenie podľa § 28a, najmä významné zmeny v informáciách alebo dokladoch podľa § 28 ods. 3 a 4 alebo § 28a ods. 3 a 4, a to ešte pred ich vykonaním. To neplatí pre zmeny informácií alebo dokladov, ktoré správcovská spoločnosť nemohla ovplyvniť. Podanie žiadosti o zmenu povolenia podľa § 28, povolenia podľa § 28a, žiadosti o udelenie povolenia podľa § 84, 121 alebo žiadosti o zápis do zoznamu podľa § 137 a žiadosti o udelenie predchádzajúceho súhlasu sa považuje za oznámenie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nadbytočné uvádzať to opätovne pre správcovské spoločnosti s povolením podľa § 28 ZKI. </w:t>
              <w:br/>
            </w:r>
            <w:r>
              <w:rPr>
                <w:b w:val="off"/>
                <w:color w:val="000000"/>
                <w:rFonts w:ascii="Times New Roman" w:hAnsi="Times New Roman" w:cs="Times New Roman" w:eastAsia="Times New Roman"/>
                <w:sz w:val="24"/>
              </w:rPr>
              <w:t>Článok 7 ods. 7 smernice UCITS (smernica 2024/927 článok II bod 3 písm. b)) toto ustanovenie viaže na oznamovanie významných zmien v informáciách podľa článku 28 ZKI. Je potrebné skôr upraviť § 30 ods. 11 tak, aby § 30 ods. 11 obsahoval odkaz na § 28, a nie len na vybrané ustanovenia/odseky §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V bode 14 navrhujeme § 28a ods. 2 písm. d) upraviť takto:</w:t>
              <w:br/>
            </w:r>
            <w:r>
              <w:rPr>
                <w:b w:val="off"/>
                <w:color w:val="000000"/>
                <w:rFonts w:ascii="Times New Roman" w:hAnsi="Times New Roman" w:cs="Times New Roman" w:eastAsia="Times New Roman"/>
                <w:sz w:val="24"/>
              </w:rPr>
              <w:t xml:space="preserve">„d) fyzická osoba, ktorá je členom predstavenstva, prokuristom, členom dozornej rady, alebo ktorá je navrhovaná za vedúceho zamestnanca18) v priamej riadiacej pôsobnosti predstavenstva zodpovedného za odborné činnosti podľa tohto zákona, za osobu zodpovednú za riadenie investícií, výkon funkcie dodržiavania, výkon funkcie vnútorného auditu a výkon funkcie riadenia rizík podľa tohto zákona, je odborne spôsobilá a dôveryhodná, má dostatočne dobrú povesť a dostatočnú prax aj v súvislosti s investičnými stratégiami, ktoré uplatňuje alternatívny investičný fond spravovaný správcovskou spoločnosťou; o riadení podnikania správcovskej spoločnosti rozhodujú najmenej dve fyzické osoby spĺňajúce tieto podmienky: </w:t>
              <w:br/>
            </w:r>
            <w:r>
              <w:rPr>
                <w:b w:val="off"/>
                <w:color w:val="000000"/>
                <w:rFonts w:ascii="Times New Roman" w:hAnsi="Times New Roman" w:cs="Times New Roman" w:eastAsia="Times New Roman"/>
                <w:sz w:val="24"/>
              </w:rPr>
              <w:t>1. táto osoba je zamestnancom správcovskej spoločnosti alebo výkonným členom alebo členom predstavenstva správcovskej spoločnosti, povereným riadením podnikania tejto správcovskej spoločnosti, ktorý sa zaväzuje vyhradiť tejto činnosti tejto činnosti náležitú časovú pozornosť a starostlivosť, a</w:t>
              <w:br/>
            </w:r>
            <w:r>
              <w:rPr>
                <w:b w:val="off"/>
                <w:color w:val="000000"/>
                <w:rFonts w:ascii="Times New Roman" w:hAnsi="Times New Roman" w:cs="Times New Roman" w:eastAsia="Times New Roman"/>
                <w:sz w:val="24"/>
              </w:rPr>
              <w:t xml:space="preserve">2. má bydlisko v členskom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smernici AIFMD sa v čl. 8 ods. 1 písm. c) uvádza aj požiadavka na „dostatočne dobrú povesť“ (z AJ „sufficiently good repute“). Túto charakteristiku nie je možné z transpozície vynechať.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textácie taktiež vypadlo slovné spojenie „povereným riadením podnikania danej správcovskej spoločnosti“ v prvej podmienke.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v tomto ustanovení chýba preklad pojmu „committed full-time“. Ak pojem „na plný úväzok“ použitý v smernici nevyhovuje pre pracovnoprávne konotácie pri členoch predstavenstva, riešením nie je úplné vypustenie. Navrhujeme uviesť náhradné slovné spojenie „ktorý sa zaväzuje vyhradiť tejto činnosti tejto činnosti náležitú časovú pozornosť a starostlivosť,“. Pojem „riadiaceho orgánu“ žiadame zameniť za „predstavenstva“.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vypustenie slov „mená týchto osôb a každej osoby, ktorá ich nahradí v tejto pozícii, sa bezodkladne oznámia Národnej banke Slovenska;“ z dôvodu, že povinnosť oznamovania zmeny v osobách uvedených v § 28 ods. 2 písm. d) je potrebné upraviť samostatne ako povinnosť oznámiť zmeny v § 30 ods. 11 zákona, pričom konkrétnu textáciu navrhujeme v príslušnej pripomienke.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V bode 16, § 28a ods. 4 písm. f) navrhujeme úvodnú vetu upraviť takto:</w:t>
              <w:br/>
            </w:r>
            <w:r>
              <w:rPr>
                <w:b w:val="off"/>
                <w:color w:val="000000"/>
                <w:rFonts w:ascii="Times New Roman" w:hAnsi="Times New Roman" w:cs="Times New Roman" w:eastAsia="Times New Roman"/>
                <w:sz w:val="24"/>
              </w:rPr>
              <w:t>„f) informácia o opatreniach podľa § 57a prijatých na zverenie a na druhotné zverenie funkcií tretím osobám, ktoré obsahujú aspoň tieto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Úvodnú vetu je potrebné upraviť tak, že sa týka informácií o opatreniach podľa § 57a ZKI, eventuálne „Informácia o postupe a opatreniach podľa § 57a“. Opatrenia prijaté správcovskou spoločnosťou však musia odkazovať na § 57a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V bode 17, § 28a ods. 4 písm. k) navrhujeme slovo „informácie“ nahradiť slovom „informácia“ a na konci štvrtého bodu navrhujeme bodku nahradiť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„V § 30 ods. 11 prvej vete sa vypúšťajú slová „ods. 3 a 4“a na konci sa pripája táto veta: „Správcovská spoločnosť s povolením podľa § 28 alebo s povolením podľa § 28a je povinná bezodkladne oznámiť Národnej banke Slovenska mená osôb, ktoré nahradia osoby uvedené v § 28 ods. 2 písm. d) alebo v § 28a ods. 2 písm. d) v príslušnej pozícii alebo funkcii, okrem situácií, kedy sa na voľbu osôb vyžaduje predchádzajúci súhlas podľa § 163 ods. 1 písm. c); tým nie je dotknutá povinnosť správcovskej spoločnosti podľa § 163 ods. 3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Článok 7 ods. 7 smernice UCITS (smernica 2024/927 článok II bod 3 písm. b)) toto ustanovenie viaže na oznamovanie významných zmien v informáciách podľa § 28 ZKI, preto  je potrebné § 30 ods. 11 upraviť tak, aby obsahoval odkaz na § 28 a 28a, a nie len na vybrané ustanovenia/odseky.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potreby transpozície článku 1 bodu 4, ako aj článku 2 bodu 3 písm. a) odsek i) písm. b) smernice 2024/927 navrhujeme do § 30 ods. 11 vložiť povinnosť správcovskej spoločnosti oznámiť zmenu osôb uvedených v § 28 ods. 2 písm. d) alebo v § 28a ods. 2 písm. d). Ide o povinnosť oznámiť zmenu v osobách a nie o podmienku na udelenie povolenia podľa § 28 alebo 28a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„V § 31b ods. 7 sa za slovo „registri“ vkladajú slová „návrhom na zmenu zápisu v registri“.“.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Iniciatívny návrh NBS za účelom zabezpečenia, že registrovaný správca riadne oznámi zmenu registrovaných údajov prostredníctvom návrhu na zmenu zápisu v registri. V aplikačnej praxi nie je žiadúce, aby registrovaný správca oznamoval zmenu údajov využitím pravidelných výkazov bez uhradenia poplatku.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V bode 21, § 31b ods. 11 navrhujeme na konci písmena c) doplniť spojku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V bode 22, § 31b ods. 12 navrhujeme slovo „ale“ nahradiť slovom „alebo“, v odseku 13 navrhujeme na konci doplniť tieto slová: „a na zmenu obchodného mena“ a odsek 14 navrhujeme upraviť takto:</w:t>
              <w:br/>
            </w:r>
            <w:r>
              <w:rPr>
                <w:b w:val="off"/>
                <w:color w:val="000000"/>
                <w:rFonts w:ascii="Times New Roman" w:hAnsi="Times New Roman" w:cs="Times New Roman" w:eastAsia="Times New Roman"/>
                <w:sz w:val="24"/>
              </w:rPr>
              <w:t>„(14) Národná banka Slovenska je oprávnená podať na príslušný súd návrh na zrušenie právnickej osoby správcu, ktorý nie je zapísaný v registri správcov, a návrh na rozhodnutie o jej likvidácii.“.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Legislatívno-technické pripomienky. V rozhodnutí NBS o zrušení zápisu v registri správcov môže NBS žiadať aj o zmenu obchodného mena, za účelom odstránenia názvu „správca rizikového kapitálu“.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V bode 23 navrhujeme § 37a ods. 4 písm. e) upraviť takto:</w:t>
              <w:br/>
            </w:r>
            <w:r>
              <w:rPr>
                <w:b w:val="off"/>
                <w:color w:val="000000"/>
                <w:rFonts w:ascii="Times New Roman" w:hAnsi="Times New Roman" w:cs="Times New Roman" w:eastAsia="Times New Roman"/>
                <w:sz w:val="24"/>
              </w:rPr>
              <w:t>„e) zaviesť účinné politiky, postupy a procesy pri poskytovaní úverov, ak poskytuje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prijatia politiky, postupov a procesov pri poskytovaní úverov nie je absolútna, ale podmienená tým, že správcovská spoločnosť pri správe fondov poskytuje úvery. Ak správcovská spoločnosť neposkytuje úvery a napríklad len investuje do prevoditeľných cenných papierov, tieto politiky nemusí mať prijaté. Išlo by o nesprávnu transpozíciu článku 15 ods. 3 písm. d) AIFMD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 bode 24, v § 37b navrhujeme odsek 6 upraviť tak, aby neobsahoval dve bodkočiarky.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poznámke pod čiarou k odkazu 25ka upraviť citáciu oboch nariadení tak, že za slová „č. 345/2013 (resp. 346/2013)“ sa vložia slová „zo 17. apríla 2013“ a do poznámky pod čiarou k odkazu 25ka tiež navrhujeme doplniť aj nariadenie (EÚ) 2015/760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poznámke pod čiarou k odkazu 25ka je potrebné vymenovať tri nariadenia tak, ako uvádza smernica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 bode 24, § 37b ods. 11 navrhujeme odkaz na poznámku pod čiarou 10b nahradiť odkazom na poznámku pod čiarou 11b a presunúť ho nad slovo burza (ako v § 14b ods. 5), resp. vypustiť, keďže na tento pojem sa návrh zákona odkazuje už v § 14b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Odkaz sa vypustil, už je v zákone zavedený.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 bode 24, navrhujeme znenie § 37b ods. 15 upraviť takto:</w:t>
              <w:br/>
            </w:r>
            <w:r>
              <w:rPr>
                <w:b w:val="off"/>
                <w:color w:val="000000"/>
                <w:rFonts w:ascii="Times New Roman" w:hAnsi="Times New Roman" w:cs="Times New Roman" w:eastAsia="Times New Roman"/>
                <w:sz w:val="24"/>
              </w:rPr>
              <w:t>„(15) Správcovská spoločnosť s povolením podľa § 28a predtým, ako aktivuje alebo deaktivuje nástroj na riadenie likvidity uvedený v § 14a ods. 1 písm. i), písomne oznámi túto skutočnosť v primeranej lehote pred aktiváciou alebo deaktiváciou nástroja na riadenie likvidity Národnej banke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ustanovenia je potrebné upraviť tak, aby bolo jednoznačné a zrozumiteľné.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25 a 26</w:t>
              <w:br/>
            </w:r>
            <w:r>
              <w:rPr>
                <w:b w:val="off"/>
                <w:color w:val="000000"/>
                <w:rFonts w:ascii="Times New Roman" w:hAnsi="Times New Roman" w:cs="Times New Roman" w:eastAsia="Times New Roman"/>
                <w:sz w:val="24"/>
              </w:rPr>
              <w:t xml:space="preserve">Novelizačné body 25 a 26 navrhujeme spojiť do jedného novelizačného bodu (zároveň v úvodnej vete uviesť, že ide o znenie vrátane nadpisov) a nasledujúce body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bode 26, § 37e ods. 4 navrhujeme odkaz na poznámku pod čiarou 25nb nahradiť odkazom na poznámku pod čiarou 25ka a poznámku pod čiarou 25nb vypustiť na konci tohto novelizačného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Poznámka pod čiarou 25nb odkazuje na tri nariadenia, ktoré sú rovnako vymenované aj v poznámke pod čiarou 25ka (v zmysle našej pripomienky k bodu 24) tak, ako uvádza smernica 2024/927:</w:t>
              <w:br/>
            </w:r>
            <w:r>
              <w:rPr>
                <w:b w:val="off"/>
                <w:color w:val="000000"/>
                <w:rFonts w:ascii="Times New Roman" w:hAnsi="Times New Roman" w:cs="Times New Roman" w:eastAsia="Times New Roman"/>
                <w:sz w:val="24"/>
              </w:rPr>
              <w:t>Nariadenie Európskeho parlamentu a Rady (EÚ) č. 345/2013 zo 17. apríla 2013 o európskych fondoch rizikového kapitálu (Ú. v. EÚ L 115, 25. 4. 2013) v platnom znení.</w:t>
              <w:br/>
            </w:r>
            <w:r>
              <w:rPr>
                <w:b w:val="off"/>
                <w:color w:val="000000"/>
                <w:rFonts w:ascii="Times New Roman" w:hAnsi="Times New Roman" w:cs="Times New Roman" w:eastAsia="Times New Roman"/>
                <w:sz w:val="24"/>
              </w:rPr>
              <w:t xml:space="preserve">Nariadenie Európskeho parlamentu a Rady (EÚ) č. 346/2013 zo 17. apríla 2013 o európskych fondoch sociálneho podnikania (Ú. v. EÚ L 115, 25. 4. 2013) v platnom znení. </w:t>
              <w:br/>
            </w:r>
            <w:r>
              <w:rPr>
                <w:b w:val="off"/>
                <w:color w:val="000000"/>
                <w:rFonts w:ascii="Times New Roman" w:hAnsi="Times New Roman" w:cs="Times New Roman" w:eastAsia="Times New Roman"/>
                <w:sz w:val="24"/>
              </w:rPr>
              <w:t>Nariadenie (EÚ) 2015/760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bode 26 navrhujeme v § 37e ods. 8 slová „nebolo zapríčinené správcovskou spoločnosťou“ nahradiť slovami „je mimo kontrolu správcovskej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Preferujeme zachovať slovné spojenie „mimo kontroly“ a neuvádzať absenciu príčinnej súvislosti. AJ znenie smernice 2024/927 uvádza pojem „beyond control“, preklad v SJ aj v českom jazyku je „mimo kontrolu“.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bode 26, § 37e ods. 10 písm. b) navrhujeme prehodnotiť správnosť spojky „a“ na konci, keďže ide len o vymenovanie konkrétnych situácií vo vzťahu k investičnému limitu, nejde o kumulatívne podmienky. Navrhujeme teda spojku „a“ nahradiť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spojkou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 xml:space="preserve">V bode 26, § 37e ods. 18 navrhujeme v poznámke pod čiarou k odkazu 25ng navrhujeme upraviť citáciu čl. 215 Zmluvy takto: </w:t>
              <w:br/>
            </w:r>
            <w:r>
              <w:rPr>
                <w:b w:val="off"/>
                <w:color w:val="000000"/>
                <w:rFonts w:ascii="Times New Roman" w:hAnsi="Times New Roman" w:cs="Times New Roman" w:eastAsia="Times New Roman"/>
                <w:sz w:val="24"/>
              </w:rPr>
              <w:t xml:space="preserve">„25ng) Čl. 215 Zmluvy o fungovaní Európskej únie (konsolidované znenie) (Ú. v. EÚ C 202, 07.06.2016).“.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podľa Legislatívnych pravidiel sa však neuvádza "(konsolidované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38 až 40</w:t>
              <w:br/>
            </w:r>
            <w:r>
              <w:rPr>
                <w:b w:val="off"/>
                <w:color w:val="000000"/>
                <w:rFonts w:ascii="Times New Roman" w:hAnsi="Times New Roman" w:cs="Times New Roman" w:eastAsia="Times New Roman"/>
                <w:sz w:val="24"/>
              </w:rPr>
              <w:t xml:space="preserve">Novelizačné body 38 až 40 navrhujeme spojiť do jedného bodu a nasledujúce body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V bode 42, § 57a ods. 9 navrhujeme odkaz na poznámku pod čiarou 40l nahradiť odkazom na poznámku pod čiarou 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Typ produktu „investičný produkt založený na poistení“ definuje zákon č. 186/2009 Z. z. o finančnom sprostredkovaní, ktorým bola transponovaná smernica Európskeho parlamentu a Rady (EÚ) 2016/97 z 20. januára 2016 o distribúcii poistenia (Ú. v. EÚ L 26, 2.2.2016, s. 19) do slovenského právneho poriadku.</w:t>
              <w:br/>
            </w:r>
            <w:r>
              <w:rPr>
                <w:b w:val="off"/>
                <w:color w:val="000000"/>
                <w:rFonts w:ascii="Times New Roman" w:hAnsi="Times New Roman" w:cs="Times New Roman" w:eastAsia="Times New Roman"/>
                <w:sz w:val="24"/>
              </w:rPr>
              <w:t>Netreba preto vytvárať novú poznámku pod čiarou 40l, stačí využiť existujúcu poznámku pod čiarou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„V § 59 ods. 2 navrhujeme slovo „základný“ nahradiť slovom „stredný“.“.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Kým v zákone č. 566/2001 Z. z. o cenných papieroch a investičných službách sa vyžaduje od zamestnancov obchodníkov s cennými papiermi stredný stupeň odbornej spôsobilosti, v ZKI je to len základný stupeň. Vzhľadom k tomu, že v prípade obchodníkov s cennými papiermi, ako aj v prípade správcovských spoločností ide o zamestnancov, ktorí prichádzajú do styku s neprofesionálnym investorom alebo podielnikom alebo neprofesionálnym klientom, regulátor by mal vyžadovať rovnaký stupeň odbornej spôsobilosti.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„V § 66 ods. 3 písm. b) sa na konci pripájajú tieto slová: „vrátane ustanovení o aktivácii a  deaktivácii nástrojov na riadenie likvidity“.“.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NBS je dôležité jednoznačne a výslovne v ZKI uviesť, že zahraničná správcovská spoločnosť, ktorá na území Slovenskej republiky vytvára alebo spravuje štandardné fondy podľa tohto zákona, a to či už prostredníctvom pobočky alebo na základe práva slobodného poskytovania služieb, je povinná dodržiavať ustanovenia tohto zákona aj vo vzťahu k aktivácii a deaktivácii nástrojov na riadenie likvidity.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V bode 43 navrhujeme upraviť poznámku pod čiarou k odkazu 45a takto:</w:t>
              <w:br/>
            </w:r>
            <w:r>
              <w:rPr>
                <w:b w:val="off"/>
                <w:color w:val="000000"/>
                <w:rFonts w:ascii="Times New Roman" w:hAnsi="Times New Roman" w:cs="Times New Roman" w:eastAsia="Times New Roman"/>
                <w:sz w:val="24"/>
              </w:rPr>
              <w:t xml:space="preserve">„45a) Zákon č. 297/2008 Z. z. o ochrane pred legalizáciou príjmov z trestnej činnosti a o ochrane pred financovaním terorizmu a o zmene a doplnení niektorých zákonov. </w:t>
              <w:br/>
            </w:r>
            <w:r>
              <w:rPr>
                <w:b w:val="off"/>
                <w:color w:val="000000"/>
                <w:rFonts w:ascii="Times New Roman" w:hAnsi="Times New Roman" w:cs="Times New Roman" w:eastAsia="Times New Roman"/>
                <w:sz w:val="24"/>
              </w:rPr>
              <w:t xml:space="preserve">Delegované nariadenie Komisie (EÚ) 2016/1675 zo 14. júla 2016, ktorým sa smernica Európskeho parlamentu a Rady (EÚ) 2015/849 dopĺňa o identifikáciu vysokorizikových tretích krajín so strategickými nedostatkami (Ú.v. EÚ L 254, 20. 9. 2016) v platnom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poznámke pod čiarou k odkazu 45a sú uvedené príkladmo delegované nariadenia. </w:t>
              <w:br/>
            </w:r>
            <w:r>
              <w:rPr>
                <w:b w:val="off"/>
                <w:color w:val="000000"/>
                <w:rFonts w:ascii="Times New Roman" w:hAnsi="Times New Roman" w:cs="Times New Roman" w:eastAsia="Times New Roman"/>
                <w:sz w:val="24"/>
              </w:rPr>
              <w:t>V smernici 2024/927 je však pri ustanovení článku 21 ods. 6 písm. c) uvedený odkaz na smernicu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s. 73), ktorá bola do slovenského právneho poriadku transponovaná do zákona č. 297/2008 Z. z. o ochrane pred legalizáciou príjmov z trestnej činnosti a o ochrane pred financovaním terorizmu a o zmene a doplnení niektorých zákonov, ktorý v § 9 písm. o) odkazuje na delegované nariadenie Komisie (EÚ) 2016/1675 zo 14. júla 2016, ktorým sa smernica Európskeho parlamentu a Rady (EÚ) 2015/849 dopĺňa o identifikáciu vysokorizikových tretích krajín so strategickými nedostatkami (Ú.v. EÚ L 254, 20. 9. 2016) v platnom znení. Preto je vhodnejšie uviesť v poznámke pod čiarou k odkazu 45a uviesť odkaz na zákon č. 297/2008 Z. z. a na delegované nariadenie Komisie (EÚ) 2016/1675.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44</w:t>
              <w:br/>
            </w:r>
            <w:r>
              <w:rPr>
                <w:b w:val="off"/>
                <w:color w:val="000000"/>
                <w:rFonts w:ascii="Times New Roman" w:hAnsi="Times New Roman" w:cs="Times New Roman" w:eastAsia="Times New Roman"/>
                <w:sz w:val="24"/>
              </w:rPr>
              <w:t xml:space="preserve">V bode 44, § 66c ods. 13 navrhujeme za slovo „identifikovaný“ vložiť slová „podľa odseku 2 písm. f)“ a za slová „na daňové účely“ vložiť slová „podľa odseku 2 písm.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transpozíciu článku 21 ods. 6 druhý pododsek AIFMD. Tento pododsek odkazuje na predchádzajúce ustanovenia (prvý pododsek písm. c) a prvý pododsek písm. d)). V záujme správneho a presného výkladu § 66c ods. 13 je potrebné upraviť odkazy na § 66c ods. 2 písm. f) a g) ZKI.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148 ods. 2 sa dopĺňa písmenami g) a h), ktoré znejú:</w:t>
              <w:br/>
            </w:r>
            <w:r>
              <w:rPr>
                <w:b w:val="off"/>
                <w:color w:val="000000"/>
                <w:rFonts w:ascii="Times New Roman" w:hAnsi="Times New Roman" w:cs="Times New Roman" w:eastAsia="Times New Roman"/>
                <w:sz w:val="24"/>
              </w:rPr>
              <w:t>„g) nečlenský štát, v ktorom je neeurópsky alternatívny investičný fond umiestnený, nie je považovaný za vysokorizikový nečlenský štát podľa osobitného predpisu,45a)</w:t>
              <w:br/>
            </w:r>
            <w:r>
              <w:rPr>
                <w:b w:val="off"/>
                <w:color w:val="000000"/>
                <w:rFonts w:ascii="Times New Roman" w:hAnsi="Times New Roman" w:cs="Times New Roman" w:eastAsia="Times New Roman"/>
                <w:sz w:val="24"/>
              </w:rPr>
              <w:t>h) nečlenský štát, v ktorom je neeurópsky alternatívny investičný fond umiestnený, uzavrel so Slovenskou republikou, s referenčným členským štátom zahraničnej správcovskej spoločnosti mimo Európskej únie a s každým ďalším členským štátom, v ktorom sa majú distribuovať podielové listy alebo akcie neeurópskeho alternatívneho investičného fondu dohodu, ktorá je úplne v súlade s ustanoveniami článku 26 Modelovej zmluvy Organizácie pre hospodársku spoluprácu a rozvoj o zdaňovaní príjmov a majetku a ktorá zaručuje účinnú výmenu informácií                         o daňových otázkach vrátane viacstranných dohôd o daniach, a tento nečlenský štát nie je uvedený v prílohe I k záverom Rady o revidovanom zozname Európskej únie obsahujúcom jurisdikcie, ktoré nespolupracujú na daňové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ZKI je potrebné v § 148 uviesť navyše dve podmienky, ktoré sa musia skúmať aj pri žiadosti o distribúciu zahraničných neeurópskych AIF na území SR neprofesionálnym investorom. Požiadavky na distribúciu týchto fondov v SR profesionálnym investorom nemôžu byť prísnejšie ako tie, ktoré sa vzťahujú na neprofesionálnych investorov. Preto je potrebné uvedené upraviť aj v § 148 ako nové podmienky pre udelenie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novelizačné body:</w:t>
              <w:br/>
            </w:r>
            <w:r>
              <w:rPr>
                <w:b w:val="off"/>
                <w:color w:val="000000"/>
                <w:rFonts w:ascii="Times New Roman" w:hAnsi="Times New Roman" w:cs="Times New Roman" w:eastAsia="Times New Roman"/>
                <w:sz w:val="24"/>
              </w:rPr>
              <w:t>„V § 150h ods. 1 písmeno c) znie:</w:t>
              <w:br/>
            </w:r>
            <w:r>
              <w:rPr>
                <w:b w:val="off"/>
                <w:color w:val="000000"/>
                <w:rFonts w:ascii="Times New Roman" w:hAnsi="Times New Roman" w:cs="Times New Roman" w:eastAsia="Times New Roman"/>
                <w:sz w:val="24"/>
              </w:rPr>
              <w:t>„c) nečlenský štát, v ktorom má neeurópska správcovská spoločnosť sídlo, alebo nečlenský štát, v ktorom je neeurópsky alternatívny investičný fond usadený, nie je považovaný za vysokorizikový nečlenský štát podľa osobitného predpisu,45a)“.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150h sa odsek 1 dopĺňa písmenom d), ktoré znie: </w:t>
              <w:br/>
            </w:r>
            <w:r>
              <w:rPr>
                <w:b w:val="off"/>
                <w:color w:val="000000"/>
                <w:rFonts w:ascii="Times New Roman" w:hAnsi="Times New Roman" w:cs="Times New Roman" w:eastAsia="Times New Roman"/>
                <w:sz w:val="24"/>
              </w:rPr>
              <w:t>„d) nečlenský štát, v ktorom je neeurópsky alternatívny investičný fond usadený, uzavrel so Slovenskou republikou, ak je spravovaný správcovskou spoločnosťou, alebo s domovským členským štátom zahraničnej správcovskej spoločnosti, a s každým členským štátom, v ktorom sa majú distribuovať cenné papiere alebo majetkové účasti tohto fondu, medzinárodnú zmluvu alebo mnohostranný dohovor, ktorý je v súlade s článkom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ZKI je potrebné transponovať všetky ustanovenia časti I bodov 14 až 18 smernice 2024/927, ktorou sa menia články 35, 36, 37, 40 a 42 smernice AIFMD. Preto aj pri transpozícii do ZKI nestačí transponovať len niektoré novelizačné body, ale všetkých päť (článok 35 smernice AIFMD do § 150e ZKI (už upravené v materiáli predloženom do MPK), článok 36 smernice AIFMD do § 150g ZKI (bez jednotného povolenia) (už upravené v materiáli predloženom do MPK), článok 37 smernice AIFMD do § 66c ods. 2 písm. f) a g) ZKI (už upravené v materiáli predloženom do MPK), článok 40 smernice AIFMD do § 150e ZKI (už upravené v materiáli predloženom do MPK) a do § 150f (nie je upravené v materiáli predloženom do MPK), článok 42 smernice AIFMD do § 150g (už upravené v materiáli predloženom do MPK) a do § 150h (nie je upravené v materiáli predloženom do MPK)).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74</w:t>
              <w:br/>
            </w:r>
            <w:r>
              <w:rPr>
                <w:b w:val="off"/>
                <w:color w:val="000000"/>
                <w:rFonts w:ascii="Times New Roman" w:hAnsi="Times New Roman" w:cs="Times New Roman" w:eastAsia="Times New Roman"/>
                <w:sz w:val="24"/>
              </w:rPr>
              <w:t>V bode 74, § 161a ods. 3 písm. d) druhom bode navrhujeme za slová „zamestnancov“ vložiť čiarku a slová „vyjadrený ako ekvivalent plného pracovného času“ a v písmene e) navrhujeme za slová „osôb“ vložiť čiarku a slová „vyjadrené ako ekvivalent plného pracovného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zmysle level 1 smernice 2024/927 sa bude vykazovať FTE (fulltime equivalent), pričom toto musí byť presne uvedené v zákone, aby dáta boli presne vypočítané a odreportované. </w:t>
              <w:br/>
            </w:r>
            <w:r>
              <w:rPr>
                <w:b w:val="off"/>
                <w:color w:val="000000"/>
                <w:rFonts w:ascii="Times New Roman" w:hAnsi="Times New Roman" w:cs="Times New Roman" w:eastAsia="Times New Roman"/>
                <w:sz w:val="24"/>
              </w:rPr>
              <w:t>Počet osôb nie je to isté (2 osoby, z ktorých každá venuje príslušnej činnosti len 25% pracovného času je len 0,5 FTE, pričom by v SR boli vykázané 2 osoby). AJ výraz „full-time equivalent“ je v SJ „ekvivalent plného pracovné času“. Takto sa slovné spojenie používa napríklad aj v delegovanom nariadení Komisie (EÚ) č. 2023/2772.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 163 ods. 1 sa dopĺňa písmenom x), ktoré znie: </w:t>
              <w:br/>
            </w:r>
            <w:r>
              <w:rPr>
                <w:b w:val="off"/>
                <w:color w:val="000000"/>
                <w:rFonts w:ascii="Times New Roman" w:hAnsi="Times New Roman" w:cs="Times New Roman" w:eastAsia="Times New Roman"/>
                <w:sz w:val="24"/>
              </w:rPr>
              <w:t>„x) predĺženie časového obdobia podľa § 37e ods. 10 písm. a) najviac o 12 ďalších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nového ustanovenia § 37e ods. 12 môže za mimoriadnych okolností Národná banka Slovenska po predložení riadne odôvodneného investičného plánu schváliť predĺženie lehoty uvedenej v § 37e ods. 10 písm. a) najviac o 12 ďalších mesiacov. Z uvedeného dôvodu je potrebné v novele ZKI upraviť aj nový druh žiadosti o predchádzajúci súhlas Národnej banky Slovenska v § 163, kde sa vymenovávajú všetky druhy žiadostí o predchádzajúci súhlas.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 xml:space="preserve">„Za § 186 sa vkladá § 186a,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186a</w:t>
              <w:br/>
            </w:r>
            <w:r>
              <w:rPr>
                <w:b w:val="off"/>
                <w:color w:val="000000"/>
                <w:rFonts w:ascii="Times New Roman" w:hAnsi="Times New Roman" w:cs="Times New Roman" w:eastAsia="Times New Roman"/>
                <w:sz w:val="24"/>
              </w:rPr>
              <w:t>(1) Žiadosť o udelenie predchádzajúceho súhlasu podľa § 163 ods. 1 písm. x) podáva správcovská spoločnosť alternatívneho investičného fondu poskytujúceho úvery.</w:t>
              <w:br/>
            </w:r>
            <w:r>
              <w:rPr>
                <w:b w:val="off"/>
                <w:color w:val="000000"/>
                <w:rFonts w:ascii="Times New Roman" w:hAnsi="Times New Roman" w:cs="Times New Roman" w:eastAsia="Times New Roman"/>
                <w:sz w:val="24"/>
              </w:rPr>
              <w:t>(2) Na udelenie predchádzajúceho súhlasu podľa § 163 ods. 1 písm. x) musí byť preukázané splnenie podmienok uvedených v § 37e ods. 12.</w:t>
              <w:br/>
            </w:r>
            <w:r>
              <w:rPr>
                <w:b w:val="off"/>
                <w:color w:val="000000"/>
                <w:rFonts w:ascii="Times New Roman" w:hAnsi="Times New Roman" w:cs="Times New Roman" w:eastAsia="Times New Roman"/>
                <w:sz w:val="24"/>
              </w:rPr>
              <w:t>(3) Národná banka Slovenska žiadosť o udelenie predchádzajúceho súhlasu podľa § 163 ods. 1 písm. x) zamietne, ak žiadateľ nesplní alebo nepreukáže splnenie podmienok podľa odseku 2.</w:t>
              <w:br/>
            </w:r>
            <w:r>
              <w:rPr>
                <w:b w:val="off"/>
                <w:color w:val="000000"/>
                <w:rFonts w:ascii="Times New Roman" w:hAnsi="Times New Roman" w:cs="Times New Roman" w:eastAsia="Times New Roman"/>
                <w:sz w:val="24"/>
              </w:rPr>
              <w:t>(4) Rozhodnutie, ktorým sa udeľuje predchádzajúci súhlas podľa § 163 ods. 1 písm. x), obsahuje najmä:</w:t>
              <w:br/>
            </w:r>
            <w:r>
              <w:rPr>
                <w:b w:val="off"/>
                <w:color w:val="000000"/>
                <w:rFonts w:ascii="Times New Roman" w:hAnsi="Times New Roman" w:cs="Times New Roman" w:eastAsia="Times New Roman"/>
                <w:sz w:val="24"/>
              </w:rPr>
              <w:t>a) obchodné meno, sídlo a identifikačné číslo správcovskej spoločnosti,</w:t>
              <w:br/>
            </w:r>
            <w:r>
              <w:rPr>
                <w:b w:val="off"/>
                <w:color w:val="000000"/>
                <w:rFonts w:ascii="Times New Roman" w:hAnsi="Times New Roman" w:cs="Times New Roman" w:eastAsia="Times New Roman"/>
                <w:sz w:val="24"/>
              </w:rPr>
              <w:t>b) názov alternatívneho investičného fondu poskytujúceho úvery,</w:t>
              <w:br/>
            </w:r>
            <w:r>
              <w:rPr>
                <w:b w:val="off"/>
                <w:color w:val="000000"/>
                <w:rFonts w:ascii="Times New Roman" w:hAnsi="Times New Roman" w:cs="Times New Roman" w:eastAsia="Times New Roman"/>
                <w:sz w:val="24"/>
              </w:rPr>
              <w:t>c) dátum, do ktorého sa musí začať uplatňovať investičný limit podľa § 37e ods. 3, ktorý nesmie byť neskôr ako 36 mesiacov od dátumu prvého upísania podielových listov alebo akcií tohto alternatívneho investičného fondu poskytujúceho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nového ustanovenia § 37e ods. 12 môže za mimoriadnych okolností Národná banka Slovenska po predložení riadne odôvodneného investičného plánu schváliť predĺženie lehoty uvedenej v § 37e ods. 10 písm. a) najviac o 12 ďalších mesiacov. Z uvedeného dôvodu je potrebné v novele ZKI upraviť aj nový druh žiadosti o predchádzajúci súhlas Národnej banky Slovenska v § 163, kde sa vymenovávajú všetky druhy predchádzajúcich žiadostí a navyše je potrebné v novom § 186a upraviť požiadavky na podanie tohto predchádzajúceho súhlasu (kto je oprávnený podať žiadosť, čo musí byť preukázané zo strany žiadateľa, kedy je oprávnená NBS žiadosť zamietnuť, náležitosti rozhodnutia).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navrhujeme vložiť novelizačný bod:</w:t>
              <w:br/>
            </w:r>
            <w:r>
              <w:rPr>
                <w:b w:val="off"/>
                <w:color w:val="000000"/>
                <w:rFonts w:ascii="Times New Roman" w:hAnsi="Times New Roman" w:cs="Times New Roman" w:eastAsia="Times New Roman"/>
                <w:sz w:val="24"/>
              </w:rPr>
              <w:t>„V § 173 ods. 2 sa na konci pripája táto veta: „Ak sa žiada o zmenu na depozitára z iného členského štátu, musí byť preukázané splnenie podmienok podľa § 70 ods. 8 až 10 a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súvisí s novelizáciou § 70 ods. 8 až 12, ktoré upravujú možnosť povoliť zo strany NBS depozitára usadeného v inom členskom štáte. Je potrebné upraviť v konaní o predchádzajúcom súhlase podľa § 163 ods. 1 písm. j) na zmenu depozitára aj to, že musia byť splnené aj podmienky uvedené v § 70 ods. 8 až 11 a 12, ak sa žiada o zmenu na depozitára z iného členského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77</w:t>
              <w:br/>
            </w:r>
            <w:r>
              <w:rPr>
                <w:b w:val="off"/>
                <w:color w:val="000000"/>
                <w:rFonts w:ascii="Times New Roman" w:hAnsi="Times New Roman" w:cs="Times New Roman" w:eastAsia="Times New Roman"/>
                <w:sz w:val="24"/>
              </w:rPr>
              <w:t xml:space="preserve">V bode 77 navrhujeme upraviť úvodnú vetu takto: </w:t>
              <w:br/>
            </w:r>
            <w:r>
              <w:rPr>
                <w:b w:val="off"/>
                <w:color w:val="000000"/>
                <w:rFonts w:ascii="Times New Roman" w:hAnsi="Times New Roman" w:cs="Times New Roman" w:eastAsia="Times New Roman"/>
                <w:sz w:val="24"/>
              </w:rPr>
              <w:t>„V § 189a ods. 2 písmená c) až g)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77, § 189a ods. 2 písm. d) druhom bode navrhujeme za slovo „zamestnancov“ vložiť čiarku a slová „vyjadrený ako ekvivalent plného pracovného času“ a v písmene e) navrhujeme za slová „osôb“ vložiť čiarku a slová „vyjadrené ako ekvivalent plného pracovného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zmysle level 1 smernice 2024/927 sa bude vykazovať FTE (fulltime equivalent), pričom toto musí byť presne uvedené v zákone, aby dáta boli presne vypočítané a odreportované. </w:t>
              <w:br/>
            </w:r>
            <w:r>
              <w:rPr>
                <w:b w:val="off"/>
                <w:color w:val="000000"/>
                <w:rFonts w:ascii="Times New Roman" w:hAnsi="Times New Roman" w:cs="Times New Roman" w:eastAsia="Times New Roman"/>
                <w:sz w:val="24"/>
              </w:rPr>
              <w:t>Počet osôb nie je to isté (2 osoby, z ktorých každá venuje príslušnej činnosti len 25% pracovného času je len 0,5 FTE, pričom by v SR boli vykázané 2 osoby). AJ výraz „full-time equivalent“ je v SJ „ekvivalent plného pracovné času“. Takto sa slovné spojenie používa napríklad aj v delegovanom nariadení Komisie (EÚ) č. 2023/2772.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77</w:t>
              <w:br/>
            </w:r>
            <w:r>
              <w:rPr>
                <w:b w:val="off"/>
                <w:color w:val="000000"/>
                <w:rFonts w:ascii="Times New Roman" w:hAnsi="Times New Roman" w:cs="Times New Roman" w:eastAsia="Times New Roman"/>
                <w:sz w:val="24"/>
              </w:rPr>
              <w:t>V bode 77, § 189a ods. 2 písm. f) navrhujeme slová „informácie uvedené v prvom bode, treťom bode a štvrtom bode“ nahradiť slovami „informácie uvedené v písmene d), prvom bode, treťom bode a štvrtom 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 xml:space="preserve">V bode 83, § 201b ods. 7 prvej vete navrhujeme slovo „informácie“ nahradiť slovami „opodstatnené dôvody domnievať sa“ a na konci druhej vety navrhujeme pripojiť tieto slová: „a podľa možnosti aj o dôležitých predbežných výsledkoch“.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2024/927 v článku I odseku 22 uvádza, že „Ak majú príslušné orgány jedného členského štátu opodstatnené dôvody domnievať sa, že správca AIF, ...“, t. j. NBS ako príslušný orgán členského štátu nemusí mať informácie, ktoré preukazujú porušenie zákona, ale stačí, aby mala opodstatnený dôvod domnievať sa, že k porušeniu dochádza. Pojem „informácie“ netransponuje vhodne článok 50 odsek 5 smernice AIFMD a v praxi by mohli spôsobiť, že NBS nebude schopná využiť toto oprávnenie.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V bode 83, § 201b ods. 11 navrhujeme preformulovať a namiesto slova „obdržať“ použiť iný, spisovný ekvivalent, napríklad „Ak Európsky orgán dohľadu (Európsky orgán pre cenné papiere a trhy) oznámil Národnej banke Slovenska svoje stanovisko vydané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 xml:space="preserve">V bode 83, § 201b ods. 12 navrhujeme slová „podľa § 193 okrem právomoci“ nahradiť slovami „podľa právneho poriadku domovského členského štátu okrem právomoci zodpovedajúcej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vhodné uviesť podobnú formuláciu ako v § 202 ods. 13, kedy sa odkazuje na opatrenia podľa právneho poriadku domovského členského štátu okrem právomoci zodpovedajúcej právomoci podľa § 202 ods. 1 písm. c). Ustanovenie § 193 upravuje síce právomoc orgánu dohľadu, ale len NBS 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86</w:t>
              <w:br/>
            </w:r>
            <w:r>
              <w:rPr>
                <w:b w:val="off"/>
                <w:color w:val="000000"/>
                <w:rFonts w:ascii="Times New Roman" w:hAnsi="Times New Roman" w:cs="Times New Roman" w:eastAsia="Times New Roman"/>
                <w:sz w:val="24"/>
              </w:rPr>
              <w:t>V bode 86, § 202 ods. 13 navrhujeme za slovo „požiadať“ vložiť čiarku a slová „ak na to má opodstatnené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považujeme za nesprávnu transpozíciu článku 11 bodu 14. smernice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90</w:t>
              <w:br/>
            </w:r>
            <w:r>
              <w:rPr>
                <w:b w:val="off"/>
                <w:color w:val="000000"/>
                <w:rFonts w:ascii="Times New Roman" w:hAnsi="Times New Roman" w:cs="Times New Roman" w:eastAsia="Times New Roman"/>
                <w:sz w:val="24"/>
              </w:rPr>
              <w:t>V bode 90, § 220i ods. 1 navrhujeme za slovo „spoločnosť“ vložiť slová „s povolením“.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 12 ods. 7 navrhujeme slová „Ak pri splatnosti dlhopisu a vyplácaní výnosov z“ nahradiť slovami „Ak ku dňu splatnosti“.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návrh by mal riešiť podľa dôvodovej správy situáciu, ktorá bráni výmazu dlhopisu z evidencie zaknihovaných cenných papierov, a teda situáciu ku dňu splatnosti dlhopisov. Alternatívnym a zároveň vhodnejším riešením by bolo celú navrhovanú úpravu (odseky 7 až 10)  vložiť do nového § 12a, keďže cieľom je riešiť tak splatenie dlhopisu (menovitej hodnoty), ktoré je riešené v § 12, ako aj výplatu výnosu dlhopisu, ktorá je riešená v §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II bol vypustený z návrhu. Pripomienka je však správna.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 12 ods. 9 navrhujeme slová „Emitent, alebo v prípade výplaty výnosov a istiny dlhopisu prostredníctvom oprávnenej osoby emitentom poverená oprávnená osoba,“ nahradiť slovami „Emitent alebo osoba ním poverená na splatenie dlhopisu a výplatu výnosu dlhopisu“.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12 ods. 7 až 10 sa používa pojem „oprávnená osoba“ v dvoch významoch. Jednak ako oprávnená osoba, ktorú poveril emitent výkonom určitých činností, aj ako osoba, ktorá je popri alebo namiesto majiteľa dlhopisu oprávnená na určité úkony vo vzťahu k výnosom z dlhopisov. Je dôležité, aby bol používaný odlišný pojem pre označenie týchto osôb, inak sa stáva ustanovenie nepresným a nejednoznačným. Zároveň je potrebné  uvádzať „majiteľ dlhopisu alebo iná oprávnená osoba“ konzistentne vo všetkých navrhovaných odsekoch 7 až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II bol vypustený z návrhu. Pripomienka je však správna.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 12 ods. 10 navrhujeme vypustiť slovo „oprávnená“ a slová „vyplatenie dlhopisu sú povinní“ navrhujeme nahradiť slovami „splatenie dlhopisu a výplatu výnosu dlhopisu je povinný“.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12 ods. 7 až 10 sa používa pojem „oprávnená osoba“ v dvoch významoch. Jednak ako oprávnená osoba, ktorú poveril emitent výkonom určitých činností, ako aj ako osoba, ktorá je popri alebo namiesto majiteľa dlhopisu oprávnená na určité úkony vo vzťahu k výnosom z dlhopisov. Je dôležité, aby bol používaný odlišný pojem pre označenie týchto osôb, inak sa stáva ustanovenie nepresným a nejednoznačným.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časť pripomienky je legislatívno-technická  - zosúladenie s pojmami používanými v zákone o dlhopisoch a v navrhovanom odseku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bol vypustený z návrhu. Pripomienka je však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7 [§ 27 ods. 9]</w:t>
              <w:br/>
            </w:r>
            <w:r>
              <w:rPr>
                <w:b w:val="off"/>
                <w:color w:val="000000"/>
                <w:rFonts w:ascii="Times New Roman" w:hAnsi="Times New Roman" w:cs="Times New Roman" w:eastAsia="Times New Roman"/>
                <w:sz w:val="24"/>
              </w:rPr>
              <w:t>V bode 7 [§ 27 ods. 9] navrhujeme slová „písm. b)“ nahradiť slovami „písm. a) pododsek iii)“.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Nesprávny odkaz na smernicu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8 [§ 27 ods. 16]</w:t>
              <w:br/>
            </w:r>
            <w:r>
              <w:rPr>
                <w:b w:val="off"/>
                <w:color w:val="000000"/>
                <w:rFonts w:ascii="Times New Roman" w:hAnsi="Times New Roman" w:cs="Times New Roman" w:eastAsia="Times New Roman"/>
                <w:sz w:val="24"/>
              </w:rPr>
              <w:t>V bode 8 [§ 27 ods. 16] navrhujeme za slovo „písm. d)“ doplniť slová „a článku 2 bodu 2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Nesprávny odkaz na smernicu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11 [§ 28 ods. 4 písm. i)]</w:t>
              <w:br/>
            </w:r>
            <w:r>
              <w:rPr>
                <w:b w:val="off"/>
                <w:color w:val="000000"/>
                <w:rFonts w:ascii="Times New Roman" w:hAnsi="Times New Roman" w:cs="Times New Roman" w:eastAsia="Times New Roman"/>
                <w:sz w:val="24"/>
              </w:rPr>
              <w:t>V bode 11 [§ 28 ods. 4 písm. i)] navrhujeme slovo „ďalším“ nahradiť slovom „druhotným“.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Vlastný materiál používa pojem „druhotné zverenie“.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16 [§ 28a ods. 4 písm. f)]</w:t>
              <w:br/>
            </w:r>
            <w:r>
              <w:rPr>
                <w:b w:val="off"/>
                <w:color w:val="000000"/>
                <w:rFonts w:ascii="Times New Roman" w:hAnsi="Times New Roman" w:cs="Times New Roman" w:eastAsia="Times New Roman"/>
                <w:sz w:val="24"/>
              </w:rPr>
              <w:t>V bode 16 [§ 28a ods. 4 písm. f) ] navrhujeme slovo „ďalšom“ nahradiť slovom „druhotnom“.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Vlastný materiál používa pojem „druhotné zverenie“.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24 [§ 37b ods. 5 až 17]</w:t>
              <w:br/>
            </w:r>
            <w:r>
              <w:rPr>
                <w:b w:val="off"/>
                <w:color w:val="000000"/>
                <w:rFonts w:ascii="Times New Roman" w:hAnsi="Times New Roman" w:cs="Times New Roman" w:eastAsia="Times New Roman"/>
                <w:sz w:val="24"/>
              </w:rPr>
              <w:t>V bode 24 [§ 37b ods. 5 až 17] navrhujeme upraviť znenie tretej vety takto: „Správcovská spoločnosť spravujúca alternatívne investičné fondy bude povinná upraviť v štatúte alebo zakladajúcich dokumentoch fondu najmenej dva nástroje na riadenie likvidity.“ V piatej vete navrhujeme slovo „situácie“ nahradiť slovom „situácia“ a za slovo „situáciu“ navrhujeme vložiť čiarku a slová „kedy sa vo fonde nenachádza dostatok likvidných aktív, predajom ktorých by správcovská spoločnosť vedela pokryť nároky podielnikov plynúce z podaných žiadostí o redemáciu, obvykle“.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26 [§ 37e]</w:t>
              <w:br/>
            </w:r>
            <w:r>
              <w:rPr>
                <w:b w:val="off"/>
                <w:color w:val="000000"/>
                <w:rFonts w:ascii="Times New Roman" w:hAnsi="Times New Roman" w:cs="Times New Roman" w:eastAsia="Times New Roman"/>
                <w:sz w:val="24"/>
              </w:rPr>
              <w:t>V bode 26 [§ 37e] navrhujeme vypustiť slová „zriadené v Slovenskej republike“.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Navrhujeme úpravu osobitnej časti dôvodovej správy v súvislosti s návrhom NBS na úpravu § 37e v samostatnej pripomienke.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bodom 29 a 31 [§ 57 ods. 1 a 2]</w:t>
              <w:br/>
            </w:r>
            <w:r>
              <w:rPr>
                <w:b w:val="off"/>
                <w:color w:val="000000"/>
                <w:rFonts w:ascii="Times New Roman" w:hAnsi="Times New Roman" w:cs="Times New Roman" w:eastAsia="Times New Roman"/>
                <w:sz w:val="24"/>
              </w:rPr>
              <w:t>V bodoch 29 a 31 [§ 57 ods. 1 a 2] navrhujeme slová „článku 20“ nahradiť slovami „článku 6 ods. 4“ a na konci navrhujeme pripojiť túto vetu: „Uvedený výklad je v súlade so znením recitálu číslo 12 a 50 smernice 2024/927.“.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Spresnenie výkladu.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35 [§ 57 ods. 2 písm. l)]</w:t>
              <w:br/>
            </w:r>
            <w:r>
              <w:rPr>
                <w:b w:val="off"/>
                <w:color w:val="000000"/>
                <w:rFonts w:ascii="Times New Roman" w:hAnsi="Times New Roman" w:cs="Times New Roman" w:eastAsia="Times New Roman"/>
                <w:sz w:val="24"/>
              </w:rPr>
              <w:t>V bode 35 v [§ 57 ods. 2 písm. l)] navrhujeme poslednú vetu nahradiť týmto textom: „Objektívnymi dôvodmi sa rozumejú dôvody, pre ktoré správcovská spoločnosť k zvereniu pristúpila. Napríklad v zmysle recitálu 49 smernice 2024/927, zverenie určitej činnosti môže umožniť efektívne riadenie investičných portfólií a získavanie potrebných odborných znalostí na konkrétnom geografickom trhu alebo v rámci konkrétnej triedy aktív.“.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Precizovanie odôvodnenia s odkazom na recitál č. 49 smernice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36 [§ 57 ods. 8 a 9]</w:t>
              <w:br/>
            </w:r>
            <w:r>
              <w:rPr>
                <w:b w:val="off"/>
                <w:color w:val="000000"/>
                <w:rFonts w:ascii="Times New Roman" w:hAnsi="Times New Roman" w:cs="Times New Roman" w:eastAsia="Times New Roman"/>
                <w:sz w:val="24"/>
              </w:rPr>
              <w:t xml:space="preserve">V bode 36 [§ 57 ods. 8 a 9] navrhujeme slová „nenesie za distribúciu žiadnu zodpovednosť daná správcovská spoločnosť“ nahradiť slovami „nepôjde o zverenie činnosti v zmysle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57 ods. 9 upravuje len to, či nejaký zmluvný vzťah medzi správcovskou spoločnosťou a jej distribútorom bude podliehať ustanoveniam týkajúcim sa zverenia činnosti podľa § 57 zákona. Toto ustanovenie neupravuje rozsah zodpovednosti zmluvných strán.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42 [§ 57a ods. 9]</w:t>
              <w:br/>
            </w:r>
            <w:r>
              <w:rPr>
                <w:b w:val="off"/>
                <w:color w:val="000000"/>
                <w:rFonts w:ascii="Times New Roman" w:hAnsi="Times New Roman" w:cs="Times New Roman" w:eastAsia="Times New Roman"/>
                <w:sz w:val="24"/>
              </w:rPr>
              <w:t xml:space="preserve">V bode 42 [§ 57a ods. 9] navrhujeme vypustiť túto vetu: „Ide o transpozíciu článku 2 bodu 4 písm. b) smernice  (EÚ) 2024/927.“ a slová „nenesie za distribúciu žiadnu zodpovednosť daná správcovská spoločnosť“ navrhujeme nahradiť slovami „nepôjde o zverenie činnosti v zmysle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57a ods. 9 upravuje len to, či nejaký zmluvný vzťah medzi správcovskou spoločnosťou a jej distribútorom bude podliehať ustanoveniam týkajúcim sa zverenia činnosti podľa § 57a zákona. Toto ustanovenie neupravuje rozsah zodpovednosti zmluvných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je potrebné vypustiť vetu, ktorá sa týka transpozície článku 2 bodu 4 písm. b) smernice 2024/927, keďže toto ustanovenie bolo transponované do § 57 ods.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48 [§ 71 ods. 15]</w:t>
              <w:br/>
            </w:r>
            <w:r>
              <w:rPr>
                <w:b w:val="off"/>
                <w:color w:val="000000"/>
                <w:rFonts w:ascii="Times New Roman" w:hAnsi="Times New Roman" w:cs="Times New Roman" w:eastAsia="Times New Roman"/>
                <w:sz w:val="24"/>
              </w:rPr>
              <w:t>V bode 48 [§ 71 ods. 15] navrhujeme slovo „oprávnená“ nahradiť slovom „určená“, za slovo „činnosti“ navrhujeme vložiť čiarku a slovo „ako“ nahradiť slovami „ktoré by inak vykonával“.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bodov 63 [§ 127], 64 [§ 129 ods. 5], 65 [§ 129 ods. 5 písm. c)]</w:t>
              <w:br/>
            </w:r>
            <w:r>
              <w:rPr>
                <w:b w:val="off"/>
                <w:color w:val="000000"/>
                <w:rFonts w:ascii="Times New Roman" w:hAnsi="Times New Roman" w:cs="Times New Roman" w:eastAsia="Times New Roman"/>
                <w:sz w:val="24"/>
              </w:rPr>
              <w:t>V bodoch 63 [§ 127], 64 [§ 129 ods. 5], 65 [§ 129 ods. 5 písm. c)] navrhujeme slovo „externých“ nahradiť slovom „nezávislých“.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Oprava textácie.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70 [§ 159a ods. 1 písm. a)]</w:t>
              <w:br/>
            </w:r>
            <w:r>
              <w:rPr>
                <w:b w:val="off"/>
                <w:color w:val="000000"/>
                <w:rFonts w:ascii="Times New Roman" w:hAnsi="Times New Roman" w:cs="Times New Roman" w:eastAsia="Times New Roman"/>
                <w:sz w:val="24"/>
              </w:rPr>
              <w:t>V bode 70 [§ 159a ods. 1 písm. a] navrhujeme slová „písm. h“ nahradiť slovami „ písm. 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Oprava odkazu na smernicu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71 [§ 159a ods. 1, písm. h)]</w:t>
              <w:br/>
            </w:r>
            <w:r>
              <w:rPr>
                <w:b w:val="off"/>
                <w:color w:val="000000"/>
                <w:rFonts w:ascii="Times New Roman" w:hAnsi="Times New Roman" w:cs="Times New Roman" w:eastAsia="Times New Roman"/>
                <w:sz w:val="24"/>
              </w:rPr>
              <w:t>V bode 71 [§ 159a ods. 1, písm. h)] navrhujeme slová „bod iii)“ nahradiť slovami „bod ii)“.</w:t>
              <w:br/>
            </w:r>
            <w:r>
              <w:rPr>
                <w:b w:val="off"/>
                <w:color w:val="000000"/>
                <w:rFonts w:ascii="Times New Roman" w:hAnsi="Times New Roman" w:cs="Times New Roman" w:eastAsia="Times New Roman"/>
                <w:sz w:val="24"/>
              </w:rPr>
              <w:t xml:space="preserve">V poslednej vete navrhujeme za slovo „situáciu“ vložiť čiarku a slová „kedy sa vo fonde nenachádza dostatok likvidných aktív, predajom ktorých by správcovská spoločnosť vedela pokryť nároky podielnikov plynúce z podaných žiadostí o redemáciu, obvykle“.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Oprava odkazu na smernicu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78 [§ 189a ods. 2 písm. f)]</w:t>
              <w:br/>
            </w:r>
            <w:r>
              <w:rPr>
                <w:b w:val="off"/>
                <w:color w:val="000000"/>
                <w:rFonts w:ascii="Times New Roman" w:hAnsi="Times New Roman" w:cs="Times New Roman" w:eastAsia="Times New Roman"/>
                <w:sz w:val="24"/>
              </w:rPr>
              <w:t xml:space="preserve">V bode 78 [§ 189a ods. 2 písm. f)] navrhujeme za slová „spoločnosť“ vložiť slová „na základe notifikácie reálne“.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Vysvetľuje sa, čo sa má chápať pod pojmom „skutočne distribuuje“.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82 [§ 196]</w:t>
              <w:br/>
            </w:r>
            <w:r>
              <w:rPr>
                <w:b w:val="off"/>
                <w:color w:val="000000"/>
                <w:rFonts w:ascii="Times New Roman" w:hAnsi="Times New Roman" w:cs="Times New Roman" w:eastAsia="Times New Roman"/>
                <w:sz w:val="24"/>
              </w:rPr>
              <w:t xml:space="preserve">V bode 82 [§ 196] navrhujeme na konci pripojiť tieto slová: „a s orgánmi dohľadu členských štátov“.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83 [§ 201b]</w:t>
              <w:br/>
            </w:r>
            <w:r>
              <w:rPr>
                <w:b w:val="off"/>
                <w:color w:val="000000"/>
                <w:rFonts w:ascii="Times New Roman" w:hAnsi="Times New Roman" w:cs="Times New Roman" w:eastAsia="Times New Roman"/>
                <w:sz w:val="24"/>
              </w:rPr>
              <w:t xml:space="preserve">V bode 83 [§ 201b] druhej vete navrhujeme slová „správcovská spoločnosť“ nahradiť slovami „zahraničná správcovská spoločnosť alternatívneho investičného fondu“ a na konci tretej vety navrhujeme pripojiť čiarku a tieto slová: „pokiaľ opodstatnené dôvody inak nešpecifikuje budúce usmernenie ESMA, ktoré bude poskytovať informácie s cieľom usmerňovať príslušné orgány pri výkone ich právomocí stanovených v článku 46 ods. 2 písm. j) smernice AIFMD a informácie o situáciách, ktoré by mohli viesť k predloženiu žiadostí uvedených v článku 46 odsekoch 5b a 5f smernice AIFMD“.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vhodné v dôvodovej správe definovať, čo sa myslí pod opodstatnenými dôvodmi, keďže k predmetnej veci bude vydávať usmernenie ESMA. Pokiaľ MF SR bude trvať na ponechaní tohto vysvetlenia, je vhodné poukázať na to, že v budúcnosti môže iným spôsobom vykladať predmetné pojmy usmernenie ESMA, ktoré môže vydať na základ článku 1 bodu 22 písm. b) smernice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bodu 86 [§ 202 ods. 13]</w:t>
              <w:br/>
            </w:r>
            <w:r>
              <w:rPr>
                <w:b w:val="off"/>
                <w:color w:val="000000"/>
                <w:rFonts w:ascii="Times New Roman" w:hAnsi="Times New Roman" w:cs="Times New Roman" w:eastAsia="Times New Roman"/>
                <w:sz w:val="24"/>
              </w:rPr>
              <w:t>V bode 86 [§ 202 ods. 13] navrhujeme slová „správcovská spoločnosť“ nahradiť slovami „európsky štandardný fond“.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Oprava chyby.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	V novelizačnom bode 24, ktorým sa novelizuje § 37b ods.11 žiadame doplniť poznámku pod čiarou k odkazu 10b).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poznámka pod čiarou bola vypustená, už je v zákone zavedená na inom mieste k tomuto pojmu.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V novelizačnom bode 24 pri poznámke pod čiarou k odkazu 25ka) žiadame o skrátenú citáciu, nakoľko plné znenia nariadení (EÚ) č. 345/2013 a (EÚ) č. 346/2013  sú uvedené v poznámke pod čiarou k odkazu 22d).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V novelizačnom bode 68 žiadame doplniť číslo článku Modelovej zmluvy Organizácie pre hospodársku spoluprácu a rozvoj o zdaňovaní príjmov a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	V predkladanej tabuľke zhody žiadame preukázať transpozíciu čl. 1 ods. 2 smernice (EÚ) 2024/927 do čl. I,  § 28a ods. 4 návrhu zákona,  a to konkrétne transponovanie písm. aa) „úradný názov a príslušný identifikátor správcu AIF.“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Doplnili sme do tabuľky zhody znenie § 28a ods. 3, ktoré definuje údaje v žiadosti. § 28a ods. 4 definuje údaje v prílohe k žiadosti, preto postačuje uviesť úradný názov a príslušný identifikátor správcu AIF len v § 28a ods. 3 zákona o kolektívnom investovaní.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2.	V predkladanej tabuľke zhody žiadame preukázať transpozíciu čl. 1 ods. 2 smernice (EÚ) 2024/927 do čl. I,  § 28a ods. 4 návrhu zákona,  a to konkrétne transponovanie písm. d) „informácie o politikách a postupoch odmeňovania správcu AIF podľa článku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Požiadavku čl. 1 ods. 2 smernice (EÚ) 2024/927 (d) informácie o politikách a postupoch odmeňovania správcu AIF podľa článku 13" preukazujeme ustanovením § 33 ods. 8 zákona o kolektívnom investovaní, ktoré je komplexným ustanovením o odmeňovaní, a všetky údaje sa uvádzajú v stanovách a zakladateľských dokumentoch. Našim zámerom nie je vytváranie duplicitného ustanovenia v § 28a ods. 4, ktoré definuje obsah prílohy žiadosti. Naproti tomu súčasťou  žiadosti sú aj stanovy a zakladateľské dokumenty, podľa § 28a ods. 4 písmeno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3.	Pri preukazovaní transpozície čl. 1 ods. 4 smernice (EÚ) 2024/927 do čl. I, § 28a ods.2 písm. d) upozorňujeme na skutočnosť, že zamestnanec správcovskej spoločnosti nemusí byť podľa návrhu zákona zamestnaný na plný úväzok ako požaduje smernica, preto považujeme transpozíciu za nedostatočnú.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Hoci smernica uvádza, že má ísť o zamestnanca na plný pracovný úväzok, myslí sa tým, že danej činnosti má venovať náležitý čas a starostlivosť.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4.	Pri preukazovaní transpozície čl. 1 ods. 7 smernice (EÚ) 2024/927 do čl. I, § 37e ods. 14 žiadame v treťom stĺpci pri písmene 4f) označiť transpozíciu ako bežnú – písmenom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5.	Pri preukazovaní transpozície čl. 1 ods. 7 smernice (EÚ) 2024/927  do čl. I, § 37e ods. 15 žiadame v treťom stĺpci pri písmene 4g) označiť transpozíciu ako dobrovoľnú – písmenom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6.	Pri preukazovaní transpozície čl. 1 ods. 7 písm. 4g) smernice (EÚ) 2024/927  do čl. I, § 37e ods. 15 žiadame preukázať transpozíciu poslednej vety „Takýto zákaz nemá vplyv na uvádzanie AIF, ktoré poskytujú úvery spotrebiteľom alebo spravujú úvery poskytnuté spotrebiteľom, na trh v Únii.“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37e ods. 15 bol doplnený vetou: "Tento zákaz nemá vplyv na distribúciu alternatívnych investičných fondov, ktoré poskytujú úvery spotrebiteľom alebo spravujú úvery poskytnuté spotrebiteľom v Európskej únii." Pre "uvádzanie na trh" sa podľa súčasného znenia zákona o kolektívnom investovaní používa pojem "distribúcia".   </w:t>
              <w:br/>
            </w:r>
            <w:r>
              <w:rPr>
                <w:b w:val="off"/>
                <w:color w:val="000000"/>
                <w:rFonts w:ascii="Times New Roman" w:hAnsi="Times New Roman" w:cs="Times New Roman" w:eastAsia="Times New Roman"/>
                <w:sz w:val="24"/>
              </w:rPr>
              <w:t xml:space="preserve">Táto zmena bola doplnená aj do tabuľky zhody.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7.	Pri preukazovaní transpozície čl. 1 ods. 8 smernice (EÚ) 2024/927  do čl. I, § 37b ods. 6 sú podmienky stanovené osobitným predpisom definované v poznámke pod čiarou 25ka). Uvedená poznámka neobsahuje odkaz na nariadenie (EÚ) 2015/760, ktoré je uvedené v čl. 1 ods. 8 smernice (EÚ) 2024/927 (písm. 2a), žiadame preukázať správnu transpozíciu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Odkaz na nariadenie (EÚ) 2015/760 bol doplnený do poznámky pod čiarou 25ka).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8.	Pri preukazovaní transpozície čl. 1 ods. 10 smernice (EÚ) 2024/927 do čl. I, § 80a ods. 1 písm. e) a do § 80a ods.5 návrhu zákona žiadame preukázať správnu transpozíciu poznámky pod čiarou k odkazu č. 49ea), kde podľa  nášho názoru chýba označenie čl. 48 ods. 10 nariadenia (EÚ) č. 909/2014.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Bola doplnená poznámka pod čiarou 49ea).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9.	Pri preukazovaní transpozície čl. 1 ods. 12 smernice (EÚ) 2024/927 do § 189a ods.2 písm. d) a e) požadujeme preukázanie plného pracovného úväzku osôb alebo zamestnancov určených pre výkon daných činností v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Zmyslom smernice nie je požadovať plný pracovný úväzok, ale zabezpečiť, že zamestnanec bude tejto činnosti venovať dostatok pracovného času.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10.	V predloženej tabuľke zhody žiadame preukázať transpozíciu čl. 2 ods. 2 v časti: „Správcovským spoločnostiam sa neudelí povolenie poskytovať služby uvedené v prvom pododseku písm. c), ktoré sa používajú v PKIPCP, ktoré spravujú“ (písm. c), pododsek iii) do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Uvedenú požiadavku preukazujeme vypustením celej druhej vety v § 28 ods. 6 zákona o kolektívnom investovaní.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11.	Pri preukazovaní transpozície čl. 2 ods. 7 smernice (EÚ) 2024/927 do § 161a ods. 3 bod 2 návrhu zákona požadujeme preukázanie plného pracovného úväzku osôb alebo zamestnancov určených pre výkon daných činností v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Hoci smernica uvádza, že má ísť o zamestnanca na plný pracovný úväzok, myslí sa tým, že danej činnosti má venovať náležitý čas a starostlivosť.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12.	Transpozíciu čl. 2 ods. 16 písm. b) smernice (EÚ) 2024/927 žiadame v šiestom stĺpci doplniť o § 201ca ods. 1 a 2 návrhu zákona – analogicky je transponovaný čl. 1 ods. 21 smernice (EÚ)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13.	Pri preukazovaní transpozície čl. 3 smernice (EÚ) 2024/927 žiadame vo štvrtom stĺpci opraviť číslo článku obsahujúce účinnosť na čl. III.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Bol vypustený čl. II, preto sa pôvodný článok III. preoznačil ako článok 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2024/927</w:t>
              <w:br/>
            </w:r>
            <w:r>
              <w:rPr>
                <w:b w:val="off"/>
                <w:color w:val="000000"/>
                <w:rFonts w:ascii="Times New Roman" w:hAnsi="Times New Roman" w:cs="Times New Roman" w:eastAsia="Times New Roman"/>
                <w:sz w:val="24"/>
              </w:rPr>
              <w:t>14.	 Pri preukazovaní transpozície čl. 3 smernice (EÚ) 2024/927 žiadame zo štvrtého stĺpca vypustiť nadbytočné označenie „575/2001“ a namiesto označenia „429/2002“ uviesť „203/2011“.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1.	V pravej časti záhlavia žiadame nahradiť text „Návrh zákona č. .../2025, ktorý sa mení a dopĺňa zákon č. 566/2001 Z. z. o cenných papieroch a investičných službách a o zmene a doplnení niektorých zákonov (zákon o cenných papieroch) v znení neskorších predpisov a ktorým sa mení a dopĺňa zákon č. 429/2002 Z. z. o burze cenných papierov v znení neskorších predpisov (ďalej len „návrh 566/2001“).“ textom „Zákon č. 284/2025 Z.z., ktorým sa mení a dopĺňa zákon č. 566/2001 Z. z. o cenných papieroch a investičných službách a o zmene a doplnení niektorých zákonov (zákon o cenných papieroch)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2.	Pri preukazovaní transpozície čl. 1 ods. 1 smernice (EÚ) 2024/2994 do čl. I, § 7 ods. 32 žiadame v 4. stĺpci uviesť namiesto „návrh č. I 566/2001“ číslo zákona „284/2025“.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všeobecne</w:t>
              <w:br/>
            </w:r>
            <w:r>
              <w:rPr>
                <w:b w:val="off"/>
                <w:color w:val="000000"/>
                <w:rFonts w:ascii="Times New Roman" w:hAnsi="Times New Roman" w:cs="Times New Roman" w:eastAsia="Times New Roman"/>
                <w:sz w:val="24"/>
              </w:rPr>
              <w:t>1.	K sprievodným materiálom žiadame priložiť tabuľku zhody so smernicou 2014/91/EÚ, nakoľko predkladanou novelou zákona sa menia ustanovenia § 70 ods. 1 a § 72 ods. 1 písm. d), ktorými bol transponovaný čl. 22 smernice 2014/91/EÚ.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	V celej dôvodovej správe sa pri odkaze na európsku legislatívu opakovane používa slovo „bod“ namiesto slova „odsek“. Žiadame tieto nedostatky opraviť.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2.	V dôvodovej správe k bodu 1 žiadame v plnom znení definovať smernice AIFMD (smernica 2011/61/EÚ) a UCITS (smernica 2009/65/ES).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upravené inak, pôvodný text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3.	V bode 1 dôvodovej správy je uvedené, že tento bod návrhu zákona je transpozíciou článku 1, písmena a) smernice (EÚ) 2024/927. Toto ustanovenie smernice upravuje definíciu profesionálneho investora, ktorá nie je obsahom bodu 1 návrhu zákona, preto požadujeme písmeno a) článku 1 smernice (EÚ) 2024/927 z tejto časti dôvodovej správy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4.	V bode 1 dôvodová správa uvádza, že sa dopĺňa definícia centrálnej protistrany, ktorá však nie je obsahom návrhu zákona, preto žiadame vypustenie poslednej vety dôvodovej správy k bodu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5.	V bode 2 v prvej vete dôvodovej správy žiadame o opravu označenia transponovanej časti smernice (EÚ) 2024/927, nakoľko článok 2 bod 2 písm. a) smernice (EÚ) 2024/927 je transponovaný do § 27 ods. 3 písm. d) až f)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6.	V dôvodovej správe k bodu 7 žiadame opraviť označenie smernice nasledovne: „smernica (EÚ)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7.	V bode 20 a 22 dôvodovej správy žiadame z dôvodu zrozumiteľnosti rozpísať skratku „ZISIF“.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8.	V dôvodovej správe k bodu 33 žiadame nahradiť slová „v mene“ slovami „v záujme“.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9.	V dôvodovej správe k bodu 37 žiadame označiť transpozíciu čl. 1 ods. 9 smernice (EÚ) 2024/927 namiesto smernice AIFMD (ktorá je novelizovaná).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10.	V bode 40 dôvodovej správy žiadame označiť transpozíciu čl. 1 ods. 9 písm. b) smernice (EÚ) 2024/927 namiesto smernice AIFMD (ktorá je novelizovaná).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11.	V bode 47 dôvodovej správy žiadame označiť transpozíciu čl. 1 ods. 10 smernice (EÚ) 2024/927 namiesto článku 1 bodu 21. Duplicitnú piatu vetu žiadame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12.	V dôvodovej správe k bodom 59 a 61 žiadame uviesť celý názov nariadenia – „Nariadenie Európskeho parlamentu a Rady (EÚ) č. 648/2012 zo 4. júla 2012 o mimoburzových derivátoch, centrálnych protistranách a archívoch obchodných údajov (Ú. v. EÚ L 201, 27.7.2012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13.	V bode 70 dôvodovej správy žiadame o opravu označenia transponovaného textu - ide o transpozíciu čl. 1 ods. 11 písm. a) bod i, písm. a) smernice  (EÚ)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14.	V bode 71 dôvodovej správy žiadame o opravu označenia transponovaného textu - ide o transpozíciu čl. 1 ods. 11 písm. a) bod ii písm. h) smernice (EÚ)2024/927.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V bode 75 dôvodovej správy žiadame rozpísať skratky „SS“.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16.	Text dôvodovej správy v bodoch 91 a 92 žiadame formulačne upraviť, dopĺňa sa transpozičná príloha k zákonu 203/2011 Z.z. v znení neskorších prepisov, nie k smernici.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17.	V dôvodovej správe k  čl. II žiadame v druhej vete doplniť text „odo dňa výmazu dlhopisu z evidencie cenných papierov“ z dôvodu väčšej zrozumiteľnosti.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Vypustil sa celý pôvodne navrhnutý článok 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18.	V dôvodovej správe k čl. III odporúčame poslednú vetu upraviť nasledovne: „Niektoré ustanovenia nadobudnú účinnosť 16. apríla 2027 podľa čl. 3 ods. 1, tretej vety smernice (EÚ) 2024/927.“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SASS</w:t>
              <w:br/>
            </w:r>
            <w:r>
              <w:rPr>
                <w:b w:val="off"/>
                <w:color w:val="000000"/>
                <w:rFonts w:ascii="Times New Roman" w:hAnsi="Times New Roman" w:cs="Times New Roman" w:eastAsia="Times New Roman"/>
                <w:sz w:val="24"/>
              </w:rPr>
              <w:t>Slovenská asosciácia správcovských spoločností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11</w:t>
              <w:br/>
            </w:r>
            <w:r>
              <w:rPr>
                <w:b w:val="off"/>
                <w:color w:val="000000"/>
                <w:rFonts w:ascii="Times New Roman" w:hAnsi="Times New Roman" w:cs="Times New Roman" w:eastAsia="Times New Roman"/>
                <w:sz w:val="24"/>
              </w:rPr>
              <w:t>Na konci § 13 ods. 11 navrhujeme doplniť nasledovné ustanovenie: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„Správcovská spoločnosť nie je povinná vyplatiť podielnikovi podielový list po dobu uvedenú v štatúte otvoreného fondu, ktorý je fond kvalifikovaných investorov, ktorá nesmie byť dlhšia ako 7 rokov odo dňa vydania podielového listu.“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Týmto návrhom navrhujeme nastaviť tzv. lock-up obdobie, ktorým sa rozumie časové obdobie (zvyčajne v rokoch) od uskutočnenia investície, počas ktorého investor nemôže vykonať redemáciu podielových listov. Cieľom je umožniť správcovi fondu realizovať investičnú stratégiu a nakúpiť cieľové aktíva bez rizika náhlych odkupov. Tento mechanizmus sa štandardne využíva najmä pri portfóliách investujúcich do málo likvidných aktív.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Uvedený návrh má nasledujúce výhody:</w:t>
              <w:br/>
            </w:r>
            <w:r>
              <w:rPr>
                <w:b w:val="off"/>
                <w:color w:val="000000"/>
                <w:rFonts w:ascii="Times New Roman" w:hAnsi="Times New Roman" w:cs="Times New Roman" w:eastAsia="Times New Roman"/>
                <w:sz w:val="24"/>
              </w:rPr>
              <w:t>1.	Podpora investícií do málo likvidných aktív</w:t>
              <w:br/>
            </w:r>
            <w:r>
              <w:rPr>
                <w:b w:val="off"/>
                <w:color w:val="000000"/>
                <w:rFonts w:ascii="Times New Roman" w:hAnsi="Times New Roman" w:cs="Times New Roman" w:eastAsia="Times New Roman"/>
                <w:sz w:val="24"/>
              </w:rPr>
              <w:t>Lock-up obdobie je nevyhnutné pri portfóliách, ktoré investujú do aktív s nízkou likviditou (napr. nehnuteľnosti, private equity, infraštruktúra). Tieto investície potrebujú čas na realizáciu stratégie a vytvorenie hodnoty.</w:t>
              <w:br/>
            </w:r>
            <w:r>
              <w:rPr>
                <w:b w:val="off"/>
                <w:color w:val="000000"/>
                <w:rFonts w:ascii="Times New Roman" w:hAnsi="Times New Roman" w:cs="Times New Roman" w:eastAsia="Times New Roman"/>
                <w:sz w:val="24"/>
              </w:rPr>
              <w:t>2.	Zladenie záujmov správcu a investorov</w:t>
              <w:br/>
            </w:r>
            <w:r>
              <w:rPr>
                <w:b w:val="off"/>
                <w:color w:val="000000"/>
                <w:rFonts w:ascii="Times New Roman" w:hAnsi="Times New Roman" w:cs="Times New Roman" w:eastAsia="Times New Roman"/>
                <w:sz w:val="24"/>
              </w:rPr>
              <w:t>Lock-up podporuje dlhodobý investičný horizont a znižuje krátkodobé špekulatívne správanie. Posilňuje dôveru medzi správcom a investormi.</w:t>
              <w:br/>
            </w:r>
            <w:r>
              <w:rPr>
                <w:b w:val="off"/>
                <w:color w:val="000000"/>
                <w:rFonts w:ascii="Times New Roman" w:hAnsi="Times New Roman" w:cs="Times New Roman" w:eastAsia="Times New Roman"/>
                <w:sz w:val="24"/>
              </w:rPr>
              <w:t>3.	Efektívne riadenie likviditného rizika</w:t>
              <w:br/>
            </w:r>
            <w:r>
              <w:rPr>
                <w:b w:val="off"/>
                <w:color w:val="000000"/>
                <w:rFonts w:ascii="Times New Roman" w:hAnsi="Times New Roman" w:cs="Times New Roman" w:eastAsia="Times New Roman"/>
                <w:sz w:val="24"/>
              </w:rPr>
              <w:t>Lock-up je nástroj, ktorý pomáha správcom fondov lepšie plánovať likviditu a predchádzať krízovým situáciám.</w:t>
              <w:br/>
            </w:r>
            <w:r>
              <w:rPr>
                <w:b w:val="off"/>
                <w:color w:val="000000"/>
                <w:rFonts w:ascii="Times New Roman" w:hAnsi="Times New Roman" w:cs="Times New Roman" w:eastAsia="Times New Roman"/>
                <w:sz w:val="24"/>
              </w:rPr>
              <w:t>4.	Stabilita portfólia</w:t>
              <w:br/>
            </w:r>
            <w:r>
              <w:rPr>
                <w:b w:val="off"/>
                <w:color w:val="000000"/>
                <w:rFonts w:ascii="Times New Roman" w:hAnsi="Times New Roman" w:cs="Times New Roman" w:eastAsia="Times New Roman"/>
                <w:sz w:val="24"/>
              </w:rPr>
              <w:t>Obmedzenie možnosti okamžitého odkupu podielov zabraňuje náhlym odlivom kapitálu, ktoré by mohli prinútiť správcu predávať aktíva za nevýhodných podmienok. Tým sa zachováva integrita investičnej stratégie.</w:t>
              <w:br/>
            </w:r>
            <w:r>
              <w:rPr>
                <w:b w:val="off"/>
                <w:color w:val="000000"/>
                <w:rFonts w:ascii="Times New Roman" w:hAnsi="Times New Roman" w:cs="Times New Roman" w:eastAsia="Times New Roman"/>
                <w:sz w:val="24"/>
              </w:rPr>
              <w:t>5.	Zníženie rizika nútených predajov (fire sales)</w:t>
              <w:br/>
            </w:r>
            <w:r>
              <w:rPr>
                <w:b w:val="off"/>
                <w:color w:val="000000"/>
                <w:rFonts w:ascii="Times New Roman" w:hAnsi="Times New Roman" w:cs="Times New Roman" w:eastAsia="Times New Roman"/>
                <w:sz w:val="24"/>
              </w:rPr>
              <w:t>Lock-up chráni fond pred situáciami, keď by musel rýchlo likvidovať pozície počas trhového stresu, čo by poškodilo všetkých investorov.</w:t>
              <w:br/>
            </w:r>
            <w:r>
              <w:rPr>
                <w:b w:val="off"/>
                <w:color w:val="000000"/>
                <w:rFonts w:ascii="Times New Roman" w:hAnsi="Times New Roman" w:cs="Times New Roman" w:eastAsia="Times New Roman"/>
                <w:sz w:val="24"/>
              </w:rPr>
              <w:t>6.	Regulačný a trhový kontext</w:t>
              <w:br/>
            </w:r>
            <w:r>
              <w:rPr>
                <w:b w:val="off"/>
                <w:color w:val="000000"/>
                <w:rFonts w:ascii="Times New Roman" w:hAnsi="Times New Roman" w:cs="Times New Roman" w:eastAsia="Times New Roman"/>
                <w:sz w:val="24"/>
              </w:rPr>
              <w:t>Používanie lock-up obdobia je bežnou praxou pri alternatívnych investičných stratégiách a je v súlade s princípmi riadenia rizika, ktoré odporúčajú regulátori.</w:t>
              <w:br/>
            </w:r>
            <w:r>
              <w:rPr>
                <w:b w:val="off"/>
                <w:color w:val="000000"/>
                <w:rFonts w:ascii="Times New Roman" w:hAnsi="Times New Roman" w:cs="Times New Roman" w:eastAsia="Times New Roman"/>
                <w:sz w:val="24"/>
              </w:rPr>
              <w:t>7.	Optimalizácia výnosového potenciálu</w:t>
              <w:br/>
            </w:r>
            <w:r>
              <w:rPr>
                <w:b w:val="off"/>
                <w:color w:val="000000"/>
                <w:rFonts w:ascii="Times New Roman" w:hAnsi="Times New Roman" w:cs="Times New Roman" w:eastAsia="Times New Roman"/>
                <w:sz w:val="24"/>
              </w:rPr>
              <w:t>Správca nemusí držať vysoké hotovostné rezervy na krytie možných odkupov, čo umožňuje efektívnejšie investovanie a využitie kapitálu. Investor zároveň získava prístup k tzv. „illiquidity premium“ – vyšším očakávaným výnosom za obmedzenú likviditu.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upravené podľa návrhu z Národnej banky Slovenska.</w:t>
              <w:br/>
            </w:r>
            <w:r>
              <w:rPr>
                <w:b w:val="off"/>
                <w:color w:val="000000"/>
                <w:rFonts w:ascii="Times New Roman" w:hAnsi="Times New Roman" w:cs="Times New Roman" w:eastAsia="Times New Roman"/>
                <w:sz w:val="24"/>
              </w:rPr>
              <w:t>§ 13 ods. 11 sa na konci dopĺňa: "; to neplatí, ak správcovská spoločnosť určí v štatúte špeciálneho fondu kvalifikovaných investorov:</w:t>
              <w:br/>
            </w:r>
            <w:r>
              <w:rPr>
                <w:b w:val="off"/>
                <w:color w:val="000000"/>
                <w:rFonts w:ascii="Times New Roman" w:hAnsi="Times New Roman" w:cs="Times New Roman" w:eastAsia="Times New Roman"/>
                <w:sz w:val="24"/>
              </w:rPr>
              <w:t>a)	prvý rozhodujúci deň pre určenie aktuálnej hodnoty podielu, za ktorý bude vyplácať podielový list podielnikom, na deň, ktorý nenastane neskôr ako 7 rokov od začatia vydávania podielových listov tohto fondu, alebo</w:t>
              <w:br/>
            </w:r>
            <w:r>
              <w:rPr>
                <w:b w:val="off"/>
                <w:color w:val="000000"/>
                <w:rFonts w:ascii="Times New Roman" w:hAnsi="Times New Roman" w:cs="Times New Roman" w:eastAsia="Times New Roman"/>
                <w:sz w:val="24"/>
              </w:rPr>
              <w:t xml:space="preserve">b)	minimálne obdobie držby podielového listu špeciálneho fondu kvalifikovaných investorov, po uplynutí ktorého správcovská spoločnosť určí najskorší možný rozhodujúci deň pre vyplatenie podielového listu príslušnému podielnikovi.“.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SASS</w:t>
              <w:br/>
            </w:r>
            <w:r>
              <w:rPr>
                <w:b w:val="off"/>
                <w:color w:val="000000"/>
                <w:rFonts w:ascii="Times New Roman" w:hAnsi="Times New Roman" w:cs="Times New Roman" w:eastAsia="Times New Roman"/>
                <w:sz w:val="24"/>
              </w:rPr>
              <w:t>Slovenská asosciácia správcovských spoločností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31b ods. 3 pism. a)</w:t>
              <w:br/>
            </w:r>
            <w:r>
              <w:rPr>
                <w:b w:val="off"/>
                <w:color w:val="000000"/>
                <w:rFonts w:ascii="Times New Roman" w:hAnsi="Times New Roman" w:cs="Times New Roman" w:eastAsia="Times New Roman"/>
                <w:sz w:val="24"/>
              </w:rPr>
              <w:t>Navrhujeme slovné spojenie „správca rizikového kapitálu“ zmeniť na pojem „registrovaný správca“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názov správcu nemá byť automaticky naviazaný na kapitál, ktorý takýto správca spravuje, nakoľko investície, ktoré spravuje nemusia byť nevyhnutne nadpriemerne rizikové. Na druhej strane rozumieme snahe odlíšiť takého správcu od správcovskej spoločnosti s riadnym povolením NBS na výkon svojej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to riešené pojmom "správca podlimitných rizikových fondov", s ktorým súhlasila Slovenská asociácia správcovských spoločností aj Národná banka Slovenska.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SASS</w:t>
              <w:br/>
            </w:r>
            <w:r>
              <w:rPr>
                <w:b w:val="off"/>
                <w:color w:val="000000"/>
                <w:rFonts w:ascii="Times New Roman" w:hAnsi="Times New Roman" w:cs="Times New Roman" w:eastAsia="Times New Roman"/>
                <w:sz w:val="24"/>
              </w:rPr>
              <w:t>Slovenská asosciácia správcovských spoločností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92 ods. 3</w:t>
              <w:br/>
            </w:r>
            <w:r>
              <w:rPr>
                <w:b w:val="off"/>
                <w:color w:val="000000"/>
                <w:rFonts w:ascii="Times New Roman" w:hAnsi="Times New Roman" w:cs="Times New Roman" w:eastAsia="Times New Roman"/>
                <w:sz w:val="24"/>
              </w:rPr>
              <w:t>Navrhujeme nové znenie § 92 ods. 3 v nasledovnom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Okrem  poplatku za likviditu definovanom v ustanovení § 13 ods. 12 a  nástrojov na riadenie likvidity definovaných v ustanovení § 14a správcovská spoločnosť pri investovaní majetku v štandardnom fonde do cenných papierov a podielových listov podľa § 88 ods. 1 písm. e) nesmie platiť z majetku v štandardnom fonde, ktorý spravuje, žiadne poplatky ani náklady spojené s vydaním alebo vyplatením podielových listov iných podielových fondov alebo cenných papierov zahraničných subjektov kolektívneho investovania,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ktoré spravuje alebo pre ktoré vykonáva činnosti alebo funkcie zverené podľa § 57,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ktoré spravuje alebo pre ktoré vykonáva činnosti alebo funkcie zverené podľa § 57 iná správcovská spoločnosť alebo zahraničná správcovská spoločnosť, s ktorou táto správcovská spoločnosť tvorí skupinu s úzkymi väzbami.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Máme za to, že medzi „poplatky ani náklady spojené s vydaním alebo vyplatením podielových listov“  by sa nemali zarátavať poplatky spĺňajúce definíciu podľa ustanovenia § 13 ods. 12 – „poplatok za likviditu“ alebo poplatky spadajúce pod novo navrhovaný § 14a (nástroje na riadenie likvidity).</w:t>
              <w:br/>
            </w:r>
            <w:r>
              <w:rPr>
                <w:b w:val="off"/>
                <w:color w:val="000000"/>
                <w:rFonts w:ascii="Times New Roman" w:hAnsi="Times New Roman" w:cs="Times New Roman" w:eastAsia="Times New Roman"/>
                <w:sz w:val="24"/>
              </w:rPr>
              <w:t>Navrhujeme zachytiť túto informáciu priamo v texte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SASS</w:t>
              <w:br/>
            </w:r>
            <w:r>
              <w:rPr>
                <w:b w:val="off"/>
                <w:color w:val="000000"/>
                <w:rFonts w:ascii="Times New Roman" w:hAnsi="Times New Roman" w:cs="Times New Roman" w:eastAsia="Times New Roman"/>
                <w:sz w:val="24"/>
              </w:rPr>
              <w:t>Slovenská asosciácia správcovských spoločností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220i</w:t>
              <w:br/>
            </w:r>
            <w:r>
              <w:rPr>
                <w:b w:val="off"/>
                <w:color w:val="000000"/>
                <w:rFonts w:ascii="Times New Roman" w:hAnsi="Times New Roman" w:cs="Times New Roman" w:eastAsia="Times New Roman"/>
                <w:sz w:val="24"/>
              </w:rPr>
              <w:t>Za § 220i sa vkladá § 220j, ktorý vrátane nadpisu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220 j</w:t>
              <w:br/>
            </w:r>
            <w:r>
              <w:rPr>
                <w:b w:val="off"/>
                <w:color w:val="000000"/>
                <w:rFonts w:ascii="Times New Roman" w:hAnsi="Times New Roman" w:cs="Times New Roman" w:eastAsia="Times New Roman"/>
                <w:sz w:val="24"/>
              </w:rPr>
              <w:t>Prechodné ustanovenia k úpravám účinným od 16. apríla 2026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Správcovská spoločnosť alebo zahraničná správcovská spoločnosť, ktorá spravuje štandardný fond vytvorený pred účinnosťou tohto zákona alebo správcovská spoločnosť s povolením podľa § 28a, ktorá spravuje otvorený alternatívny investičný fond vytvorený pred účinnosťou tohto zákona, je povinná zosúladiť svoju činnosť a štatút alebo zakladajúce dokumenty týchto fondov s ustanoveniami tohto zákona upravujúcimi nástroje na riadenie likvidity do 16. apríla 2027.“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 návrhu zákona žiadame uviesť dlhšiu lehotu na implementáciu nástrojov na riadenie likvidity, nakoľko správcovské spoločnosti majú potrebu dlhšieho časového obdobie na ich aplikáciu. Uvedená aplikácia vyžaduje technické zásahy do existujúcich systémov. Takýto odklad je podporený aj Delegovaným nariadením (EÚ) z 17. 11. 2025, ktorým sa dopĺňa smernica Európskeho parlamentu a Rady 2011/61/EÚ, pokiaľ ide o regulačné technické predpisy, ktorými sa bližšie určujú vlastnosti nástrojov na riadenie likvidity (C(2025) 7643 final) ako aj Delegovaným nariadením (EÚ) z 17. 11. 2025, ktorým sa dopĺňa smernica Európskeho parlamentu a Rady 2009/65/ES, pokiaľ ide o regulačné technické predpisy, ktorými sa bližšie určujú vlastnosti nástrojov na riadenie likvidity (C(2025) 7642 final), kde je uvedená možnosť predĺžiť implementáciu nástrojov na riadenie likvidity do 16.04.2027 pre existujúce fondy (článok 10) z dôvodov zabezpečenia právnej istoty, zmeny dokumentov fondov, aktualizácie existujúcich procesov, technickej infraštruktúry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"pred účinnosťou tohto zákona" sa nahradili slovami "pred 1. aprílom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87 (77o,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38 (38o,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SASS</w:t>
            </w:r>
            <w:r>
              <w:rPr>
                <w:b w:val="off"/>
                <w:color w:val="000000"/>
                <w:rFonts w:ascii="Times New Roman" w:hAnsi="Times New Roman" w:cs="Times New Roman" w:eastAsia="Times New Roman"/>
                <w:sz w:val="24"/>
              </w:rPr>
              <w:t xml:space="preserve"> – Slovenská asosciácia správcovských spoločností</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155 (141o, 14z)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