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414/2012 Z. z. o obchodovaní s emisnými kvótami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LP/2025/709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69/9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69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36</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32</w:t>
      </w:r>
      <w:r w:rsidR="004A48F0">
        <w:rPr>
          <w:rFonts w:ascii="Times New Roman" w:eastAsia="Times New Roman" w:hAnsi="Times New Roman" w:cs="Times New Roman"/>
          <w:sz w:val="24"/>
          <w:szCs w:val="24"/>
        </w:rPr>
        <w:t>/9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novelizačnému bodu 4, ustanoveniu § 18 ods. 17</w:t>
              <w:br/>
            </w:r>
            <w:r>
              <w:rPr>
                <w:b w:val="off"/>
                <w:color w:val="000000"/>
                <w:rFonts w:ascii="Times New Roman" w:hAnsi="Times New Roman" w:cs="Times New Roman" w:eastAsia="Times New Roman"/>
                <w:sz w:val="24"/>
              </w:rPr>
              <w:t>Žiadame ustanovenie § 18 odsek 17 prepracovať a zároveň z návrhu vypustiť zriadenie novej príspevkovej organizácie zriadenej MŽP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čase pokračujúcej niekoľkonásobnej konsolidácie nie je žiadúce vytvárať nové subjekty s finančnými potrebami. Okrem novej organizácie hovoríme o nákladoch na priestory kde bude sídliť organizácia, tento subjekt potrebuje zamestnancov čo predstavuje nové náklady na mzdy, budú potrebovať technické zabezpečenie ako napr. PC, a samozrejme vzniknú aj ďalšie náklady, ich komplexné vyčíslenie v návrhu absentuje. Nie, Slovensko nepotrebuje novú príspevkovú organizáciu.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sa považuje za odstránený z dôvodu bezpredmetnosti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názvu zákona – O:</w:t>
              <w:br/>
            </w:r>
            <w:r>
              <w:rPr>
                <w:b w:val="off"/>
                <w:color w:val="000000"/>
                <w:rFonts w:ascii="Times New Roman" w:hAnsi="Times New Roman" w:cs="Times New Roman" w:eastAsia="Times New Roman"/>
                <w:sz w:val="24"/>
              </w:rPr>
              <w:t>V názve zákona odporúčame vypustiť slová „a ktorým sa menia a dopĺňajú niektoré zákony“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3 (úvodná veta) – O:</w:t>
              <w:br/>
            </w:r>
            <w:r>
              <w:rPr>
                <w:b w:val="off"/>
                <w:color w:val="000000"/>
                <w:rFonts w:ascii="Times New Roman" w:hAnsi="Times New Roman" w:cs="Times New Roman" w:eastAsia="Times New Roman"/>
                <w:sz w:val="24"/>
              </w:rPr>
              <w:t xml:space="preserve">Úvodnú vetu odporúčame v súlade s bodom 31. prílohy č. 1 k Legislatívnym pravidlám vlády Slovenskej republiky uviesť v znení: </w:t>
              <w:br/>
            </w:r>
            <w:r>
              <w:rPr>
                <w:b w:val="off"/>
                <w:color w:val="000000"/>
                <w:rFonts w:ascii="Times New Roman" w:hAnsi="Times New Roman" w:cs="Times New Roman" w:eastAsia="Times New Roman"/>
                <w:sz w:val="24"/>
              </w:rPr>
              <w:t>„3. § 13 sa dopĺňa odsekmi 3 až 5, ktoré znejú:“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uzneseniu</w:t>
              <w:br/>
            </w:r>
            <w:r>
              <w:rPr>
                <w:b w:val="off"/>
                <w:color w:val="000000"/>
                <w:rFonts w:ascii="Times New Roman" w:hAnsi="Times New Roman" w:cs="Times New Roman" w:eastAsia="Times New Roman"/>
                <w:sz w:val="24"/>
              </w:rPr>
              <w:t>V časti Predkladateľ a v časti Vykonajú odporúčame vypustiť slová „Slovenskej republiky“.</w:t>
              <w:br/>
            </w:r>
            <w:r>
              <w:rPr>
                <w:b w:val="off"/>
                <w:color w:val="000000"/>
                <w:rFonts w:ascii="Times New Roman" w:hAnsi="Times New Roman" w:cs="Times New Roman" w:eastAsia="Times New Roman"/>
                <w:sz w:val="24"/>
              </w:rPr>
              <w:t xml:space="preserve">Bod B odporúčame upraviť takto : </w:t>
              <w:br/>
            </w:r>
            <w:r>
              <w:rPr>
                <w:b w:val="off"/>
                <w:color w:val="000000"/>
                <w:rFonts w:ascii="Times New Roman" w:hAnsi="Times New Roman" w:cs="Times New Roman" w:eastAsia="Times New Roman"/>
                <w:sz w:val="24"/>
              </w:rPr>
              <w:t xml:space="preserve">„B. poveruje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predsedu vlády </w:t>
              <w:br/>
            </w:r>
            <w:r>
              <w:rPr>
                <w:b w:val="off"/>
                <w:color w:val="000000"/>
                <w:rFonts w:ascii="Times New Roman" w:hAnsi="Times New Roman" w:cs="Times New Roman" w:eastAsia="Times New Roman"/>
                <w:sz w:val="24"/>
              </w:rPr>
              <w:t xml:space="preserve">B.1.	predložiť vládny návrh zákona predsedovi Národnej rady SR na ďalšie ústavné prerokovanie, </w:t>
              <w:br/>
            </w:r>
            <w:r>
              <w:rPr>
                <w:b w:val="off"/>
                <w:color w:val="000000"/>
                <w:rFonts w:ascii="Times New Roman" w:hAnsi="Times New Roman" w:cs="Times New Roman" w:eastAsia="Times New Roman"/>
                <w:sz w:val="24"/>
              </w:rPr>
              <w:t xml:space="preserve">podpredsedu vlády a ministra životného prostredia Slovenskej republiky </w:t>
              <w:br/>
            </w:r>
            <w:r>
              <w:rPr>
                <w:b w:val="off"/>
                <w:color w:val="000000"/>
                <w:rFonts w:ascii="Times New Roman" w:hAnsi="Times New Roman" w:cs="Times New Roman" w:eastAsia="Times New Roman"/>
                <w:sz w:val="24"/>
              </w:rPr>
              <w:t>B.2. 	uviesť a odôvodniť vládny návrh zákona v Národnej rade SR.“.</w:t>
              <w:br/>
            </w:r>
            <w:r>
              <w:rPr>
                <w:b w:val="off"/>
                <w:color w:val="000000"/>
                <w:rFonts w:ascii="Times New Roman" w:hAnsi="Times New Roman" w:cs="Times New Roman" w:eastAsia="Times New Roman"/>
                <w:sz w:val="24"/>
              </w:rPr>
              <w:t>V časti Na vedomie odporúčame slová „Slovenskej republiky“ nahradiť skratkou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nadpisu návrhu zákona</w:t>
              <w:br/>
            </w:r>
            <w:r>
              <w:rPr>
                <w:b w:val="off"/>
                <w:color w:val="000000"/>
                <w:rFonts w:ascii="Times New Roman" w:hAnsi="Times New Roman" w:cs="Times New Roman" w:eastAsia="Times New Roman"/>
                <w:sz w:val="24"/>
              </w:rPr>
              <w:t>Odporúčame vypustiť slová „a ktorým sa menia a dopĺňajú zákony“.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úvodnej vete návrhu zákona</w:t>
              <w:br/>
            </w:r>
            <w:r>
              <w:rPr>
                <w:b w:val="off"/>
                <w:color w:val="000000"/>
                <w:rFonts w:ascii="Times New Roman" w:hAnsi="Times New Roman" w:cs="Times New Roman" w:eastAsia="Times New Roman"/>
                <w:sz w:val="24"/>
              </w:rPr>
              <w:t>Odporúčame slová „a zákona č. .../2025 Z. z.“ vypustiť, o vládnom návrhu zákona o Environmentálnom fonde Slovenskej republiky a o zmene a doplnení niektorých zákonov – p. t. 1047 je prerušené rokovanie.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w:t>
              <w:br/>
            </w:r>
            <w:r>
              <w:rPr>
                <w:b w:val="off"/>
                <w:color w:val="000000"/>
                <w:rFonts w:ascii="Times New Roman" w:hAnsi="Times New Roman" w:cs="Times New Roman" w:eastAsia="Times New Roman"/>
                <w:sz w:val="24"/>
              </w:rPr>
              <w:t>Úvodnú vetu odporúčame upraviť takto: „§ 13 sa dopĺňa odsekmi 3 až 5, ktoré znejú:“.</w:t>
              <w:br/>
            </w:r>
            <w:r>
              <w:rPr>
                <w:b w:val="off"/>
                <w:color w:val="000000"/>
                <w:rFonts w:ascii="Times New Roman" w:hAnsi="Times New Roman" w:cs="Times New Roman" w:eastAsia="Times New Roman"/>
                <w:sz w:val="24"/>
              </w:rPr>
              <w:t>V § 13 ods. 5 je požitý pojem „prevádzkovateľ lietadla“ a pojem „letecký prevádzkovateľ“, opätovne poukazujeme na nesprávne slovenské znenie nariadenia (EÚ) č. 606/2010 a smernice 2003/87/ES v platnom znení, ktoré nezodpovedá anglickému zneniu týchto právnych aktov EÚ, čo spôsobuje nesúlad terminológie použitej v zákone č. 414/2012 Z. z.</w:t>
              <w:br/>
            </w:r>
            <w:r>
              <w:rPr>
                <w:b w:val="off"/>
                <w:color w:val="000000"/>
                <w:rFonts w:ascii="Times New Roman" w:hAnsi="Times New Roman" w:cs="Times New Roman" w:eastAsia="Times New Roman"/>
                <w:sz w:val="24"/>
              </w:rPr>
              <w:t>V § 13 ods. 5 navrhujeme  bodku na konci prvej vety nahradiť bodkočiarkou a slovo „Tým“ nahradiť slovom „tým“ a vypustiť slovo „ustanovenie“.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w:t>
              <w:br/>
            </w:r>
            <w:r>
              <w:rPr>
                <w:b w:val="off"/>
                <w:color w:val="000000"/>
                <w:rFonts w:ascii="Times New Roman" w:hAnsi="Times New Roman" w:cs="Times New Roman" w:eastAsia="Times New Roman"/>
                <w:sz w:val="24"/>
              </w:rPr>
              <w:t>V § 18 ods. 17 navrhujeme za slovo „účely“ vložiť slovo „podľa“.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sa považuje za odstránený z dôvodu bezpredmetnosti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V § 19 ods. 1 a 10 odporúčame vypustiť slová „tohto odseku“.</w:t>
              <w:br/>
            </w:r>
            <w:r>
              <w:rPr>
                <w:b w:val="off"/>
                <w:color w:val="000000"/>
                <w:rFonts w:ascii="Times New Roman" w:hAnsi="Times New Roman" w:cs="Times New Roman" w:eastAsia="Times New Roman"/>
                <w:sz w:val="24"/>
              </w:rPr>
              <w:t>V § 19 ods. 1, 2, 4, 5, 8 až 10 odporúčame medzi slová „ministerstvo“ a „príspevková organizácia“ vložiť spojku „a“ alebo „alebo“.</w:t>
              <w:br/>
            </w:r>
            <w:r>
              <w:rPr>
                <w:b w:val="off"/>
                <w:color w:val="000000"/>
                <w:rFonts w:ascii="Times New Roman" w:hAnsi="Times New Roman" w:cs="Times New Roman" w:eastAsia="Times New Roman"/>
                <w:sz w:val="24"/>
              </w:rPr>
              <w:t xml:space="preserve">Odporúčame priamo v zákone s cieľom transparentnosti uviesť podmienky, ktoré musí žiadateľ o poskytnutie dotácie splniť, náležitosti zmluvy a pod. Ak bude medzi podmienkami napríklad požiadavka, že voči prijímateľovi nie je vedené konkurzné konanie, nie je v likvidácii, nemá právoplatne uložený trest zákazu prijímať dotácie alebo subvencie, prijímať pomoc a podporu poskytovanú z fondov Európskej únie, účasti vo verejnom obstarávaní a pod., tak splnenie tejto podmienky je orgán štátnej správy povinný overiť využitím informačných systémov verejnej správy, resp. referenčných registrov, pričom prístup do týchto systémov či registrov je možný len na základe zákonných ustanovení. </w:t>
              <w:br/>
            </w:r>
            <w:r>
              <w:rPr>
                <w:b w:val="off"/>
                <w:color w:val="000000"/>
                <w:rFonts w:ascii="Times New Roman" w:hAnsi="Times New Roman" w:cs="Times New Roman" w:eastAsia="Times New Roman"/>
                <w:sz w:val="24"/>
              </w:rPr>
              <w:t>Podľa § 19 ods. 3 podmienky na poskytovanie dotácie sú ustanovené vo výzve na predloženie žiadostí na poskytnutie dotácie z prostriedkov Modernizačného fondu, avšak v odseku 4 sa uvádza, že žiadateľ predkladá žiadosť na základe verejnej výzvy. Odporúčame zjednotiť.</w:t>
              <w:br/>
            </w:r>
            <w:r>
              <w:rPr>
                <w:b w:val="off"/>
                <w:color w:val="000000"/>
                <w:rFonts w:ascii="Times New Roman" w:hAnsi="Times New Roman" w:cs="Times New Roman" w:eastAsia="Times New Roman"/>
                <w:sz w:val="24"/>
              </w:rPr>
              <w:t>V § 19 ods. 4 odporúčame slovo „organizácie“ nahradiť slovom „organizácii“.</w:t>
              <w:br/>
            </w:r>
            <w:r>
              <w:rPr>
                <w:b w:val="off"/>
                <w:color w:val="000000"/>
                <w:rFonts w:ascii="Times New Roman" w:hAnsi="Times New Roman" w:cs="Times New Roman" w:eastAsia="Times New Roman"/>
                <w:sz w:val="24"/>
              </w:rPr>
              <w:t>V § 19 ods. 6 odporúčame pred slovo „zmluve“ vložiť slovo „tejto“.</w:t>
              <w:br/>
            </w:r>
            <w:r>
              <w:rPr>
                <w:b w:val="off"/>
                <w:color w:val="000000"/>
                <w:rFonts w:ascii="Times New Roman" w:hAnsi="Times New Roman" w:cs="Times New Roman" w:eastAsia="Times New Roman"/>
                <w:sz w:val="24"/>
              </w:rPr>
              <w:t xml:space="preserve">V § 19 odporúčame vypustiť odsek 7 a toto ustanovenie zapracovať do § 30. </w:t>
              <w:br/>
            </w:r>
            <w:r>
              <w:rPr>
                <w:b w:val="off"/>
                <w:color w:val="000000"/>
                <w:rFonts w:ascii="Times New Roman" w:hAnsi="Times New Roman" w:cs="Times New Roman" w:eastAsia="Times New Roman"/>
                <w:sz w:val="24"/>
              </w:rPr>
              <w:t>V § 19 ods. 8 odporúčame na konci pripojiť slová „podľa odseku 5“.</w:t>
              <w:br/>
            </w:r>
            <w:r>
              <w:rPr>
                <w:b w:val="off"/>
                <w:color w:val="000000"/>
                <w:rFonts w:ascii="Times New Roman" w:hAnsi="Times New Roman" w:cs="Times New Roman" w:eastAsia="Times New Roman"/>
                <w:sz w:val="24"/>
              </w:rPr>
              <w:t>V § 19 ods. 9 písm. f) je uvedené, že medzi osobné údaje patria aj „údaje ekonomického charakteru, najmä údaje o príjmoch žiadateľa, prijímateľa a spoločne posudzovaných osôb“, nie je dôvod na spracovávanie takýchto informácií, pričom ani dôvodová správa neuvádza dôvod ich spracovávania.</w:t>
              <w:br/>
            </w:r>
            <w:r>
              <w:rPr>
                <w:b w:val="off"/>
                <w:color w:val="000000"/>
                <w:rFonts w:ascii="Times New Roman" w:hAnsi="Times New Roman" w:cs="Times New Roman" w:eastAsia="Times New Roman"/>
                <w:sz w:val="24"/>
              </w:rPr>
              <w:t>V poznámke pod čiarou k odkazu 17e odporúčame nariadenie  (EÚ) 2021/241 uviesť v úplnej citácii, upraviť podľa bodu 23.6. a 23.7. prílohy č. 1 k LPV SR a doplniť publikačné zdroje.</w:t>
              <w:br/>
            </w:r>
            <w:r>
              <w:rPr>
                <w:b w:val="off"/>
                <w:color w:val="000000"/>
                <w:rFonts w:ascii="Times New Roman" w:hAnsi="Times New Roman" w:cs="Times New Roman" w:eastAsia="Times New Roman"/>
                <w:sz w:val="24"/>
              </w:rPr>
              <w:t>Poznámku pod čiarou k odkazu 17g odporúčame upraviť takto:</w:t>
              <w:br/>
            </w:r>
            <w:r>
              <w:rPr>
                <w:b w:val="off"/>
                <w:color w:val="000000"/>
                <w:rFonts w:ascii="Times New Roman" w:hAnsi="Times New Roman" w:cs="Times New Roman" w:eastAsia="Times New Roman"/>
                <w:sz w:val="24"/>
              </w:rPr>
              <w:t>„17g) Napríklad zákon č. 357/2015 Z. z. o finančnej kontrole a audite a o zmene a doplnení niektorých zákonov v znení neskorších predpisov, nariadenie (EÚ) 2021/241 v platnom  znení, nariadenie (EÚ) 2016/679 v platnom znení.“.</w:t>
              <w:br/>
            </w:r>
            <w:r>
              <w:rPr>
                <w:b w:val="off"/>
                <w:color w:val="000000"/>
                <w:rFonts w:ascii="Times New Roman" w:hAnsi="Times New Roman" w:cs="Times New Roman" w:eastAsia="Times New Roman"/>
                <w:sz w:val="24"/>
              </w:rPr>
              <w:t>V poznámke pod čiarou k odkazu 17h odporúčame pri nariadení (EÚ) 2021/241 pripojiť slová „v platnom znení“ a pri zákone č. 187/2021 Z. z. o ochrane hospodárskej súťaže a o zmene a doplnení niektorých zákonov pripojiť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sa považuje za odstránený z dôvodu bezpredmetnosti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w:t>
              <w:br/>
            </w:r>
            <w:r>
              <w:rPr>
                <w:b w:val="off"/>
                <w:color w:val="000000"/>
                <w:rFonts w:ascii="Times New Roman" w:hAnsi="Times New Roman" w:cs="Times New Roman" w:eastAsia="Times New Roman"/>
                <w:sz w:val="24"/>
              </w:rPr>
              <w:t xml:space="preserve">V § 20 ods. 14 až 17 odporúčame slovo „stanovený“ vo všetkých tvaroch nahradiť slovom „ustanovený“  v príslušnom tvare, v odseku 14 slová „za predpokladu, že“ nahradiť slovom „ak“, slová „v zmysle“ nahradiť slovom „podľa“ a označiť poznámku pod čiarou s odkazom 12c podľa bodu 22.1. prílohy č. 1 k LPV SR číslovaním postupne. </w:t>
              <w:br/>
            </w:r>
            <w:r>
              <w:rPr>
                <w:b w:val="off"/>
                <w:color w:val="000000"/>
                <w:rFonts w:ascii="Times New Roman" w:hAnsi="Times New Roman" w:cs="Times New Roman" w:eastAsia="Times New Roman"/>
                <w:sz w:val="24"/>
              </w:rPr>
              <w:t>V poznámke pod čiarou odporúčame citovať publikačný zdroj rozhodnutia Komisie v súlade s bodom 62.10. prílohy č. 1 k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7</w:t>
              <w:br/>
            </w:r>
            <w:r>
              <w:rPr>
                <w:b w:val="off"/>
                <w:color w:val="000000"/>
                <w:rFonts w:ascii="Times New Roman" w:hAnsi="Times New Roman" w:cs="Times New Roman" w:eastAsia="Times New Roman"/>
                <w:sz w:val="24"/>
              </w:rPr>
              <w:t>V poznámke pod čiarou k odkazu 20a odporúčame citovať publikačný zdroj delegovaného nariadenia Komisie  v súlade s bodmi 62.10. a 62.11. prílohy č. 1 k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Vo všeobecnej časti odporúčame doplniť informáciu, či návrh zákona má byť predmetom vnútrokomunitárneho pripomienkového konania alebo či sa uskutočnilo v súlade s čl. 20 ods. 2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Odporúčame v bode 3 písm. b) bode 4 na konci pripojiť slová „v platnom znení“, bodoch 6 a 7 upraviť citáciu publikačného zdroja podľa bodu 62.10. prílohy č. 1 k LPV SR a v bode 7 vypustiť slová „v platnom znení“.</w:t>
              <w:br/>
            </w:r>
            <w:r>
              <w:rPr>
                <w:b w:val="off"/>
                <w:color w:val="000000"/>
                <w:rFonts w:ascii="Times New Roman" w:hAnsi="Times New Roman" w:cs="Times New Roman" w:eastAsia="Times New Roman"/>
                <w:sz w:val="24"/>
              </w:rPr>
              <w:t>V bode 4 písm. b) odporúčame pred slovami „(EÚ) 2023/958“ vypustiť slová „Európskeho parlamentu a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bodom 4 a 5 (§ 18 ods. 17 a § 19)</w:t>
              <w:br/>
            </w:r>
            <w:r>
              <w:rPr>
                <w:b w:val="off"/>
                <w:color w:val="000000"/>
                <w:rFonts w:ascii="Times New Roman" w:hAnsi="Times New Roman" w:cs="Times New Roman" w:eastAsia="Times New Roman"/>
                <w:sz w:val="24"/>
              </w:rPr>
              <w:t xml:space="preserve">Podľa § 19 ods. 1 návrhu „Ministerstvo životného prostredia SR, príspevková organizácia zriadená Ministerstvom životného prostredia SR“ sú oprávnené poskytovať prostriedky pridelené podľa § 18 ods. 17 vo forme dotácie ako nenávratného finančného prostriedku na účely uvedené v § 18 ods. 15.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19 ods. 1 je v rozpore s § 8a ods. 1 zákona č. 523/2004 Z. z. o rozpočtových pravidlách verejnej správy a o zmene a doplnení niektorých zákonov v znení neskorších predpisov (ďalej len „zákon č. 523/2004 Z. z.“), podľa ktorého z výdavkov štátneho rozpočtu možno v súlade so zákonom o štátnom rozpočte na príslušný rozpočtový rok poskytovať dotácie právnickým osobám a fyzickým osobám. Dotácie vo svojej vecnej pôsobnosti môže poskytovať správca kapitoly, orgán štátnej správy, ktorý je svojimi príjmami a výdavkami zapojený na rozpočet správcu kapitoly, alebo ak tak ustanovia osobitné zákony, iná rozpočtová organizácia (ďalej len „poskytovateľ dotácie“). Dotácie teda možno poskytovať len z výdavkov štátneho rozpočtu, nie z prostriedkov Modernizačného fondu, ktoré nie sú prostriedkami štátneho rozpočtu. Zároveň upozorňujeme, že príspevková organizácia nie je podľa zákona č. 523/2004 Z. z. subjektom oprávneným poskytovať dotácie. Príspevková organizácia môže byť správcom kapitoly poverená len vykonávaním administratívnych úloh, nemôže však byť poskytovateľom dotácie.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uvedené s predloženým návrhom zásadne nesúhlasíme. Znenie § 19 je potrebné upraviť tak, aby prostriedky z Modernizačného fondu boli poskytované na určený účel inou formou, nie formou dotácie. V nadväznosti na to je potrebné primerane upraviť aj podmienky poskytovania nenávratnej formy podpory z prostriedkov Modernizačného fondu a všetky ostatné súvisiace ustanovenia § 19. Zároveň musí byť jasné postavenie a kompetencie Ministerstva životného prostredia SR  a príslušnej príspevkovej organizácie tak, aby nedochádzalo k dvojkoľajnému poskytovaniu podpory, a to napríklad tak, že v pozícii poskytovateľa podpory bude Ministerstvo životného prostredia SR a príspevková organizácia bude vykonávať administráciu v rámci tejto podpory (napríklad vyhlasovanie výziev, spracovanie žiadostí alebo prípravu zmlúv).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úpravu § 19 bude potrebné primerane upraviť aj § 18 ods. 17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sa považuje za odstránený z dôvodu bezpredmetnosti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3 úvodnú vetu preformulovať takto: „§ 13 sa dopĺňa odsekmi 3 až 5, ktoré znejú:“, v § 13 ods. 5 prvej vete pred slovo „alebo“ vložiť čiarku a slová „predpisu.43b) Tým nie je dotknuté ustanovenie § 38a ods. 6“ nahradiť slovami „predpisu;43b) ustanovenie § 38a ods. 6 tým nie je dotknuté“, v bode 4 § 18 ods. 17 za slovo „účely“ vložiť slovo „podľa“, v bode 5 § 19 ods. 2 a ods. 5 prvej vete zvážiť potrebu slova „písomné“ vo všetkých tvaroch, v § 19 ods. 2 slová „fond, a to“ nahradiť slovom „fond“, v § 19 ods. 3 slovo „ustanovené“ nahradiť slovom „určené“, v § 19 ods. 4 vypustiť slovo „verejnej“ ako nadbytočné, v § 19 ods. 10 druhej vete vypustiť slová „tohto odseku“ ako nadbytočné, poznámku pod čiarou k odkazu 17e preformulovať takto: „17e) Napríklad nariadenie Európskeho parlamentu a Rady (EÚ) 2016/679 z 27. apríla 2016 o ochrane fyzických osôb pri spracúvaní osobných údajov a o voľnom pohybe takýchto údajov, ktorým sa zrušuje smernica 95/46/ES (všeobecné nariadenie o ochrane údajov) (Ú. v. EÚ L 119, 4. 5. 2016) v platnom znení, zákon č. 18/2018 Z. z. o ochrane osobných údajov a o zmene a doplnení niektorých zákonov v znení neskorších predpisov.“, poznámku pod čiarou k odkazu 17g preformulovať takto: „17g) Napríklad nariadenie (EÚ) 2016/679 v platnom znení, nariadenie Európskeho parlamentu a Rady (EÚ) 2021/241 z 12. februára 2021, ktorým sa zriaďuje Mechanizmus na podporu obnovy a odolnosti (Ú. v. EÚ L 57, 18.2.2021) v platnom znení, zákon č. 357/2015 Z. z. o finančnej kontrole a audite a o zmene a doplnení niektorých zákonov v znení neskorších predpisov.“, poznámku pod čiarou k odkazu 17h preformulovať takto: „17h) Napríklad nariadenie (EÚ) 2021/241 v platnom znení, zákon Národnej rady Slovenskej republiky č. 39/1993 Z. z. o Najvyššom kontrolnom úrade Slovenskej republiky v znení neskorších predpisov, zákon Národnej rady Slovenskej republiky č. 10/1996 Z. z. v znení neskorších predpisov, zákon č. 357/2015 Z. z. v znení neskorších predpisov, zákon č. 187/2021 Z. z. o ochrane hospodárskej súťaže a o zmene a doplnení niektorých zákonov v znení neskorších predpisov.“, v bode 6 § 20 ods. 14 slová „stanovených v“ nahradiť slovami „ako by mala podľa“ a slovo „stanovenej“ nahradiť slovom „určenej“, v § 20 ods. 15 až 17 slová „stanovené v“ nahradiť slovom „podľa“, v § 20 ods. 15 a 16 slovo „pokiaľ“ nahradiť slovom „ak“ a odkaz 12c nahradiť odkazom 19a vrátane príslušnej poznámky pod čiarou, v § 20 ods. 17 vypustiť slová „nachádzajúcim sa“ (2x) ako nadbytočné, v poznámke pod čiarou k odkazu 12c uviesť publikačný zdroj takto: „(Ú. v. EÚ L, 2023/2895, 22.12.2023)“, v bode 7   poznámke pod čiarou k odkazu 20a upraviť publikačný zdroj takto: „(Ú. v. EÚ L, 2024/2620, 22.4.2024)“ a na konci vypustiť slová „v platnom znení“).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Pripomienky akceptované s výnimkou pripomienok vzťahujúcich sa na novelizačné body č. 4 a 5, ktoré boli z návrhu zákona vypustené v celom rozsahu; z tohto dôvodu nie je možné pripomienky k novelizačným bodom č. 4 a 5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protredie</w:t>
              <w:br/>
            </w:r>
            <w:r>
              <w:rPr>
                <w:b w:val="off"/>
                <w:color w:val="000000"/>
                <w:rFonts w:ascii="Times New Roman" w:hAnsi="Times New Roman" w:cs="Times New Roman" w:eastAsia="Times New Roman"/>
                <w:sz w:val="24"/>
              </w:rPr>
              <w:t>Žiadame predkladateľa o vypracovanie Analýzy vplyvov na podnikateľské protredie.</w:t>
              <w:br/>
            </w:r>
            <w:r>
              <w:rPr>
                <w:b w:val="off"/>
                <w:color w:val="000000"/>
                <w:rFonts w:ascii="Times New Roman" w:hAnsi="Times New Roman" w:cs="Times New Roman" w:eastAsia="Times New Roman"/>
                <w:sz w:val="24"/>
              </w:rPr>
              <w:t>Odôvodnenie: Predkladateľ v bode 3 a 6 vlastného materiálu zavádza úpravy k vykazovanou emisných kvót týkajúce sa lodnej a leteckej dopravy. Nakoľko leteckí a lodní dopravcovia sú právnické osoby, je potrebné tento vplyv popísať v bode 3.4 kvalitatívnym spôsobom v Analýze vplyvov na podnikateľské protredie.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Zapracované nasledujúce zdôvodnenie  do doložky vplyvov do bodu 10:</w:t>
              <w:br/>
            </w:r>
            <w:r>
              <w:rPr>
                <w:b w:val="off"/>
                <w:color w:val="000000"/>
                <w:rFonts w:ascii="Times New Roman" w:hAnsi="Times New Roman" w:cs="Times New Roman" w:eastAsia="Times New Roman"/>
                <w:sz w:val="24"/>
              </w:rPr>
              <w:t>K leteckej doprave: Navrhovaná úprava v oblasti leteckej dopravy nepredstavuje novú reguláciu ani nové povinnosti pre podnikateľské subjekty. Ide výlučne o predĺženie existujúcich odchýlok pred povinným vykonávaním globálneho trhového opatrenia ICAO (CORSIA), a teda o zachovanie status quo. Z uvedeného dôvodu nedochádza k zmene podnikateľského prostredia ani k vzniku nových administratívnych, finančných alebo iných vplyvov na leteckých dopravcov ako právnické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námornej doprave: Navrhované ustanovenia nie sú vykonateľné z dôvodu, že Slovenská republika je vnútrozemský štát. Nie je možné, aby sa lodné spoločnosti uvedené v bode 6 plavili pod vlajkou Slovenskej republiky. Takéto situácie nemôžu nastať ani teoreticky, preto nemajú vplyv na podnikateľské prostredie. Uvedený bod je do návrhu zákona zahrnutý len z dôvodu formálnej transpozície smernice (EÚ) 2023/959 podľa požiadaviek Európskej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zaslaní vyhodnotenia pripomienky bol rozpor po vysvetlení odstránený. Pripomienkujúci subjekt s vyhodnotením súhlasil.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vplyvov</w:t>
              <w:br/>
            </w:r>
            <w:r>
              <w:rPr>
                <w:b w:val="off"/>
                <w:color w:val="000000"/>
                <w:rFonts w:ascii="Times New Roman" w:hAnsi="Times New Roman" w:cs="Times New Roman" w:eastAsia="Times New Roman"/>
                <w:sz w:val="24"/>
              </w:rPr>
              <w:t xml:space="preserve">Žiadame predkladateľa o vyznačenie plyvu na podnikateľské prostredie v bode 9. Vybrané vplyvy materiálu s označením, že mechanizmus znižovania byrokracie a nákladov sa neuplatňuje. </w:t>
              <w:br/>
            </w:r>
            <w:r>
              <w:rPr>
                <w:b w:val="off"/>
                <w:color w:val="000000"/>
                <w:rFonts w:ascii="Times New Roman" w:hAnsi="Times New Roman" w:cs="Times New Roman" w:eastAsia="Times New Roman"/>
                <w:sz w:val="24"/>
              </w:rPr>
              <w:t>Odôvodnenie: Dotknutými subjektami sú lodní a leteckí dopravcovia.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leteckej doprave: Navrhovaná úprava v oblasti leteckej dopravy nepredstavuje novú reguláciu ani nové povinnosti pre podnikateľské subjekty. Ide výlučne o predĺženie existujúcich odchýlok pred povinným vykonávaním globálneho trhového opatrenia ICAO (CORSIA), a teda o zachovanie status quo. Z uvedeného dôvodu nedochádza k zmene podnikateľského prostredia ani k vzniku nových administratívnych, finančných alebo iných vplyvov na leteckých dopravcov ako právnické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námornej doprave: Navrhované ustanovenia nie sú vykonateľné z dôvodu, že Slovenská republika je vnútrozemský štát. Nie je možné, aby sa lodné spoločnosti uvedené v bode 6 plavili pod vlajkou Slovenskej republiky. Takéto situácie nemôžu nastať ani teoreticky, preto nemajú vplyv na podnikateľské prostredie. Uvedený bod je do návrhu zákona zahrnutý len z dôvodu formálnej transpozície smernice (EÚ) 2023/959 podľa požiadaviek Európskej komisie.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zaslaní vyhodnotenia pripomienky bol rozpor po vysvetlení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procesu</w:t>
              <w:br/>
            </w:r>
            <w:r>
              <w:rPr>
                <w:b w:val="off"/>
                <w:color w:val="000000"/>
                <w:rFonts w:ascii="Times New Roman" w:hAnsi="Times New Roman" w:cs="Times New Roman" w:eastAsia="Times New Roman"/>
                <w:sz w:val="24"/>
              </w:rPr>
              <w:t>Odporúčame predkladateľovi materiál predložiť na záverečné posúdenie.</w:t>
              <w:br/>
            </w:r>
            <w:r>
              <w:rPr>
                <w:b w:val="off"/>
                <w:color w:val="000000"/>
                <w:rFonts w:ascii="Times New Roman" w:hAnsi="Times New Roman" w:cs="Times New Roman" w:eastAsia="Times New Roman"/>
                <w:sz w:val="24"/>
              </w:rPr>
              <w:t>Odôvodnenie: Požiadavka sa uplatňuje v zmysle Jednotnej metodiky na posudzovanie vybraných vplyvov v časti I. bod 9.1.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bodu 5, § 19.</w:t>
              <w:br/>
            </w:r>
            <w:r>
              <w:rPr>
                <w:b w:val="off"/>
                <w:color w:val="000000"/>
                <w:rFonts w:ascii="Times New Roman" w:hAnsi="Times New Roman" w:cs="Times New Roman" w:eastAsia="Times New Roman"/>
                <w:sz w:val="24"/>
              </w:rPr>
              <w:t>Odporúčame preformulovať (doprecizovať) znenie navrhovaného ustanovenia § 19 tak, aby bolo jasné, zrozumiteľné a v súlade s jazykovými, ako aj legislatívno-technickými pravidlami.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navrhované znenie ustanovenia § 19 na základe predkladanej novely nie je jasné, zrozumiteľné, ani v súlade s jazykovými či legislatívno-technickými pravidlami, keďže v časti opakujúcej sa naprieč celým ustanovením § 19 sa nesprávne uvádza vetná konštrukcia nasledovného znenia: „M(m)inisterstvo, príspevková organizácia“. V predmetnom spojení absentuje relevantná spojka, a teda nie je zrejmé, ako sa má predmetné ustanovenie nielen vykladať, ale aj aplikovať – v praxi je rozdiel, či v predmetnej vete bude uvedené napr. „ministerstvo a príspevková organizácia“, „ministerstvo alebo príspevková organizácia“, „ministerstvo, ako aj príspevková organizácia“ a podobne. Predmetná formulácia nespĺňa ani pravidlá slovenského jazyka z hľadiska vetnej konštrukcie, ani legislatívno-technické pravidlá. Uvedené je preto potrebné upraviť (doprecizovať) tak, aby boli odstránené nejasnosti a súčasne aby predmetné ustanovenia spĺňali pravidlá slovenského jazyka z hľadiska vetnej konštrukcie, ako aj legislatívno-technické pravidlá tvorby legislatívy.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bodu 5, § 19 ods. 8.</w:t>
              <w:br/>
            </w:r>
            <w:r>
              <w:rPr>
                <w:b w:val="off"/>
                <w:color w:val="000000"/>
                <w:rFonts w:ascii="Times New Roman" w:hAnsi="Times New Roman" w:cs="Times New Roman" w:eastAsia="Times New Roman"/>
                <w:sz w:val="24"/>
              </w:rPr>
              <w:t>Odporúčame upraviť predmetné ustanovenie tak, aby rešpektovalo právnu úpravu ochrany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rámci predmetného ustanovenia je nevyhnutné rešpektovať právnu úpravu ochrany osobných údajov. Uvedené znamená okrem iného aj to, že predkladateľ musí mať na uvedené (zverejnenie) popri podmienke právneho základu definovaný aj právny účel a rozsah údajov, v rámci ktorého má k zverejneniu osobných údajov dochádzať. Navrhované ustanovenie pritom uvedené nespĺňa.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bodu 5, § 19 ods. 9.</w:t>
              <w:br/>
            </w:r>
            <w:r>
              <w:rPr>
                <w:b w:val="off"/>
                <w:color w:val="000000"/>
                <w:rFonts w:ascii="Times New Roman" w:hAnsi="Times New Roman" w:cs="Times New Roman" w:eastAsia="Times New Roman"/>
                <w:sz w:val="24"/>
              </w:rPr>
              <w:t>Odporúčame upraviť predmetné ustanovenie tak, aby rešpektovalo právnu úpravu ochrany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rámci predmetného ustanovenia je nevyhnutné rešpektovať právnu úpravu ochrany osobných údajov, čo pri aktuálnom návrhu znenia dotknutého ustanovenia nie je splnené. Predkladateľ návrhu zákona totiž musí mať na spracúvanie osobných údajov popri podmienke právneho základu definovaný aj právny účel a rozsah údajov, v rámci ktorého má k spracúvaniu osobných údajov dochádzať a to tak, aby uvedené nebolo nejasné, definované príliš široko či vágne. Máme za to, že právny účel (cit. „na účely poskytnutia prostriedkov z Modernizačného fondu a plnenia ďalších úloh podľa tohto zákona“) je definovaný v predmetnom ustanovení vágne a príliš široko, čo je v rozpore s právnou úpravou ochrany osobných údajov. Uvedené platí aj na rozsah spracúvaných údajov – napr. pri písmene g) predmetného ustanovenia. Pri rozsahu údajov takisto nie je zrejmé, prečo práve vybrané osobné údaje majú byť predmetom spracúvania zo strany predkladateľa návrhu zákona a pravdepodobne aj ním zriadenej príspevkovej organizácie (najmä, ale nie výlučne, napr. písm. f) dotknutého ustanovenia). Takisto nie je zrejmé, na základe čoho bol v predmetnom ustanovení stanovený daný konkrétny výpočet dotknutých osôb (napr. na základe akého právneho rámca, ktorý by určoval, prečo práve tieto osoby majú byť dotknutými osobami), nakoľko sa tento javí vymedzený príliš široko.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bodu 5, § 19 ods. 10.</w:t>
              <w:br/>
            </w:r>
            <w:r>
              <w:rPr>
                <w:b w:val="off"/>
                <w:color w:val="000000"/>
                <w:rFonts w:ascii="Times New Roman" w:hAnsi="Times New Roman" w:cs="Times New Roman" w:eastAsia="Times New Roman"/>
                <w:sz w:val="24"/>
              </w:rPr>
              <w:t xml:space="preserve">Odporúčame upraviť predmetné ustanovenie tak, aby rešpektovalo právnu úpravu ochrany osobných údajov, ako aj právnu reguláciu na úseku informatizácie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súvislosti s predkladaným návrhom nie je zrejmé, prečo by mal predkladateľ návrhu zákona, resp. jeho príspevková organizácia vyžadovať osobné údaje (respektíve akékoľvek údaje) z informačných systémov iných právnických osôb. Na uvedené nemá predkladateľ oprávnenie ani kompetenciu a je v rozpore s demokratickým právnym poriadkom ako takým. Rovnako je nemysliteľné a v rozpore s právnym poriadkom Slovenskej republiky, aby povinnosť poskytnúť osobné údaje voči povinnej osobe mali – cit. „iné právnické osoby podľa prvej vety tohto odseku“. V tejto súvislosti máme za to, že je nevyhnutné, aby predkladateľ návrhu zákona rešpektoval okrem vyššie uvedeného aj právnu úpravu ochrany osobných údajov (opakujúc sa poukazujeme na príliš vágnu a širokú formuláciu – cit. „na účely a v rozsahu potrebnom na plnenie svojich úloh alebo povinností podľa tohto zákona alebo osobitných predpisov“, a to vrátane poznámky pod čiarou 17e), ktorá nedáva v kontexte formulácie ods. 10 zmysel, keďže predkladateľ v danej poznámke pod čiarou odkazuje na zákon č. 18/2018 Z. z. o ochrane osobných údajov a o zmene a doplnení niektorých zákonov a nariadenia GDPR) a tiež v neposlednom rade aj právnu reguláciu na úseku informatizácie verejnej správy, ktorá ustanovuje predkladateľovi návrhu zákona napríklad povinnosť dodržiavať okrem iného napr. aj zákon č. 177/2018 Z. z. o niektorých opatreniach na znižovanie administratívnej záťaže využívaním informačných systémov verejnej správy a o zmene a doplnení niektorých zákonov (zákon proti byrokracii), zákon č. 95/2019 Z. z. o informačných technológiách vo verejnej správe a o zmene a doplnení niektorých zákonov a zákon č 305/2013 Z. z. o elektronickej podobe výkonu pôsobnosti orgánov verejnej moci a o zmene a doplnení niektorých zákonov (zákon o e-Governmente), a teda okrem iného aj povinnosť dodržiavať princíp jedenkrát a dosť či ak relevantné, používať modul procesnej integrácie a integrácie údajov. Ani jedno z vyššie uvedeného nie je pritom pri aktuálnej formulácii ustanovenia § 19 ods. 10 predkladaného návrhu zákona dodržané.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Čl. I, bodu 5, § 19 ods. 11.</w:t>
              <w:br/>
            </w:r>
            <w:r>
              <w:rPr>
                <w:b w:val="off"/>
                <w:color w:val="000000"/>
                <w:rFonts w:ascii="Times New Roman" w:hAnsi="Times New Roman" w:cs="Times New Roman" w:eastAsia="Times New Roman"/>
                <w:sz w:val="24"/>
              </w:rPr>
              <w:t>Odporúčame upraviť predmetné ustanovenie tak, aby rešpektovalo právnu úpravu ochrany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zrejmé, na základe čoho bol v predmetnom ustanovení stanovený konkrétny výpočet dotknutých osôb (napr. na základe akého právneho rámca, ktorý by určoval, prečo práve tieto osoby majú byť dotknutými osobami), a teda v kontexte právnej regulácie GDPR je otázne, či je dodržaná zásada nevyhnutnosti a minimalizácie.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Úvodnú vetu bodu 3 odporúčame zosúladiť s bodom 31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w:t>
              <w:br/>
            </w:r>
            <w:r>
              <w:rPr>
                <w:b w:val="off"/>
                <w:color w:val="000000"/>
                <w:rFonts w:ascii="Times New Roman" w:hAnsi="Times New Roman" w:cs="Times New Roman" w:eastAsia="Times New Roman"/>
                <w:sz w:val="24"/>
              </w:rPr>
              <w:t>V bode 5 poznámkach pod čiarou k odkazom 17e a 17g odporúčame zoradiť citácie v súlade s bodom 23.7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6 a 7</w:t>
              <w:br/>
            </w:r>
            <w:r>
              <w:rPr>
                <w:b w:val="off"/>
                <w:color w:val="000000"/>
                <w:rFonts w:ascii="Times New Roman" w:hAnsi="Times New Roman" w:cs="Times New Roman" w:eastAsia="Times New Roman"/>
                <w:sz w:val="24"/>
              </w:rPr>
              <w:t>V bode 6 poznámke pod čiarou k odkazu 12c odporúčame doplniť publikačný zdroj citovanej smernice Európskej únie jej rokom prijatia a číslom v súlade s bodom 62.10 prílohy č. 1 k Legislatívnym pravidlám vlády Slovenskej republiky. Rovnakú úpravu odporúčame v bode 7 poznámke pod čiarou k odkazu 20a pri citovaní nariadenia Európskej únie. Zároveň odporúčame v bode 7 poznámke pod čiarou k odkazu 20a vypustiť slová „v platnom znení“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Odporúčame v Čl. I bode 3 úvodnú vetu novelizačného bodu nahradiť znením:</w:t>
              <w:br/>
            </w:r>
            <w:r>
              <w:rPr>
                <w:b w:val="off"/>
                <w:color w:val="000000"/>
                <w:rFonts w:ascii="Times New Roman" w:hAnsi="Times New Roman" w:cs="Times New Roman" w:eastAsia="Times New Roman"/>
                <w:sz w:val="24"/>
              </w:rPr>
              <w:t>„3. § 13 sa dopĺňa odsekmi 3 až 5, ktoré znejú:“.</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bode 5</w:t>
              <w:br/>
            </w:r>
            <w:r>
              <w:rPr>
                <w:b w:val="off"/>
                <w:color w:val="000000"/>
                <w:rFonts w:ascii="Times New Roman" w:hAnsi="Times New Roman" w:cs="Times New Roman" w:eastAsia="Times New Roman"/>
                <w:sz w:val="24"/>
              </w:rPr>
              <w:t xml:space="preserve">Odporúčame v Čl. I bode 5 navrhovanej poznámke pod čiarou k odkazu 17g za slová </w:t>
              <w:br/>
            </w:r>
            <w:r>
              <w:rPr>
                <w:b w:val="off"/>
                <w:color w:val="000000"/>
                <w:rFonts w:ascii="Times New Roman" w:hAnsi="Times New Roman" w:cs="Times New Roman" w:eastAsia="Times New Roman"/>
                <w:sz w:val="24"/>
              </w:rPr>
              <w:t>„č. 357/2015 Z. z.“ vložiť slová „o finančnej kontrole a audite a o zmene a doplnení niektorých zákonov“.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bode 5</w:t>
              <w:br/>
            </w:r>
            <w:r>
              <w:rPr>
                <w:b w:val="off"/>
                <w:color w:val="000000"/>
                <w:rFonts w:ascii="Times New Roman" w:hAnsi="Times New Roman" w:cs="Times New Roman" w:eastAsia="Times New Roman"/>
                <w:sz w:val="24"/>
              </w:rPr>
              <w:t xml:space="preserve">Odporúčame v Čl. I bode 5 navrhovanej poznámke pod čiarou k odkazu 17h za slová </w:t>
              <w:br/>
            </w:r>
            <w:r>
              <w:rPr>
                <w:b w:val="off"/>
                <w:color w:val="000000"/>
                <w:rFonts w:ascii="Times New Roman" w:hAnsi="Times New Roman" w:cs="Times New Roman" w:eastAsia="Times New Roman"/>
                <w:sz w:val="24"/>
              </w:rPr>
              <w:t>„č. 10/1996 Z. z.“ vložiť slová „o kontrole v štátnej správe“.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w:t>
              <w:br/>
            </w:r>
            <w:r>
              <w:rPr>
                <w:b w:val="off"/>
                <w:color w:val="000000"/>
                <w:rFonts w:ascii="Times New Roman" w:hAnsi="Times New Roman" w:cs="Times New Roman" w:eastAsia="Times New Roman"/>
                <w:sz w:val="24"/>
              </w:rPr>
              <w:t>Odporúčame v Čl. I bode 5 navrhovanej poznámke pod čiarou k odkazu 17h na konci pripojiť tieto slová: „v znení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k hodnoteniu vybraných vplyvov</w:t>
              <w:br/>
            </w:r>
            <w:r>
              <w:rPr>
                <w:b w:val="off"/>
                <w:color w:val="000000"/>
                <w:rFonts w:ascii="Times New Roman" w:hAnsi="Times New Roman" w:cs="Times New Roman" w:eastAsia="Times New Roman"/>
                <w:sz w:val="24"/>
              </w:rPr>
              <w:t xml:space="preserve">Odporúčame v doložke vybraných vplyvov bode 9. Vybrané vplyvy materiálu prehodnotiť sociálne vplyvy. Ak predkladateľ označil žiadne sociálne vplyvy preto, že ich pokladá </w:t>
              <w:br/>
            </w:r>
            <w:r>
              <w:rPr>
                <w:b w:val="off"/>
                <w:color w:val="000000"/>
                <w:rFonts w:ascii="Times New Roman" w:hAnsi="Times New Roman" w:cs="Times New Roman" w:eastAsia="Times New Roman"/>
                <w:sz w:val="24"/>
              </w:rPr>
              <w:t xml:space="preserve">za marginálne, je potrebné v doložke vybraných vplyvov bode 10. Poznámky uviesť, prečo </w:t>
              <w:br/>
            </w:r>
            <w:r>
              <w:rPr>
                <w:b w:val="off"/>
                <w:color w:val="000000"/>
                <w:rFonts w:ascii="Times New Roman" w:hAnsi="Times New Roman" w:cs="Times New Roman" w:eastAsia="Times New Roman"/>
                <w:sz w:val="24"/>
              </w:rPr>
              <w:t>sú zanedbateľné.</w:t>
              <w:br/>
            </w:r>
            <w:r>
              <w:rPr>
                <w:b w:val="off"/>
                <w:color w:val="000000"/>
                <w:rFonts w:ascii="Times New Roman" w:hAnsi="Times New Roman" w:cs="Times New Roman" w:eastAsia="Times New Roman"/>
                <w:sz w:val="24"/>
              </w:rPr>
              <w:t xml:space="preserve">Odôvodnenie: Návrh zákona predpokladá, že Ministerstvo životného prostredia Slovenskej republiky prostredníctvom dotácie z programu Obnov dom Mini podporí minimálne 16 940 domácností z nízkopríjmových skupín a skupín ohrozených energetickou chudobou, </w:t>
              <w:br/>
            </w:r>
            <w:r>
              <w:rPr>
                <w:b w:val="off"/>
                <w:color w:val="000000"/>
                <w:rFonts w:ascii="Times New Roman" w:hAnsi="Times New Roman" w:cs="Times New Roman" w:eastAsia="Times New Roman"/>
                <w:sz w:val="24"/>
              </w:rPr>
              <w:t>pričom čiastková obnova rodinných domov (napr. zateplenie, výmena okien, modernizácia vykurovania) vedie k zníženiu spotreby energie z fosílnych palív. Okrem pozitívnych vplyvov na životné prostredie by zníženie spotreby energie z fosílnych palív mohlo mať aj pozitívne sociálne vplyvy, najmä na hospodárenie domácností.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názvu</w:t>
              <w:br/>
            </w:r>
            <w:r>
              <w:rPr>
                <w:b w:val="off"/>
                <w:color w:val="000000"/>
                <w:rFonts w:ascii="Times New Roman" w:hAnsi="Times New Roman" w:cs="Times New Roman" w:eastAsia="Times New Roman"/>
                <w:sz w:val="24"/>
              </w:rPr>
              <w:t>K názvu: V názve návrhu právneho predpisu vo vlastnom materiáli treba vypustiť slová „a ktorým sa menia a dopĺňajú niektoré zákony“.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obsahuje len čl. I, ktorým sa mení a dopĺňa zákon č. 414/2012 Z. z. o obchodovaní s emisnými kvótami a o zmene a doplnení niektorých zákonov v znení neskorších predpisov a čl. II, ktorý upravuje účinnosť. Neobsahuje žiadne zmeny a doplnenia iných všeobecne záväzných právnych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 xml:space="preserve">K čl. I bodu 5: Navrhujme v samostatnom ustanovení, napríklad v novom odseku v § 29, upraviť účel a rozsah zverejňovania spracúvaných osobných údajov dotknutých osôb podľa § 19 ods.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13 ods. 2 zákona č. 18/2018 Z. z. o ochrane osobných údajov a o zmene a doplnení niektorých zákonov v znení neskorších predpisov spracúvané osobné údaje na základe osobitného zákona možno z informačného systému poskytnúť, preniesť alebo zverejniť len vtedy, ak osobitný zákon ustanovuje účel poskytovania alebo účel zverejňovania, zoznam spracúvaných osobných údajov alebo rozsah spracúvaných osobných údajov, ktoré možno poskytnúť alebo zverejniť.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 zákona</w:t>
              <w:br/>
            </w:r>
            <w:r>
              <w:rPr>
                <w:b w:val="off"/>
                <w:color w:val="000000"/>
                <w:rFonts w:ascii="Times New Roman" w:hAnsi="Times New Roman" w:cs="Times New Roman" w:eastAsia="Times New Roman"/>
                <w:sz w:val="24"/>
              </w:rPr>
              <w:t xml:space="preserve">V názve zákona odporúčame slová „a ktorým sa menia a dopĺňajú niektoré zákony“ </w:t>
              <w:br/>
            </w:r>
            <w:r>
              <w:rPr>
                <w:b w:val="off"/>
                <w:color w:val="000000"/>
                <w:rFonts w:ascii="Times New Roman" w:hAnsi="Times New Roman" w:cs="Times New Roman" w:eastAsia="Times New Roman"/>
                <w:sz w:val="24"/>
              </w:rPr>
              <w:t xml:space="preserve">vypustiť ako nadbytočné, nakoľko týmto návrhom sa mení a dopĺňa len zákon č 414/2012 </w:t>
              <w:br/>
            </w:r>
            <w:r>
              <w:rPr>
                <w:b w:val="off"/>
                <w:color w:val="000000"/>
                <w:rFonts w:ascii="Times New Roman" w:hAnsi="Times New Roman" w:cs="Times New Roman" w:eastAsia="Times New Roman"/>
                <w:sz w:val="24"/>
              </w:rPr>
              <w:t>Z. z..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3</w:t>
              <w:br/>
            </w:r>
            <w:r>
              <w:rPr>
                <w:b w:val="off"/>
                <w:color w:val="000000"/>
                <w:rFonts w:ascii="Times New Roman" w:hAnsi="Times New Roman" w:cs="Times New Roman" w:eastAsia="Times New Roman"/>
                <w:sz w:val="24"/>
              </w:rPr>
              <w:t xml:space="preserve">V bode 3. odporúčame  úvodnú vetu takto: „§ 13 sa dopĺňa odsekmi 3 až 5, ktoré znejú:“  </w:t>
              <w:br/>
            </w:r>
            <w:r>
              <w:rPr>
                <w:b w:val="off"/>
                <w:color w:val="000000"/>
                <w:rFonts w:ascii="Times New Roman" w:hAnsi="Times New Roman" w:cs="Times New Roman" w:eastAsia="Times New Roman"/>
                <w:sz w:val="24"/>
              </w:rPr>
              <w:t>V súlade s bodom 31 prílohy č. 1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4</w:t>
              <w:br/>
            </w:r>
            <w:r>
              <w:rPr>
                <w:b w:val="off"/>
                <w:color w:val="000000"/>
                <w:rFonts w:ascii="Times New Roman" w:hAnsi="Times New Roman" w:cs="Times New Roman" w:eastAsia="Times New Roman"/>
                <w:sz w:val="24"/>
              </w:rPr>
              <w:t xml:space="preserve">V bode 4  odporúčame pred slovo „odseku“ doplniť slovo „podľa“. </w:t>
              <w:br/>
            </w:r>
            <w:r>
              <w:rPr>
                <w:b w:val="off"/>
                <w:color w:val="000000"/>
                <w:rFonts w:ascii="Times New Roman" w:hAnsi="Times New Roman" w:cs="Times New Roman" w:eastAsia="Times New Roman"/>
                <w:sz w:val="24"/>
              </w:rPr>
              <w:t>Odôvodnenie: Upresnenie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5</w:t>
              <w:br/>
            </w:r>
            <w:r>
              <w:rPr>
                <w:b w:val="off"/>
                <w:color w:val="000000"/>
                <w:rFonts w:ascii="Times New Roman" w:hAnsi="Times New Roman" w:cs="Times New Roman" w:eastAsia="Times New Roman"/>
                <w:sz w:val="24"/>
              </w:rPr>
              <w:t xml:space="preserve">K bodu 5 odporúčame predkladateľovi jednoznačne odlíšiť kompetenciu ministerstva </w:t>
              <w:br/>
            </w:r>
            <w:r>
              <w:rPr>
                <w:b w:val="off"/>
                <w:color w:val="000000"/>
                <w:rFonts w:ascii="Times New Roman" w:hAnsi="Times New Roman" w:cs="Times New Roman" w:eastAsia="Times New Roman"/>
                <w:sz w:val="24"/>
              </w:rPr>
              <w:t xml:space="preserve">a kompetenciu príspevkovej organizácie zriadenej ministerstvom Podľa predloženého </w:t>
              <w:br/>
            </w:r>
            <w:r>
              <w:rPr>
                <w:b w:val="off"/>
                <w:color w:val="000000"/>
                <w:rFonts w:ascii="Times New Roman" w:hAnsi="Times New Roman" w:cs="Times New Roman" w:eastAsia="Times New Roman"/>
                <w:sz w:val="24"/>
              </w:rPr>
              <w:t xml:space="preserve">návrhu sa javí, že dotácie bude poskytovať aj ministerstvo aj príspevková organizácia, </w:t>
              <w:br/>
            </w:r>
            <w:r>
              <w:rPr>
                <w:b w:val="off"/>
                <w:color w:val="000000"/>
                <w:rFonts w:ascii="Times New Roman" w:hAnsi="Times New Roman" w:cs="Times New Roman" w:eastAsia="Times New Roman"/>
                <w:sz w:val="24"/>
              </w:rPr>
              <w:t xml:space="preserve">pričom nie sú jednoznačne určené ich práva a povinnosti, ani ich vzájomný vzťah  pri </w:t>
              <w:br/>
            </w:r>
            <w:r>
              <w:rPr>
                <w:b w:val="off"/>
                <w:color w:val="000000"/>
                <w:rFonts w:ascii="Times New Roman" w:hAnsi="Times New Roman" w:cs="Times New Roman" w:eastAsia="Times New Roman"/>
                <w:sz w:val="24"/>
              </w:rPr>
              <w:t xml:space="preserve">poskytovaní dotácií. Uvádzanie spojenia  „ministerstvo, príspevková organizácia“ sa javí </w:t>
              <w:br/>
            </w:r>
            <w:r>
              <w:rPr>
                <w:b w:val="off"/>
                <w:color w:val="000000"/>
                <w:rFonts w:ascii="Times New Roman" w:hAnsi="Times New Roman" w:cs="Times New Roman" w:eastAsia="Times New Roman"/>
                <w:sz w:val="24"/>
              </w:rPr>
              <w:t xml:space="preserve">byť v ustanoveniach § 19 zmätočné, nakoľko nie je zrejmé, či ide o ministerstvo „a“/“aj“ </w:t>
              <w:br/>
            </w:r>
            <w:r>
              <w:rPr>
                <w:b w:val="off"/>
                <w:color w:val="000000"/>
                <w:rFonts w:ascii="Times New Roman" w:hAnsi="Times New Roman" w:cs="Times New Roman" w:eastAsia="Times New Roman"/>
                <w:sz w:val="24"/>
              </w:rPr>
              <w:t xml:space="preserve">príspevkovú organizáciu na jednej úrovni. Napríklad v odseku 4 nie je jednoznačne </w:t>
              <w:br/>
            </w:r>
            <w:r>
              <w:rPr>
                <w:b w:val="off"/>
                <w:color w:val="000000"/>
                <w:rFonts w:ascii="Times New Roman" w:hAnsi="Times New Roman" w:cs="Times New Roman" w:eastAsia="Times New Roman"/>
                <w:sz w:val="24"/>
              </w:rPr>
              <w:t xml:space="preserve">určené, kto uverejňuje výzvu (uvedené oba subjekty), komu žiadateľ predkladá žiadosť </w:t>
              <w:br/>
            </w:r>
            <w:r>
              <w:rPr>
                <w:b w:val="off"/>
                <w:color w:val="000000"/>
                <w:rFonts w:ascii="Times New Roman" w:hAnsi="Times New Roman" w:cs="Times New Roman" w:eastAsia="Times New Roman"/>
                <w:sz w:val="24"/>
              </w:rPr>
              <w:t xml:space="preserve">(uvedené oba subjekty), kto uzatvára zmluvu, kto zverejňuje dokumenty súvisiace </w:t>
              <w:br/>
            </w:r>
            <w:r>
              <w:rPr>
                <w:b w:val="off"/>
                <w:color w:val="000000"/>
                <w:rFonts w:ascii="Times New Roman" w:hAnsi="Times New Roman" w:cs="Times New Roman" w:eastAsia="Times New Roman"/>
                <w:sz w:val="24"/>
              </w:rPr>
              <w:t xml:space="preserve">s podaním žiadosti atď. V odsekoch 5 a 6 odporúčame definovať kto je „žiadateľom“, </w:t>
              <w:br/>
            </w:r>
            <w:r>
              <w:rPr>
                <w:b w:val="off"/>
                <w:color w:val="000000"/>
                <w:rFonts w:ascii="Times New Roman" w:hAnsi="Times New Roman" w:cs="Times New Roman" w:eastAsia="Times New Roman"/>
                <w:sz w:val="24"/>
              </w:rPr>
              <w:t xml:space="preserve">a kto je „prijímateľom“, keďže predkladateľ uvádza obidva pojmy, a to aj v nadväznosti </w:t>
              <w:br/>
            </w:r>
            <w:r>
              <w:rPr>
                <w:b w:val="off"/>
                <w:color w:val="000000"/>
                <w:rFonts w:ascii="Times New Roman" w:hAnsi="Times New Roman" w:cs="Times New Roman" w:eastAsia="Times New Roman"/>
                <w:sz w:val="24"/>
              </w:rPr>
              <w:t xml:space="preserve">k odseku 11. Takisto spracúvanie osobných údajov a uloženie povinnosti inej právnickej </w:t>
              <w:br/>
            </w:r>
            <w:r>
              <w:rPr>
                <w:b w:val="off"/>
                <w:color w:val="000000"/>
                <w:rFonts w:ascii="Times New Roman" w:hAnsi="Times New Roman" w:cs="Times New Roman" w:eastAsia="Times New Roman"/>
                <w:sz w:val="24"/>
              </w:rPr>
              <w:t xml:space="preserve">osobe poskytnúť osobné údaje  (odsek 10) je potrebné určiť jednoznačne.  </w:t>
              <w:br/>
            </w:r>
            <w:r>
              <w:rPr>
                <w:b w:val="off"/>
                <w:color w:val="000000"/>
                <w:rFonts w:ascii="Times New Roman" w:hAnsi="Times New Roman" w:cs="Times New Roman" w:eastAsia="Times New Roman"/>
                <w:sz w:val="24"/>
              </w:rPr>
              <w:t>Odôvodnenie: Upresnenie postavenia, práv a povinností  dotknutých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Poznámky</w:t>
              <w:br/>
            </w:r>
            <w:r>
              <w:rPr>
                <w:b w:val="off"/>
                <w:color w:val="000000"/>
                <w:rFonts w:ascii="Times New Roman" w:hAnsi="Times New Roman" w:cs="Times New Roman" w:eastAsia="Times New Roman"/>
                <w:sz w:val="24"/>
              </w:rPr>
              <w:t xml:space="preserve">Odporúčame predkladateľovi upraviť poznámky k odkazom,  napr. 17e), 17g), 17h). </w:t>
              <w:br/>
            </w:r>
            <w:r>
              <w:rPr>
                <w:b w:val="off"/>
                <w:color w:val="000000"/>
                <w:rFonts w:ascii="Times New Roman" w:hAnsi="Times New Roman" w:cs="Times New Roman" w:eastAsia="Times New Roman"/>
                <w:sz w:val="24"/>
              </w:rPr>
              <w:t xml:space="preserve">Odôvodnenie: Legislatívno-technická pripomienka v súlade s bodom 23.6. a 23.7. </w:t>
              <w:br/>
            </w:r>
            <w:r>
              <w:rPr>
                <w:b w:val="off"/>
                <w:color w:val="000000"/>
                <w:rFonts w:ascii="Times New Roman" w:hAnsi="Times New Roman" w:cs="Times New Roman" w:eastAsia="Times New Roman"/>
                <w:sz w:val="24"/>
              </w:rPr>
              <w:t>Legislatívnych pravidiel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w:t>
              <w:br/>
            </w:r>
            <w:r>
              <w:rPr>
                <w:b w:val="off"/>
                <w:color w:val="000000"/>
                <w:rFonts w:ascii="Times New Roman" w:hAnsi="Times New Roman" w:cs="Times New Roman" w:eastAsia="Times New Roman"/>
                <w:sz w:val="24"/>
              </w:rPr>
              <w:t>Navrhujeme dôkladnejšie špecifikovať spôsob prideľovania prostriedkov cez príspevkovú organizáciu.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legislatívna úprava umožňuje riadiť prostriedky z Modernizačného fondu na účel podľa § 18 ods. 15 cez samostatný účet ministerstva a Environmentálneho fondu. Máme za to, že zriaďovanie dodatočného subjektu – príspevkovej organizácie zriadenej ministerstvom – môže výrazne prispieť k zhoršeniu transparentnosti v riadení týchto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Predkladaný návrh pripúšťa možnosť poskytovania prostriedkov prostredníctvom príspevkovej organizácie na základe jej štatútu. Tento štatút v návrhu nie je nikde uvedený (napr. v prílohe).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pre zachovanie čo najväčšej transparentnosti, dôkladnejšie sa v zákone venovať popisu, ako bude s týmito prostriedkami nakladané.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1.	K čl. I, bodu 3 – v navrhovanom § 13 ods. 5 návrhu zákona žiadame text „medzi členskými štátmi Európskeho hospodárskeho priestoru“ nahradiť textom „medzi štátmi, ktoré sú zmluvnou stranou Dohody o Európskom hospodárskom priestore.“.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2.	K čl. I, bodu 5 – v celom navrhovanom § 19 žiadame upraviť navrhnutý text „Ministerstvo, príspevková organizácia“, a to doplnením príslušnej spojky, alebo inou gramatickou úpravou.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3.	K čl. I, bodu 5, k § 19 ods. 9  – žiadame upraviť poznámku pod čiarou k odkazu 17e) v súlade s bodom 23.7 Prílohy č. 1 Legislatívnych pravidiel vlády Slovenskej republiky tak, že jednotlivé citácie právnych predpisov sa uvedú v zostupnom poradí podľa stupňa právnej sily. K nariadeniu (EÚ) 2016/679 je potrebné doplniť publikačný zdroj.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4.	K čl. I, bodu 5, k § 19 ods. 9  – žiadame upraviť poznámku pod čiarou k odkazu 17g) v súlade s bodom 23.7 Prílohy č. 1 Legislatívnych pravidiel vlády Slovenskej republiky tak, že jednotlivé citácie právnych predpisov sa uvedú v zostupnom poradí podľa stupňa právnej sily.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5.	K čl. I, bodu 5, k § 19 ods. 11  – žiadame upraviť poznámku pod čiarou k odkazu 17h) v súlade s bodom 23.6 Prílohy č. 1 Legislatívnych pravidiel vlády Slovenskej republiky tak, že jednotlivé citácie právnych predpisov sa uvedú pod sebou ako samostatné vety v zostupnom poradí podľa stupňa právnej sily. Nariadenie (EÚ) 2021/241 žiadame citovať nasledovne „Nariadenie Európskeho parlamentu a Rady (EÚ) 2021/241 z 12. februára 2021, ktorým sa zriaďuje Mechanizmus na podporu obnovy a odolnosti (Ú. v. EÚ L 57, 18.2.2021)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6.	K čl. I, bodu 6, k § 20 ods. 15 – žiadame upraviť poznámku pod čiarou k odkazu 12c) tak, že publikačný zdroj k rozhodnutiu komisie (EÚ) 2023/2895 bude upravený nasledovne: „(Ú. v. EÚ L, 2023/2895, 22.12.2023)“.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7. K čl. I, bodu 7, k § 20 ods. 18  – žiadame upraviť poznámku pod čiarou k odkazu 20a) nasledovne: „20a)  Delegované nariadenie Komisie (EÚ) 2024/2620 z 30. júla 2024, ktorým sa dopĺňa smernica Európskeho parlamentu a Rady 2003/87/ES, pokiaľ ide o požiadavky na to, aby sa skleníkové plyny považovali za trvalo chemicky viazané v produkte (Ú. v. EÚ L, 2024/2620, 4.10.2024)“.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upraviť publikačný zdroj vykonávacieho rozhodnutia Komisie (EÚ) 2023/2895 nasledovne: „Ú. v. EÚ L, 2023/2895, 22.12.2023“.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upraviť publikačný zdroj  delegovaného nariadenia Komisie (EÚ) 2024/2620 nasledovne: „Ú. v. EÚ L, 2024/2620, 4.10.2024“ a vypustiť text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Do bodu 3 písm. b) doložky zlučiteľnosti žiadame doplniť  nariadenie Európskeho parlamentu a Rady (EÚ) 2016/679 z 27. apríla 2016 o ochrane fyzických osôb pri spracúvaní osobných údajov a o voľnom pohybe takýchto údajov, ktorým sa zrušuje smernica 95/46/ES  (Ú. v. EÚ L 119, 4.5.2016)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3 písm. b) doložky zlučiteľnosti žiadame za delegované nariadenie (EÚ) 2019/331 doplniť text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V bode 3 písm. b) doložky zlučiteľnosti žiadame v názve delegovaného nariadenia (EÚ) 2019/1122 opraviť dátum na „12.marca 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6.	V bode 4 písm. b) doložky zlučiteľnosti žiadame do zoznamu konaní o porušení zmlúv vedených podľa čl. 258 Zmluvy o fungovaní Európskej únie doplniť aj konanie registrované pod číslom INFR (2024)0205.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K smernici (EÚ) 2023/958 a smernici (EÚ) 2023/959 žiadame v doložke vybraných vplyvov doplniť publikačný zdroj.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1.	K smernici (EÚ) 2023/958 a smernici (EÚ) 2023/959 žiadame v predkladacej správe   doplniť publikačný zdroj.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2.	V zmysle čl. 19 ods. 1 písm. c) Legislatívnych pravidiel vlády Slovenskej republiky žiadame do predkladacej správy doplniť dôvod skráteného pripomienkového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všeobecnej časti</w:t>
              <w:br/>
            </w:r>
            <w:r>
              <w:rPr>
                <w:b w:val="off"/>
                <w:color w:val="000000"/>
                <w:rFonts w:ascii="Times New Roman" w:hAnsi="Times New Roman" w:cs="Times New Roman" w:eastAsia="Times New Roman"/>
                <w:sz w:val="24"/>
              </w:rPr>
              <w:t>1.	K smernici (EÚ) 2023/958 a smernici (EÚ) 2023/959 žiadame vo všeobecnej časti dôvodovej správy doplniť publikačný zdroj.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všeobecnej časti</w:t>
              <w:br/>
            </w:r>
            <w:r>
              <w:rPr>
                <w:b w:val="off"/>
                <w:color w:val="000000"/>
                <w:rFonts w:ascii="Times New Roman" w:hAnsi="Times New Roman" w:cs="Times New Roman" w:eastAsia="Times New Roman"/>
                <w:sz w:val="24"/>
              </w:rPr>
              <w:t>2.	V zmysle čl. 20 Legislatívnych pravidiel vlády Slovenskej republiky žiadame do všeobecnej časti dôvodovej správy doplniť informáciu, či návrh zákona má byť predmetom vnútrokomunitárneho pripomienkového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1.	V dôvodovej správe k bodu 2 žiadame za číslo zákona 414/2012 Z. z. doplniť slová „v znení neskorších predpisov“. Zároveň žiadame doplniť publikačný zdroj za citáciu nariadenia (EÚ) 2025/1253.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2.	V dôvodovej správe k bodu 3 žiadame v prvej vete vypustiť slová „Európskeho parlamentu a 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2023/959</w:t>
              <w:br/>
            </w:r>
            <w:r>
              <w:rPr>
                <w:b w:val="off"/>
                <w:color w:val="000000"/>
                <w:rFonts w:ascii="Times New Roman" w:hAnsi="Times New Roman" w:cs="Times New Roman" w:eastAsia="Times New Roman"/>
                <w:sz w:val="24"/>
              </w:rPr>
              <w:t>Pri preukazovaní transpozície čl. 1 ods. 21 písm. d) smernice (EÚ) 2023/959 žiadame v druhom stĺpci uviesť celý text čl. 1 ods. 21 písm. d) smernice (EÚ) 2023/959 vrátane úvodnej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2023/958</w:t>
              <w:br/>
            </w:r>
            <w:r>
              <w:rPr>
                <w:b w:val="off"/>
                <w:color w:val="000000"/>
                <w:rFonts w:ascii="Times New Roman" w:hAnsi="Times New Roman" w:cs="Times New Roman" w:eastAsia="Times New Roman"/>
                <w:sz w:val="24"/>
              </w:rPr>
              <w:t>1.	Tabuľku zhody so smernicou (EÚ) 2023/958 žiadame zosúladiť s Prílohou č. 3 Legislatívnych pravidiel vlády Slovenskej republiky a vypustiť prvý riadok záhlavia tabuľky.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2023/958</w:t>
              <w:br/>
            </w:r>
            <w:r>
              <w:rPr>
                <w:b w:val="off"/>
                <w:color w:val="000000"/>
                <w:rFonts w:ascii="Times New Roman" w:hAnsi="Times New Roman" w:cs="Times New Roman" w:eastAsia="Times New Roman"/>
                <w:sz w:val="24"/>
              </w:rPr>
              <w:t>2.	V záhlaví tabuľky žiadame upraviť publikačný zdroj nasledovne: „(Ú. v. EÚ L 130, 16.5.2023)“.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2023/958</w:t>
              <w:br/>
            </w:r>
            <w:r>
              <w:rPr>
                <w:b w:val="off"/>
                <w:color w:val="000000"/>
                <w:rFonts w:ascii="Times New Roman" w:hAnsi="Times New Roman" w:cs="Times New Roman" w:eastAsia="Times New Roman"/>
                <w:sz w:val="24"/>
              </w:rPr>
              <w:t>3.	Transpozíciu čl. 1 ods. 10 smernice (EÚ) 2023/958 do čl. I, § 13 ods. 3 návrhu zákona považujeme za nesprávnu, keďže § 20 ods. 10 a 11 zákona č. 414/2012 Z. z. v znení neskorších predpisov odkazuje na vykonávacie nariadenie Komisie (EÚ) 2024/622 z 22. februára 2024 o zozname štátov, ktoré sa považujú za štáty uplatňujúce systém CORSIA na účely smernice Európskeho parlamentu a Rady 2003/87/ES, pokiaľ ide o emisie v roku 2023 (Ú. v. L, 2024/622, 23. 2. 2024). Uvedené nariadenie obsahuje zoznam štátov, ktoré sa považujú za štáty uplatňujúce systém CORSIA na účely smernice 2003/87/ES, pokiaľ ide o emisie v roku 2023, a preto už nie je aktuálne. Zároveň žiadame preukázať transpozíciu čl. 1 ods. 10 smernice (EÚ) 2023/958 vo všetkých bodoch,  alebo transpozíciu vysvetliť v ôsmom stĺpci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2023/958</w:t>
              <w:br/>
            </w:r>
            <w:r>
              <w:rPr>
                <w:b w:val="off"/>
                <w:color w:val="000000"/>
                <w:rFonts w:ascii="Times New Roman" w:hAnsi="Times New Roman" w:cs="Times New Roman" w:eastAsia="Times New Roman"/>
                <w:sz w:val="24"/>
              </w:rPr>
              <w:t>4.	Ustanovenie čl. 28b smernice (EÚ) 2003/87/ES žiadame z tabuľky zhody so smernicou (EÚ) 2023/958 vypustiť, keďže transpozícia sa neuskutočňuje.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19 ods. 9 písm. g)</w:t>
              <w:br/>
            </w:r>
            <w:r>
              <w:rPr>
                <w:b w:val="off"/>
                <w:color w:val="000000"/>
                <w:rFonts w:ascii="Times New Roman" w:hAnsi="Times New Roman" w:cs="Times New Roman" w:eastAsia="Times New Roman"/>
                <w:sz w:val="24"/>
              </w:rPr>
              <w:t xml:space="preserve">Navrhujeme predmetné ustanovenie vypustiť alebo ho precizovať taxatívnym výpočtom konkrétnych kategórií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„ďalšie údaje v rozsahu potrebnom na plnenie úloh...“ je v rozpore so zásadou zákonnosti a zásadou transparentnosti podľa čl. 5 ods. 1 písm. a) Nariadenia Európskeho parlamentu a Rady (EÚ) 2016/679 (všeobecné nariadenie o ochrane údajov). Právny základ pre spracúvanie osobných údajov v zákone musí byť dostatočne určitý. Takto všeobecne formulované ustanovenie nespĺňa požiadavku na predvídateľnosť právnej úpravy a nevymedzuje jasné hranice zásahu do práva na ochranu osobných údajov v zmysle požiadaviek čl. 6 ods. 3 všeobecného nariadenia o ochrane údajov. Zároveň upozorňujeme, že hoci poznámka pod čiarou k odkazu 17g) odkazuje na Nariadenie Európskeho parlamentu a Rady (EÚ) 2016/679 (všeobecné nariadenie o ochrane údajov, toto nariadenie ustanovuje práva a povinnosti v oblasti ochrany osobných údajov, avšak nestanovuje, aké konkrétne osobné údaje majú byť predmetom spracúvania na účely tohto zákona. Z tohto dôvodu nie je možné odvodzovať rozsah údajov len odkazom na všeobecný predpis a predmetné ustanovenie navrhujeme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sa považuje za odstránený z dôvodu bezpredmetnosti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19 ods. 10</w:t>
              <w:br/>
            </w:r>
            <w:r>
              <w:rPr>
                <w:b w:val="off"/>
                <w:color w:val="000000"/>
                <w:rFonts w:ascii="Times New Roman" w:hAnsi="Times New Roman" w:cs="Times New Roman" w:eastAsia="Times New Roman"/>
                <w:sz w:val="24"/>
              </w:rPr>
              <w:t xml:space="preserve">V § 19 ods. 10 žiadame precizovať a zúžiť okruh subjektov, od ktorých sú ministerstvo a príspevková organizácia oprávnení vyžadovať osobné údaje. Súčasné slovné spojenie „z informačných systémov iných právnických osôb“ žiadame nahradiť konkrétnejším vymedzením. Zároveň navrhujeme v tomto odseku vypustiť odkaz na poznámku pod čiarou 17e).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oprávňuje ministerstvo získavať osobné údaje od akejkoľvek „inej právnickej osoby“, čo považujeme za neprimerane široké a neurčité oprávnenie bez jasných zákonných limitov. Takáto formulácia nespĺňa požiadavku na predvídateľnosť právnej úpravy a zásadu minimalizácie údajov. Je nevyhnutné, aby zákon jasne špecifikoval okruh alebo kategórie povinných subjektov, ktoré sú povinné poskytovať súčinnosť, pričom definícia tohto okruhu by mala zodpovedať striktnej nevyhnutnosti na dosiahnutie účelu dotačnej schémy. Odkaz na poznámku pod čiarou 17e) navrhujeme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sa považuje za odstránený z dôvodu bezpredmetnosti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19 ods. 11</w:t>
              <w:br/>
            </w:r>
            <w:r>
              <w:rPr>
                <w:b w:val="off"/>
                <w:color w:val="000000"/>
                <w:rFonts w:ascii="Times New Roman" w:hAnsi="Times New Roman" w:cs="Times New Roman" w:eastAsia="Times New Roman"/>
                <w:sz w:val="24"/>
              </w:rPr>
              <w:t xml:space="preserve">Navrhujeme preformulovať odsek 11 tak, aby žiadateľovi neukladal povinnosť „spracúvať“ osobné údaje v zmysle legislatívy na ochranu osobných údajov, ale len povinnosť „predložiť“ alebo „poskytnúť“ potrebné doklady obsahujúce tieto údaje ministerstvu.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kontexte § 19 je žiadateľom spravidla fyzická osoba (domácnosť), ktorá žiada o dotáciu na bývanie či obnovu. Ukladať zákonom bežnému občanovi explicitnú povinnosť „spracúvať osobné údaje“ dodávateľa vytvára právnu neistotu a mylný dojem, že tento občan sa stáva prevádzkovateľom v zmysle čl. 4 ods. 7 všeobecného nariadenia o ochrane údajov so všetkými z toho vyplývajúcimi administratívnymi povinnosťami. Žiadateľ v tomto vzťahu vystupuje len ako osoba predkladajúca doklady potrebné na preukázanie účelu dotácie, pričom účel spracúvania určuje ministerstvo.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sa považuje za odstránený z dôvodu bezpredmetnosti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 § 19</w:t>
              <w:br/>
            </w:r>
            <w:r>
              <w:rPr>
                <w:b w:val="off"/>
                <w:color w:val="000000"/>
                <w:rFonts w:ascii="Times New Roman" w:hAnsi="Times New Roman" w:cs="Times New Roman" w:eastAsia="Times New Roman"/>
                <w:sz w:val="24"/>
              </w:rPr>
              <w:t xml:space="preserve">Žiadame doplniť do § 19 ustanovenie upravujúce dobu uchovávania osobných údajov alebo odkaz na osobitný predpis, ktorý túto dobu stanovuje.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neobsahuje informáciu o tom, ako dlho budú osobné údaje žiadateľov a iných dotknutých osôb uchovávané. Podľa čl. 5 ods. 1 písm. e) všeobecného nariadenia o ochrane údajov (zásada obmedzenia uloženia) je nevyhnutné stanoviť lehotu uloženia osobných údajov tak, aby neboli uchovávané dlhšie, než je potrebné na účely, na ktoré sa spracúvajú. Absencia takejto lehoty v zákone spôsobuje nesúlad s nariadením.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sa považuje za odstránený z dôvodu bezpredmetnosti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 [§ 19 ods. 9 a 10]</w:t>
              <w:br/>
            </w:r>
            <w:r>
              <w:rPr>
                <w:b w:val="off"/>
                <w:color w:val="000000"/>
                <w:rFonts w:ascii="Times New Roman" w:hAnsi="Times New Roman" w:cs="Times New Roman" w:eastAsia="Times New Roman"/>
                <w:sz w:val="24"/>
              </w:rPr>
              <w:t xml:space="preserve">Žiadame </w:t>
              <w:br/>
            </w:r>
            <w:r>
              <w:rPr>
                <w:b w:val="off"/>
                <w:color w:val="000000"/>
                <w:rFonts w:ascii="Times New Roman" w:hAnsi="Times New Roman" w:cs="Times New Roman" w:eastAsia="Times New Roman"/>
                <w:sz w:val="24"/>
              </w:rPr>
              <w:t>1. v zákone uviesť, na aký konkrétny účel ustanovený zákonom alebo osobitným predpisom je potrebné spracúvanie údajov o konečných užívateľoch výhod, resp. jeho poskytovanie zo strany správcov príslušných registrov ministerstvu alebo poverenej organizácii – nie je napríklad zrejmé, voči ktorej osobe relevantnej z pohľadu novelizovaného zákona má fyzická osoba, o ktorej sa zisťujú údaje, postavenie konečného užívateľa výhod;</w:t>
              <w:br/>
            </w:r>
            <w:r>
              <w:rPr>
                <w:b w:val="off"/>
                <w:color w:val="000000"/>
                <w:rFonts w:ascii="Times New Roman" w:hAnsi="Times New Roman" w:cs="Times New Roman" w:eastAsia="Times New Roman"/>
                <w:sz w:val="24"/>
              </w:rPr>
              <w:t>2. upraviť príslušnú časť § 19 (odsek 9 alebo 10) s cieľom určiť jednoznačne, či je ministerstvo alebo poverená organizácia oprávnená získavať údaje o konečnom užívateľovi výhod použiteľné na právne účely (výkon úradnej činnosti) aj z iného zdroja ako je register právnických osôb, podnikateľov a orgánov verejnej moci;</w:t>
              <w:br/>
            </w:r>
            <w:r>
              <w:rPr>
                <w:b w:val="off"/>
                <w:color w:val="000000"/>
                <w:rFonts w:ascii="Times New Roman" w:hAnsi="Times New Roman" w:cs="Times New Roman" w:eastAsia="Times New Roman"/>
                <w:sz w:val="24"/>
              </w:rPr>
              <w:t>3. upraviť navrhované znenie § 19 ods. 9 s cieľom reflektovať skutočnosť, že údaje o konečnom užívateľovi výhod sa v registri právnických osôb, podnikateľov a orgánov verejnej moci (v module registra konečných užívateľovi výhod ako aj v obchodnom registri a registri mimovládnych neziskových organizácií) ako aj v registri partnerov verejného sektora vedú v zákonom striktne stanovenom rozsahu, čomu navrhované znenie § 19 ods. 9 nezodpovedá.</w:t>
              <w:br/>
            </w:r>
            <w:r>
              <w:rPr>
                <w:b w:val="off"/>
                <w:color w:val="000000"/>
                <w:rFonts w:ascii="Times New Roman" w:hAnsi="Times New Roman" w:cs="Times New Roman" w:eastAsia="Times New Roman"/>
                <w:sz w:val="24"/>
              </w:rPr>
              <w:t>Pokiaľ ide o poskytovanie údajov o konečnom užívateľovi výhod z registra právnických osôb, podnikateľov a orgánov verejnej moci, nie je potrebné v ďalšom predpise duplicitne uvádzať povinnosť Štatistického úradu tieto údaje poskytovať. Táto povinnosť mu vyplýva zo zákona č. 272/2015 Z. z. v znení neskorších predpisov. Zrejmý musí byť len účel spracúvania poskytnutých údajov a vzťah ku konkrétnej právnickej osobe.</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vzťahuje na novelizačný bod, ktorý bol z návrhu zákona vypustený v celom rozsahu; z tohto dôvodu nie je možné pripomienku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sa považuje za odstránený z dôvodu bezpredmetnosti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25 (25o,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69 (60o, 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10</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