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5CA57" w14:textId="77777777" w:rsidR="003D3C29" w:rsidRPr="003D3C29" w:rsidRDefault="003D3C29" w:rsidP="003D3C29">
      <w:pPr>
        <w:jc w:val="center"/>
        <w:rPr>
          <w:rFonts w:ascii="Times New Roman" w:hAnsi="Times New Roman" w:cs="Times New Roman"/>
          <w:b/>
          <w:bCs/>
        </w:rPr>
      </w:pPr>
      <w:r w:rsidRPr="003D3C29">
        <w:rPr>
          <w:rFonts w:ascii="Times New Roman" w:hAnsi="Times New Roman" w:cs="Times New Roman"/>
          <w:b/>
          <w:bCs/>
        </w:rPr>
        <w:t>Dôvodová správa</w:t>
      </w:r>
    </w:p>
    <w:p w14:paraId="72705879" w14:textId="77777777" w:rsidR="003D3C29" w:rsidRPr="003D3C29" w:rsidRDefault="003D3C29" w:rsidP="003D3C29">
      <w:pPr>
        <w:rPr>
          <w:rFonts w:ascii="Times New Roman" w:hAnsi="Times New Roman" w:cs="Times New Roman"/>
          <w:b/>
          <w:bCs/>
        </w:rPr>
      </w:pPr>
      <w:r w:rsidRPr="003D3C29">
        <w:rPr>
          <w:rFonts w:ascii="Times New Roman" w:hAnsi="Times New Roman" w:cs="Times New Roman"/>
          <w:b/>
          <w:bCs/>
        </w:rPr>
        <w:t>B. Osobitná časť</w:t>
      </w:r>
    </w:p>
    <w:p w14:paraId="5AFF173C" w14:textId="77777777" w:rsidR="003D3C29" w:rsidRPr="003D3C29" w:rsidRDefault="003D3C29" w:rsidP="003D3C29">
      <w:pPr>
        <w:rPr>
          <w:rFonts w:ascii="Times New Roman" w:hAnsi="Times New Roman" w:cs="Times New Roman"/>
          <w:b/>
          <w:bCs/>
        </w:rPr>
      </w:pPr>
      <w:r w:rsidRPr="003D3C29">
        <w:rPr>
          <w:rFonts w:ascii="Times New Roman" w:hAnsi="Times New Roman" w:cs="Times New Roman"/>
          <w:b/>
          <w:bCs/>
        </w:rPr>
        <w:t>K Čl. I</w:t>
      </w:r>
    </w:p>
    <w:p w14:paraId="072B4D9D" w14:textId="4E12A41E" w:rsidR="003D3C29" w:rsidRPr="003D3C29" w:rsidRDefault="003D3C29" w:rsidP="003D3C29">
      <w:pPr>
        <w:rPr>
          <w:rFonts w:ascii="Times New Roman" w:hAnsi="Times New Roman" w:cs="Times New Roman"/>
        </w:rPr>
      </w:pPr>
      <w:r w:rsidRPr="003D3C29">
        <w:rPr>
          <w:rFonts w:ascii="Times New Roman" w:hAnsi="Times New Roman" w:cs="Times New Roman"/>
          <w:b/>
          <w:bCs/>
        </w:rPr>
        <w:t xml:space="preserve">K bodu </w:t>
      </w:r>
      <w:r w:rsidR="00A363F1">
        <w:rPr>
          <w:rFonts w:ascii="Times New Roman" w:hAnsi="Times New Roman" w:cs="Times New Roman"/>
          <w:b/>
          <w:bCs/>
        </w:rPr>
        <w:t>1</w:t>
      </w:r>
    </w:p>
    <w:p w14:paraId="3268C9AB" w14:textId="6B875A72" w:rsidR="00BA3A01" w:rsidRPr="00BA3A01" w:rsidRDefault="00BA3A01" w:rsidP="00C502AE">
      <w:pPr>
        <w:jc w:val="both"/>
        <w:rPr>
          <w:rFonts w:ascii="Times New Roman" w:hAnsi="Times New Roman" w:cs="Times New Roman"/>
          <w:b/>
          <w:bCs/>
          <w:i/>
          <w:iCs/>
        </w:rPr>
      </w:pPr>
      <w:r>
        <w:rPr>
          <w:rFonts w:ascii="Times New Roman" w:hAnsi="Times New Roman" w:cs="Times New Roman"/>
          <w:b/>
          <w:bCs/>
          <w:i/>
          <w:iCs/>
        </w:rPr>
        <w:t>§ 1 ods. 1 písm. b)</w:t>
      </w:r>
    </w:p>
    <w:p w14:paraId="3B1D0523" w14:textId="143AE4D0" w:rsidR="003D3C29" w:rsidRPr="003D3C29" w:rsidRDefault="003D3C29" w:rsidP="00C502AE">
      <w:pPr>
        <w:jc w:val="both"/>
        <w:rPr>
          <w:rFonts w:ascii="Times New Roman" w:hAnsi="Times New Roman" w:cs="Times New Roman"/>
        </w:rPr>
      </w:pPr>
      <w:r w:rsidRPr="003D3C29">
        <w:rPr>
          <w:rFonts w:ascii="Times New Roman" w:hAnsi="Times New Roman" w:cs="Times New Roman"/>
        </w:rPr>
        <w:t>Doplnenie ustanovenia v písmene b) sa navrhuje za účelom rozšírenia možností preukázania klinického prínosu liečby liekom. V praxi sa ukázalo, že splnenie primárneho ukazovateľa účinnosti nemusí vždy samo osebe dostatočne vypovedať o klinickom prínose liečby z hľadiska jej následného farmako-ekonomického posúdenia. Primárny ukazovateľ účinnosti je spravidla navrhnutý s cieľom zodpovedať hlavnej otázke klinického skúšania, pričom nemusí vždy v plnom rozsahu zachytávať všetky relevantné aspekty klinického prínosu liečby, najmä z pohľadu dlhodobých klinických výsledkov, kvality života alebo ďalších ukazovateľov relevantných pre posúdenie zdravotných prínosov.</w:t>
      </w:r>
    </w:p>
    <w:p w14:paraId="635AEBF3" w14:textId="77777777" w:rsidR="003D3C29" w:rsidRPr="003D3C29" w:rsidRDefault="003D3C29" w:rsidP="00C502AE">
      <w:pPr>
        <w:jc w:val="both"/>
        <w:rPr>
          <w:rFonts w:ascii="Times New Roman" w:hAnsi="Times New Roman" w:cs="Times New Roman"/>
        </w:rPr>
      </w:pPr>
      <w:r w:rsidRPr="003D3C29">
        <w:rPr>
          <w:rFonts w:ascii="Times New Roman" w:hAnsi="Times New Roman" w:cs="Times New Roman"/>
        </w:rPr>
        <w:t>Navrhované doplnenie preto umožňuje pri preukazovaní klinického prínosu zohľadniť okrem primárneho ukazovateľa účinnosti aj sekundárne ukazovatele účinnosti a ukazovatele bezpečnosti. Cieľom je umožniť komplexnejšie posúdenie účinku liečby a jej klinického profilu a zároveň zabrániť tomu, aby posúdenie klinického prínosu bolo automaticky založené výlučne na splnení primárneho ukazovateľa účinnosti.</w:t>
      </w:r>
    </w:p>
    <w:p w14:paraId="6AD9C1BC" w14:textId="3B0A3CBB" w:rsidR="00BA3A01" w:rsidRPr="00BA3A01" w:rsidRDefault="00BA3A01" w:rsidP="00BA3A01">
      <w:pPr>
        <w:jc w:val="both"/>
        <w:rPr>
          <w:rFonts w:ascii="Times New Roman" w:hAnsi="Times New Roman" w:cs="Times New Roman"/>
          <w:b/>
          <w:bCs/>
          <w:i/>
          <w:iCs/>
        </w:rPr>
      </w:pPr>
      <w:r>
        <w:rPr>
          <w:rFonts w:ascii="Times New Roman" w:hAnsi="Times New Roman" w:cs="Times New Roman"/>
          <w:b/>
          <w:bCs/>
          <w:i/>
          <w:iCs/>
        </w:rPr>
        <w:t>§ 1 ods. 1 písm. c)</w:t>
      </w:r>
    </w:p>
    <w:p w14:paraId="39F0C7D8" w14:textId="77777777" w:rsidR="006F0659" w:rsidRDefault="006F0659" w:rsidP="00C502AE">
      <w:pPr>
        <w:jc w:val="both"/>
        <w:rPr>
          <w:rFonts w:ascii="Times New Roman" w:hAnsi="Times New Roman" w:cs="Times New Roman"/>
        </w:rPr>
      </w:pPr>
      <w:r w:rsidRPr="006F0659">
        <w:rPr>
          <w:rFonts w:ascii="Times New Roman" w:hAnsi="Times New Roman" w:cs="Times New Roman"/>
        </w:rPr>
        <w:t>Zmena v § 1 ods. 1 písm. c) je legislatívno-technického charakteru a súvisí so zavedením definície relevantného komparátora v zákone č. 363/2011 Z. z. Použitie pojmu „relevantný komparátor“ sa preto zosúlaďuje aj vo vyhláške. V nadväznosti na zákonnú definíciu relevantného komparátora sa upravuje doterajšie znenie ustanovenia tak, aby nedochádzalo k duplicitnej úprave. Časť kritérií doteraz uvedených v bodoch 1 až 3 je obsiahnutá v zákonnej definícii relevantného komparátora a časť relevantného obsahu týchto kritérií sa premieta priamo do upraveného znenia ustanovenia. Z uvedeného dôvodu sa samostatné body 1 až 3 vypúšťajú.</w:t>
      </w:r>
    </w:p>
    <w:p w14:paraId="3644CA2F" w14:textId="7C30612C" w:rsidR="00BA3A01" w:rsidRPr="00BA3A01" w:rsidRDefault="00BA3A01" w:rsidP="00BA3A01">
      <w:pPr>
        <w:jc w:val="both"/>
        <w:rPr>
          <w:rFonts w:ascii="Times New Roman" w:hAnsi="Times New Roman" w:cs="Times New Roman"/>
          <w:b/>
          <w:bCs/>
          <w:i/>
          <w:iCs/>
        </w:rPr>
      </w:pPr>
      <w:r>
        <w:rPr>
          <w:rFonts w:ascii="Times New Roman" w:hAnsi="Times New Roman" w:cs="Times New Roman"/>
          <w:b/>
          <w:bCs/>
          <w:i/>
          <w:iCs/>
        </w:rPr>
        <w:t>§ 1 ods. 1 písm. g)</w:t>
      </w:r>
    </w:p>
    <w:p w14:paraId="65D782D7" w14:textId="77777777" w:rsidR="006F0659" w:rsidRPr="006F0659" w:rsidRDefault="006F0659" w:rsidP="006F0659">
      <w:pPr>
        <w:jc w:val="both"/>
        <w:rPr>
          <w:rFonts w:ascii="Times New Roman" w:hAnsi="Times New Roman" w:cs="Times New Roman"/>
        </w:rPr>
      </w:pPr>
      <w:r w:rsidRPr="006F0659">
        <w:rPr>
          <w:rFonts w:ascii="Times New Roman" w:hAnsi="Times New Roman" w:cs="Times New Roman"/>
        </w:rPr>
        <w:t>Navrhovaná zmena diskontnej sadzby pre náklady a prínosy reflektuje výsledky analýzy nezávislej výskumnej organizácie Office of Health Economics so sídlom v Londýne (OHE), ktorá v roku 2023 odporučila pre Slovenskú republiku zníženie diskontnej sadzby používanej v referenčných farmako-ekonomických hodnoteniach z 5 % na 3,3 % ročne. OHE pri stanovení tejto hodnoty vychádzala z odhadu sociálnej miery časovej preferencie pre Slovenskú republiku a využila pritom Ramseyho pravidlo.</w:t>
      </w:r>
    </w:p>
    <w:p w14:paraId="17C35B4F" w14:textId="77777777" w:rsidR="006F0659" w:rsidRPr="006F0659" w:rsidRDefault="006F0659" w:rsidP="006F0659">
      <w:pPr>
        <w:jc w:val="both"/>
        <w:rPr>
          <w:rFonts w:ascii="Times New Roman" w:hAnsi="Times New Roman" w:cs="Times New Roman"/>
        </w:rPr>
      </w:pPr>
      <w:r w:rsidRPr="006F0659">
        <w:rPr>
          <w:rFonts w:ascii="Times New Roman" w:hAnsi="Times New Roman" w:cs="Times New Roman"/>
        </w:rPr>
        <w:t xml:space="preserve">Na základe uvedenej analýzy a aktualizácie použitých údajov bol vykonaný prepočet podľa metodiky použitej v analýze, ktorého výsledkom bola hodnota 3,5 %. Navrhovaná diskontná sadzba preto vychádza z aktuálnych makroekonomických a demografických charakteristík </w:t>
      </w:r>
      <w:r w:rsidRPr="006F0659">
        <w:rPr>
          <w:rFonts w:ascii="Times New Roman" w:hAnsi="Times New Roman" w:cs="Times New Roman"/>
        </w:rPr>
        <w:lastRenderedPageBreak/>
        <w:t>Slovenskej republiky a z ekonomickej metodiky založenej na sociálnej miere časovej preferencie.</w:t>
      </w:r>
    </w:p>
    <w:p w14:paraId="3C929A13" w14:textId="77777777" w:rsidR="006F0659" w:rsidRPr="006F0659" w:rsidRDefault="006F0659" w:rsidP="006F0659">
      <w:pPr>
        <w:jc w:val="both"/>
        <w:rPr>
          <w:rFonts w:ascii="Times New Roman" w:hAnsi="Times New Roman" w:cs="Times New Roman"/>
        </w:rPr>
      </w:pPr>
      <w:r w:rsidRPr="006F0659">
        <w:rPr>
          <w:rFonts w:ascii="Times New Roman" w:hAnsi="Times New Roman" w:cs="Times New Roman"/>
        </w:rPr>
        <w:t>Zároveň bola doterajšia diskontná sadzba vo výške 5 % v porovnaní s hodnotami používanými v ekonomických hodnoteniach zdravotníckych technológií v iných európskych krajinách relatívne vysoká. OHE uvádza, že väčšina sledovaných HTA agentúr používa diskontné sadzby v rozpätí približne 2,5 % až 3,5 %.</w:t>
      </w:r>
    </w:p>
    <w:p w14:paraId="5F2DA377" w14:textId="77777777" w:rsidR="006F0659" w:rsidRPr="006F0659" w:rsidRDefault="006F0659" w:rsidP="006F0659">
      <w:pPr>
        <w:jc w:val="both"/>
        <w:rPr>
          <w:rFonts w:ascii="Times New Roman" w:hAnsi="Times New Roman" w:cs="Times New Roman"/>
        </w:rPr>
      </w:pPr>
      <w:r w:rsidRPr="006F0659">
        <w:rPr>
          <w:rFonts w:ascii="Times New Roman" w:hAnsi="Times New Roman" w:cs="Times New Roman"/>
        </w:rPr>
        <w:t>Keďže výsledky farmako-ekonomického hodnotenia, a najmä nákladová efektívnosť, predstavujú významný podklad pre rozhodovanie o kategorizácii liekov, výška diskontnej sadzby môže mať významný vplyv na výsledky hodnotenia, predovšetkým pri liekoch, pri ktorých sa náklady a zdravotné prínosy realizujú v rozdielnych časových obdobiach. Zníženie diskontnej sadzby preto prispeje k lepšiemu zohľadneniu súčasných ekonomických a demografických podmienok Slovenskej republiky a k zosúladeniu metodiky farmako-ekonomického hodnotenia s aktuálnymi poznatkami v oblasti ekonomického hodnotenia zdravotníckych technológií.</w:t>
      </w:r>
    </w:p>
    <w:p w14:paraId="670CDF9A" w14:textId="175D9E1C" w:rsidR="00BA3A01" w:rsidRPr="00BA3A01" w:rsidRDefault="00BA3A01" w:rsidP="00BA3A01">
      <w:pPr>
        <w:jc w:val="both"/>
        <w:rPr>
          <w:rFonts w:ascii="Times New Roman" w:hAnsi="Times New Roman" w:cs="Times New Roman"/>
          <w:b/>
          <w:bCs/>
          <w:i/>
          <w:iCs/>
        </w:rPr>
      </w:pPr>
      <w:r>
        <w:rPr>
          <w:rFonts w:ascii="Times New Roman" w:hAnsi="Times New Roman" w:cs="Times New Roman"/>
          <w:b/>
          <w:bCs/>
          <w:i/>
          <w:iCs/>
        </w:rPr>
        <w:t>§ 1 ods. 1 písm. i)</w:t>
      </w:r>
    </w:p>
    <w:p w14:paraId="0E072C9C" w14:textId="77777777" w:rsidR="00BA66B7" w:rsidRPr="00BA66B7" w:rsidRDefault="00BA66B7" w:rsidP="00BA66B7">
      <w:pPr>
        <w:jc w:val="both"/>
        <w:rPr>
          <w:rFonts w:ascii="Times New Roman" w:hAnsi="Times New Roman" w:cs="Times New Roman"/>
        </w:rPr>
      </w:pPr>
      <w:r w:rsidRPr="00BA66B7">
        <w:rPr>
          <w:rFonts w:ascii="Times New Roman" w:hAnsi="Times New Roman" w:cs="Times New Roman"/>
        </w:rPr>
        <w:t>Dopĺňa sa nový bod i), ktorým sa ustanovuje požiadavka na vykonanie analýzy scenárov. V súčasnom nastavení nebola požiadavka na vykonanie analýzy scenárov vo vyhláške špecificky upravená. Analýza scenárov spolu s analýzou senzitivity predstavuje dôležitý nástroj na posúdenie neistoty spojenej s nastavením farmako-ekonomického modelu a jej vplyvu na výsledky hodnotenia. Zároveň môže poskytnúť relevantné informácie pre rozhodovanie o úhrade lieku a slúžiť ako informačný podklad pri rokovaní o podmienkach úhrady lieku.</w:t>
      </w:r>
    </w:p>
    <w:p w14:paraId="444727C0" w14:textId="77777777" w:rsidR="00BA66B7" w:rsidRPr="00BA66B7" w:rsidRDefault="00BA66B7" w:rsidP="00BA66B7">
      <w:pPr>
        <w:jc w:val="both"/>
        <w:rPr>
          <w:rFonts w:ascii="Times New Roman" w:hAnsi="Times New Roman" w:cs="Times New Roman"/>
        </w:rPr>
      </w:pPr>
      <w:r w:rsidRPr="00BA66B7">
        <w:rPr>
          <w:rFonts w:ascii="Times New Roman" w:hAnsi="Times New Roman" w:cs="Times New Roman"/>
        </w:rPr>
        <w:t>Analýza scenárov umožňuje posúdiť vplyv alternatívnych, metodicky odôvodnených predpokladov a nastavení modelu na výsledky farmako-ekonomického hodnotenia a identifikovať parametre alebo predpoklady, ktoré majú na výsledky významný vplyv. Je preto dôvodné ustanoviť vykonanie analýzy scenárov priamo vo vyhláške ako povinnú súčasť farmako-ekonomického rozboru.</w:t>
      </w:r>
    </w:p>
    <w:p w14:paraId="7D8745A6" w14:textId="00C1691C" w:rsidR="00BA3A01" w:rsidRPr="00BA3A01" w:rsidRDefault="00BA3A01" w:rsidP="00BA3A01">
      <w:pPr>
        <w:jc w:val="both"/>
        <w:rPr>
          <w:rFonts w:ascii="Times New Roman" w:hAnsi="Times New Roman" w:cs="Times New Roman"/>
          <w:b/>
          <w:bCs/>
          <w:i/>
          <w:iCs/>
        </w:rPr>
      </w:pPr>
      <w:r>
        <w:rPr>
          <w:rFonts w:ascii="Times New Roman" w:hAnsi="Times New Roman" w:cs="Times New Roman"/>
          <w:b/>
          <w:bCs/>
          <w:i/>
          <w:iCs/>
        </w:rPr>
        <w:t>§ 1 ods. 1 písm. j)</w:t>
      </w:r>
    </w:p>
    <w:p w14:paraId="1C856AE4" w14:textId="79F7D463" w:rsidR="00D05F5F" w:rsidRDefault="00BA66B7" w:rsidP="00C502AE">
      <w:pPr>
        <w:jc w:val="both"/>
        <w:rPr>
          <w:rFonts w:ascii="Times New Roman" w:hAnsi="Times New Roman" w:cs="Times New Roman"/>
        </w:rPr>
      </w:pPr>
      <w:r w:rsidRPr="00BA66B7">
        <w:rPr>
          <w:rFonts w:ascii="Times New Roman" w:hAnsi="Times New Roman" w:cs="Times New Roman"/>
        </w:rPr>
        <w:t>Ide o legislatívno-technickú úpravu, ktorá súvisí s doplnením nového písmena i) a následným prečíslovaním doterajšieho písmena k) na písmeno l). V nadväznosti na túto zmenu sa upravuje vnútorný odkaz v § 1 ods. 1 písm. j).</w:t>
      </w:r>
    </w:p>
    <w:p w14:paraId="16EA155D" w14:textId="66A2A913" w:rsidR="00BA3A01" w:rsidRPr="00BA3A01" w:rsidRDefault="00BA3A01" w:rsidP="00BA3A01">
      <w:pPr>
        <w:jc w:val="both"/>
        <w:rPr>
          <w:rFonts w:ascii="Times New Roman" w:hAnsi="Times New Roman" w:cs="Times New Roman"/>
          <w:b/>
          <w:bCs/>
          <w:i/>
          <w:iCs/>
        </w:rPr>
      </w:pPr>
      <w:r>
        <w:rPr>
          <w:rFonts w:ascii="Times New Roman" w:hAnsi="Times New Roman" w:cs="Times New Roman"/>
          <w:b/>
          <w:bCs/>
          <w:i/>
          <w:iCs/>
        </w:rPr>
        <w:t>§ 1 ods. 1 písm. k)</w:t>
      </w:r>
    </w:p>
    <w:p w14:paraId="75F20B1B" w14:textId="77777777" w:rsidR="00BA66B7" w:rsidRPr="00BA66B7" w:rsidRDefault="00BA66B7" w:rsidP="00BA66B7">
      <w:pPr>
        <w:jc w:val="both"/>
        <w:rPr>
          <w:rFonts w:ascii="Times New Roman" w:hAnsi="Times New Roman" w:cs="Times New Roman"/>
        </w:rPr>
      </w:pPr>
      <w:r w:rsidRPr="00BA66B7">
        <w:rPr>
          <w:rFonts w:ascii="Times New Roman" w:hAnsi="Times New Roman" w:cs="Times New Roman"/>
        </w:rPr>
        <w:t xml:space="preserve">Doplnenie možnosti preukázania účinnosti a bezpečnosti na základe nepriamych porovnaní reflektuje metodickú prax v oblasti klinického hodnotenia liekov. V určitých situáciách nie je možné vykonať klinické štúdie s priamym porovnaním s relevantným komparátorom, napríklad z etických dôvodov, v dôsledku zmeny alebo zastaranosti štandardu liečby alebo z dôvodu nemožnosti vykonania randomizovaného priameho porovnania. V takýchto prípadoch môžu nepriame porovnania predstavovať relevantný a metodicky akceptovaný spôsob získania informácií o relatívnej účinnosti a bezpečnosti liečby. Ich využitie zároveň umožňuje zohľadniť </w:t>
      </w:r>
      <w:r w:rsidRPr="00BA66B7">
        <w:rPr>
          <w:rFonts w:ascii="Times New Roman" w:hAnsi="Times New Roman" w:cs="Times New Roman"/>
        </w:rPr>
        <w:lastRenderedPageBreak/>
        <w:t>dostupné klinické dôkazy aj v prípadoch, keď priame porovnanie s relevantným komparátorom nie je realizovateľné.</w:t>
      </w:r>
    </w:p>
    <w:p w14:paraId="61A10AB6" w14:textId="77777777" w:rsidR="00BA66B7" w:rsidRPr="00BA66B7" w:rsidRDefault="00BA66B7" w:rsidP="00BA66B7">
      <w:pPr>
        <w:jc w:val="both"/>
        <w:rPr>
          <w:rFonts w:ascii="Times New Roman" w:hAnsi="Times New Roman" w:cs="Times New Roman"/>
        </w:rPr>
      </w:pPr>
      <w:r w:rsidRPr="00BA66B7">
        <w:rPr>
          <w:rFonts w:ascii="Times New Roman" w:hAnsi="Times New Roman" w:cs="Times New Roman"/>
        </w:rPr>
        <w:t>Nahradenie časti textu slovami „s relevantným komparátorom alebo komparátormi“ je legislatívno-technickou úpravou vyplývajúcou zo zavedenia definície relevantného komparátora v zákone č. 363/2011 Z. z. Takto zavedený pojem obsahovo pokrýva doterajšie znenie a jeho použitím sa zabezpečuje terminologické zosúladenie vyhlášky so zákonom.</w:t>
      </w:r>
    </w:p>
    <w:p w14:paraId="093D29FD" w14:textId="775A22FD" w:rsidR="00BA3A01" w:rsidRPr="00BA3A01" w:rsidRDefault="00BA3A01" w:rsidP="00BA3A01">
      <w:pPr>
        <w:jc w:val="both"/>
        <w:rPr>
          <w:rFonts w:ascii="Times New Roman" w:hAnsi="Times New Roman" w:cs="Times New Roman"/>
          <w:b/>
          <w:bCs/>
          <w:i/>
          <w:iCs/>
        </w:rPr>
      </w:pPr>
      <w:r>
        <w:rPr>
          <w:rFonts w:ascii="Times New Roman" w:hAnsi="Times New Roman" w:cs="Times New Roman"/>
          <w:b/>
          <w:bCs/>
          <w:i/>
          <w:iCs/>
        </w:rPr>
        <w:t>§ 1 ods. 1 vypustenie pôvodného písmena l)</w:t>
      </w:r>
    </w:p>
    <w:p w14:paraId="06C3A825" w14:textId="77777777" w:rsidR="00BA66B7" w:rsidRPr="00BA66B7" w:rsidRDefault="00BA66B7" w:rsidP="00BA66B7">
      <w:pPr>
        <w:jc w:val="both"/>
        <w:rPr>
          <w:rFonts w:ascii="Times New Roman" w:hAnsi="Times New Roman" w:cs="Times New Roman"/>
        </w:rPr>
      </w:pPr>
      <w:r w:rsidRPr="00BA66B7">
        <w:rPr>
          <w:rFonts w:ascii="Times New Roman" w:hAnsi="Times New Roman" w:cs="Times New Roman"/>
        </w:rPr>
        <w:t>Vypustenie písmena l) sa navrhuje s cieľom znížiť administratívnu záťaž spojenú s prípravou dokumentácie k žiadosti o kategorizáciu lieku. Požiadavka na uvedenie výšky úhrady lieku z verejného zdravotného poistenia v iných členských štátoch Európskej únie vyjadrenej v percentách má v súčasných podmienkach obmedzenú výpovednú hodnotu pre rozhodovanie o kategorizácii liekov v Slovenskej republike. V mnohých členských štátoch sa zároveň pri vstupe liekov do systému verejného zdravotného poistenia využívajú mechanizmy riadeného vstupu (Managed Entry Agreements), ktorých súčasťou môžu byť dôverné podmienky úhrady. Verejne dostupné údaje o výške úhrady preto nemusia zodpovedať skutočným podmienkam úhrady lieku v danom členskom štáte.</w:t>
      </w:r>
    </w:p>
    <w:p w14:paraId="1B163DA1" w14:textId="77777777" w:rsidR="00BA66B7" w:rsidRPr="00BA66B7" w:rsidRDefault="00BA66B7" w:rsidP="00BA66B7">
      <w:pPr>
        <w:jc w:val="both"/>
        <w:rPr>
          <w:rFonts w:ascii="Times New Roman" w:hAnsi="Times New Roman" w:cs="Times New Roman"/>
        </w:rPr>
      </w:pPr>
      <w:r w:rsidRPr="00BA66B7">
        <w:rPr>
          <w:rFonts w:ascii="Times New Roman" w:hAnsi="Times New Roman" w:cs="Times New Roman"/>
        </w:rPr>
        <w:t>Vzhľadom na uvedené skutočnosti sa požiadavka na predkladanie informácie o výške úhrady lieku v iných členských štátoch Európskej únie vypúšťa, keďže jej získanie predstavuje administratívnu záťaž, pričom jej využiteľnosť a výpovedná hodnota pre rozhodovanie o kategorizácii liekov v Slovenskej republike sú obmedzené.</w:t>
      </w:r>
    </w:p>
    <w:p w14:paraId="3F470714" w14:textId="77777777" w:rsidR="00BA66B7" w:rsidRPr="00BA66B7" w:rsidRDefault="00BA66B7" w:rsidP="00BA66B7">
      <w:pPr>
        <w:jc w:val="both"/>
        <w:rPr>
          <w:rFonts w:ascii="Times New Roman" w:hAnsi="Times New Roman" w:cs="Times New Roman"/>
        </w:rPr>
      </w:pPr>
      <w:r w:rsidRPr="00BA66B7">
        <w:rPr>
          <w:rFonts w:ascii="Times New Roman" w:hAnsi="Times New Roman" w:cs="Times New Roman"/>
        </w:rPr>
        <w:t>Premenovanie doterajšieho písmena m) na nové písmeno l) je legislatívno-technickou úpravou vyplývajúcou z vypustenia doterajšieho písmena l).</w:t>
      </w:r>
    </w:p>
    <w:p w14:paraId="57FD3C2B" w14:textId="076A10BE" w:rsidR="00BA3A01" w:rsidRPr="00BA3A01" w:rsidRDefault="00BA3A01" w:rsidP="00BA3A01">
      <w:pPr>
        <w:jc w:val="both"/>
        <w:rPr>
          <w:rFonts w:ascii="Times New Roman" w:hAnsi="Times New Roman" w:cs="Times New Roman"/>
          <w:b/>
          <w:bCs/>
          <w:i/>
          <w:iCs/>
        </w:rPr>
      </w:pPr>
      <w:r>
        <w:rPr>
          <w:rFonts w:ascii="Times New Roman" w:hAnsi="Times New Roman" w:cs="Times New Roman"/>
          <w:b/>
          <w:bCs/>
          <w:i/>
          <w:iCs/>
        </w:rPr>
        <w:t xml:space="preserve">§ 1 ods. 2 </w:t>
      </w:r>
    </w:p>
    <w:p w14:paraId="493D585D" w14:textId="77777777" w:rsidR="00BA66B7" w:rsidRPr="00BA66B7" w:rsidRDefault="00BA66B7" w:rsidP="00BA66B7">
      <w:pPr>
        <w:jc w:val="both"/>
        <w:rPr>
          <w:rFonts w:ascii="Times New Roman" w:hAnsi="Times New Roman" w:cs="Times New Roman"/>
        </w:rPr>
      </w:pPr>
      <w:r w:rsidRPr="00BA66B7">
        <w:rPr>
          <w:rFonts w:ascii="Times New Roman" w:hAnsi="Times New Roman" w:cs="Times New Roman"/>
        </w:rPr>
        <w:t>Nové znenie § 1 ods. 2 nadväzuje na zavedenie definície relevantného komparátora v zákone č. 363/2011 Z. z., ktorý zároveň ustanovuje potrebu bližšie upraviť podmienky jeho určenia. Cieľom nového ustanovenia je vymedziť základné princípy, na ktoré sa prihliada pri stanovení relevantného komparátora, a tým zabezpečiť jednotnejší a transparentnejší postup pri jeho určovaní.</w:t>
      </w:r>
    </w:p>
    <w:p w14:paraId="5173C8D1" w14:textId="77777777" w:rsidR="00BA66B7" w:rsidRPr="00BA66B7" w:rsidRDefault="00BA66B7" w:rsidP="00BA66B7">
      <w:pPr>
        <w:jc w:val="both"/>
        <w:rPr>
          <w:rFonts w:ascii="Times New Roman" w:hAnsi="Times New Roman" w:cs="Times New Roman"/>
        </w:rPr>
      </w:pPr>
      <w:r w:rsidRPr="00BA66B7">
        <w:rPr>
          <w:rFonts w:ascii="Times New Roman" w:hAnsi="Times New Roman" w:cs="Times New Roman"/>
        </w:rPr>
        <w:t>Pri stanovení relevantného komparátora sa zohľadňuje najmä štandardná klinická prax v posudzovanej indikácii a cieľovej populácii, dostupné národné a medzinárodné odborné odporúčania liečby, aktuálny trhový podiel jednotlivých terapeutických možností a možnosť nahradenia relevantného komparátora posudzovanou technológiou. Uvedené kritériá umožňujú zohľadniť klinický, odborný aj praktický kontext používania jednotlivých terapeutických možností a prispievajú k určeniu komparátora, ktorý primerane odráža podmienky liečby v posudzovanej indikácii.</w:t>
      </w:r>
    </w:p>
    <w:p w14:paraId="244C3C57" w14:textId="5A950C33" w:rsidR="00BA3A01" w:rsidRPr="00BA3A01" w:rsidRDefault="00BA3A01" w:rsidP="00BA3A01">
      <w:pPr>
        <w:jc w:val="both"/>
        <w:rPr>
          <w:rFonts w:ascii="Times New Roman" w:hAnsi="Times New Roman" w:cs="Times New Roman"/>
          <w:b/>
          <w:bCs/>
          <w:i/>
          <w:iCs/>
        </w:rPr>
      </w:pPr>
      <w:r>
        <w:rPr>
          <w:rFonts w:ascii="Times New Roman" w:hAnsi="Times New Roman" w:cs="Times New Roman"/>
          <w:b/>
          <w:bCs/>
          <w:i/>
          <w:iCs/>
        </w:rPr>
        <w:t xml:space="preserve">§ 1 ods. 3-7 </w:t>
      </w:r>
    </w:p>
    <w:p w14:paraId="23D05D77" w14:textId="6BF49C12" w:rsidR="00094AEB" w:rsidRDefault="00BA66B7" w:rsidP="00C502AE">
      <w:pPr>
        <w:jc w:val="both"/>
        <w:rPr>
          <w:rFonts w:ascii="Times New Roman" w:hAnsi="Times New Roman" w:cs="Times New Roman"/>
        </w:rPr>
      </w:pPr>
      <w:r w:rsidRPr="00BA66B7">
        <w:rPr>
          <w:rFonts w:ascii="Times New Roman" w:hAnsi="Times New Roman" w:cs="Times New Roman"/>
        </w:rPr>
        <w:t xml:space="preserve">Vloženie nových odsekov 3 až 7 dopĺňa metodiku stanovenia relevantného komparátora podľa § 1 ods. 2. Jednotlivé ustanovenia bližšie upravujú postup pri určovaní relevantného </w:t>
      </w:r>
      <w:r w:rsidRPr="00BA66B7">
        <w:rPr>
          <w:rFonts w:ascii="Times New Roman" w:hAnsi="Times New Roman" w:cs="Times New Roman"/>
        </w:rPr>
        <w:lastRenderedPageBreak/>
        <w:t>komparátora, zohľadňujú špecifické situácie, ktoré môžu pri jeho určovaní vzniknúť, a ustanovujú pravidlá pre použitie relevantných komparátorov vo farmako-ekonomickom hodnotení.</w:t>
      </w:r>
      <w:r w:rsidR="00094AEB">
        <w:rPr>
          <w:rFonts w:ascii="Times New Roman" w:hAnsi="Times New Roman" w:cs="Times New Roman"/>
        </w:rPr>
        <w:t xml:space="preserve"> </w:t>
      </w:r>
    </w:p>
    <w:p w14:paraId="5AE9F7C5" w14:textId="77777777" w:rsidR="005F099F" w:rsidRPr="005F099F" w:rsidRDefault="00094AEB" w:rsidP="005F099F">
      <w:pPr>
        <w:jc w:val="both"/>
        <w:rPr>
          <w:rFonts w:ascii="Times New Roman" w:hAnsi="Times New Roman" w:cs="Times New Roman"/>
        </w:rPr>
      </w:pPr>
      <w:r w:rsidRPr="008B57BA">
        <w:rPr>
          <w:rFonts w:ascii="Times New Roman" w:hAnsi="Times New Roman" w:cs="Times New Roman"/>
          <w:b/>
          <w:bCs/>
        </w:rPr>
        <w:t>Odsek 3</w:t>
      </w:r>
      <w:r>
        <w:rPr>
          <w:rFonts w:ascii="Times New Roman" w:hAnsi="Times New Roman" w:cs="Times New Roman"/>
        </w:rPr>
        <w:t xml:space="preserve"> </w:t>
      </w:r>
      <w:r w:rsidR="005F099F" w:rsidRPr="005F099F">
        <w:rPr>
          <w:rFonts w:ascii="Times New Roman" w:hAnsi="Times New Roman" w:cs="Times New Roman"/>
        </w:rPr>
        <w:t>ustanovuje, že pri určovaní relevantného komparátora nemožno žiadne z kritérií uvedených v § 1 ods. 2 písm. a) až d) posudzovať izolovane. Určenie relevantného komparátora vychádza z posúdenia týchto kritérií vo vzájomnej súvislosti, a to najmä z hľadiska toho, či ide o liek alebo inú medicínsku intervenciu, ktorá predstavuje štandardnú klinickú prax v posudzovanej indikácii a cieľovej populácii, či je daná technológia uvedená v dostupných národných alebo medzinárodných odborných odporúčaniach, aký je aktuálny podiel jej používania v posudzovanej indikácii a či môže byť daná technológia posudzovanou technológiou úplne alebo čiastočne nahradená. Takýto postup umožňuje zohľadniť skutočné postavenie jednotlivých terapeutických možností v klinickej praxi a zabraňuje tomu, aby bolo určenie relevantného komparátora založené iba na jednom izolovanom kritériu.</w:t>
      </w:r>
    </w:p>
    <w:p w14:paraId="5CD338E6" w14:textId="77777777" w:rsidR="005F099F" w:rsidRDefault="005F099F" w:rsidP="005F099F">
      <w:pPr>
        <w:jc w:val="both"/>
        <w:rPr>
          <w:rFonts w:ascii="Times New Roman" w:hAnsi="Times New Roman" w:cs="Times New Roman"/>
        </w:rPr>
      </w:pPr>
      <w:r w:rsidRPr="005F099F">
        <w:rPr>
          <w:rFonts w:ascii="Times New Roman" w:hAnsi="Times New Roman" w:cs="Times New Roman"/>
        </w:rPr>
        <w:t>Odsek 3 zároveň zavádza možnosť zohľadnenia tzv. očakávaného relevantného komparátora v analýze scenárov. Ide o situáciu, keď v čase podania žiadosti o zaradenie posudzovaného lieku do zoznamu kategorizovaných liekov ešte nie je relevantný komparátor zaradený v zozname kategorizovaných liekov, avšak možno odôvodnene očakávať jeho používanie v klinickej praxi v rovnakej indikácii a cieľovej populácii. Zahrnutie očakávaného relevantného komparátora je významné najmä v situáciách, keď v krátkom časovom období vstupuje do rovnakej indikácie viacero nových liekov, ktoré neboli navzájom porovnávané a pri ktorých môže dochádzať k prekrývaniu cieľových populácií.</w:t>
      </w:r>
    </w:p>
    <w:p w14:paraId="4B71FA02" w14:textId="77777777" w:rsidR="00CE1337" w:rsidRPr="00CE1337" w:rsidRDefault="00CE1337" w:rsidP="00CE1337">
      <w:pPr>
        <w:jc w:val="both"/>
        <w:rPr>
          <w:rFonts w:ascii="Times New Roman" w:hAnsi="Times New Roman" w:cs="Times New Roman"/>
        </w:rPr>
      </w:pPr>
      <w:r w:rsidRPr="00CE1337">
        <w:rPr>
          <w:rFonts w:ascii="Times New Roman" w:hAnsi="Times New Roman" w:cs="Times New Roman"/>
        </w:rPr>
        <w:t>Očakávaný relevantný komparátor môže byť v čase podania žiadosti o zaradenie posudzovaného lieku do zoznamu kategorizovaných liekov hradený zo zdrojov pacientov, a teda nemusí byť hradený z verejného zdravotného poistenia ani zaradený v zozname kategorizovaných liekov. Rovnako môže ísť o intervenciu, ktorá predstavuje štandardnú klinickú prax v zahraničí a ktorá môže byť relevantnou informáciou pri posudzovaní očakávaného vývoja klinickej praxe v Slovenskej republike.</w:t>
      </w:r>
    </w:p>
    <w:p w14:paraId="4D4305D4" w14:textId="77777777" w:rsidR="00CE1337" w:rsidRPr="00CE1337" w:rsidRDefault="00CE1337" w:rsidP="00CE1337">
      <w:pPr>
        <w:jc w:val="both"/>
        <w:rPr>
          <w:rFonts w:ascii="Times New Roman" w:hAnsi="Times New Roman" w:cs="Times New Roman"/>
        </w:rPr>
      </w:pPr>
      <w:r w:rsidRPr="00CE1337">
        <w:rPr>
          <w:rFonts w:ascii="Times New Roman" w:hAnsi="Times New Roman" w:cs="Times New Roman"/>
        </w:rPr>
        <w:t>Pri posudzovaní, či ide o očakávaný relevantný komparátor, sa zohľadňujú skutočnosti uvedené v odseku 2. Výpočet týchto skutočností však nepredstavuje taxatívne vymedzenie všetkých informácií, ktoré možno pri posudzovaní zohľadniť. Zohľadnené môžu byť aj ďalšie relevantné informácie, na základe ktorých možno odôvodnene očakávať používanie danej intervencie v rovnakej indikácii a cieľovej populácii.</w:t>
      </w:r>
    </w:p>
    <w:p w14:paraId="2F7B15F5" w14:textId="77160E06" w:rsidR="00CE1337" w:rsidRPr="005F099F" w:rsidRDefault="00CE1337" w:rsidP="00CE1337">
      <w:pPr>
        <w:jc w:val="both"/>
        <w:rPr>
          <w:rFonts w:ascii="Times New Roman" w:hAnsi="Times New Roman" w:cs="Times New Roman"/>
        </w:rPr>
      </w:pPr>
      <w:r w:rsidRPr="00CE1337">
        <w:rPr>
          <w:rFonts w:ascii="Times New Roman" w:hAnsi="Times New Roman" w:cs="Times New Roman"/>
        </w:rPr>
        <w:t>Vymedzenie očakávaného relevantného komparátora podľa tohto odseku nepredstavuje rozšírenie zákonnej definície relevantného komparátora. Očakávaný relevantný komparátor sa zohľadňuje výlučne na účely analýzy scenárov s cieľom poskytnúť informáciu o možnom budúcom vývoji klinickej praxe a jeho vplyve na hodnotenie posudzovaného lieku.</w:t>
      </w:r>
    </w:p>
    <w:p w14:paraId="2E3AC4D2" w14:textId="77777777" w:rsidR="005F099F" w:rsidRPr="005F099F" w:rsidRDefault="005F099F" w:rsidP="005F099F">
      <w:pPr>
        <w:jc w:val="both"/>
        <w:rPr>
          <w:rFonts w:ascii="Times New Roman" w:hAnsi="Times New Roman" w:cs="Times New Roman"/>
        </w:rPr>
      </w:pPr>
      <w:r w:rsidRPr="005F099F">
        <w:rPr>
          <w:rFonts w:ascii="Times New Roman" w:hAnsi="Times New Roman" w:cs="Times New Roman"/>
        </w:rPr>
        <w:t xml:space="preserve">V súčasnosti môže v praxi dochádzať k situáciám, keď v relatívne krátkom časovom období vstúpi do zoznamu kategorizovaných liekov viacero liekov určených na rovnakú indikáciu a cieľovú populáciu, pričom tieto lieky neboli navzájom predmetom priameho porovnania. Pri samostatnom posudzovaní takýchto liekov nemusí byť zároveň zohľadnené možné prekrývanie </w:t>
      </w:r>
      <w:r w:rsidRPr="005F099F">
        <w:rPr>
          <w:rFonts w:ascii="Times New Roman" w:hAnsi="Times New Roman" w:cs="Times New Roman"/>
        </w:rPr>
        <w:lastRenderedPageBreak/>
        <w:t>ich cieľových populácií ani skutočnosť, že nový liek môže v krátkom čase predstavovať relevantnú terapeutickú alternatívu. Zohľadnenie očakávaného relevantného komparátora v analýze scenárov preto poskytuje ministerstvu zdravotníctva, zdravotným poisťovniam a Národnému inštitútu pre hodnotu a technológie v zdravotníctve relevantnú informáciu o možnom budúcom vývoji klinickej praxe a jeho vplyve na hodnotenie posudzovaného lieku.</w:t>
      </w:r>
    </w:p>
    <w:p w14:paraId="034D72BD" w14:textId="3BA3184D" w:rsidR="00094AEB" w:rsidRDefault="005F099F" w:rsidP="00C502AE">
      <w:pPr>
        <w:jc w:val="both"/>
        <w:rPr>
          <w:rFonts w:ascii="Times New Roman" w:hAnsi="Times New Roman" w:cs="Times New Roman"/>
        </w:rPr>
      </w:pPr>
      <w:r w:rsidRPr="005F099F">
        <w:rPr>
          <w:rFonts w:ascii="Times New Roman" w:hAnsi="Times New Roman" w:cs="Times New Roman"/>
        </w:rPr>
        <w:t>Povinnosť zohľadniť liek, pri ktorom od jeho registrácie uplynuli najmenej dva roky a ktorý má zároveň podanú žiadosť o zaradenie do zoznamu kategorizovaných liekov, vychádza zo zámeru zachytiť situácie, pri ktorých možno s vyššou mierou istoty očakávať jeho vstup do systému úhrad a následné používanie v klinickej praxi.</w:t>
      </w:r>
    </w:p>
    <w:p w14:paraId="35ABA8DE" w14:textId="77777777" w:rsidR="005F099F" w:rsidRPr="005F099F" w:rsidRDefault="00544995" w:rsidP="005F099F">
      <w:pPr>
        <w:jc w:val="both"/>
        <w:rPr>
          <w:rFonts w:ascii="Times New Roman" w:hAnsi="Times New Roman" w:cs="Times New Roman"/>
        </w:rPr>
      </w:pPr>
      <w:r w:rsidRPr="008B57BA">
        <w:rPr>
          <w:rFonts w:ascii="Times New Roman" w:hAnsi="Times New Roman" w:cs="Times New Roman"/>
          <w:b/>
          <w:bCs/>
        </w:rPr>
        <w:t>Odsek 4</w:t>
      </w:r>
      <w:r>
        <w:rPr>
          <w:rFonts w:ascii="Times New Roman" w:hAnsi="Times New Roman" w:cs="Times New Roman"/>
        </w:rPr>
        <w:t xml:space="preserve"> </w:t>
      </w:r>
      <w:r w:rsidR="005F099F" w:rsidRPr="005F099F">
        <w:rPr>
          <w:rFonts w:ascii="Times New Roman" w:hAnsi="Times New Roman" w:cs="Times New Roman"/>
        </w:rPr>
        <w:t>ustanovuje podmienky, za ktorých možno ako relevantný komparátor určiť liek hradený na základe § 88a až 88d zákona č. 363/2011 Z. z. Ide o osobitný režim úhrady liekov, pri ktorom úhrada nepodlieha štandardnému procesu posúdenia nákladovej efektívnosti. Použitie takéhoto lieku ako relevantného komparátora preto vyžaduje splnenie osobitných podmienok, aby bolo zabezpečené, že jeho použitie vo farmako-ekonomickom hodnotení zodpovedá skutočnej klinickej praxi.</w:t>
      </w:r>
    </w:p>
    <w:p w14:paraId="157A116F" w14:textId="77777777" w:rsidR="005F099F" w:rsidRPr="005F099F" w:rsidRDefault="005F099F" w:rsidP="005F099F">
      <w:pPr>
        <w:jc w:val="both"/>
        <w:rPr>
          <w:rFonts w:ascii="Times New Roman" w:hAnsi="Times New Roman" w:cs="Times New Roman"/>
        </w:rPr>
      </w:pPr>
      <w:r w:rsidRPr="005F099F">
        <w:rPr>
          <w:rFonts w:ascii="Times New Roman" w:hAnsi="Times New Roman" w:cs="Times New Roman"/>
        </w:rPr>
        <w:t>Podmienky podľa odseku 4 zohľadňujú najmä skutočnosť, či liek predstavuje štandardnú klinickú prax v posudzovanej indikácii, či sa používa u významnej časti pacientov, či môže byť posudzovanou technológiou úplne alebo čiastočne nahradený a či bola jeho relevantnosť ako komparátora potvrdená odborným posúdením odborníkom alebo odborníkmi v príslušnom medicínskom odbore. Cieľom je zabrániť tomu, aby sa liek hradený na výnimku stal relevantným komparátorom iba na základe jeho existujúceho používania, bez zohľadnenia rozsahu a charakteru jeho používania v klinickej praxi.</w:t>
      </w:r>
    </w:p>
    <w:p w14:paraId="433DA4F4" w14:textId="77777777" w:rsidR="00CE1337" w:rsidRPr="00CE1337" w:rsidRDefault="00544995" w:rsidP="00CE1337">
      <w:pPr>
        <w:jc w:val="both"/>
        <w:rPr>
          <w:rFonts w:ascii="Times New Roman" w:hAnsi="Times New Roman" w:cs="Times New Roman"/>
        </w:rPr>
      </w:pPr>
      <w:r w:rsidRPr="008B57BA">
        <w:rPr>
          <w:rFonts w:ascii="Times New Roman" w:hAnsi="Times New Roman" w:cs="Times New Roman"/>
          <w:b/>
          <w:bCs/>
        </w:rPr>
        <w:t>Odsek 5</w:t>
      </w:r>
      <w:r>
        <w:rPr>
          <w:rFonts w:ascii="Times New Roman" w:hAnsi="Times New Roman" w:cs="Times New Roman"/>
        </w:rPr>
        <w:t xml:space="preserve"> </w:t>
      </w:r>
      <w:r w:rsidR="00CE1337" w:rsidRPr="00CE1337">
        <w:rPr>
          <w:rFonts w:ascii="Times New Roman" w:hAnsi="Times New Roman" w:cs="Times New Roman"/>
        </w:rPr>
        <w:t>ustanovuje zdroj údajov o dohodnutej úhrade za liek, ktorý je hradený na základe výnimky podľa osobitného predpisu, ak je takýto liek určený ako relevantný komparátor. Zdrojom údaja o dohodnutej úhrade na účely farmako-ekonomického rozboru je v takom prípade informácia poskytnutá zdravotnou poisťovňou. Rovnako sa postupuje pri údaji o cene alebo úhrade lieku, ktorý podlieha centrálnemu nákupu.</w:t>
      </w:r>
    </w:p>
    <w:p w14:paraId="0B98D81A" w14:textId="5997078A" w:rsidR="00544995" w:rsidRDefault="00CE1337" w:rsidP="00CE1337">
      <w:pPr>
        <w:jc w:val="both"/>
        <w:rPr>
          <w:rFonts w:ascii="Times New Roman" w:hAnsi="Times New Roman" w:cs="Times New Roman"/>
        </w:rPr>
      </w:pPr>
      <w:r w:rsidRPr="00CE1337">
        <w:rPr>
          <w:rFonts w:ascii="Times New Roman" w:hAnsi="Times New Roman" w:cs="Times New Roman"/>
        </w:rPr>
        <w:t>Cieľom úpravy je zabezpečiť, aby sa pri farmako-ekonomickom hodnotení v prípadoch, keď relevantný komparátor nie je obstarávaný alebo uhrádzaný za podmienok zodpovedajúcich verejne dostupným údajom o jeho cene alebo úhrade, vychádzalo z údajov odrážajúcich skutočné ekonomické podmienky jeho používania.</w:t>
      </w:r>
    </w:p>
    <w:p w14:paraId="646A5BFE" w14:textId="254BAD8C" w:rsidR="008B57BA" w:rsidRPr="008B57BA" w:rsidRDefault="00544995" w:rsidP="008B57BA">
      <w:pPr>
        <w:jc w:val="both"/>
        <w:rPr>
          <w:rFonts w:ascii="Times New Roman" w:hAnsi="Times New Roman" w:cs="Times New Roman"/>
        </w:rPr>
      </w:pPr>
      <w:r w:rsidRPr="008B57BA">
        <w:rPr>
          <w:rFonts w:ascii="Times New Roman" w:hAnsi="Times New Roman" w:cs="Times New Roman"/>
          <w:b/>
          <w:bCs/>
        </w:rPr>
        <w:t>Odsek 6</w:t>
      </w:r>
      <w:r>
        <w:rPr>
          <w:rFonts w:ascii="Times New Roman" w:hAnsi="Times New Roman" w:cs="Times New Roman"/>
        </w:rPr>
        <w:t xml:space="preserve"> </w:t>
      </w:r>
      <w:r w:rsidR="005F099F" w:rsidRPr="005F099F">
        <w:rPr>
          <w:rFonts w:ascii="Times New Roman" w:hAnsi="Times New Roman" w:cs="Times New Roman"/>
        </w:rPr>
        <w:t>ustanovuje osobitné pravidlá pre určenie relevantného komparátora v prípade lieku kategorizovaného na základe § 7 ods. 5 zákona č. 363/2011 Z. z</w:t>
      </w:r>
      <w:r>
        <w:rPr>
          <w:rFonts w:ascii="Times New Roman" w:hAnsi="Times New Roman" w:cs="Times New Roman"/>
        </w:rPr>
        <w:t xml:space="preserve">. </w:t>
      </w:r>
      <w:r w:rsidR="008B57BA" w:rsidRPr="008B57BA">
        <w:rPr>
          <w:rFonts w:ascii="Times New Roman" w:hAnsi="Times New Roman" w:cs="Times New Roman"/>
        </w:rPr>
        <w:t>Osobitná úprava liekov zaradených do zoznamu kategorizovaných liekov podľa § 7 ods. 5 vychádza z ich odlišného postavenia v systéme úhrad. Ide o lieky, pri ktorých bola úhrada stanovená za podmienok odlišných od štandardnej kategorizácie a pri ktorých v čase podmieneného zaradenia nemusí byť definitívne preukázané splnenie podmienky nákladovej efektívnosti v rozsahu požadovanom pri štandardnej úhrade. </w:t>
      </w:r>
    </w:p>
    <w:p w14:paraId="5F581DD3" w14:textId="77777777" w:rsidR="008B57BA" w:rsidRPr="008B57BA" w:rsidRDefault="008B57BA" w:rsidP="008B57BA">
      <w:pPr>
        <w:jc w:val="both"/>
        <w:rPr>
          <w:rFonts w:ascii="Times New Roman" w:hAnsi="Times New Roman" w:cs="Times New Roman"/>
        </w:rPr>
      </w:pPr>
      <w:r w:rsidRPr="008B57BA">
        <w:rPr>
          <w:rFonts w:ascii="Times New Roman" w:hAnsi="Times New Roman" w:cs="Times New Roman"/>
        </w:rPr>
        <w:t xml:space="preserve">Použitie takéhoto lieku ako komparátora v základnom scenári by mohlo viesť k metodologickej nekonzistentnosti. Posudzovaná intervencia by bola totiž v základnom scenári porovnávaná s </w:t>
      </w:r>
      <w:r w:rsidRPr="008B57BA">
        <w:rPr>
          <w:rFonts w:ascii="Times New Roman" w:hAnsi="Times New Roman" w:cs="Times New Roman"/>
        </w:rPr>
        <w:lastRenderedPageBreak/>
        <w:t>intervenciou, pri ktorej nebola v čase jej podmieneného zaradenia definitívne potvrdená nákladová efektívnosť, hoci samotné posudzovanie novej intervencie má smerovať k rozhodnutiu o jej štandardnej úhrade. Nešlo by teda o porovnanie s intervenciou, ktorej postavenie ako štandardnej, nákladovo efektívnej úhrady už bolo v systéme potvrdené. </w:t>
      </w:r>
    </w:p>
    <w:p w14:paraId="527D1FD6" w14:textId="77777777" w:rsidR="008B57BA" w:rsidRPr="008B57BA" w:rsidRDefault="008B57BA" w:rsidP="008B57BA">
      <w:pPr>
        <w:jc w:val="both"/>
        <w:rPr>
          <w:rFonts w:ascii="Times New Roman" w:hAnsi="Times New Roman" w:cs="Times New Roman"/>
        </w:rPr>
      </w:pPr>
      <w:r w:rsidRPr="008B57BA">
        <w:rPr>
          <w:rFonts w:ascii="Times New Roman" w:hAnsi="Times New Roman" w:cs="Times New Roman"/>
        </w:rPr>
        <w:t>Tento prístup má obdobu aj v zahraničnej HTA praxi. NICE výslovne uvádza, že technológie odporúčané v režime managed access nepovažuje za zavedenú prax v NHS a nepovažuje ich za vhodné komparátory. Dôvodom je okrem iného skutočnosť, že ide o časovo obmedzený režim určený na získanie ďalších dôkazov a jeho podmienky nie sú ekvivalentné podmienkam rutinnej úhrady.  </w:t>
      </w:r>
    </w:p>
    <w:p w14:paraId="253B3C12" w14:textId="77777777" w:rsidR="008B57BA" w:rsidRPr="008B57BA" w:rsidRDefault="008B57BA" w:rsidP="008B57BA">
      <w:pPr>
        <w:jc w:val="both"/>
        <w:rPr>
          <w:rFonts w:ascii="Times New Roman" w:hAnsi="Times New Roman" w:cs="Times New Roman"/>
        </w:rPr>
      </w:pPr>
      <w:r w:rsidRPr="008B57BA">
        <w:rPr>
          <w:rFonts w:ascii="Times New Roman" w:hAnsi="Times New Roman" w:cs="Times New Roman"/>
        </w:rPr>
        <w:t>Obdobný metodologický prístup uplatňuje aj Česká republika pri liekoch s dočasnou úhradou VILP. SÚKL uvádza, že liek s dočasnou úhradou VILP nemožno použiť ako komparátor v základnom scenári analýzy nákladovej efektívnosti, keďže pri stanovení dočasnej úhrady sa nevyžaduje splnenie podmienky nákladovej efektívnosti. Takýto liek sa však zohľadňuje v alternatívnom scenári, aby bolo možné zachytiť situáciu v klinickej praxi a jej ekonomické dôsledky.  </w:t>
      </w:r>
    </w:p>
    <w:p w14:paraId="6C7C4485" w14:textId="77777777" w:rsidR="008B57BA" w:rsidRPr="008B57BA" w:rsidRDefault="008B57BA" w:rsidP="008B57BA">
      <w:pPr>
        <w:jc w:val="both"/>
        <w:rPr>
          <w:rFonts w:ascii="Times New Roman" w:hAnsi="Times New Roman" w:cs="Times New Roman"/>
        </w:rPr>
      </w:pPr>
      <w:r w:rsidRPr="008B57BA">
        <w:rPr>
          <w:rFonts w:ascii="Times New Roman" w:hAnsi="Times New Roman" w:cs="Times New Roman"/>
        </w:rPr>
        <w:t>Navrhovaná úprava preto nevylučuje liek podľa § 7 ods. 5 z ekonomického hodnotenia úplne. Jeho vylúčenie sa týka iba základného scenára farmako-ekonomického hodnotenia. V alternatívnom scenári je možné jeho použitie na posúdenie, ako by sa výsledok nákladovej efektívnosti zmenil v prípade, ak by bola takáto intervencia považovaná za štandardnú klinickú prax. Takýto postup zároveň poskytuje informáciu o ekonomických dôsledkoch rozhodnutia v podmienkach existujúcej klinickej praxe. </w:t>
      </w:r>
    </w:p>
    <w:p w14:paraId="765D952E" w14:textId="77777777" w:rsidR="008B57BA" w:rsidRPr="008B57BA" w:rsidRDefault="008B57BA" w:rsidP="008B57BA">
      <w:pPr>
        <w:jc w:val="both"/>
        <w:rPr>
          <w:rFonts w:ascii="Times New Roman" w:hAnsi="Times New Roman" w:cs="Times New Roman"/>
        </w:rPr>
      </w:pPr>
      <w:r w:rsidRPr="008B57BA">
        <w:rPr>
          <w:rFonts w:ascii="Times New Roman" w:hAnsi="Times New Roman" w:cs="Times New Roman"/>
        </w:rPr>
        <w:t>Toto rozlíšenie je dôležité aj z hľadiska časového vývoja postavenia lieku. Podmienené zaradenie samo osebe neznamená, že liek nikdy nemôže byť relevantným komparátorom. Ak po skončení obdobia podmienenej úhrady splní zákonom stanovené podmienky a jeho úhrada bude potvrdená v štandardnom režime vrátane splnenia podmienky nákladovej efektívnosti, jeho postavenie sa zmení. Takýto liek môže následne predstavovať súčasť štandardnej klinickej praxe a pri hodnotení ďalšej intervencie v rovnakej indikácii môže byť použitý ako relevantný komparátor. </w:t>
      </w:r>
    </w:p>
    <w:p w14:paraId="139D97B6" w14:textId="77777777" w:rsidR="008B57BA" w:rsidRPr="008B57BA" w:rsidRDefault="008B57BA" w:rsidP="008B57BA">
      <w:pPr>
        <w:jc w:val="both"/>
        <w:rPr>
          <w:rFonts w:ascii="Times New Roman" w:hAnsi="Times New Roman" w:cs="Times New Roman"/>
        </w:rPr>
      </w:pPr>
      <w:r w:rsidRPr="008B57BA">
        <w:rPr>
          <w:rFonts w:ascii="Times New Roman" w:hAnsi="Times New Roman" w:cs="Times New Roman"/>
        </w:rPr>
        <w:t>Výnimka pre liek podľa § 7 ods. 5, ktorý bol vo vzťahu k indikačnému obmedzeniu prehodnotený podľa § 93 ods. 2 a vzhľadom na podmienky dohodnuté v zmluve podľa § 7a ods. 1 spĺňa podmienky podľa § 7 ods. 2, zabezpečuje, aby pravidlo nevylúčilo liek, ktorého postavenie bolo následne riadne prehodnotené a pri ktorom už boli splnené podmienky požadované pre štandardnú úhradu. </w:t>
      </w:r>
    </w:p>
    <w:p w14:paraId="1FD1D5F2" w14:textId="77777777" w:rsidR="008B57BA" w:rsidRPr="008B57BA" w:rsidRDefault="008B57BA" w:rsidP="008B57BA">
      <w:pPr>
        <w:jc w:val="both"/>
        <w:rPr>
          <w:rFonts w:ascii="Times New Roman" w:hAnsi="Times New Roman" w:cs="Times New Roman"/>
        </w:rPr>
      </w:pPr>
      <w:r w:rsidRPr="008B57BA">
        <w:rPr>
          <w:rFonts w:ascii="Times New Roman" w:hAnsi="Times New Roman" w:cs="Times New Roman"/>
        </w:rPr>
        <w:t>Takéto riešenie zároveň zachováva základný princíp navrhovanej definície: rozhodujúce nie je samotné historické zaradenie lieku podľa konkrétneho ustanovenia, ale jeho aktuálne postavenie a preukázanie podmienok štandardnej úhrady v čase posudzovania nového lieku. </w:t>
      </w:r>
    </w:p>
    <w:p w14:paraId="4F8891DE" w14:textId="77777777" w:rsidR="005F099F" w:rsidRPr="005F099F" w:rsidRDefault="008B57BA" w:rsidP="005F099F">
      <w:pPr>
        <w:jc w:val="both"/>
        <w:rPr>
          <w:rFonts w:ascii="Times New Roman" w:hAnsi="Times New Roman" w:cs="Times New Roman"/>
        </w:rPr>
      </w:pPr>
      <w:r>
        <w:rPr>
          <w:rFonts w:ascii="Times New Roman" w:hAnsi="Times New Roman" w:cs="Times New Roman"/>
          <w:b/>
          <w:bCs/>
        </w:rPr>
        <w:t>Odsek 7</w:t>
      </w:r>
      <w:r>
        <w:rPr>
          <w:rFonts w:ascii="Times New Roman" w:hAnsi="Times New Roman" w:cs="Times New Roman"/>
        </w:rPr>
        <w:t xml:space="preserve"> </w:t>
      </w:r>
      <w:r w:rsidR="005F099F" w:rsidRPr="005F099F">
        <w:rPr>
          <w:rFonts w:ascii="Times New Roman" w:hAnsi="Times New Roman" w:cs="Times New Roman"/>
        </w:rPr>
        <w:t xml:space="preserve">ustanovuje povinnosť vykonať farmako-ekonomické porovnanie so všetkými určenými relevantnými komparátormi. Cieľom je zabezpečiť, aby výsledok farmako-ekonomického hodnotenia zohľadňoval všetky terapeutické možnosti, ktoré boli podľa </w:t>
      </w:r>
      <w:r w:rsidR="005F099F" w:rsidRPr="005F099F">
        <w:rPr>
          <w:rFonts w:ascii="Times New Roman" w:hAnsi="Times New Roman" w:cs="Times New Roman"/>
        </w:rPr>
        <w:lastRenderedPageBreak/>
        <w:t>stanovených kritérií identifikované ako relevantné pre posudzovanú indikáciu a cieľovú populáciu.</w:t>
      </w:r>
    </w:p>
    <w:p w14:paraId="4550BE9A" w14:textId="58361447" w:rsidR="005F099F" w:rsidRPr="005F099F" w:rsidRDefault="005F099F" w:rsidP="005F099F">
      <w:pPr>
        <w:jc w:val="both"/>
        <w:rPr>
          <w:rFonts w:ascii="Times New Roman" w:hAnsi="Times New Roman" w:cs="Times New Roman"/>
        </w:rPr>
      </w:pPr>
      <w:r w:rsidRPr="005F099F">
        <w:rPr>
          <w:rFonts w:ascii="Times New Roman" w:hAnsi="Times New Roman" w:cs="Times New Roman"/>
        </w:rPr>
        <w:t xml:space="preserve">V prípade viacerých relevantných komparátorov sa pre stanovenie nákladovo efektívnej úhrady použije výsledok porovnania, pri ktorom sa dosiahne </w:t>
      </w:r>
      <w:r w:rsidR="00CE1337">
        <w:rPr>
          <w:rFonts w:ascii="Times New Roman" w:hAnsi="Times New Roman" w:cs="Times New Roman"/>
        </w:rPr>
        <w:t>najnižšia úhrada</w:t>
      </w:r>
      <w:r w:rsidRPr="005F099F">
        <w:rPr>
          <w:rFonts w:ascii="Times New Roman" w:hAnsi="Times New Roman" w:cs="Times New Roman"/>
        </w:rPr>
        <w:t xml:space="preserve"> lieku. </w:t>
      </w:r>
      <w:r w:rsidR="00CE1337">
        <w:rPr>
          <w:rFonts w:ascii="Times New Roman" w:hAnsi="Times New Roman" w:cs="Times New Roman"/>
        </w:rPr>
        <w:t xml:space="preserve">Navrhované znenie </w:t>
      </w:r>
      <w:r w:rsidRPr="005F099F">
        <w:rPr>
          <w:rFonts w:ascii="Times New Roman" w:hAnsi="Times New Roman" w:cs="Times New Roman"/>
        </w:rPr>
        <w:t>zohľadňuje skutočnosť, že posudzovaný liek musí byť nákladovo efektívny vo vzťahu ku každej relevantnej terapeutickej alternatíve a zároveň zabraňuje tomu, aby bol výsledok hodnotenia založený na priemerovaní výsledkov medzi terapeutickými možnosťami s rozdielnou klinickou a ekonomickou charakteristikou.</w:t>
      </w:r>
    </w:p>
    <w:p w14:paraId="45ACE253" w14:textId="77777777" w:rsidR="005F099F" w:rsidRPr="005F099F" w:rsidRDefault="005F099F" w:rsidP="005F099F">
      <w:pPr>
        <w:jc w:val="both"/>
        <w:rPr>
          <w:rFonts w:ascii="Times New Roman" w:hAnsi="Times New Roman" w:cs="Times New Roman"/>
        </w:rPr>
      </w:pPr>
      <w:r w:rsidRPr="005F099F">
        <w:rPr>
          <w:rFonts w:ascii="Times New Roman" w:hAnsi="Times New Roman" w:cs="Times New Roman"/>
        </w:rPr>
        <w:t>Použitie váženého terapeutického mixu relevantných komparátorov sa umožňuje výlučne pri prehodnotení nákladovej efektívnosti už kategorizovaného lieku. Dôvodom je skutočnosť, že liek, ktorý je už zaradený v zozname kategorizovaných liekov, v predchádzajúcom procese preukázal splnenie podmienky nákladovej efektívnosti. Zároveň môže v priebehu času dôjsť k zmene terapeutického prostredia, napríklad vstupom nového, účinnejšieho lieku, voči ktorému by pri individuálnom porovnaní nemuselo byť možné podmienku nákladovej efektívnosti splniť. V takomto prípade môže byť pri prehodnotení potrebné zohľadniť existujúce zastúpenie jednotlivých terapeutických možností v klinickej praxi.</w:t>
      </w:r>
    </w:p>
    <w:p w14:paraId="147375D4" w14:textId="77777777" w:rsidR="005F099F" w:rsidRPr="005F099F" w:rsidRDefault="005F099F" w:rsidP="005F099F">
      <w:pPr>
        <w:jc w:val="both"/>
        <w:rPr>
          <w:rFonts w:ascii="Times New Roman" w:hAnsi="Times New Roman" w:cs="Times New Roman"/>
        </w:rPr>
      </w:pPr>
      <w:r w:rsidRPr="005F099F">
        <w:rPr>
          <w:rFonts w:ascii="Times New Roman" w:hAnsi="Times New Roman" w:cs="Times New Roman"/>
        </w:rPr>
        <w:t>Použitie váženého terapeutického mixu v štandardnom procese kategorizácie nového lieku sa preto neumožňuje. Dôvodom je potreba zachovať jednoznačné posúdenie nákladovej efektívnosti novej technológie voči jednotlivým relevantným komparátorom a zároveň zabrániť situácii, keď by agregácia komparátorov prostredníctvom ich trhových podielov mohla viesť k výsledku, ktorý by nezodpovedal nákladovej efektívnosti voči niektorej z relevantných terapeutických alternatív.</w:t>
      </w:r>
    </w:p>
    <w:p w14:paraId="2C7BFA2B" w14:textId="77777777" w:rsidR="005F099F" w:rsidRPr="005F099F" w:rsidRDefault="005F099F" w:rsidP="005F099F">
      <w:pPr>
        <w:jc w:val="both"/>
        <w:rPr>
          <w:rFonts w:ascii="Times New Roman" w:hAnsi="Times New Roman" w:cs="Times New Roman"/>
        </w:rPr>
      </w:pPr>
      <w:r w:rsidRPr="005F099F">
        <w:rPr>
          <w:rFonts w:ascii="Times New Roman" w:hAnsi="Times New Roman" w:cs="Times New Roman"/>
        </w:rPr>
        <w:t>Možnosti použitia zloženého komparátora v osobitných situáciách sú upravené v metodickej príručke. Zložený komparátor pritom nemožno stotožňovať s váženým terapeutickým mixom, keďže ide o odlišné metodické postupy s odlišným účelom použitia</w:t>
      </w:r>
    </w:p>
    <w:p w14:paraId="68ED0205" w14:textId="3FEC4EAC" w:rsidR="004141AD" w:rsidRPr="00CE1337" w:rsidRDefault="00CE1337" w:rsidP="00C502AE">
      <w:pPr>
        <w:jc w:val="both"/>
        <w:rPr>
          <w:rFonts w:ascii="Times New Roman" w:hAnsi="Times New Roman" w:cs="Times New Roman"/>
          <w:b/>
          <w:bCs/>
          <w:i/>
          <w:iCs/>
        </w:rPr>
      </w:pPr>
      <w:r w:rsidRPr="00CE1337">
        <w:rPr>
          <w:rFonts w:ascii="Times New Roman" w:hAnsi="Times New Roman" w:cs="Times New Roman"/>
          <w:b/>
          <w:bCs/>
          <w:i/>
          <w:iCs/>
        </w:rPr>
        <w:t>§ 1 ods. 8</w:t>
      </w:r>
    </w:p>
    <w:p w14:paraId="4330B2A3" w14:textId="77777777" w:rsidR="005F099F" w:rsidRPr="005F099F" w:rsidRDefault="005F099F" w:rsidP="005F099F">
      <w:pPr>
        <w:jc w:val="both"/>
        <w:rPr>
          <w:rFonts w:ascii="Times New Roman" w:hAnsi="Times New Roman" w:cs="Times New Roman"/>
        </w:rPr>
      </w:pPr>
      <w:r w:rsidRPr="005F099F">
        <w:rPr>
          <w:rFonts w:ascii="Times New Roman" w:hAnsi="Times New Roman" w:cs="Times New Roman"/>
        </w:rPr>
        <w:t>Vypustenie požiadavky na vykonanie analýzy nákladovej efektívnosti z vyhlášky nadväzuje na podmienky stanovené v § 7 ods. 2 zákona č. 363/2011 Z. z., ktorý ustanovuje konkrétne spôsoby preukázania nákladovej efektívnosti lieku. Podľa uvedeného ustanovenia sa nákladová efektívnosť preukazuje analýzou minimalizácie nákladov alebo analýzou užitočnosti nákladov.</w:t>
      </w:r>
    </w:p>
    <w:p w14:paraId="35DA2331" w14:textId="6E46A3FE" w:rsidR="004141AD" w:rsidRDefault="005F099F" w:rsidP="00C502AE">
      <w:pPr>
        <w:jc w:val="both"/>
        <w:rPr>
          <w:rFonts w:ascii="Times New Roman" w:hAnsi="Times New Roman" w:cs="Times New Roman"/>
        </w:rPr>
      </w:pPr>
      <w:r w:rsidRPr="005F099F">
        <w:rPr>
          <w:rFonts w:ascii="Times New Roman" w:hAnsi="Times New Roman" w:cs="Times New Roman"/>
        </w:rPr>
        <w:t>Zákon zároveň ustanovuje požiadavku na vyjadrenie prínosu v jednotkách QALY. Vzhľadom na to sa samostatné ustanovenie požiadavky na vykonanie analýzy nákladovej efektívnosti vo vyhláške javí ako nadbytočné, keďže spôsob preukázania nákladovej efektívnosti a požiadavky na vyjadrenie prínosu sú upravené priamo zákonom. Vypustením uvedenej požiadavky sa zároveň odstraňuje možná terminologická nejednoznačnosť medzi všeobecným označením analýzy nákladovej efektívnosti a konkrétnymi typmi ekonomických analýz ustanovenými v § 7 ods. 2 zákona.</w:t>
      </w:r>
    </w:p>
    <w:p w14:paraId="42B9A550" w14:textId="30367E79" w:rsidR="00CE1337" w:rsidRPr="00CE1337" w:rsidRDefault="00CE1337" w:rsidP="00CE1337">
      <w:pPr>
        <w:jc w:val="both"/>
        <w:rPr>
          <w:rFonts w:ascii="Times New Roman" w:hAnsi="Times New Roman" w:cs="Times New Roman"/>
          <w:b/>
          <w:bCs/>
          <w:i/>
          <w:iCs/>
        </w:rPr>
      </w:pPr>
      <w:r w:rsidRPr="00CE1337">
        <w:rPr>
          <w:rFonts w:ascii="Times New Roman" w:hAnsi="Times New Roman" w:cs="Times New Roman"/>
          <w:b/>
          <w:bCs/>
          <w:i/>
          <w:iCs/>
        </w:rPr>
        <w:t xml:space="preserve">§ 1 ods. </w:t>
      </w:r>
      <w:r>
        <w:rPr>
          <w:rFonts w:ascii="Times New Roman" w:hAnsi="Times New Roman" w:cs="Times New Roman"/>
          <w:b/>
          <w:bCs/>
          <w:i/>
          <w:iCs/>
        </w:rPr>
        <w:t>9</w:t>
      </w:r>
    </w:p>
    <w:p w14:paraId="3B023972" w14:textId="77777777" w:rsidR="005F099F" w:rsidRDefault="005F099F" w:rsidP="00C502AE">
      <w:pPr>
        <w:jc w:val="both"/>
        <w:rPr>
          <w:rFonts w:ascii="Times New Roman" w:hAnsi="Times New Roman" w:cs="Times New Roman"/>
        </w:rPr>
      </w:pPr>
      <w:r w:rsidRPr="005F099F">
        <w:rPr>
          <w:rFonts w:ascii="Times New Roman" w:hAnsi="Times New Roman" w:cs="Times New Roman"/>
        </w:rPr>
        <w:lastRenderedPageBreak/>
        <w:t>Ide o legislatívno-technickú úpravu a zároveň o precizovanie významu ustanovenia s cieľom jednoznačne vyjadriť, že sa posudzuje vplyv ako celok, nie jednotlivé vplyvy samostatne.</w:t>
      </w:r>
    </w:p>
    <w:p w14:paraId="359EA387" w14:textId="0063D2AC" w:rsidR="00CE1337" w:rsidRPr="00CE1337" w:rsidRDefault="00CE1337" w:rsidP="00CE1337">
      <w:pPr>
        <w:jc w:val="both"/>
        <w:rPr>
          <w:rFonts w:ascii="Times New Roman" w:hAnsi="Times New Roman" w:cs="Times New Roman"/>
          <w:b/>
          <w:bCs/>
          <w:i/>
          <w:iCs/>
        </w:rPr>
      </w:pPr>
      <w:r w:rsidRPr="00CE1337">
        <w:rPr>
          <w:rFonts w:ascii="Times New Roman" w:hAnsi="Times New Roman" w:cs="Times New Roman"/>
          <w:b/>
          <w:bCs/>
          <w:i/>
          <w:iCs/>
        </w:rPr>
        <w:t xml:space="preserve">§ 1 ods. </w:t>
      </w:r>
      <w:r>
        <w:rPr>
          <w:rFonts w:ascii="Times New Roman" w:hAnsi="Times New Roman" w:cs="Times New Roman"/>
          <w:b/>
          <w:bCs/>
          <w:i/>
          <w:iCs/>
        </w:rPr>
        <w:t>10</w:t>
      </w:r>
    </w:p>
    <w:p w14:paraId="1E57E2D1" w14:textId="77777777" w:rsidR="0056616B" w:rsidRPr="0056616B" w:rsidRDefault="0056616B" w:rsidP="0056616B">
      <w:pPr>
        <w:jc w:val="both"/>
        <w:rPr>
          <w:rFonts w:ascii="Times New Roman" w:hAnsi="Times New Roman" w:cs="Times New Roman"/>
        </w:rPr>
      </w:pPr>
      <w:r w:rsidRPr="0056616B">
        <w:rPr>
          <w:rFonts w:ascii="Times New Roman" w:hAnsi="Times New Roman" w:cs="Times New Roman"/>
        </w:rPr>
        <w:t>Navrhované ustanovenie precizuje požiadavky na vykonávanie analýzy citlivosti v rámci farmako-ekonomického rozboru. Doterajšie znenie vyhlášky upravuje analýzu citlivosti prostredníctvom modelov vychádzajúcich z najpravdepodobnejších hodnôt neurčitých parametrov a z hodnôt týchto parametrov znížených alebo zvýšených najmenej o 30 %. Takto nastavená požiadavka upravuje konkrétny rozsah zmeny hodnôt parametrov, pričom osobitne neupravuje pravdepodobnostnú analýzu citlivosti.</w:t>
      </w:r>
    </w:p>
    <w:p w14:paraId="2CA5234D" w14:textId="75958868" w:rsidR="0056616B" w:rsidRPr="0056616B" w:rsidRDefault="0056616B" w:rsidP="0056616B">
      <w:pPr>
        <w:jc w:val="both"/>
        <w:rPr>
          <w:rFonts w:ascii="Times New Roman" w:hAnsi="Times New Roman" w:cs="Times New Roman"/>
        </w:rPr>
      </w:pPr>
      <w:r w:rsidRPr="0056616B">
        <w:rPr>
          <w:rFonts w:ascii="Times New Roman" w:hAnsi="Times New Roman" w:cs="Times New Roman"/>
        </w:rPr>
        <w:t>Nové znenie výslovne ustanovuje požiadavku na vykonanie</w:t>
      </w:r>
      <w:r>
        <w:rPr>
          <w:rFonts w:ascii="Times New Roman" w:hAnsi="Times New Roman" w:cs="Times New Roman"/>
        </w:rPr>
        <w:t xml:space="preserve"> jednosmernej</w:t>
      </w:r>
      <w:r w:rsidRPr="0056616B">
        <w:rPr>
          <w:rFonts w:ascii="Times New Roman" w:hAnsi="Times New Roman" w:cs="Times New Roman"/>
        </w:rPr>
        <w:t xml:space="preserve"> deterministickej analýzy citlivosti a pravdepodobnostnej analýzy citlivosti (PSA). Cieľom je umožniť komplexnejšie posúdenie neistoty spojenej s výsledkami farmako-ekonomického modelu. Deterministická analýza citlivosti umožňuje posúdiť vplyv zmien neistých parametrov a predpokladov na výsledky hodnotenia, zatiaľ čo pravdepodobnostná analýza citlivosti umožňuje súčasne zohľadniť neistotu viacerých parametrov a posúdiť jej vplyv na výsledky farmako-ekonomického hodnotenia vrátane pravdepodobnosti splnenia podmienok nákladovej efektívnosti podľa § 7 ods. 2 zákona č. 363/2011 Z. z.</w:t>
      </w:r>
    </w:p>
    <w:p w14:paraId="5647FD5D" w14:textId="77777777" w:rsidR="0056616B" w:rsidRPr="0056616B" w:rsidRDefault="0056616B" w:rsidP="0056616B">
      <w:pPr>
        <w:jc w:val="both"/>
        <w:rPr>
          <w:rFonts w:ascii="Times New Roman" w:hAnsi="Times New Roman" w:cs="Times New Roman"/>
        </w:rPr>
      </w:pPr>
      <w:r w:rsidRPr="0056616B">
        <w:rPr>
          <w:rFonts w:ascii="Times New Roman" w:hAnsi="Times New Roman" w:cs="Times New Roman"/>
        </w:rPr>
        <w:t>Doplnenie požiadavky na pravdepodobnostnú analýzu citlivosti zároveň zvyšuje informačnú hodnotu farmako-ekonomického rozboru pri posudzovaní neistoty výsledkov a umožňuje jej systematickejšie zohľadnenie pri rozhodovaní o úhrade lieku.</w:t>
      </w:r>
    </w:p>
    <w:p w14:paraId="1095B92C" w14:textId="6C995A15" w:rsidR="00CE1337" w:rsidRPr="00CE1337" w:rsidRDefault="00CE1337" w:rsidP="00CE1337">
      <w:pPr>
        <w:jc w:val="both"/>
        <w:rPr>
          <w:rFonts w:ascii="Times New Roman" w:hAnsi="Times New Roman" w:cs="Times New Roman"/>
          <w:b/>
          <w:bCs/>
          <w:i/>
          <w:iCs/>
        </w:rPr>
      </w:pPr>
      <w:r w:rsidRPr="00CE1337">
        <w:rPr>
          <w:rFonts w:ascii="Times New Roman" w:hAnsi="Times New Roman" w:cs="Times New Roman"/>
          <w:b/>
          <w:bCs/>
          <w:i/>
          <w:iCs/>
        </w:rPr>
        <w:t xml:space="preserve">§ 1 ods. </w:t>
      </w:r>
      <w:r>
        <w:rPr>
          <w:rFonts w:ascii="Times New Roman" w:hAnsi="Times New Roman" w:cs="Times New Roman"/>
          <w:b/>
          <w:bCs/>
          <w:i/>
          <w:iCs/>
        </w:rPr>
        <w:t>11-17</w:t>
      </w:r>
    </w:p>
    <w:p w14:paraId="60941489" w14:textId="32897759" w:rsidR="0056616B" w:rsidRPr="0056616B" w:rsidRDefault="0056616B" w:rsidP="00C502AE">
      <w:pPr>
        <w:jc w:val="both"/>
        <w:rPr>
          <w:rFonts w:ascii="Times New Roman" w:hAnsi="Times New Roman" w:cs="Times New Roman"/>
        </w:rPr>
      </w:pPr>
      <w:r w:rsidRPr="0056616B">
        <w:rPr>
          <w:rFonts w:ascii="Times New Roman" w:hAnsi="Times New Roman" w:cs="Times New Roman"/>
        </w:rPr>
        <w:t xml:space="preserve">Vloženie nových odsekov 11 až 17 bližšie upravuje požiadavky na vykonávanie </w:t>
      </w:r>
      <w:r>
        <w:rPr>
          <w:rFonts w:ascii="Times New Roman" w:hAnsi="Times New Roman" w:cs="Times New Roman"/>
        </w:rPr>
        <w:t xml:space="preserve">jednosmernej </w:t>
      </w:r>
      <w:r w:rsidRPr="0056616B">
        <w:rPr>
          <w:rFonts w:ascii="Times New Roman" w:hAnsi="Times New Roman" w:cs="Times New Roman"/>
        </w:rPr>
        <w:t>deterministickej a pravdepodobnostnej analýzy citlivosti a analýzy scenárov. Cieľom úpravy je rozlíšiť jednotlivé typy analýz podľa zdroja a charakteru neistoty, ktorú majú zachytiť, a zároveň ustanoviť základné požiadavky na ich vykonanie, odôvodnenie a prezentáciu výsledkov.</w:t>
      </w:r>
    </w:p>
    <w:p w14:paraId="6AC6F10E" w14:textId="77777777" w:rsidR="0056616B" w:rsidRPr="0056616B" w:rsidRDefault="00D77669" w:rsidP="0056616B">
      <w:pPr>
        <w:jc w:val="both"/>
        <w:rPr>
          <w:rFonts w:ascii="Times New Roman" w:hAnsi="Times New Roman" w:cs="Times New Roman"/>
        </w:rPr>
      </w:pPr>
      <w:r w:rsidRPr="00D77669">
        <w:rPr>
          <w:rFonts w:ascii="Times New Roman" w:hAnsi="Times New Roman" w:cs="Times New Roman"/>
          <w:b/>
          <w:bCs/>
        </w:rPr>
        <w:t>Odsek 11</w:t>
      </w:r>
      <w:r>
        <w:rPr>
          <w:rFonts w:ascii="Times New Roman" w:hAnsi="Times New Roman" w:cs="Times New Roman"/>
        </w:rPr>
        <w:t xml:space="preserve"> </w:t>
      </w:r>
      <w:r w:rsidR="0056616B" w:rsidRPr="0056616B">
        <w:rPr>
          <w:rFonts w:ascii="Times New Roman" w:hAnsi="Times New Roman" w:cs="Times New Roman"/>
        </w:rPr>
        <w:t>upravuje spôsob stanovenia rozsahu neistoty neurčitých parametrov pri jednosmernej deterministickej analýze citlivosti. Doterajšia úprava vychádza z pevne stanoveného zvýšenia alebo zníženia hodnoty neurčitých parametrov najmenej o 30 %. Navrhovaná úprava tento pevne stanovený rozsah nahrádza postupom, ktorý vychádza z dostupných údajov o neistote konkrétneho parametra, najmä z intervalu spoľahlivosti na úrovni 95 %, štandardnej chyby alebo smerodajnej odchýlky podľa charakteru parametra. Takýto prístup umožňuje, aby rozsah zmeny parametra lepšie odrážal skutočnú mieru neistoty v dostupných údajoch a nebol určovaný jednotne bez ohľadu na charakter a kvalitu údajov.</w:t>
      </w:r>
    </w:p>
    <w:p w14:paraId="6D1A90DB" w14:textId="77777777" w:rsidR="0056616B" w:rsidRPr="0056616B" w:rsidRDefault="0056616B" w:rsidP="0056616B">
      <w:pPr>
        <w:jc w:val="both"/>
        <w:rPr>
          <w:rFonts w:ascii="Times New Roman" w:hAnsi="Times New Roman" w:cs="Times New Roman"/>
        </w:rPr>
      </w:pPr>
      <w:r w:rsidRPr="0056616B">
        <w:rPr>
          <w:rFonts w:ascii="Times New Roman" w:hAnsi="Times New Roman" w:cs="Times New Roman"/>
        </w:rPr>
        <w:t xml:space="preserve">Navrhované nastavenie zároveň zohľadňuje spôsob, akým sú deterministické analýzy citlivosti štandardne implementované vo farmako-ekonomických modeloch, a môže uľahčiť overovanie výsledkov analýzy citlivosti v rámci hodnotenia. Ak nie sú k dispozícii údaje umožňujúce určiť rozsah neistoty na základe intervalu spoľahlivosti, štandardnej chyby alebo smerodajnej </w:t>
      </w:r>
      <w:r w:rsidRPr="0056616B">
        <w:rPr>
          <w:rFonts w:ascii="Times New Roman" w:hAnsi="Times New Roman" w:cs="Times New Roman"/>
        </w:rPr>
        <w:lastRenderedPageBreak/>
        <w:t>odchýlky, umožňuje sa použiť primeraný a klinicky odôvodnený percentuálny rozsah zníženia a zvýšenia hodnoty parametra.</w:t>
      </w:r>
    </w:p>
    <w:p w14:paraId="055F1E48" w14:textId="659CFF37" w:rsidR="00D77669" w:rsidRDefault="00D77669" w:rsidP="00C502AE">
      <w:pPr>
        <w:jc w:val="both"/>
        <w:rPr>
          <w:rFonts w:ascii="Times New Roman" w:hAnsi="Times New Roman" w:cs="Times New Roman"/>
        </w:rPr>
      </w:pPr>
      <w:r w:rsidRPr="00D77669">
        <w:rPr>
          <w:rFonts w:ascii="Times New Roman" w:hAnsi="Times New Roman" w:cs="Times New Roman"/>
          <w:b/>
          <w:bCs/>
        </w:rPr>
        <w:t>Odsek 12</w:t>
      </w:r>
      <w:r>
        <w:rPr>
          <w:rFonts w:ascii="Times New Roman" w:hAnsi="Times New Roman" w:cs="Times New Roman"/>
        </w:rPr>
        <w:t xml:space="preserve"> </w:t>
      </w:r>
      <w:r w:rsidR="0056616B" w:rsidRPr="0056616B">
        <w:rPr>
          <w:rFonts w:ascii="Times New Roman" w:hAnsi="Times New Roman" w:cs="Times New Roman"/>
        </w:rPr>
        <w:t>upravuje požiadavky na pravdepodobnostnú analýzu citlivosti. Pre neurčité parametre sa majú použiť pravdepodobnostné rozdelenia zodpovedajúce charakteru parametra a dostupným údajom. Cieľom je zabezpečiť, aby bola neistota jednotlivých parametrov v pravdepodobnostnej analýze reprezentovaná spôsobom zodpovedajúcim ich charakteru a dostupnej evidencii. Pravdepodobnostná analýza citlivosti tak umožňuje posúdiť spoločný vplyv neistoty viacerých parametrov na výsledok farmako-ekonomického hodnotenia</w:t>
      </w:r>
      <w:r>
        <w:rPr>
          <w:rFonts w:ascii="Times New Roman" w:hAnsi="Times New Roman" w:cs="Times New Roman"/>
        </w:rPr>
        <w:t xml:space="preserve">. </w:t>
      </w:r>
    </w:p>
    <w:p w14:paraId="4FDACFD0" w14:textId="52ED01CB" w:rsidR="00D77669" w:rsidRDefault="00D77669" w:rsidP="00C502AE">
      <w:pPr>
        <w:jc w:val="both"/>
        <w:rPr>
          <w:rFonts w:ascii="Times New Roman" w:hAnsi="Times New Roman" w:cs="Times New Roman"/>
        </w:rPr>
      </w:pPr>
      <w:r w:rsidRPr="00D77669">
        <w:rPr>
          <w:rFonts w:ascii="Times New Roman" w:hAnsi="Times New Roman" w:cs="Times New Roman"/>
          <w:b/>
          <w:bCs/>
        </w:rPr>
        <w:t>Odsek</w:t>
      </w:r>
      <w:r>
        <w:rPr>
          <w:rFonts w:ascii="Times New Roman" w:hAnsi="Times New Roman" w:cs="Times New Roman"/>
        </w:rPr>
        <w:t xml:space="preserve"> </w:t>
      </w:r>
      <w:r w:rsidRPr="00D77669">
        <w:rPr>
          <w:rFonts w:ascii="Times New Roman" w:hAnsi="Times New Roman" w:cs="Times New Roman"/>
          <w:b/>
          <w:bCs/>
        </w:rPr>
        <w:t>13</w:t>
      </w:r>
      <w:r>
        <w:rPr>
          <w:rFonts w:ascii="Times New Roman" w:hAnsi="Times New Roman" w:cs="Times New Roman"/>
        </w:rPr>
        <w:t xml:space="preserve"> </w:t>
      </w:r>
      <w:r w:rsidR="0056616B" w:rsidRPr="0056616B">
        <w:rPr>
          <w:rFonts w:ascii="Times New Roman" w:hAnsi="Times New Roman" w:cs="Times New Roman"/>
        </w:rPr>
        <w:t>vymedzuje účel a rámec analýzy scenárov ustanovenej v § 1 ods. 1 písm. i). Analýza scenárov sa zameriava na neistotu súvisiacu najmä so štruktúrou farmako-ekonomického modelu, použitými metodickými postupmi, klinickými predpokladmi, výberom zdrojov údajov a ďalšími predpokladmi, ktorých neistota nie je primerane zachytená analýzou citlivosti. Zároveň sa výslovne ustanovuje, že analýza scenárov sa vykonáva samostatne od analýzy citlivosti. Rozlíšenie týchto analýz umožňuje odlíšiť neistotu hodnôt jednotlivých parametrov od neistoty vyplývajúcej z alternatívnych metodických, štrukturálnych alebo klinických predpokladov</w:t>
      </w:r>
      <w:r>
        <w:rPr>
          <w:rFonts w:ascii="Times New Roman" w:hAnsi="Times New Roman" w:cs="Times New Roman"/>
        </w:rPr>
        <w:t>.</w:t>
      </w:r>
    </w:p>
    <w:p w14:paraId="131DBD57" w14:textId="77777777" w:rsidR="0056616B" w:rsidRPr="0056616B" w:rsidRDefault="00D77669" w:rsidP="0056616B">
      <w:pPr>
        <w:jc w:val="both"/>
        <w:rPr>
          <w:rFonts w:ascii="Times New Roman" w:hAnsi="Times New Roman" w:cs="Times New Roman"/>
        </w:rPr>
      </w:pPr>
      <w:r>
        <w:rPr>
          <w:rFonts w:ascii="Times New Roman" w:hAnsi="Times New Roman" w:cs="Times New Roman"/>
          <w:b/>
          <w:bCs/>
        </w:rPr>
        <w:t>Odsek 14</w:t>
      </w:r>
      <w:r>
        <w:rPr>
          <w:rFonts w:ascii="Times New Roman" w:hAnsi="Times New Roman" w:cs="Times New Roman"/>
        </w:rPr>
        <w:t xml:space="preserve"> </w:t>
      </w:r>
      <w:r w:rsidR="0056616B" w:rsidRPr="0056616B">
        <w:rPr>
          <w:rFonts w:ascii="Times New Roman" w:hAnsi="Times New Roman" w:cs="Times New Roman"/>
        </w:rPr>
        <w:t>bližšie vymedzuje oblasti, v ktorých možno v rámci analýzy scenárov posudzovať alternatívne klinicky a metodicky odôvodnené predpoklady. Ide najmä o výber relevantného komparátora, vymedzenie cieľovej populácie, dĺžku a spôsob liečby, extrapoláciu výsledkov, časový horizont, následnú liečbu, ceny a úhrady relevantných komparátorov, zastúpenie jednotlivých terapeutických možností v klinickej praxi a ďalšie predpoklady, ktoré môžu mať významný vplyv na výsledky farmako-ekonomickej analýzy alebo analýzy vplyvu na rozpočet verejného zdravotného poistenia.</w:t>
      </w:r>
    </w:p>
    <w:p w14:paraId="76F56075" w14:textId="77777777" w:rsidR="0056616B" w:rsidRPr="0056616B" w:rsidRDefault="0056616B" w:rsidP="0056616B">
      <w:pPr>
        <w:jc w:val="both"/>
        <w:rPr>
          <w:rFonts w:ascii="Times New Roman" w:hAnsi="Times New Roman" w:cs="Times New Roman"/>
        </w:rPr>
      </w:pPr>
      <w:r w:rsidRPr="0056616B">
        <w:rPr>
          <w:rFonts w:ascii="Times New Roman" w:hAnsi="Times New Roman" w:cs="Times New Roman"/>
        </w:rPr>
        <w:t>Výpočet alternatívnych scenárov umožňuje overiť vplyv rôznych odôvodnených predpokladov na výsledok základného scenára a identifikovať, do akej miery výsledok hodnotenia závisí od konkrétneho metodického alebo klinického nastavenia. Výpočet scenárov preto prispieva k lepšiemu charakterizovaniu neistoty výsledku a poskytuje informáciu o rozsahu možných výsledkov pri alternatívnych, odborne odôvodnených nastaveniach.</w:t>
      </w:r>
    </w:p>
    <w:p w14:paraId="6D919A9C" w14:textId="080744F2" w:rsidR="00D77669" w:rsidRDefault="0056616B" w:rsidP="00C502AE">
      <w:pPr>
        <w:jc w:val="both"/>
        <w:rPr>
          <w:rFonts w:ascii="Times New Roman" w:hAnsi="Times New Roman" w:cs="Times New Roman"/>
        </w:rPr>
      </w:pPr>
      <w:r w:rsidRPr="0056616B">
        <w:rPr>
          <w:rFonts w:ascii="Times New Roman" w:hAnsi="Times New Roman" w:cs="Times New Roman"/>
        </w:rPr>
        <w:t>Vymenovanie oblastí v odseku 14 nie je taxatívne a neznamená povinnosť vykonať analýzu scenárov pre všetky uvedené parametre alebo predpoklady. Výber konkrétnych scenárov má vychádzať z identifikácie významnej neistoty relevantnej pre posudzované hodnotenie a z očakávaného vplyvu príslušného predpokladu na jeho výsledok</w:t>
      </w:r>
      <w:r w:rsidR="00D77669">
        <w:rPr>
          <w:rFonts w:ascii="Times New Roman" w:hAnsi="Times New Roman" w:cs="Times New Roman"/>
        </w:rPr>
        <w:t xml:space="preserve">. </w:t>
      </w:r>
    </w:p>
    <w:p w14:paraId="65617D53" w14:textId="675EDD76" w:rsidR="00984910" w:rsidRPr="00984910" w:rsidRDefault="00984910" w:rsidP="00C502AE">
      <w:pPr>
        <w:jc w:val="both"/>
        <w:rPr>
          <w:rFonts w:ascii="Times New Roman" w:hAnsi="Times New Roman" w:cs="Times New Roman"/>
        </w:rPr>
      </w:pPr>
      <w:r>
        <w:rPr>
          <w:rFonts w:ascii="Times New Roman" w:hAnsi="Times New Roman" w:cs="Times New Roman"/>
          <w:b/>
          <w:bCs/>
        </w:rPr>
        <w:t xml:space="preserve">Odsek 15 </w:t>
      </w:r>
      <w:r w:rsidR="0056616B" w:rsidRPr="0056616B">
        <w:rPr>
          <w:rFonts w:ascii="Times New Roman" w:hAnsi="Times New Roman" w:cs="Times New Roman"/>
        </w:rPr>
        <w:t>ustanovuje požiadavku na riadne odôvodnenie alternatívnych predpokladov použitých v analýze scenárov. Alternatívne nastavenie nemá byť zvolené svojvoľne, ale musí vychádzať z dostupných vedeckých dôkazov, údajov z klinickej praxe, odborných odporúčaní alebo odborného posúdenia. Cieľom je zabezpečiť, aby jednotlivé scenáre predstavovali relevantné a odborne odôvodnené alternatívy základného scenára a aby ich použitie umožňovalo zmysluplné posúdenie neistoty výsledku</w:t>
      </w:r>
      <w:r>
        <w:rPr>
          <w:rFonts w:ascii="Times New Roman" w:hAnsi="Times New Roman" w:cs="Times New Roman"/>
        </w:rPr>
        <w:t>.</w:t>
      </w:r>
    </w:p>
    <w:p w14:paraId="2B4A0688" w14:textId="77777777" w:rsidR="0056616B" w:rsidRPr="0056616B" w:rsidRDefault="00984910" w:rsidP="0056616B">
      <w:pPr>
        <w:jc w:val="both"/>
        <w:rPr>
          <w:rFonts w:ascii="Times New Roman" w:hAnsi="Times New Roman" w:cs="Times New Roman"/>
        </w:rPr>
      </w:pPr>
      <w:r>
        <w:rPr>
          <w:rFonts w:ascii="Times New Roman" w:hAnsi="Times New Roman" w:cs="Times New Roman"/>
          <w:b/>
          <w:bCs/>
        </w:rPr>
        <w:t>Odsek 16</w:t>
      </w:r>
      <w:r>
        <w:rPr>
          <w:rFonts w:ascii="Times New Roman" w:hAnsi="Times New Roman" w:cs="Times New Roman"/>
        </w:rPr>
        <w:t xml:space="preserve"> </w:t>
      </w:r>
      <w:r w:rsidR="0056616B" w:rsidRPr="0056616B">
        <w:rPr>
          <w:rFonts w:ascii="Times New Roman" w:hAnsi="Times New Roman" w:cs="Times New Roman"/>
        </w:rPr>
        <w:t xml:space="preserve">ustanovuje požiadavky na spôsob prezentácie jednotlivých alternatívnych scenárov a ich porovnanie so základným scenárom. Pri každom scenári sa má uviesť predpoklad alebo </w:t>
      </w:r>
      <w:r w:rsidR="0056616B" w:rsidRPr="0056616B">
        <w:rPr>
          <w:rFonts w:ascii="Times New Roman" w:hAnsi="Times New Roman" w:cs="Times New Roman"/>
        </w:rPr>
        <w:lastRenderedPageBreak/>
        <w:t>skupina predpokladov, ktorými sa scenár odlišuje od základného scenára, ich odôvodnenie a zdroj údajov, ako aj hodnoty alebo nastavenia použité v základnom a alternatívnom scenári. Súčasťou prezentácie majú byť aj výsledné náklady, prínosy a rozdiely v nákladoch a prínosoch, výsledok farmako-ekonomickej analýzy vrátane inkrementálneho pomeru nákladov a prínosov, ak je relevantný, a zmena výsledku oproti základnému scenáru. Ak sa scenár týka predpokladov relevantných pre analýzu vplyvu na rozpočet verejného zdravotného poistenia, uvádza sa aj výsledok tejto analýzy.</w:t>
      </w:r>
    </w:p>
    <w:p w14:paraId="3C980FD4" w14:textId="2358EA44" w:rsidR="00D77669" w:rsidRDefault="0056616B" w:rsidP="00C502AE">
      <w:pPr>
        <w:jc w:val="both"/>
        <w:rPr>
          <w:rFonts w:ascii="Times New Roman" w:hAnsi="Times New Roman" w:cs="Times New Roman"/>
        </w:rPr>
      </w:pPr>
      <w:r w:rsidRPr="0056616B">
        <w:rPr>
          <w:rFonts w:ascii="Times New Roman" w:hAnsi="Times New Roman" w:cs="Times New Roman"/>
        </w:rPr>
        <w:t>Takto stanovené požiadavky zabezpečujú transparentné a prehľadné zobrazenie rozdielov medzi základným a alternatívnymi scenármi a umožňujú identifikovať konkrétne predpoklady, ktoré sú zodpovedné za zmenu výsledku farmako-ekonomického hodnotenia</w:t>
      </w:r>
      <w:r w:rsidR="00984910">
        <w:rPr>
          <w:rFonts w:ascii="Times New Roman" w:hAnsi="Times New Roman" w:cs="Times New Roman"/>
        </w:rPr>
        <w:t>.</w:t>
      </w:r>
    </w:p>
    <w:p w14:paraId="38F6B88E" w14:textId="77777777" w:rsidR="007C33F7" w:rsidRPr="007C33F7" w:rsidRDefault="00984910" w:rsidP="007C33F7">
      <w:pPr>
        <w:jc w:val="both"/>
        <w:rPr>
          <w:rFonts w:ascii="Times New Roman" w:hAnsi="Times New Roman" w:cs="Times New Roman"/>
        </w:rPr>
      </w:pPr>
      <w:r>
        <w:rPr>
          <w:rFonts w:ascii="Times New Roman" w:hAnsi="Times New Roman" w:cs="Times New Roman"/>
          <w:b/>
          <w:bCs/>
        </w:rPr>
        <w:t>Odsek 17</w:t>
      </w:r>
      <w:r>
        <w:rPr>
          <w:rFonts w:ascii="Times New Roman" w:hAnsi="Times New Roman" w:cs="Times New Roman"/>
        </w:rPr>
        <w:t xml:space="preserve"> </w:t>
      </w:r>
      <w:r w:rsidR="007C33F7" w:rsidRPr="007C33F7">
        <w:rPr>
          <w:rFonts w:ascii="Times New Roman" w:hAnsi="Times New Roman" w:cs="Times New Roman"/>
        </w:rPr>
        <w:t>ustanovuje požiadavky na overiteľnosť a reprodukovateľnosť výsledkov základného scenára a jednotlivých alternatívnych scenárov. Farmako-ekonomický model musí umožňovať samostatnú zmenu predpokladov a vstupných údajov, ktorými sa jednotlivé scenáre odlišujú od základného scenára, bez potreby zásahu do vzorcov alebo zdrojového kódu modelu. Ak nie je spôsob vykonania konkrétneho scenára z modelu jednoznačne zrejmý, musí byť súčasťou farmako-ekonomického rozboru opis postupu, vstupných údajov a nastavení potrebných na jeho vykonanie a overenie výsledku.</w:t>
      </w:r>
    </w:p>
    <w:p w14:paraId="3CE1840A" w14:textId="60AE43D4" w:rsidR="00984910" w:rsidRDefault="007C33F7" w:rsidP="00C502AE">
      <w:pPr>
        <w:jc w:val="both"/>
        <w:rPr>
          <w:rFonts w:ascii="Times New Roman" w:hAnsi="Times New Roman" w:cs="Times New Roman"/>
        </w:rPr>
      </w:pPr>
      <w:r w:rsidRPr="007C33F7">
        <w:rPr>
          <w:rFonts w:ascii="Times New Roman" w:hAnsi="Times New Roman" w:cs="Times New Roman"/>
        </w:rPr>
        <w:t>Požiadavka, aby pri zmene jedného predpokladu alebo skupiny vzájomne súvisiacich predpokladov zostali ostatné predpoklady a vstupné údaje zhodné so základným scenárom, pokiaľ ich súčasná zmena nie je vecne odôvodnená, má zabezpečiť jednoznačnú interpretáciu vplyvu vykonanej zmeny na výsledok. Takéto nastavenie zároveň zvyšuje transparentnosť a reprodukovateľnosť farmako-ekonomického hodnotenia a umožňuje účastníkom kategorizačného konania overiť dosiahnuté výsledky za rovnakých podmienok</w:t>
      </w:r>
      <w:r w:rsidR="00984910">
        <w:rPr>
          <w:rFonts w:ascii="Times New Roman" w:hAnsi="Times New Roman" w:cs="Times New Roman"/>
        </w:rPr>
        <w:t xml:space="preserve">. </w:t>
      </w:r>
    </w:p>
    <w:p w14:paraId="5AE090B4" w14:textId="60A3DDE7" w:rsidR="00CE1337" w:rsidRPr="003D3C29" w:rsidRDefault="00CE1337" w:rsidP="00CE1337">
      <w:pPr>
        <w:rPr>
          <w:rFonts w:ascii="Times New Roman" w:hAnsi="Times New Roman" w:cs="Times New Roman"/>
        </w:rPr>
      </w:pPr>
      <w:r w:rsidRPr="003D3C29">
        <w:rPr>
          <w:rFonts w:ascii="Times New Roman" w:hAnsi="Times New Roman" w:cs="Times New Roman"/>
          <w:b/>
          <w:bCs/>
        </w:rPr>
        <w:t xml:space="preserve">K bodu </w:t>
      </w:r>
      <w:r w:rsidR="00A363F1">
        <w:rPr>
          <w:rFonts w:ascii="Times New Roman" w:hAnsi="Times New Roman" w:cs="Times New Roman"/>
          <w:b/>
          <w:bCs/>
        </w:rPr>
        <w:t>2</w:t>
      </w:r>
      <w:r w:rsidR="00E337B0">
        <w:rPr>
          <w:rFonts w:ascii="Times New Roman" w:hAnsi="Times New Roman" w:cs="Times New Roman"/>
          <w:b/>
          <w:bCs/>
        </w:rPr>
        <w:t xml:space="preserve"> a </w:t>
      </w:r>
      <w:r w:rsidR="00A363F1">
        <w:rPr>
          <w:rFonts w:ascii="Times New Roman" w:hAnsi="Times New Roman" w:cs="Times New Roman"/>
          <w:b/>
          <w:bCs/>
        </w:rPr>
        <w:t>3</w:t>
      </w:r>
    </w:p>
    <w:p w14:paraId="29CDE540" w14:textId="770C8206" w:rsidR="00CE1337" w:rsidRPr="00CE1337" w:rsidRDefault="00CE1337" w:rsidP="00E7229C">
      <w:pPr>
        <w:rPr>
          <w:rFonts w:ascii="Times New Roman" w:hAnsi="Times New Roman" w:cs="Times New Roman"/>
          <w:b/>
          <w:bCs/>
          <w:i/>
          <w:iCs/>
        </w:rPr>
      </w:pPr>
      <w:r w:rsidRPr="00CE1337">
        <w:rPr>
          <w:rFonts w:ascii="Times New Roman" w:hAnsi="Times New Roman" w:cs="Times New Roman"/>
          <w:b/>
          <w:bCs/>
          <w:i/>
          <w:iCs/>
        </w:rPr>
        <w:t>§ 1a</w:t>
      </w:r>
      <w:r w:rsidR="00E337B0">
        <w:rPr>
          <w:rFonts w:ascii="Times New Roman" w:hAnsi="Times New Roman" w:cs="Times New Roman"/>
          <w:b/>
          <w:bCs/>
          <w:i/>
          <w:iCs/>
        </w:rPr>
        <w:t xml:space="preserve"> a Prílohy vyhlášky</w:t>
      </w:r>
    </w:p>
    <w:p w14:paraId="7F157A64" w14:textId="77777777" w:rsidR="00E337B0" w:rsidRPr="00E337B0" w:rsidRDefault="00E337B0" w:rsidP="00E337B0">
      <w:pPr>
        <w:jc w:val="both"/>
        <w:rPr>
          <w:rFonts w:ascii="Times New Roman" w:hAnsi="Times New Roman" w:cs="Times New Roman"/>
        </w:rPr>
      </w:pPr>
      <w:r w:rsidRPr="00E337B0">
        <w:rPr>
          <w:rFonts w:ascii="Times New Roman" w:hAnsi="Times New Roman" w:cs="Times New Roman"/>
        </w:rPr>
        <w:t>Vložením nového § 1a sa k vyhláške ustanovujú ako jej prílohy Metodická príručka na vypracovanie a hodnotenie farmako-ekonomického rozboru lieku a Šablóna farmako-ekonomického rozboru lieku.</w:t>
      </w:r>
    </w:p>
    <w:p w14:paraId="44ED45CA" w14:textId="77777777" w:rsidR="00E337B0" w:rsidRPr="00E337B0" w:rsidRDefault="00E337B0" w:rsidP="00E337B0">
      <w:pPr>
        <w:jc w:val="both"/>
        <w:rPr>
          <w:rFonts w:ascii="Times New Roman" w:hAnsi="Times New Roman" w:cs="Times New Roman"/>
        </w:rPr>
      </w:pPr>
      <w:r w:rsidRPr="00E337B0">
        <w:rPr>
          <w:rFonts w:ascii="Times New Roman" w:hAnsi="Times New Roman" w:cs="Times New Roman"/>
        </w:rPr>
        <w:t>Legislatívne prepojenie uvedených dokumentov s vyhláškou má za cieľ zabezpečiť ich vzájomnú obsahovú a metodickú súladnosť a umožniť priebežné posudzovanie ich aktuálnosti pri každej ich úprave. Súčasne sa tým zabezpečuje transparentnosť pravidiel a postupov uplatňovaných pri vypracovaní a hodnotení farmako-ekonomického rozboru lieku. Keďže metodická príručka a šablóna sú ustanovené ako prílohy vyhlášky, ich zmena, rovnako ako zmena relevantných ustanovení vyhlášky, podlieha príslušnému legislatívnemu procesu. Tým sa zabezpečí, aby zmeny jednotlivých častí boli posudzované vo vzájomnej súvislosti a nedochádzalo k ich nekoordinovaným úpravám.</w:t>
      </w:r>
    </w:p>
    <w:p w14:paraId="5E9B03B4" w14:textId="27C3734B" w:rsidR="00CE1337" w:rsidRPr="00CE1337" w:rsidRDefault="00E337B0" w:rsidP="00E337B0">
      <w:pPr>
        <w:jc w:val="both"/>
        <w:rPr>
          <w:rFonts w:ascii="Times New Roman" w:hAnsi="Times New Roman" w:cs="Times New Roman"/>
        </w:rPr>
      </w:pPr>
      <w:r w:rsidRPr="00E337B0">
        <w:rPr>
          <w:rFonts w:ascii="Times New Roman" w:hAnsi="Times New Roman" w:cs="Times New Roman"/>
        </w:rPr>
        <w:t xml:space="preserve">Aktualizácia metodickej príručky vychádza najmä z potreby zosúladenia metodických postupov s vývojom medzinárodnej praxe v oblasti farmako-ekonomického hodnotenia a zo skúseností a potrieb Ministerstva zdravotníctva Slovenskej republiky identifikovaných v </w:t>
      </w:r>
      <w:r w:rsidRPr="00E337B0">
        <w:rPr>
          <w:rFonts w:ascii="Times New Roman" w:hAnsi="Times New Roman" w:cs="Times New Roman"/>
        </w:rPr>
        <w:lastRenderedPageBreak/>
        <w:t>priebehu procesov kategorizácie liekov. Na aktualizáciu metodickej príručky nadväzuje úprava šablóny farmako-ekonomického rozboru lieku v rozsahu zodpovedajúcom zmenám metodickej príručky, aby sa zabezpečil súlad medzi požiadavkami na obsah a spôsob vypracovania farmako-ekonomického rozboru a jeho praktickou štruktúrou.</w:t>
      </w:r>
    </w:p>
    <w:p w14:paraId="63824CF3" w14:textId="72BBCDAA" w:rsidR="00E7229C" w:rsidRDefault="00E7229C" w:rsidP="00E7229C">
      <w:pPr>
        <w:rPr>
          <w:rFonts w:ascii="Times New Roman" w:hAnsi="Times New Roman" w:cs="Times New Roman"/>
          <w:b/>
          <w:bCs/>
        </w:rPr>
      </w:pPr>
      <w:r>
        <w:rPr>
          <w:rFonts w:ascii="Times New Roman" w:hAnsi="Times New Roman" w:cs="Times New Roman"/>
          <w:b/>
          <w:bCs/>
        </w:rPr>
        <w:t>K Čl. II</w:t>
      </w:r>
    </w:p>
    <w:p w14:paraId="32B4F75C" w14:textId="52894185" w:rsidR="00E7229C" w:rsidRPr="00984910" w:rsidRDefault="00D56178" w:rsidP="00C502AE">
      <w:pPr>
        <w:jc w:val="both"/>
        <w:rPr>
          <w:rFonts w:ascii="Times New Roman" w:hAnsi="Times New Roman" w:cs="Times New Roman"/>
        </w:rPr>
      </w:pPr>
      <w:r>
        <w:rPr>
          <w:rFonts w:ascii="Times New Roman" w:hAnsi="Times New Roman" w:cs="Times New Roman"/>
        </w:rPr>
        <w:t>Vzhľadom na dĺžku legislatívneho procesu</w:t>
      </w:r>
      <w:r w:rsidR="00C125CB">
        <w:rPr>
          <w:rFonts w:ascii="Times New Roman" w:hAnsi="Times New Roman" w:cs="Times New Roman"/>
        </w:rPr>
        <w:t xml:space="preserve"> a</w:t>
      </w:r>
      <w:r>
        <w:rPr>
          <w:rFonts w:ascii="Times New Roman" w:hAnsi="Times New Roman" w:cs="Times New Roman"/>
        </w:rPr>
        <w:t xml:space="preserve"> potrebu zosúladenia vyhlášky s novelou zákona č. 363/2011 Z. z. sa navrhuje účinnosť tejto vyhlášky od 1. decembra 2026. </w:t>
      </w:r>
    </w:p>
    <w:sectPr w:rsidR="00E7229C" w:rsidRPr="009849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C3A"/>
    <w:rsid w:val="00094AEB"/>
    <w:rsid w:val="00142DE4"/>
    <w:rsid w:val="00162794"/>
    <w:rsid w:val="0020003C"/>
    <w:rsid w:val="003D3C29"/>
    <w:rsid w:val="003F78F3"/>
    <w:rsid w:val="004141AD"/>
    <w:rsid w:val="00544995"/>
    <w:rsid w:val="0056616B"/>
    <w:rsid w:val="005F099F"/>
    <w:rsid w:val="006F0659"/>
    <w:rsid w:val="007530E2"/>
    <w:rsid w:val="00774D00"/>
    <w:rsid w:val="007C33F7"/>
    <w:rsid w:val="008729FB"/>
    <w:rsid w:val="008B57BA"/>
    <w:rsid w:val="008F6E24"/>
    <w:rsid w:val="009341F0"/>
    <w:rsid w:val="00984910"/>
    <w:rsid w:val="00A36057"/>
    <w:rsid w:val="00A363F1"/>
    <w:rsid w:val="00B043B3"/>
    <w:rsid w:val="00B376EB"/>
    <w:rsid w:val="00BA3A01"/>
    <w:rsid w:val="00BA66B7"/>
    <w:rsid w:val="00C125CB"/>
    <w:rsid w:val="00C502AE"/>
    <w:rsid w:val="00CE1337"/>
    <w:rsid w:val="00D05F5F"/>
    <w:rsid w:val="00D56178"/>
    <w:rsid w:val="00D77669"/>
    <w:rsid w:val="00DB3C3A"/>
    <w:rsid w:val="00E337B0"/>
    <w:rsid w:val="00E7229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F86F8"/>
  <w15:chartTrackingRefBased/>
  <w15:docId w15:val="{A07CCED9-A3D3-430C-8BF9-84EC22A5B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3D3C29"/>
  </w:style>
  <w:style w:type="paragraph" w:styleId="Nadpis1">
    <w:name w:val="heading 1"/>
    <w:basedOn w:val="Normlny"/>
    <w:next w:val="Normlny"/>
    <w:link w:val="Nadpis1Char"/>
    <w:uiPriority w:val="9"/>
    <w:qFormat/>
    <w:rsid w:val="00DB3C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DB3C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DB3C3A"/>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DB3C3A"/>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DB3C3A"/>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DB3C3A"/>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DB3C3A"/>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DB3C3A"/>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DB3C3A"/>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DB3C3A"/>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DB3C3A"/>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DB3C3A"/>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DB3C3A"/>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DB3C3A"/>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DB3C3A"/>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DB3C3A"/>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DB3C3A"/>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DB3C3A"/>
    <w:rPr>
      <w:rFonts w:eastAsiaTheme="majorEastAsia" w:cstheme="majorBidi"/>
      <w:color w:val="272727" w:themeColor="text1" w:themeTint="D8"/>
    </w:rPr>
  </w:style>
  <w:style w:type="paragraph" w:styleId="Nzov">
    <w:name w:val="Title"/>
    <w:basedOn w:val="Normlny"/>
    <w:next w:val="Normlny"/>
    <w:link w:val="NzovChar"/>
    <w:uiPriority w:val="10"/>
    <w:qFormat/>
    <w:rsid w:val="00DB3C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DB3C3A"/>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DB3C3A"/>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DB3C3A"/>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DB3C3A"/>
    <w:pPr>
      <w:spacing w:before="160"/>
      <w:jc w:val="center"/>
    </w:pPr>
    <w:rPr>
      <w:i/>
      <w:iCs/>
      <w:color w:val="404040" w:themeColor="text1" w:themeTint="BF"/>
    </w:rPr>
  </w:style>
  <w:style w:type="character" w:customStyle="1" w:styleId="CitciaChar">
    <w:name w:val="Citácia Char"/>
    <w:basedOn w:val="Predvolenpsmoodseku"/>
    <w:link w:val="Citcia"/>
    <w:uiPriority w:val="29"/>
    <w:rsid w:val="00DB3C3A"/>
    <w:rPr>
      <w:i/>
      <w:iCs/>
      <w:color w:val="404040" w:themeColor="text1" w:themeTint="BF"/>
    </w:rPr>
  </w:style>
  <w:style w:type="paragraph" w:styleId="Odsekzoznamu">
    <w:name w:val="List Paragraph"/>
    <w:basedOn w:val="Normlny"/>
    <w:uiPriority w:val="34"/>
    <w:qFormat/>
    <w:rsid w:val="00DB3C3A"/>
    <w:pPr>
      <w:ind w:left="720"/>
      <w:contextualSpacing/>
    </w:pPr>
  </w:style>
  <w:style w:type="character" w:styleId="Intenzvnezvraznenie">
    <w:name w:val="Intense Emphasis"/>
    <w:basedOn w:val="Predvolenpsmoodseku"/>
    <w:uiPriority w:val="21"/>
    <w:qFormat/>
    <w:rsid w:val="00DB3C3A"/>
    <w:rPr>
      <w:i/>
      <w:iCs/>
      <w:color w:val="0F4761" w:themeColor="accent1" w:themeShade="BF"/>
    </w:rPr>
  </w:style>
  <w:style w:type="paragraph" w:styleId="Zvraznencitcia">
    <w:name w:val="Intense Quote"/>
    <w:basedOn w:val="Normlny"/>
    <w:next w:val="Normlny"/>
    <w:link w:val="ZvraznencitciaChar"/>
    <w:uiPriority w:val="30"/>
    <w:qFormat/>
    <w:rsid w:val="00DB3C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DB3C3A"/>
    <w:rPr>
      <w:i/>
      <w:iCs/>
      <w:color w:val="0F4761" w:themeColor="accent1" w:themeShade="BF"/>
    </w:rPr>
  </w:style>
  <w:style w:type="character" w:styleId="Zvraznenodkaz">
    <w:name w:val="Intense Reference"/>
    <w:basedOn w:val="Predvolenpsmoodseku"/>
    <w:uiPriority w:val="32"/>
    <w:qFormat/>
    <w:rsid w:val="00DB3C3A"/>
    <w:rPr>
      <w:b/>
      <w:bCs/>
      <w:smallCaps/>
      <w:color w:val="0F4761" w:themeColor="accent1" w:themeShade="BF"/>
      <w:spacing w:val="5"/>
    </w:rPr>
  </w:style>
  <w:style w:type="character" w:styleId="Odkaznakomentr">
    <w:name w:val="annotation reference"/>
    <w:basedOn w:val="Predvolenpsmoodseku"/>
    <w:uiPriority w:val="99"/>
    <w:semiHidden/>
    <w:unhideWhenUsed/>
    <w:rsid w:val="00E7229C"/>
    <w:rPr>
      <w:sz w:val="16"/>
      <w:szCs w:val="16"/>
    </w:rPr>
  </w:style>
  <w:style w:type="paragraph" w:styleId="Textkomentra">
    <w:name w:val="annotation text"/>
    <w:basedOn w:val="Normlny"/>
    <w:link w:val="TextkomentraChar"/>
    <w:uiPriority w:val="99"/>
    <w:unhideWhenUsed/>
    <w:rsid w:val="00E7229C"/>
    <w:pPr>
      <w:spacing w:line="240" w:lineRule="auto"/>
    </w:pPr>
    <w:rPr>
      <w:sz w:val="20"/>
      <w:szCs w:val="20"/>
    </w:rPr>
  </w:style>
  <w:style w:type="character" w:customStyle="1" w:styleId="TextkomentraChar">
    <w:name w:val="Text komentára Char"/>
    <w:basedOn w:val="Predvolenpsmoodseku"/>
    <w:link w:val="Textkomentra"/>
    <w:uiPriority w:val="99"/>
    <w:rsid w:val="00E7229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Mgr.  Viktor Kidala"/>
    <f:field ref="FSCFOLIO_1_1001_FieldCurrentDate" text="7.10.2026 14:01"/>
    <f:field ref="objvalidfrom" date="" text="" edit="true"/>
    <f:field ref="objvalidto" date="" text=""/>
    <f:field ref="FSCFOLIO_1_1001_FieldReleasedVersionDate" text=""/>
    <f:field ref="FSCFOLIO_1_1001_FieldReleasedVersionNr" text=""/>
    <f:field ref="CCAPRECONFIG_15_1001_Objektname" text="04_Dôvodová správa - osobitná 422_2011"/>
    <f:field ref="objname" text="04_Dôvodová správa - osobitná 422_2011" edit="true"/>
    <f:field ref="objsubject" text="" edit="true"/>
    <f:field ref="objcreatedby" text="Bohácseková, Soňa, Mgr."/>
    <f:field ref="objcreatedat" date="2026-10-07T12:54:39" text="7.10.2026 12:54:39"/>
    <f:field ref="objchangedby" text="Kidala, Viktor, Mgr. "/>
    <f:field ref="objmodifiedat" date="2026-10-07T13:44:24" text="7.10.2026 13:44:24"/>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4540</Words>
  <Characters>25878</Characters>
  <Application>Microsoft Office Word</Application>
  <DocSecurity>0</DocSecurity>
  <Lines>215</Lines>
  <Paragraphs>60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30358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Grega Dominik</dc:creator>
  <cp:keywords/>
  <dc:description/>
  <cp:lastModifiedBy>Kidala Viktor</cp:lastModifiedBy>
  <cp:revision>4</cp:revision>
  <dcterms:created xsi:type="dcterms:W3CDTF">2026-09-15T13:16:00Z</dcterms:created>
  <dcterms:modified xsi:type="dcterms:W3CDTF">2026-10-07T12:32:00Z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REG@103.510:zaz_addressee_iban">
    <vt:lpwstr/>
  </property>
  <property fmtid="{D5CDD505-2E9C-101B-9397-08002B2CF9AE}" pid="3" name="FSC#SKCONV@103.510:docname">
    <vt:lpwstr/>
  </property>
  <property fmtid="{D5CDD505-2E9C-101B-9397-08002B2CF9AE}" pid="4" name="FSC#SKMZ@103.510:mz_zaznam_jeden_adresat">
    <vt:lpwstr/>
  </property>
  <property fmtid="{D5CDD505-2E9C-101B-9397-08002B2CF9AE}" pid="5" name="FSC#SKMZ@103.510:mz_zaznam_hlavny_adresat">
    <vt:lpwstr/>
  </property>
  <property fmtid="{D5CDD505-2E9C-101B-9397-08002B2CF9AE}" pid="6" name="FSC#SKMZ@103.510:mz_zaznam_vnut_adresati_01">
    <vt:lpwstr/>
  </property>
  <property fmtid="{D5CDD505-2E9C-101B-9397-08002B2CF9AE}" pid="7" name="FSC#SKMZ@103.510:mz_zaznam_vnut_adresati_02">
    <vt:lpwstr/>
  </property>
  <property fmtid="{D5CDD505-2E9C-101B-9397-08002B2CF9AE}" pid="8" name="FSC#SKMZ@103.510:mz_zaznam_vnut_adresati_03">
    <vt:lpwstr/>
  </property>
  <property fmtid="{D5CDD505-2E9C-101B-9397-08002B2CF9AE}" pid="9" name="FSC#SKMZ@103.510:mz_zaznam_vnut_adresati_04">
    <vt:lpwstr/>
  </property>
  <property fmtid="{D5CDD505-2E9C-101B-9397-08002B2CF9AE}" pid="10" name="FSC#SKMZ@103.510:mz_zaznam_vnut_adresati_05">
    <vt:lpwstr/>
  </property>
  <property fmtid="{D5CDD505-2E9C-101B-9397-08002B2CF9AE}" pid="11" name="FSC#SKMZ@103.510:mz_zaznam_vnut_adresati_06">
    <vt:lpwstr/>
  </property>
  <property fmtid="{D5CDD505-2E9C-101B-9397-08002B2CF9AE}" pid="12" name="FSC#SKMZ@103.510:mz_zaznam_vnut_adresati_07">
    <vt:lpwstr/>
  </property>
  <property fmtid="{D5CDD505-2E9C-101B-9397-08002B2CF9AE}" pid="13" name="FSC#SKMZ@103.510:mz_zaznam_vnut_adresati_08">
    <vt:lpwstr/>
  </property>
  <property fmtid="{D5CDD505-2E9C-101B-9397-08002B2CF9AE}" pid="14" name="FSC#SKMZ@103.510:mz_zaznam_vnut_adresati_09">
    <vt:lpwstr/>
  </property>
  <property fmtid="{D5CDD505-2E9C-101B-9397-08002B2CF9AE}" pid="15" name="FSC#SKMZ@103.510:mz_zaznam_vnut_adresati_10">
    <vt:lpwstr/>
  </property>
  <property fmtid="{D5CDD505-2E9C-101B-9397-08002B2CF9AE}" pid="16" name="FSC#SKMZ@103.510:mz_zaznam_vnut_adresati_11">
    <vt:lpwstr/>
  </property>
  <property fmtid="{D5CDD505-2E9C-101B-9397-08002B2CF9AE}" pid="17" name="FSC#SKMZ@103.510:mz_zaznam_vnut_adresati_12">
    <vt:lpwstr/>
  </property>
  <property fmtid="{D5CDD505-2E9C-101B-9397-08002B2CF9AE}" pid="18" name="FSC#SKMZ@103.510:mz_zaznam_vnut_adresati_13">
    <vt:lpwstr/>
  </property>
  <property fmtid="{D5CDD505-2E9C-101B-9397-08002B2CF9AE}" pid="19" name="FSC#SKMZ@103.510:mz_zaznam_vnut_adresati_14">
    <vt:lpwstr/>
  </property>
  <property fmtid="{D5CDD505-2E9C-101B-9397-08002B2CF9AE}" pid="20" name="FSC#SKMZ@103.510:mz_zaznam_vnut_adresati_15">
    <vt:lpwstr/>
  </property>
  <property fmtid="{D5CDD505-2E9C-101B-9397-08002B2CF9AE}" pid="21" name="FSC#SKMZ@103.510:mz_zaznam_vnut_adresati_16">
    <vt:lpwstr/>
  </property>
  <property fmtid="{D5CDD505-2E9C-101B-9397-08002B2CF9AE}" pid="22" name="FSC#SKMZ@103.510:mz_zaznam_vnut_adresati_17">
    <vt:lpwstr/>
  </property>
  <property fmtid="{D5CDD505-2E9C-101B-9397-08002B2CF9AE}" pid="23" name="FSC#SKMZ@103.510:mz_zaznam_vnut_adresati_18">
    <vt:lpwstr/>
  </property>
  <property fmtid="{D5CDD505-2E9C-101B-9397-08002B2CF9AE}" pid="24" name="FSC#SKMZ@103.510:mz_zaznam_vnut_adresati_19">
    <vt:lpwstr/>
  </property>
  <property fmtid="{D5CDD505-2E9C-101B-9397-08002B2CF9AE}" pid="25" name="FSC#SKMZ@103.510:mz_zaznam_vnut_adresati_20">
    <vt:lpwstr/>
  </property>
  <property fmtid="{D5CDD505-2E9C-101B-9397-08002B2CF9AE}" pid="26" name="FSC#SKMZ@103.510:mz_zaznam_vnut_adresati_21">
    <vt:lpwstr/>
  </property>
  <property fmtid="{D5CDD505-2E9C-101B-9397-08002B2CF9AE}" pid="27" name="FSC#SKMZ@103.510:mz_zaznam_vnut_adresati_22">
    <vt:lpwstr/>
  </property>
  <property fmtid="{D5CDD505-2E9C-101B-9397-08002B2CF9AE}" pid="28" name="FSC#SKMZ@103.510:mz_zaznam_vnut_adresati_23">
    <vt:lpwstr/>
  </property>
  <property fmtid="{D5CDD505-2E9C-101B-9397-08002B2CF9AE}" pid="29" name="FSC#SKMZ@103.510:mz_zaznam_vnut_adresati_24">
    <vt:lpwstr/>
  </property>
  <property fmtid="{D5CDD505-2E9C-101B-9397-08002B2CF9AE}" pid="30" name="FSC#SKMZ@103.510:mz_zaznam_vnut_adresati_25">
    <vt:lpwstr/>
  </property>
  <property fmtid="{D5CDD505-2E9C-101B-9397-08002B2CF9AE}" pid="31" name="FSC#SKMZ@103.510:mz_zaznam_vnut_adresati_26">
    <vt:lpwstr/>
  </property>
  <property fmtid="{D5CDD505-2E9C-101B-9397-08002B2CF9AE}" pid="32" name="FSC#SKMZ@103.510:mz_zaznam_vnut_adresati_27">
    <vt:lpwstr/>
  </property>
  <property fmtid="{D5CDD505-2E9C-101B-9397-08002B2CF9AE}" pid="33" name="FSC#SKMZ@103.510:mz_zaznam_vnut_adresati_28">
    <vt:lpwstr/>
  </property>
  <property fmtid="{D5CDD505-2E9C-101B-9397-08002B2CF9AE}" pid="34" name="FSC#SKMZ@103.510:mz_zaznam_vnut_adresati_29">
    <vt:lpwstr/>
  </property>
  <property fmtid="{D5CDD505-2E9C-101B-9397-08002B2CF9AE}" pid="35" name="FSC#SKMZ@103.510:mz_zaznam_vnut_adresati_30">
    <vt:lpwstr/>
  </property>
  <property fmtid="{D5CDD505-2E9C-101B-9397-08002B2CF9AE}" pid="36" name="FSC#SKMZ@103.510:mz_zaznam_vnut_adresati_31">
    <vt:lpwstr/>
  </property>
  <property fmtid="{D5CDD505-2E9C-101B-9397-08002B2CF9AE}" pid="37" name="FSC#SKMZ@103.510:mz_zaznam_vnut_adresati_32">
    <vt:lpwstr/>
  </property>
  <property fmtid="{D5CDD505-2E9C-101B-9397-08002B2CF9AE}" pid="38" name="FSC#SKMZ@103.510:mz_zaznam_vnut_adresati_33">
    <vt:lpwstr/>
  </property>
  <property fmtid="{D5CDD505-2E9C-101B-9397-08002B2CF9AE}" pid="39" name="FSC#SKMZ@103.510:mz_zaznam_vnut_adresati_34">
    <vt:lpwstr/>
  </property>
  <property fmtid="{D5CDD505-2E9C-101B-9397-08002B2CF9AE}" pid="40" name="FSC#SKMZ@103.510:mz_zaznam_vnut_adresati_35">
    <vt:lpwstr/>
  </property>
  <property fmtid="{D5CDD505-2E9C-101B-9397-08002B2CF9AE}" pid="41" name="FSC#SKMZ@103.510:mz_zaznam_vnut_adresati_36">
    <vt:lpwstr/>
  </property>
  <property fmtid="{D5CDD505-2E9C-101B-9397-08002B2CF9AE}" pid="42" name="FSC#SKMZ@103.510:mz_zaznam_vnut_adresati_37">
    <vt:lpwstr/>
  </property>
  <property fmtid="{D5CDD505-2E9C-101B-9397-08002B2CF9AE}" pid="43" name="FSC#SKMZ@103.510:mz_zaznam_vnut_adresati_38">
    <vt:lpwstr/>
  </property>
  <property fmtid="{D5CDD505-2E9C-101B-9397-08002B2CF9AE}" pid="44" name="FSC#SKMZ@103.510:mz_zaznam_vnut_adresati_39">
    <vt:lpwstr/>
  </property>
  <property fmtid="{D5CDD505-2E9C-101B-9397-08002B2CF9AE}" pid="45" name="FSC#SKMZ@103.510:mz_zaznam_vnut_adresati_40">
    <vt:lpwstr/>
  </property>
  <property fmtid="{D5CDD505-2E9C-101B-9397-08002B2CF9AE}" pid="46" name="FSC#SKMZ@103.510:mz_zaznam_vnut_adresati_41">
    <vt:lpwstr/>
  </property>
  <property fmtid="{D5CDD505-2E9C-101B-9397-08002B2CF9AE}" pid="47" name="FSC#SKMZ@103.510:mz_zaznam_vnut_adresati_42">
    <vt:lpwstr/>
  </property>
  <property fmtid="{D5CDD505-2E9C-101B-9397-08002B2CF9AE}" pid="48" name="FSC#SKMZ@103.510:mz_zaznam_vnut_adresati_43">
    <vt:lpwstr/>
  </property>
  <property fmtid="{D5CDD505-2E9C-101B-9397-08002B2CF9AE}" pid="49" name="FSC#SKMZ@103.510:mz_zaznam_vnut_adresati_44">
    <vt:lpwstr/>
  </property>
  <property fmtid="{D5CDD505-2E9C-101B-9397-08002B2CF9AE}" pid="50" name="FSC#SKMZ@103.510:mz_zaznam_vnut_adresati_45">
    <vt:lpwstr/>
  </property>
  <property fmtid="{D5CDD505-2E9C-101B-9397-08002B2CF9AE}" pid="51" name="FSC#SKMZ@103.510:mz_zaznam_vnut_adresati_46">
    <vt:lpwstr/>
  </property>
  <property fmtid="{D5CDD505-2E9C-101B-9397-08002B2CF9AE}" pid="52" name="FSC#SKMZ@103.510:mz_zaznam_vnut_adresati_47">
    <vt:lpwstr/>
  </property>
  <property fmtid="{D5CDD505-2E9C-101B-9397-08002B2CF9AE}" pid="53" name="FSC#SKMZ@103.510:mz_zaznam_vnut_adresati_48">
    <vt:lpwstr/>
  </property>
  <property fmtid="{D5CDD505-2E9C-101B-9397-08002B2CF9AE}" pid="54" name="FSC#SKMZ@103.510:mz_zaznam_vnut_adresati_49">
    <vt:lpwstr/>
  </property>
  <property fmtid="{D5CDD505-2E9C-101B-9397-08002B2CF9AE}" pid="55" name="FSC#SKMZ@103.510:mz_zaznam_vnut_adresati_50">
    <vt:lpwstr/>
  </property>
  <property fmtid="{D5CDD505-2E9C-101B-9397-08002B2CF9AE}" pid="56" name="FSC#SKMZ@103.510:mz_zaznam_vnut_adresati_51">
    <vt:lpwstr/>
  </property>
  <property fmtid="{D5CDD505-2E9C-101B-9397-08002B2CF9AE}" pid="57" name="FSC#SKMZ@103.510:mz_EnumStupenKlasifikacie">
    <vt:lpwstr/>
  </property>
  <property fmtid="{D5CDD505-2E9C-101B-9397-08002B2CF9AE}" pid="58" name="FSC#SKMZ@103.510:mz_OpravneneOsoby">
    <vt:lpwstr/>
  </property>
  <property fmtid="{D5CDD505-2E9C-101B-9397-08002B2CF9AE}" pid="59" name="FSC#SKMZ@103.510:mz_OpravneneOsoby_en">
    <vt:lpwstr/>
  </property>
  <property fmtid="{D5CDD505-2E9C-101B-9397-08002B2CF9AE}" pid="60" name="FSC#SKMZ@103.510:mz_Vlastnik">
    <vt:lpwstr/>
  </property>
  <property fmtid="{D5CDD505-2E9C-101B-9397-08002B2CF9AE}" pid="61" name="FSC#SKMZ@103.510:mz_Vlastnik_en">
    <vt:lpwstr/>
  </property>
  <property fmtid="{D5CDD505-2E9C-101B-9397-08002B2CF9AE}" pid="62" name="FSC#SKMZ@103.510:mz_SpracEmail">
    <vt:lpwstr/>
  </property>
  <property fmtid="{D5CDD505-2E9C-101B-9397-08002B2CF9AE}" pid="63" name="FSC#SKMZ@103.510:mz_skratkaou">
    <vt:lpwstr>OL</vt:lpwstr>
  </property>
  <property fmtid="{D5CDD505-2E9C-101B-9397-08002B2CF9AE}" pid="64" name="FSC#SKMZ@103.510:mz_zaznam_adresat_mail">
    <vt:lpwstr/>
  </property>
  <property fmtid="{D5CDD505-2E9C-101B-9397-08002B2CF9AE}" pid="65" name="FSC#SKMZ@103.510:mz_zaznam_adresat_mail_1">
    <vt:lpwstr/>
  </property>
  <property fmtid="{D5CDD505-2E9C-101B-9397-08002B2CF9AE}" pid="66" name="FSC#SKMZ@103.510:mz_zaznam_adresat_mail_2">
    <vt:lpwstr/>
  </property>
  <property fmtid="{D5CDD505-2E9C-101B-9397-08002B2CF9AE}" pid="67" name="FSC#SKMZ@103.510:mz_zaznam_adresat_mail_3">
    <vt:lpwstr/>
  </property>
  <property fmtid="{D5CDD505-2E9C-101B-9397-08002B2CF9AE}" pid="68" name="FSC#SKMZ@103.510:mz_zaznam_adresat_mail_4">
    <vt:lpwstr/>
  </property>
  <property fmtid="{D5CDD505-2E9C-101B-9397-08002B2CF9AE}" pid="69" name="FSC#SKMZ@103.510:mz_zaznam_adresat_mail_5">
    <vt:lpwstr/>
  </property>
  <property fmtid="{D5CDD505-2E9C-101B-9397-08002B2CF9AE}" pid="70" name="FSC#SKMZ@103.510:mz_zaznam_adresat_mail_6">
    <vt:lpwstr/>
  </property>
  <property fmtid="{D5CDD505-2E9C-101B-9397-08002B2CF9AE}" pid="71" name="FSC#SKMZ@103.510:mz_zaznam_adresat_mail_7">
    <vt:lpwstr/>
  </property>
  <property fmtid="{D5CDD505-2E9C-101B-9397-08002B2CF9AE}" pid="72" name="FSC#SKMZ@103.510:mz_zaznam_adresat_mail_8">
    <vt:lpwstr/>
  </property>
  <property fmtid="{D5CDD505-2E9C-101B-9397-08002B2CF9AE}" pid="73" name="FSC#SKMZ@103.510:mz_zaznam_adresat_mail_9">
    <vt:lpwstr/>
  </property>
  <property fmtid="{D5CDD505-2E9C-101B-9397-08002B2CF9AE}" pid="74" name="FSC#SKMZ@103.510:mz_zaznam_adresat_mail_10">
    <vt:lpwstr/>
  </property>
  <property fmtid="{D5CDD505-2E9C-101B-9397-08002B2CF9AE}" pid="75" name="FSC#SKMZ@103.510:mz_zaznam_adresat_mail_11">
    <vt:lpwstr/>
  </property>
  <property fmtid="{D5CDD505-2E9C-101B-9397-08002B2CF9AE}" pid="76" name="FSC#SKMZ@103.510:mz_zaznam_adresat_mail_12">
    <vt:lpwstr/>
  </property>
  <property fmtid="{D5CDD505-2E9C-101B-9397-08002B2CF9AE}" pid="77" name="FSC#SKMZ@103.510:mz_zaznam_adresat_mail_13">
    <vt:lpwstr/>
  </property>
  <property fmtid="{D5CDD505-2E9C-101B-9397-08002B2CF9AE}" pid="78" name="FSC#SKMZ@103.510:mz_zaznam_adresat_mail_14">
    <vt:lpwstr/>
  </property>
  <property fmtid="{D5CDD505-2E9C-101B-9397-08002B2CF9AE}" pid="79" name="FSC#SKMZ@103.510:mz_zaznam_adresat_mail_15">
    <vt:lpwstr/>
  </property>
  <property fmtid="{D5CDD505-2E9C-101B-9397-08002B2CF9AE}" pid="80" name="FSC#SKMZ@103.510:a_veduciOd">
    <vt:lpwstr/>
  </property>
  <property fmtid="{D5CDD505-2E9C-101B-9397-08002B2CF9AE}" pid="81" name="FSC#SKEDITIONREG@103.510:a_acceptor">
    <vt:lpwstr/>
  </property>
  <property fmtid="{D5CDD505-2E9C-101B-9397-08002B2CF9AE}" pid="82" name="FSC#SKEDITIONREG@103.510:a_clearedat">
    <vt:lpwstr/>
  </property>
  <property fmtid="{D5CDD505-2E9C-101B-9397-08002B2CF9AE}" pid="83" name="FSC#SKEDITIONREG@103.510:a_clearedby">
    <vt:lpwstr/>
  </property>
  <property fmtid="{D5CDD505-2E9C-101B-9397-08002B2CF9AE}" pid="84" name="FSC#SKEDITIONREG@103.510:a_comm">
    <vt:lpwstr/>
  </property>
  <property fmtid="{D5CDD505-2E9C-101B-9397-08002B2CF9AE}" pid="85" name="FSC#SKEDITIONREG@103.510:a_decisionattachments">
    <vt:lpwstr/>
  </property>
  <property fmtid="{D5CDD505-2E9C-101B-9397-08002B2CF9AE}" pid="86" name="FSC#SKEDITIONREG@103.510:a_deliveredat">
    <vt:lpwstr/>
  </property>
  <property fmtid="{D5CDD505-2E9C-101B-9397-08002B2CF9AE}" pid="87" name="FSC#SKEDITIONREG@103.510:a_delivery">
    <vt:lpwstr/>
  </property>
  <property fmtid="{D5CDD505-2E9C-101B-9397-08002B2CF9AE}" pid="88" name="FSC#SKEDITIONREG@103.510:a_extension">
    <vt:lpwstr/>
  </property>
  <property fmtid="{D5CDD505-2E9C-101B-9397-08002B2CF9AE}" pid="89" name="FSC#SKEDITIONREG@103.510:a_filenumber">
    <vt:lpwstr/>
  </property>
  <property fmtid="{D5CDD505-2E9C-101B-9397-08002B2CF9AE}" pid="90" name="FSC#SKEDITIONREG@103.510:a_fileresponsible">
    <vt:lpwstr/>
  </property>
  <property fmtid="{D5CDD505-2E9C-101B-9397-08002B2CF9AE}" pid="91" name="FSC#SKEDITIONREG@103.510:a_fileresporg">
    <vt:lpwstr/>
  </property>
  <property fmtid="{D5CDD505-2E9C-101B-9397-08002B2CF9AE}" pid="92" name="FSC#SKEDITIONREG@103.510:a_fileresporg_email_OU">
    <vt:lpwstr/>
  </property>
  <property fmtid="{D5CDD505-2E9C-101B-9397-08002B2CF9AE}" pid="93" name="FSC#SKEDITIONREG@103.510:a_fileresporg_emailaddress">
    <vt:lpwstr/>
  </property>
  <property fmtid="{D5CDD505-2E9C-101B-9397-08002B2CF9AE}" pid="94" name="FSC#SKEDITIONREG@103.510:a_fileresporg_fax">
    <vt:lpwstr/>
  </property>
  <property fmtid="{D5CDD505-2E9C-101B-9397-08002B2CF9AE}" pid="95" name="FSC#SKEDITIONREG@103.510:a_fileresporg_fax_OU">
    <vt:lpwstr/>
  </property>
  <property fmtid="{D5CDD505-2E9C-101B-9397-08002B2CF9AE}" pid="96" name="FSC#SKEDITIONREG@103.510:a_fileresporg_function">
    <vt:lpwstr/>
  </property>
  <property fmtid="{D5CDD505-2E9C-101B-9397-08002B2CF9AE}" pid="97" name="FSC#SKEDITIONREG@103.510:a_fileresporg_function_OU">
    <vt:lpwstr/>
  </property>
  <property fmtid="{D5CDD505-2E9C-101B-9397-08002B2CF9AE}" pid="98" name="FSC#SKEDITIONREG@103.510:a_fileresporg_head">
    <vt:lpwstr/>
  </property>
  <property fmtid="{D5CDD505-2E9C-101B-9397-08002B2CF9AE}" pid="99" name="FSC#SKEDITIONREG@103.510:a_fileresporg_head_OU">
    <vt:lpwstr/>
  </property>
  <property fmtid="{D5CDD505-2E9C-101B-9397-08002B2CF9AE}" pid="100" name="FSC#SKEDITIONREG@103.510:a_fileresporg_OU">
    <vt:lpwstr/>
  </property>
  <property fmtid="{D5CDD505-2E9C-101B-9397-08002B2CF9AE}" pid="101" name="FSC#SKEDITIONREG@103.510:a_fileresporg_phone">
    <vt:lpwstr/>
  </property>
  <property fmtid="{D5CDD505-2E9C-101B-9397-08002B2CF9AE}" pid="102" name="FSC#SKEDITIONREG@103.510:a_fileresporg_phone_OU">
    <vt:lpwstr/>
  </property>
  <property fmtid="{D5CDD505-2E9C-101B-9397-08002B2CF9AE}" pid="103" name="FSC#SKEDITIONREG@103.510:a_incattachments">
    <vt:lpwstr/>
  </property>
  <property fmtid="{D5CDD505-2E9C-101B-9397-08002B2CF9AE}" pid="104" name="FSC#SKEDITIONREG@103.510:a_incnr">
    <vt:lpwstr/>
  </property>
  <property fmtid="{D5CDD505-2E9C-101B-9397-08002B2CF9AE}" pid="105" name="FSC#SKEDITIONREG@103.510:a_objcreatedstr">
    <vt:lpwstr/>
  </property>
  <property fmtid="{D5CDD505-2E9C-101B-9397-08002B2CF9AE}" pid="106" name="FSC#SKEDITIONREG@103.510:a_ordernumber">
    <vt:lpwstr/>
  </property>
  <property fmtid="{D5CDD505-2E9C-101B-9397-08002B2CF9AE}" pid="107" name="FSC#SKEDITIONREG@103.510:a_oursign">
    <vt:lpwstr/>
  </property>
  <property fmtid="{D5CDD505-2E9C-101B-9397-08002B2CF9AE}" pid="108" name="FSC#SKEDITIONREG@103.510:a_sendersign">
    <vt:lpwstr/>
  </property>
  <property fmtid="{D5CDD505-2E9C-101B-9397-08002B2CF9AE}" pid="109" name="FSC#SKEDITIONREG@103.510:a_shortou">
    <vt:lpwstr/>
  </property>
  <property fmtid="{D5CDD505-2E9C-101B-9397-08002B2CF9AE}" pid="110" name="FSC#SKEDITIONREG@103.510:a_testsalutation">
    <vt:lpwstr/>
  </property>
  <property fmtid="{D5CDD505-2E9C-101B-9397-08002B2CF9AE}" pid="111" name="FSC#SKEDITIONREG@103.510:a_validfrom">
    <vt:lpwstr/>
  </property>
  <property fmtid="{D5CDD505-2E9C-101B-9397-08002B2CF9AE}" pid="112" name="FSC#SKEDITIONREG@103.510:as_activity">
    <vt:lpwstr/>
  </property>
  <property fmtid="{D5CDD505-2E9C-101B-9397-08002B2CF9AE}" pid="113" name="FSC#SKEDITIONREG@103.510:as_docdate">
    <vt:lpwstr/>
  </property>
  <property fmtid="{D5CDD505-2E9C-101B-9397-08002B2CF9AE}" pid="114" name="FSC#SKEDITIONREG@103.510:as_establishdate">
    <vt:lpwstr/>
  </property>
  <property fmtid="{D5CDD505-2E9C-101B-9397-08002B2CF9AE}" pid="115" name="FSC#SKEDITIONREG@103.510:as_fileresphead">
    <vt:lpwstr/>
  </property>
  <property fmtid="{D5CDD505-2E9C-101B-9397-08002B2CF9AE}" pid="116" name="FSC#SKEDITIONREG@103.510:as_filerespheadfnct">
    <vt:lpwstr/>
  </property>
  <property fmtid="{D5CDD505-2E9C-101B-9397-08002B2CF9AE}" pid="117" name="FSC#SKEDITIONREG@103.510:as_fileresponsible">
    <vt:lpwstr/>
  </property>
  <property fmtid="{D5CDD505-2E9C-101B-9397-08002B2CF9AE}" pid="118" name="FSC#SKEDITIONREG@103.510:as_filesubj">
    <vt:lpwstr/>
  </property>
  <property fmtid="{D5CDD505-2E9C-101B-9397-08002B2CF9AE}" pid="119" name="FSC#SKEDITIONREG@103.510:as_objname">
    <vt:lpwstr/>
  </property>
  <property fmtid="{D5CDD505-2E9C-101B-9397-08002B2CF9AE}" pid="120" name="FSC#SKEDITIONREG@103.510:as_ou">
    <vt:lpwstr/>
  </property>
  <property fmtid="{D5CDD505-2E9C-101B-9397-08002B2CF9AE}" pid="121" name="FSC#SKEDITIONREG@103.510:as_owner">
    <vt:lpwstr>Mgr. Mário Fraňo</vt:lpwstr>
  </property>
  <property fmtid="{D5CDD505-2E9C-101B-9397-08002B2CF9AE}" pid="122" name="FSC#SKEDITIONREG@103.510:as_phonelink">
    <vt:lpwstr/>
  </property>
  <property fmtid="{D5CDD505-2E9C-101B-9397-08002B2CF9AE}" pid="123" name="FSC#SKEDITIONREG@103.510:oz_externAdr">
    <vt:lpwstr/>
  </property>
  <property fmtid="{D5CDD505-2E9C-101B-9397-08002B2CF9AE}" pid="124" name="FSC#SKEDITIONREG@103.510:a_depositperiod">
    <vt:lpwstr/>
  </property>
  <property fmtid="{D5CDD505-2E9C-101B-9397-08002B2CF9AE}" pid="125" name="FSC#SKEDITIONREG@103.510:a_disposestate">
    <vt:lpwstr/>
  </property>
  <property fmtid="{D5CDD505-2E9C-101B-9397-08002B2CF9AE}" pid="126" name="FSC#SKEDITIONREG@103.510:a_fileresponsiblefnct">
    <vt:lpwstr/>
  </property>
  <property fmtid="{D5CDD505-2E9C-101B-9397-08002B2CF9AE}" pid="127" name="FSC#SKEDITIONREG@103.510:a_fileresporg_position">
    <vt:lpwstr/>
  </property>
  <property fmtid="{D5CDD505-2E9C-101B-9397-08002B2CF9AE}" pid="128" name="FSC#SKEDITIONREG@103.510:a_fileresporg_position_OU">
    <vt:lpwstr/>
  </property>
  <property fmtid="{D5CDD505-2E9C-101B-9397-08002B2CF9AE}" pid="129" name="FSC#SKEDITIONREG@103.510:a_osobnecislosprac">
    <vt:lpwstr/>
  </property>
  <property fmtid="{D5CDD505-2E9C-101B-9397-08002B2CF9AE}" pid="130" name="FSC#SKEDITIONREG@103.510:a_registrysign">
    <vt:lpwstr/>
  </property>
  <property fmtid="{D5CDD505-2E9C-101B-9397-08002B2CF9AE}" pid="131" name="FSC#SKEDITIONREG@103.510:a_subfileatt">
    <vt:lpwstr/>
  </property>
  <property fmtid="{D5CDD505-2E9C-101B-9397-08002B2CF9AE}" pid="132" name="FSC#SKEDITIONREG@103.510:as_filesubjall">
    <vt:lpwstr/>
  </property>
  <property fmtid="{D5CDD505-2E9C-101B-9397-08002B2CF9AE}" pid="133" name="FSC#SKEDITIONREG@103.510:CreatedAt">
    <vt:lpwstr>7. 10. 2026, 12:54</vt:lpwstr>
  </property>
  <property fmtid="{D5CDD505-2E9C-101B-9397-08002B2CF9AE}" pid="134" name="FSC#SKEDITIONREG@103.510:curruserrolegroup">
    <vt:lpwstr>Odbor legislatívny</vt:lpwstr>
  </property>
  <property fmtid="{D5CDD505-2E9C-101B-9397-08002B2CF9AE}" pid="135" name="FSC#SKEDITIONREG@103.510:currusersubst">
    <vt:lpwstr>Mgr.  Viktor Kidala</vt:lpwstr>
  </property>
  <property fmtid="{D5CDD505-2E9C-101B-9397-08002B2CF9AE}" pid="136" name="FSC#SKEDITIONREG@103.510:emailsprac">
    <vt:lpwstr/>
  </property>
  <property fmtid="{D5CDD505-2E9C-101B-9397-08002B2CF9AE}" pid="137" name="FSC#SKEDITIONREG@103.510:ms_VyskladaniePoznamok">
    <vt:lpwstr/>
  </property>
  <property fmtid="{D5CDD505-2E9C-101B-9397-08002B2CF9AE}" pid="138" name="FSC#SKEDITIONREG@103.510:oumlname_fnct">
    <vt:lpwstr/>
  </property>
  <property fmtid="{D5CDD505-2E9C-101B-9397-08002B2CF9AE}" pid="139" name="FSC#SKEDITIONREG@103.510:sk_org_city">
    <vt:lpwstr>Bratislava 37</vt:lpwstr>
  </property>
  <property fmtid="{D5CDD505-2E9C-101B-9397-08002B2CF9AE}" pid="140" name="FSC#SKEDITIONREG@103.510:sk_org_dic">
    <vt:lpwstr/>
  </property>
  <property fmtid="{D5CDD505-2E9C-101B-9397-08002B2CF9AE}" pid="141" name="FSC#SKEDITIONREG@103.510:sk_org_email">
    <vt:lpwstr/>
  </property>
  <property fmtid="{D5CDD505-2E9C-101B-9397-08002B2CF9AE}" pid="142" name="FSC#SKEDITIONREG@103.510:sk_org_fax">
    <vt:lpwstr/>
  </property>
  <property fmtid="{D5CDD505-2E9C-101B-9397-08002B2CF9AE}" pid="143" name="FSC#SKEDITIONREG@103.510:sk_org_fullname">
    <vt:lpwstr>Ministerstvo zdravotníctva Slovenskej republiky</vt:lpwstr>
  </property>
  <property fmtid="{D5CDD505-2E9C-101B-9397-08002B2CF9AE}" pid="144" name="FSC#SKEDITIONREG@103.510:sk_org_ico">
    <vt:lpwstr>00165565</vt:lpwstr>
  </property>
  <property fmtid="{D5CDD505-2E9C-101B-9397-08002B2CF9AE}" pid="145" name="FSC#SKEDITIONREG@103.510:sk_org_phone">
    <vt:lpwstr/>
  </property>
  <property fmtid="{D5CDD505-2E9C-101B-9397-08002B2CF9AE}" pid="146" name="FSC#SKEDITIONREG@103.510:sk_org_shortname">
    <vt:lpwstr/>
  </property>
  <property fmtid="{D5CDD505-2E9C-101B-9397-08002B2CF9AE}" pid="147" name="FSC#SKEDITIONREG@103.510:sk_org_state">
    <vt:lpwstr/>
  </property>
  <property fmtid="{D5CDD505-2E9C-101B-9397-08002B2CF9AE}" pid="148" name="FSC#SKEDITIONREG@103.510:sk_org_street">
    <vt:lpwstr>Limbova 2</vt:lpwstr>
  </property>
  <property fmtid="{D5CDD505-2E9C-101B-9397-08002B2CF9AE}" pid="149" name="FSC#SKEDITIONREG@103.510:sk_org_zip">
    <vt:lpwstr>837 52</vt:lpwstr>
  </property>
  <property fmtid="{D5CDD505-2E9C-101B-9397-08002B2CF9AE}" pid="150" name="FSC#SKEDITIONREG@103.510:viz_clearedat">
    <vt:lpwstr/>
  </property>
  <property fmtid="{D5CDD505-2E9C-101B-9397-08002B2CF9AE}" pid="151" name="FSC#SKEDITIONREG@103.510:viz_clearedby">
    <vt:lpwstr/>
  </property>
  <property fmtid="{D5CDD505-2E9C-101B-9397-08002B2CF9AE}" pid="152" name="FSC#SKEDITIONREG@103.510:viz_comm">
    <vt:lpwstr/>
  </property>
  <property fmtid="{D5CDD505-2E9C-101B-9397-08002B2CF9AE}" pid="153" name="FSC#SKEDITIONREG@103.510:viz_decisionattachments">
    <vt:lpwstr/>
  </property>
  <property fmtid="{D5CDD505-2E9C-101B-9397-08002B2CF9AE}" pid="154" name="FSC#SKEDITIONREG@103.510:viz_deliveredat">
    <vt:lpwstr/>
  </property>
  <property fmtid="{D5CDD505-2E9C-101B-9397-08002B2CF9AE}" pid="155" name="FSC#SKEDITIONREG@103.510:viz_delivery">
    <vt:lpwstr/>
  </property>
  <property fmtid="{D5CDD505-2E9C-101B-9397-08002B2CF9AE}" pid="156" name="FSC#SKEDITIONREG@103.510:viz_extension">
    <vt:lpwstr/>
  </property>
  <property fmtid="{D5CDD505-2E9C-101B-9397-08002B2CF9AE}" pid="157" name="FSC#SKEDITIONREG@103.510:viz_filenumber">
    <vt:lpwstr/>
  </property>
  <property fmtid="{D5CDD505-2E9C-101B-9397-08002B2CF9AE}" pid="158" name="FSC#SKEDITIONREG@103.510:viz_fileresponsible">
    <vt:lpwstr/>
  </property>
  <property fmtid="{D5CDD505-2E9C-101B-9397-08002B2CF9AE}" pid="159" name="FSC#SKEDITIONREG@103.510:viz_fileresporg">
    <vt:lpwstr/>
  </property>
  <property fmtid="{D5CDD505-2E9C-101B-9397-08002B2CF9AE}" pid="160" name="FSC#SKEDITIONREG@103.510:viz_fileresporg_email_OU">
    <vt:lpwstr/>
  </property>
  <property fmtid="{D5CDD505-2E9C-101B-9397-08002B2CF9AE}" pid="161" name="FSC#SKEDITIONREG@103.510:viz_fileresporg_emailaddress">
    <vt:lpwstr/>
  </property>
  <property fmtid="{D5CDD505-2E9C-101B-9397-08002B2CF9AE}" pid="162" name="FSC#SKEDITIONREG@103.510:viz_fileresporg_fax">
    <vt:lpwstr/>
  </property>
  <property fmtid="{D5CDD505-2E9C-101B-9397-08002B2CF9AE}" pid="163" name="FSC#SKEDITIONREG@103.510:viz_fileresporg_fax_OU">
    <vt:lpwstr/>
  </property>
  <property fmtid="{D5CDD505-2E9C-101B-9397-08002B2CF9AE}" pid="164" name="FSC#SKEDITIONREG@103.510:viz_fileresporg_function">
    <vt:lpwstr/>
  </property>
  <property fmtid="{D5CDD505-2E9C-101B-9397-08002B2CF9AE}" pid="165" name="FSC#SKEDITIONREG@103.510:viz_fileresporg_function_OU">
    <vt:lpwstr/>
  </property>
  <property fmtid="{D5CDD505-2E9C-101B-9397-08002B2CF9AE}" pid="166" name="FSC#SKEDITIONREG@103.510:viz_fileresporg_head">
    <vt:lpwstr/>
  </property>
  <property fmtid="{D5CDD505-2E9C-101B-9397-08002B2CF9AE}" pid="167" name="FSC#SKEDITIONREG@103.510:viz_fileresporg_head_OU">
    <vt:lpwstr/>
  </property>
  <property fmtid="{D5CDD505-2E9C-101B-9397-08002B2CF9AE}" pid="168" name="FSC#SKEDITIONREG@103.510:viz_fileresporg_longname">
    <vt:lpwstr/>
  </property>
  <property fmtid="{D5CDD505-2E9C-101B-9397-08002B2CF9AE}" pid="169" name="FSC#SKEDITIONREG@103.510:viz_fileresporg_mesto">
    <vt:lpwstr/>
  </property>
  <property fmtid="{D5CDD505-2E9C-101B-9397-08002B2CF9AE}" pid="170" name="FSC#SKEDITIONREG@103.510:viz_fileresporg_odbor">
    <vt:lpwstr/>
  </property>
  <property fmtid="{D5CDD505-2E9C-101B-9397-08002B2CF9AE}" pid="171" name="FSC#SKEDITIONREG@103.510:viz_fileresporg_odbor_function">
    <vt:lpwstr/>
  </property>
  <property fmtid="{D5CDD505-2E9C-101B-9397-08002B2CF9AE}" pid="172" name="FSC#SKEDITIONREG@103.510:viz_fileresporg_odbor_head">
    <vt:lpwstr/>
  </property>
  <property fmtid="{D5CDD505-2E9C-101B-9397-08002B2CF9AE}" pid="173" name="FSC#SKEDITIONREG@103.510:viz_fileresporg_OU">
    <vt:lpwstr/>
  </property>
  <property fmtid="{D5CDD505-2E9C-101B-9397-08002B2CF9AE}" pid="174" name="FSC#SKEDITIONREG@103.510:viz_fileresporg_phone">
    <vt:lpwstr/>
  </property>
  <property fmtid="{D5CDD505-2E9C-101B-9397-08002B2CF9AE}" pid="175" name="FSC#SKEDITIONREG@103.510:viz_fileresporg_phone_OU">
    <vt:lpwstr/>
  </property>
  <property fmtid="{D5CDD505-2E9C-101B-9397-08002B2CF9AE}" pid="176" name="FSC#SKEDITIONREG@103.510:viz_fileresporg_position">
    <vt:lpwstr/>
  </property>
  <property fmtid="{D5CDD505-2E9C-101B-9397-08002B2CF9AE}" pid="177" name="FSC#SKEDITIONREG@103.510:viz_fileresporg_position_OU">
    <vt:lpwstr/>
  </property>
  <property fmtid="{D5CDD505-2E9C-101B-9397-08002B2CF9AE}" pid="178" name="FSC#SKEDITIONREG@103.510:viz_fileresporg_psc">
    <vt:lpwstr/>
  </property>
  <property fmtid="{D5CDD505-2E9C-101B-9397-08002B2CF9AE}" pid="179" name="FSC#SKEDITIONREG@103.510:viz_fileresporg_sekcia">
    <vt:lpwstr/>
  </property>
  <property fmtid="{D5CDD505-2E9C-101B-9397-08002B2CF9AE}" pid="180" name="FSC#SKEDITIONREG@103.510:viz_fileresporg_sekcia_function">
    <vt:lpwstr/>
  </property>
  <property fmtid="{D5CDD505-2E9C-101B-9397-08002B2CF9AE}" pid="181" name="FSC#SKEDITIONREG@103.510:viz_fileresporg_sekcia_head">
    <vt:lpwstr/>
  </property>
  <property fmtid="{D5CDD505-2E9C-101B-9397-08002B2CF9AE}" pid="182" name="FSC#SKEDITIONREG@103.510:viz_fileresporg_stat">
    <vt:lpwstr/>
  </property>
  <property fmtid="{D5CDD505-2E9C-101B-9397-08002B2CF9AE}" pid="183" name="FSC#SKEDITIONREG@103.510:viz_fileresporg_ulica">
    <vt:lpwstr/>
  </property>
  <property fmtid="{D5CDD505-2E9C-101B-9397-08002B2CF9AE}" pid="184" name="FSC#SKEDITIONREG@103.510:viz_fileresporgknazov">
    <vt:lpwstr/>
  </property>
  <property fmtid="{D5CDD505-2E9C-101B-9397-08002B2CF9AE}" pid="185" name="FSC#SKEDITIONREG@103.510:viz_filesubj">
    <vt:lpwstr/>
  </property>
  <property fmtid="{D5CDD505-2E9C-101B-9397-08002B2CF9AE}" pid="186" name="FSC#SKEDITIONREG@103.510:viz_incattachments">
    <vt:lpwstr/>
  </property>
  <property fmtid="{D5CDD505-2E9C-101B-9397-08002B2CF9AE}" pid="187" name="FSC#SKEDITIONREG@103.510:viz_incnr">
    <vt:lpwstr/>
  </property>
  <property fmtid="{D5CDD505-2E9C-101B-9397-08002B2CF9AE}" pid="188" name="FSC#SKEDITIONREG@103.510:viz_intletterrecivers">
    <vt:lpwstr/>
  </property>
  <property fmtid="{D5CDD505-2E9C-101B-9397-08002B2CF9AE}" pid="189" name="FSC#SKEDITIONREG@103.510:viz_objcreatedstr">
    <vt:lpwstr/>
  </property>
  <property fmtid="{D5CDD505-2E9C-101B-9397-08002B2CF9AE}" pid="190" name="FSC#SKEDITIONREG@103.510:viz_ordernumber">
    <vt:lpwstr/>
  </property>
  <property fmtid="{D5CDD505-2E9C-101B-9397-08002B2CF9AE}" pid="191" name="FSC#SKEDITIONREG@103.510:viz_oursign">
    <vt:lpwstr/>
  </property>
  <property fmtid="{D5CDD505-2E9C-101B-9397-08002B2CF9AE}" pid="192" name="FSC#SKEDITIONREG@103.510:viz_responseto_createdby">
    <vt:lpwstr/>
  </property>
  <property fmtid="{D5CDD505-2E9C-101B-9397-08002B2CF9AE}" pid="193" name="FSC#SKEDITIONREG@103.510:viz_sendersign">
    <vt:lpwstr/>
  </property>
  <property fmtid="{D5CDD505-2E9C-101B-9397-08002B2CF9AE}" pid="194" name="FSC#SKEDITIONREG@103.510:viz_shortfileresporg">
    <vt:lpwstr/>
  </property>
  <property fmtid="{D5CDD505-2E9C-101B-9397-08002B2CF9AE}" pid="195" name="FSC#SKEDITIONREG@103.510:viz_tel_number">
    <vt:lpwstr/>
  </property>
  <property fmtid="{D5CDD505-2E9C-101B-9397-08002B2CF9AE}" pid="196" name="FSC#SKEDITIONREG@103.510:viz_tel_number2">
    <vt:lpwstr/>
  </property>
  <property fmtid="{D5CDD505-2E9C-101B-9397-08002B2CF9AE}" pid="197" name="FSC#SKEDITIONREG@103.510:viz_testsalutation">
    <vt:lpwstr/>
  </property>
  <property fmtid="{D5CDD505-2E9C-101B-9397-08002B2CF9AE}" pid="198" name="FSC#SKEDITIONREG@103.510:viz_validfrom">
    <vt:lpwstr/>
  </property>
  <property fmtid="{D5CDD505-2E9C-101B-9397-08002B2CF9AE}" pid="199" name="FSC#SKEDITIONREG@103.510:zaznam_jeden_adresat">
    <vt:lpwstr/>
  </property>
  <property fmtid="{D5CDD505-2E9C-101B-9397-08002B2CF9AE}" pid="200" name="FSC#SKEDITIONREG@103.510:zaznam_vnut_adresati_1">
    <vt:lpwstr/>
  </property>
  <property fmtid="{D5CDD505-2E9C-101B-9397-08002B2CF9AE}" pid="201" name="FSC#SKEDITIONREG@103.510:zaznam_vnut_adresati_2">
    <vt:lpwstr/>
  </property>
  <property fmtid="{D5CDD505-2E9C-101B-9397-08002B2CF9AE}" pid="202" name="FSC#SKEDITIONREG@103.510:zaznam_vnut_adresati_3">
    <vt:lpwstr/>
  </property>
  <property fmtid="{D5CDD505-2E9C-101B-9397-08002B2CF9AE}" pid="203" name="FSC#SKEDITIONREG@103.510:zaznam_vnut_adresati_4">
    <vt:lpwstr/>
  </property>
  <property fmtid="{D5CDD505-2E9C-101B-9397-08002B2CF9AE}" pid="204" name="FSC#SKEDITIONREG@103.510:zaznam_vnut_adresati_5">
    <vt:lpwstr/>
  </property>
  <property fmtid="{D5CDD505-2E9C-101B-9397-08002B2CF9AE}" pid="205" name="FSC#SKEDITIONREG@103.510:zaznam_vnut_adresati_6">
    <vt:lpwstr/>
  </property>
  <property fmtid="{D5CDD505-2E9C-101B-9397-08002B2CF9AE}" pid="206" name="FSC#SKEDITIONREG@103.510:zaznam_vnut_adresati_7">
    <vt:lpwstr/>
  </property>
  <property fmtid="{D5CDD505-2E9C-101B-9397-08002B2CF9AE}" pid="207" name="FSC#SKEDITIONREG@103.510:zaznam_vnut_adresati_8">
    <vt:lpwstr/>
  </property>
  <property fmtid="{D5CDD505-2E9C-101B-9397-08002B2CF9AE}" pid="208" name="FSC#SKEDITIONREG@103.510:zaznam_vnut_adresati_9">
    <vt:lpwstr/>
  </property>
  <property fmtid="{D5CDD505-2E9C-101B-9397-08002B2CF9AE}" pid="209" name="FSC#SKEDITIONREG@103.510:zaznam_vnut_adresati_10">
    <vt:lpwstr/>
  </property>
  <property fmtid="{D5CDD505-2E9C-101B-9397-08002B2CF9AE}" pid="210" name="FSC#SKEDITIONREG@103.510:zaznam_vnut_adresati_11">
    <vt:lpwstr/>
  </property>
  <property fmtid="{D5CDD505-2E9C-101B-9397-08002B2CF9AE}" pid="211" name="FSC#SKEDITIONREG@103.510:zaznam_vnut_adresati_12">
    <vt:lpwstr/>
  </property>
  <property fmtid="{D5CDD505-2E9C-101B-9397-08002B2CF9AE}" pid="212" name="FSC#SKEDITIONREG@103.510:zaznam_vnut_adresati_13">
    <vt:lpwstr/>
  </property>
  <property fmtid="{D5CDD505-2E9C-101B-9397-08002B2CF9AE}" pid="213" name="FSC#SKEDITIONREG@103.510:zaznam_vnut_adresati_14">
    <vt:lpwstr/>
  </property>
  <property fmtid="{D5CDD505-2E9C-101B-9397-08002B2CF9AE}" pid="214" name="FSC#SKEDITIONREG@103.510:zaznam_vnut_adresati_15">
    <vt:lpwstr/>
  </property>
  <property fmtid="{D5CDD505-2E9C-101B-9397-08002B2CF9AE}" pid="215" name="FSC#SKEDITIONREG@103.510:zaznam_vnut_adresati_16">
    <vt:lpwstr/>
  </property>
  <property fmtid="{D5CDD505-2E9C-101B-9397-08002B2CF9AE}" pid="216" name="FSC#SKEDITIONREG@103.510:zaznam_vnut_adresati_17">
    <vt:lpwstr/>
  </property>
  <property fmtid="{D5CDD505-2E9C-101B-9397-08002B2CF9AE}" pid="217" name="FSC#SKEDITIONREG@103.510:zaznam_vnut_adresati_18">
    <vt:lpwstr/>
  </property>
  <property fmtid="{D5CDD505-2E9C-101B-9397-08002B2CF9AE}" pid="218" name="FSC#SKEDITIONREG@103.510:zaznam_vnut_adresati_19">
    <vt:lpwstr/>
  </property>
  <property fmtid="{D5CDD505-2E9C-101B-9397-08002B2CF9AE}" pid="219" name="FSC#SKEDITIONREG@103.510:zaznam_vnut_adresati_20">
    <vt:lpwstr/>
  </property>
  <property fmtid="{D5CDD505-2E9C-101B-9397-08002B2CF9AE}" pid="220" name="FSC#SKEDITIONREG@103.510:zaznam_vnut_adresati_21">
    <vt:lpwstr/>
  </property>
  <property fmtid="{D5CDD505-2E9C-101B-9397-08002B2CF9AE}" pid="221" name="FSC#SKEDITIONREG@103.510:zaznam_vnut_adresati_22">
    <vt:lpwstr/>
  </property>
  <property fmtid="{D5CDD505-2E9C-101B-9397-08002B2CF9AE}" pid="222" name="FSC#SKEDITIONREG@103.510:zaznam_vnut_adresati_23">
    <vt:lpwstr/>
  </property>
  <property fmtid="{D5CDD505-2E9C-101B-9397-08002B2CF9AE}" pid="223" name="FSC#SKEDITIONREG@103.510:zaznam_vnut_adresati_24">
    <vt:lpwstr/>
  </property>
  <property fmtid="{D5CDD505-2E9C-101B-9397-08002B2CF9AE}" pid="224" name="FSC#SKEDITIONREG@103.510:zaznam_vnut_adresati_25">
    <vt:lpwstr/>
  </property>
  <property fmtid="{D5CDD505-2E9C-101B-9397-08002B2CF9AE}" pid="225" name="FSC#SKEDITIONREG@103.510:zaznam_vnut_adresati_26">
    <vt:lpwstr/>
  </property>
  <property fmtid="{D5CDD505-2E9C-101B-9397-08002B2CF9AE}" pid="226" name="FSC#SKEDITIONREG@103.510:zaznam_vnut_adresati_27">
    <vt:lpwstr/>
  </property>
  <property fmtid="{D5CDD505-2E9C-101B-9397-08002B2CF9AE}" pid="227" name="FSC#SKEDITIONREG@103.510:zaznam_vnut_adresati_28">
    <vt:lpwstr/>
  </property>
  <property fmtid="{D5CDD505-2E9C-101B-9397-08002B2CF9AE}" pid="228" name="FSC#SKEDITIONREG@103.510:zaznam_vnut_adresati_29">
    <vt:lpwstr/>
  </property>
  <property fmtid="{D5CDD505-2E9C-101B-9397-08002B2CF9AE}" pid="229" name="FSC#SKEDITIONREG@103.510:zaznam_vnut_adresati_30">
    <vt:lpwstr/>
  </property>
  <property fmtid="{D5CDD505-2E9C-101B-9397-08002B2CF9AE}" pid="230" name="FSC#SKEDITIONREG@103.510:zaznam_vnut_adresati_31">
    <vt:lpwstr/>
  </property>
  <property fmtid="{D5CDD505-2E9C-101B-9397-08002B2CF9AE}" pid="231" name="FSC#SKEDITIONREG@103.510:zaznam_vnut_adresati_32">
    <vt:lpwstr/>
  </property>
  <property fmtid="{D5CDD505-2E9C-101B-9397-08002B2CF9AE}" pid="232" name="FSC#SKEDITIONREG@103.510:zaznam_vnut_adresati_33">
    <vt:lpwstr/>
  </property>
  <property fmtid="{D5CDD505-2E9C-101B-9397-08002B2CF9AE}" pid="233" name="FSC#SKEDITIONREG@103.510:zaznam_vnut_adresati_34">
    <vt:lpwstr/>
  </property>
  <property fmtid="{D5CDD505-2E9C-101B-9397-08002B2CF9AE}" pid="234" name="FSC#SKEDITIONREG@103.510:zaznam_vnut_adresati_35">
    <vt:lpwstr/>
  </property>
  <property fmtid="{D5CDD505-2E9C-101B-9397-08002B2CF9AE}" pid="235" name="FSC#SKEDITIONREG@103.510:zaznam_vnut_adresati_36">
    <vt:lpwstr/>
  </property>
  <property fmtid="{D5CDD505-2E9C-101B-9397-08002B2CF9AE}" pid="236" name="FSC#SKEDITIONREG@103.510:zaznam_vnut_adresati_37">
    <vt:lpwstr/>
  </property>
  <property fmtid="{D5CDD505-2E9C-101B-9397-08002B2CF9AE}" pid="237" name="FSC#SKEDITIONREG@103.510:zaznam_vnut_adresati_38">
    <vt:lpwstr/>
  </property>
  <property fmtid="{D5CDD505-2E9C-101B-9397-08002B2CF9AE}" pid="238" name="FSC#SKEDITIONREG@103.510:zaznam_vnut_adresati_39">
    <vt:lpwstr/>
  </property>
  <property fmtid="{D5CDD505-2E9C-101B-9397-08002B2CF9AE}" pid="239" name="FSC#SKEDITIONREG@103.510:zaznam_vnut_adresati_40">
    <vt:lpwstr/>
  </property>
  <property fmtid="{D5CDD505-2E9C-101B-9397-08002B2CF9AE}" pid="240" name="FSC#SKEDITIONREG@103.510:zaznam_vnut_adresati_41">
    <vt:lpwstr/>
  </property>
  <property fmtid="{D5CDD505-2E9C-101B-9397-08002B2CF9AE}" pid="241" name="FSC#SKEDITIONREG@103.510:zaznam_vnut_adresati_42">
    <vt:lpwstr/>
  </property>
  <property fmtid="{D5CDD505-2E9C-101B-9397-08002B2CF9AE}" pid="242" name="FSC#SKEDITIONREG@103.510:zaznam_vnut_adresati_43">
    <vt:lpwstr/>
  </property>
  <property fmtid="{D5CDD505-2E9C-101B-9397-08002B2CF9AE}" pid="243" name="FSC#SKEDITIONREG@103.510:zaznam_vnut_adresati_44">
    <vt:lpwstr/>
  </property>
  <property fmtid="{D5CDD505-2E9C-101B-9397-08002B2CF9AE}" pid="244" name="FSC#SKEDITIONREG@103.510:zaznam_vnut_adresati_45">
    <vt:lpwstr/>
  </property>
  <property fmtid="{D5CDD505-2E9C-101B-9397-08002B2CF9AE}" pid="245" name="FSC#SKEDITIONREG@103.510:zaznam_vnut_adresati_46">
    <vt:lpwstr/>
  </property>
  <property fmtid="{D5CDD505-2E9C-101B-9397-08002B2CF9AE}" pid="246" name="FSC#SKEDITIONREG@103.510:zaznam_vnut_adresati_47">
    <vt:lpwstr/>
  </property>
  <property fmtid="{D5CDD505-2E9C-101B-9397-08002B2CF9AE}" pid="247" name="FSC#SKEDITIONREG@103.510:zaznam_vnut_adresati_48">
    <vt:lpwstr/>
  </property>
  <property fmtid="{D5CDD505-2E9C-101B-9397-08002B2CF9AE}" pid="248" name="FSC#SKEDITIONREG@103.510:zaznam_vnut_adresati_49">
    <vt:lpwstr/>
  </property>
  <property fmtid="{D5CDD505-2E9C-101B-9397-08002B2CF9AE}" pid="249" name="FSC#SKEDITIONREG@103.510:zaznam_vnut_adresati_50">
    <vt:lpwstr/>
  </property>
  <property fmtid="{D5CDD505-2E9C-101B-9397-08002B2CF9AE}" pid="250" name="FSC#SKEDITIONREG@103.510:zaznam_vnut_adresati_51">
    <vt:lpwstr/>
  </property>
  <property fmtid="{D5CDD505-2E9C-101B-9397-08002B2CF9AE}" pid="251" name="FSC#SKEDITIONREG@103.510:zaznam_vnut_adresati_52">
    <vt:lpwstr/>
  </property>
  <property fmtid="{D5CDD505-2E9C-101B-9397-08002B2CF9AE}" pid="252" name="FSC#SKEDITIONREG@103.510:zaznam_vnut_adresati_53">
    <vt:lpwstr/>
  </property>
  <property fmtid="{D5CDD505-2E9C-101B-9397-08002B2CF9AE}" pid="253" name="FSC#SKEDITIONREG@103.510:zaznam_vnut_adresati_54">
    <vt:lpwstr/>
  </property>
  <property fmtid="{D5CDD505-2E9C-101B-9397-08002B2CF9AE}" pid="254" name="FSC#SKEDITIONREG@103.510:zaznam_vnut_adresati_55">
    <vt:lpwstr/>
  </property>
  <property fmtid="{D5CDD505-2E9C-101B-9397-08002B2CF9AE}" pid="255" name="FSC#SKEDITIONREG@103.510:zaznam_vnut_adresati_56">
    <vt:lpwstr/>
  </property>
  <property fmtid="{D5CDD505-2E9C-101B-9397-08002B2CF9AE}" pid="256" name="FSC#SKEDITIONREG@103.510:zaznam_vnut_adresati_57">
    <vt:lpwstr/>
  </property>
  <property fmtid="{D5CDD505-2E9C-101B-9397-08002B2CF9AE}" pid="257" name="FSC#SKEDITIONREG@103.510:zaznam_vnut_adresati_58">
    <vt:lpwstr/>
  </property>
  <property fmtid="{D5CDD505-2E9C-101B-9397-08002B2CF9AE}" pid="258" name="FSC#SKEDITIONREG@103.510:zaznam_vnut_adresati_59">
    <vt:lpwstr/>
  </property>
  <property fmtid="{D5CDD505-2E9C-101B-9397-08002B2CF9AE}" pid="259" name="FSC#SKEDITIONREG@103.510:zaznam_vnut_adresati_60">
    <vt:lpwstr/>
  </property>
  <property fmtid="{D5CDD505-2E9C-101B-9397-08002B2CF9AE}" pid="260" name="FSC#SKEDITIONREG@103.510:zaznam_vnut_adresati_61">
    <vt:lpwstr/>
  </property>
  <property fmtid="{D5CDD505-2E9C-101B-9397-08002B2CF9AE}" pid="261" name="FSC#SKEDITIONREG@103.510:zaznam_vnut_adresati_62">
    <vt:lpwstr/>
  </property>
  <property fmtid="{D5CDD505-2E9C-101B-9397-08002B2CF9AE}" pid="262" name="FSC#SKEDITIONREG@103.510:zaznam_vnut_adresati_63">
    <vt:lpwstr/>
  </property>
  <property fmtid="{D5CDD505-2E9C-101B-9397-08002B2CF9AE}" pid="263" name="FSC#SKEDITIONREG@103.510:zaznam_vnut_adresati_64">
    <vt:lpwstr/>
  </property>
  <property fmtid="{D5CDD505-2E9C-101B-9397-08002B2CF9AE}" pid="264" name="FSC#SKEDITIONREG@103.510:zaznam_vnut_adresati_65">
    <vt:lpwstr/>
  </property>
  <property fmtid="{D5CDD505-2E9C-101B-9397-08002B2CF9AE}" pid="265" name="FSC#SKEDITIONREG@103.510:zaznam_vnut_adresati_66">
    <vt:lpwstr/>
  </property>
  <property fmtid="{D5CDD505-2E9C-101B-9397-08002B2CF9AE}" pid="266" name="FSC#SKEDITIONREG@103.510:zaznam_vnut_adresati_67">
    <vt:lpwstr/>
  </property>
  <property fmtid="{D5CDD505-2E9C-101B-9397-08002B2CF9AE}" pid="267" name="FSC#SKEDITIONREG@103.510:zaznam_vnut_adresati_68">
    <vt:lpwstr/>
  </property>
  <property fmtid="{D5CDD505-2E9C-101B-9397-08002B2CF9AE}" pid="268" name="FSC#SKEDITIONREG@103.510:zaznam_vnut_adresati_69">
    <vt:lpwstr/>
  </property>
  <property fmtid="{D5CDD505-2E9C-101B-9397-08002B2CF9AE}" pid="269" name="FSC#SKEDITIONREG@103.510:zaznam_vnut_adresati_70">
    <vt:lpwstr/>
  </property>
  <property fmtid="{D5CDD505-2E9C-101B-9397-08002B2CF9AE}" pid="270" name="FSC#SKEDITIONREG@103.510:zaznam_vonk_adresati_1">
    <vt:lpwstr/>
  </property>
  <property fmtid="{D5CDD505-2E9C-101B-9397-08002B2CF9AE}" pid="271" name="FSC#SKEDITIONREG@103.510:zaznam_vonk_adresati_2">
    <vt:lpwstr/>
  </property>
  <property fmtid="{D5CDD505-2E9C-101B-9397-08002B2CF9AE}" pid="272" name="FSC#SKEDITIONREG@103.510:zaznam_vonk_adresati_3">
    <vt:lpwstr/>
  </property>
  <property fmtid="{D5CDD505-2E9C-101B-9397-08002B2CF9AE}" pid="273" name="FSC#SKEDITIONREG@103.510:zaznam_vonk_adresati_4">
    <vt:lpwstr/>
  </property>
  <property fmtid="{D5CDD505-2E9C-101B-9397-08002B2CF9AE}" pid="274" name="FSC#SKEDITIONREG@103.510:zaznam_vonk_adresati_5">
    <vt:lpwstr/>
  </property>
  <property fmtid="{D5CDD505-2E9C-101B-9397-08002B2CF9AE}" pid="275" name="FSC#SKEDITIONREG@103.510:zaznam_vonk_adresati_6">
    <vt:lpwstr/>
  </property>
  <property fmtid="{D5CDD505-2E9C-101B-9397-08002B2CF9AE}" pid="276" name="FSC#SKEDITIONREG@103.510:zaznam_vonk_adresati_7">
    <vt:lpwstr/>
  </property>
  <property fmtid="{D5CDD505-2E9C-101B-9397-08002B2CF9AE}" pid="277" name="FSC#SKEDITIONREG@103.510:zaznam_vonk_adresati_8">
    <vt:lpwstr/>
  </property>
  <property fmtid="{D5CDD505-2E9C-101B-9397-08002B2CF9AE}" pid="278" name="FSC#SKEDITIONREG@103.510:zaznam_vonk_adresati_9">
    <vt:lpwstr/>
  </property>
  <property fmtid="{D5CDD505-2E9C-101B-9397-08002B2CF9AE}" pid="279" name="FSC#SKEDITIONREG@103.510:zaznam_vonk_adresati_10">
    <vt:lpwstr/>
  </property>
  <property fmtid="{D5CDD505-2E9C-101B-9397-08002B2CF9AE}" pid="280" name="FSC#SKEDITIONREG@103.510:zaznam_vonk_adresati_11">
    <vt:lpwstr/>
  </property>
  <property fmtid="{D5CDD505-2E9C-101B-9397-08002B2CF9AE}" pid="281" name="FSC#SKEDITIONREG@103.510:zaznam_vonk_adresati_12">
    <vt:lpwstr/>
  </property>
  <property fmtid="{D5CDD505-2E9C-101B-9397-08002B2CF9AE}" pid="282" name="FSC#SKEDITIONREG@103.510:zaznam_vonk_adresati_13">
    <vt:lpwstr/>
  </property>
  <property fmtid="{D5CDD505-2E9C-101B-9397-08002B2CF9AE}" pid="283" name="FSC#SKEDITIONREG@103.510:zaznam_vonk_adresati_14">
    <vt:lpwstr/>
  </property>
  <property fmtid="{D5CDD505-2E9C-101B-9397-08002B2CF9AE}" pid="284" name="FSC#SKEDITIONREG@103.510:zaznam_vonk_adresati_15">
    <vt:lpwstr/>
  </property>
  <property fmtid="{D5CDD505-2E9C-101B-9397-08002B2CF9AE}" pid="285" name="FSC#SKEDITIONREG@103.510:zaznam_vonk_adresati_16">
    <vt:lpwstr/>
  </property>
  <property fmtid="{D5CDD505-2E9C-101B-9397-08002B2CF9AE}" pid="286" name="FSC#SKEDITIONREG@103.510:zaznam_vonk_adresati_17">
    <vt:lpwstr/>
  </property>
  <property fmtid="{D5CDD505-2E9C-101B-9397-08002B2CF9AE}" pid="287" name="FSC#SKEDITIONREG@103.510:zaznam_vonk_adresati_18">
    <vt:lpwstr/>
  </property>
  <property fmtid="{D5CDD505-2E9C-101B-9397-08002B2CF9AE}" pid="288" name="FSC#SKEDITIONREG@103.510:zaznam_vonk_adresati_19">
    <vt:lpwstr/>
  </property>
  <property fmtid="{D5CDD505-2E9C-101B-9397-08002B2CF9AE}" pid="289" name="FSC#SKEDITIONREG@103.510:zaznam_vonk_adresati_20">
    <vt:lpwstr/>
  </property>
  <property fmtid="{D5CDD505-2E9C-101B-9397-08002B2CF9AE}" pid="290" name="FSC#SKEDITIONREG@103.510:zaznam_vonk_adresati_21">
    <vt:lpwstr/>
  </property>
  <property fmtid="{D5CDD505-2E9C-101B-9397-08002B2CF9AE}" pid="291" name="FSC#SKEDITIONREG@103.510:zaznam_vonk_adresati_22">
    <vt:lpwstr/>
  </property>
  <property fmtid="{D5CDD505-2E9C-101B-9397-08002B2CF9AE}" pid="292" name="FSC#SKEDITIONREG@103.510:zaznam_vonk_adresati_23">
    <vt:lpwstr/>
  </property>
  <property fmtid="{D5CDD505-2E9C-101B-9397-08002B2CF9AE}" pid="293" name="FSC#SKEDITIONREG@103.510:zaznam_vonk_adresati_24">
    <vt:lpwstr/>
  </property>
  <property fmtid="{D5CDD505-2E9C-101B-9397-08002B2CF9AE}" pid="294" name="FSC#SKEDITIONREG@103.510:zaznam_vonk_adresati_25">
    <vt:lpwstr/>
  </property>
  <property fmtid="{D5CDD505-2E9C-101B-9397-08002B2CF9AE}" pid="295" name="FSC#SKEDITIONREG@103.510:zaznam_vonk_adresati_26">
    <vt:lpwstr/>
  </property>
  <property fmtid="{D5CDD505-2E9C-101B-9397-08002B2CF9AE}" pid="296" name="FSC#SKEDITIONREG@103.510:zaznam_vonk_adresati_27">
    <vt:lpwstr/>
  </property>
  <property fmtid="{D5CDD505-2E9C-101B-9397-08002B2CF9AE}" pid="297" name="FSC#SKEDITIONREG@103.510:zaznam_vonk_adresati_28">
    <vt:lpwstr/>
  </property>
  <property fmtid="{D5CDD505-2E9C-101B-9397-08002B2CF9AE}" pid="298" name="FSC#SKEDITIONREG@103.510:zaznam_vonk_adresati_29">
    <vt:lpwstr/>
  </property>
  <property fmtid="{D5CDD505-2E9C-101B-9397-08002B2CF9AE}" pid="299" name="FSC#SKEDITIONREG@103.510:zaznam_vonk_adresati_30">
    <vt:lpwstr/>
  </property>
  <property fmtid="{D5CDD505-2E9C-101B-9397-08002B2CF9AE}" pid="300" name="FSC#SKEDITIONREG@103.510:zaznam_vonk_adresati_31">
    <vt:lpwstr/>
  </property>
  <property fmtid="{D5CDD505-2E9C-101B-9397-08002B2CF9AE}" pid="301" name="FSC#SKEDITIONREG@103.510:zaznam_vonk_adresati_32">
    <vt:lpwstr/>
  </property>
  <property fmtid="{D5CDD505-2E9C-101B-9397-08002B2CF9AE}" pid="302" name="FSC#SKEDITIONREG@103.510:zaznam_vonk_adresati_33">
    <vt:lpwstr/>
  </property>
  <property fmtid="{D5CDD505-2E9C-101B-9397-08002B2CF9AE}" pid="303" name="FSC#SKEDITIONREG@103.510:zaznam_vonk_adresati_34">
    <vt:lpwstr/>
  </property>
  <property fmtid="{D5CDD505-2E9C-101B-9397-08002B2CF9AE}" pid="304" name="FSC#SKEDITIONREG@103.510:zaznam_vonk_adresati_35">
    <vt:lpwstr/>
  </property>
  <property fmtid="{D5CDD505-2E9C-101B-9397-08002B2CF9AE}" pid="305" name="FSC#SKEDITIONREG@103.510:Stazovatel">
    <vt:lpwstr/>
  </property>
  <property fmtid="{D5CDD505-2E9C-101B-9397-08002B2CF9AE}" pid="306" name="FSC#SKEDITIONREG@103.510:ProtiKomu">
    <vt:lpwstr/>
  </property>
  <property fmtid="{D5CDD505-2E9C-101B-9397-08002B2CF9AE}" pid="307" name="FSC#SKEDITIONREG@103.510:EvCisloStaz">
    <vt:lpwstr/>
  </property>
  <property fmtid="{D5CDD505-2E9C-101B-9397-08002B2CF9AE}" pid="308" name="FSC#SKEDITIONREG@103.510:jod_AttrDateSkutocnyDatumVydania">
    <vt:lpwstr/>
  </property>
  <property fmtid="{D5CDD505-2E9C-101B-9397-08002B2CF9AE}" pid="309" name="FSC#SKEDITIONREG@103.510:jod_AttrNumCisloZmeny">
    <vt:lpwstr/>
  </property>
  <property fmtid="{D5CDD505-2E9C-101B-9397-08002B2CF9AE}" pid="310" name="FSC#SKEDITIONREG@103.510:jod_AttrStrRegCisloZaznamu">
    <vt:lpwstr/>
  </property>
  <property fmtid="{D5CDD505-2E9C-101B-9397-08002B2CF9AE}" pid="311" name="FSC#SKEDITIONREG@103.510:jod_cislodoc">
    <vt:lpwstr/>
  </property>
  <property fmtid="{D5CDD505-2E9C-101B-9397-08002B2CF9AE}" pid="312" name="FSC#SKEDITIONREG@103.510:jod_druh">
    <vt:lpwstr/>
  </property>
  <property fmtid="{D5CDD505-2E9C-101B-9397-08002B2CF9AE}" pid="313" name="FSC#SKEDITIONREG@103.510:jod_lu">
    <vt:lpwstr/>
  </property>
  <property fmtid="{D5CDD505-2E9C-101B-9397-08002B2CF9AE}" pid="314" name="FSC#SKEDITIONREG@103.510:jod_nazov">
    <vt:lpwstr/>
  </property>
  <property fmtid="{D5CDD505-2E9C-101B-9397-08002B2CF9AE}" pid="315" name="FSC#SKEDITIONREG@103.510:jod_typ">
    <vt:lpwstr/>
  </property>
  <property fmtid="{D5CDD505-2E9C-101B-9397-08002B2CF9AE}" pid="316" name="FSC#SKEDITIONREG@103.510:jod_zh">
    <vt:lpwstr/>
  </property>
  <property fmtid="{D5CDD505-2E9C-101B-9397-08002B2CF9AE}" pid="317" name="FSC#SKEDITIONREG@103.510:jod_sAttrDatePlatnostDo">
    <vt:lpwstr/>
  </property>
  <property fmtid="{D5CDD505-2E9C-101B-9397-08002B2CF9AE}" pid="318" name="FSC#SKEDITIONREG@103.510:jod_sAttrDatePlatnostOd">
    <vt:lpwstr/>
  </property>
  <property fmtid="{D5CDD505-2E9C-101B-9397-08002B2CF9AE}" pid="319" name="FSC#SKEDITIONREG@103.510:jod_sAttrDateUcinnostDoc">
    <vt:lpwstr/>
  </property>
  <property fmtid="{D5CDD505-2E9C-101B-9397-08002B2CF9AE}" pid="320" name="FSC#SKEDITIONREG@103.510:a_telephone">
    <vt:lpwstr/>
  </property>
  <property fmtid="{D5CDD505-2E9C-101B-9397-08002B2CF9AE}" pid="321" name="FSC#SKEDITIONREG@103.510:a_email">
    <vt:lpwstr/>
  </property>
  <property fmtid="{D5CDD505-2E9C-101B-9397-08002B2CF9AE}" pid="322" name="FSC#SKEDITIONREG@103.510:a_nazovOU">
    <vt:lpwstr/>
  </property>
  <property fmtid="{D5CDD505-2E9C-101B-9397-08002B2CF9AE}" pid="323" name="FSC#SKEDITIONREG@103.510:a_veduciOU">
    <vt:lpwstr/>
  </property>
  <property fmtid="{D5CDD505-2E9C-101B-9397-08002B2CF9AE}" pid="324" name="FSC#SKEDITIONREG@103.510:a_nadradeneOU">
    <vt:lpwstr/>
  </property>
  <property fmtid="{D5CDD505-2E9C-101B-9397-08002B2CF9AE}" pid="325" name="FSC#SKEDITIONREG@103.510:a_veduciOd">
    <vt:lpwstr/>
  </property>
  <property fmtid="{D5CDD505-2E9C-101B-9397-08002B2CF9AE}" pid="326" name="FSC#SKEDITIONREG@103.510:a_komu">
    <vt:lpwstr/>
  </property>
  <property fmtid="{D5CDD505-2E9C-101B-9397-08002B2CF9AE}" pid="327" name="FSC#SKEDITIONREG@103.510:a_nasecislo">
    <vt:lpwstr/>
  </property>
  <property fmtid="{D5CDD505-2E9C-101B-9397-08002B2CF9AE}" pid="328" name="FSC#SKEDITIONREG@103.510:a_riaditelOdboru">
    <vt:lpwstr/>
  </property>
  <property fmtid="{D5CDD505-2E9C-101B-9397-08002B2CF9AE}" pid="329" name="FSC#SKEDITIONREG@103.510:zaz_fileresporg_addrstreet">
    <vt:lpwstr/>
  </property>
  <property fmtid="{D5CDD505-2E9C-101B-9397-08002B2CF9AE}" pid="330" name="FSC#SKEDITIONREG@103.510:zaz_fileresporg_addrzipcode">
    <vt:lpwstr/>
  </property>
  <property fmtid="{D5CDD505-2E9C-101B-9397-08002B2CF9AE}" pid="331" name="FSC#SKEDITIONREG@103.510:zaz_fileresporg_addrcity">
    <vt:lpwstr/>
  </property>
  <property fmtid="{D5CDD505-2E9C-101B-9397-08002B2CF9AE}" pid="332" name="FSC#COOELAK@1.1001:Subject">
    <vt:lpwstr/>
  </property>
  <property fmtid="{D5CDD505-2E9C-101B-9397-08002B2CF9AE}" pid="333" name="FSC#COOELAK@1.1001:FileReference">
    <vt:lpwstr/>
  </property>
  <property fmtid="{D5CDD505-2E9C-101B-9397-08002B2CF9AE}" pid="334" name="FSC#COOELAK@1.1001:FileRefYear">
    <vt:lpwstr/>
  </property>
  <property fmtid="{D5CDD505-2E9C-101B-9397-08002B2CF9AE}" pid="335" name="FSC#COOELAK@1.1001:FileRefOrdinal">
    <vt:lpwstr/>
  </property>
  <property fmtid="{D5CDD505-2E9C-101B-9397-08002B2CF9AE}" pid="336" name="FSC#COOELAK@1.1001:FileRefOU">
    <vt:lpwstr/>
  </property>
  <property fmtid="{D5CDD505-2E9C-101B-9397-08002B2CF9AE}" pid="337" name="FSC#COOELAK@1.1001:Organization">
    <vt:lpwstr/>
  </property>
  <property fmtid="{D5CDD505-2E9C-101B-9397-08002B2CF9AE}" pid="338" name="FSC#COOELAK@1.1001:Owner">
    <vt:lpwstr>Mgr. Mário Fraňo</vt:lpwstr>
  </property>
  <property fmtid="{D5CDD505-2E9C-101B-9397-08002B2CF9AE}" pid="339" name="FSC#COOELAK@1.1001:OwnerExtension">
    <vt:lpwstr/>
  </property>
  <property fmtid="{D5CDD505-2E9C-101B-9397-08002B2CF9AE}" pid="340" name="FSC#COOELAK@1.1001:OwnerFaxExtension">
    <vt:lpwstr/>
  </property>
  <property fmtid="{D5CDD505-2E9C-101B-9397-08002B2CF9AE}" pid="341" name="FSC#COOELAK@1.1001:DispatchedBy">
    <vt:lpwstr/>
  </property>
  <property fmtid="{D5CDD505-2E9C-101B-9397-08002B2CF9AE}" pid="342" name="FSC#COOELAK@1.1001:DispatchedAt">
    <vt:lpwstr/>
  </property>
  <property fmtid="{D5CDD505-2E9C-101B-9397-08002B2CF9AE}" pid="343" name="FSC#COOELAK@1.1001:ApprovedBy">
    <vt:lpwstr/>
  </property>
  <property fmtid="{D5CDD505-2E9C-101B-9397-08002B2CF9AE}" pid="344" name="FSC#COOELAK@1.1001:ApprovedAt">
    <vt:lpwstr/>
  </property>
  <property fmtid="{D5CDD505-2E9C-101B-9397-08002B2CF9AE}" pid="345" name="FSC#COOELAK@1.1001:Department">
    <vt:lpwstr>OL (Odbor legislatívny)</vt:lpwstr>
  </property>
  <property fmtid="{D5CDD505-2E9C-101B-9397-08002B2CF9AE}" pid="346" name="FSC#COOELAK@1.1001:CreatedAt">
    <vt:lpwstr>07.10.2026</vt:lpwstr>
  </property>
  <property fmtid="{D5CDD505-2E9C-101B-9397-08002B2CF9AE}" pid="347" name="FSC#COOELAK@1.1001:OU">
    <vt:lpwstr>OL (Odbor legislatívny)</vt:lpwstr>
  </property>
  <property fmtid="{D5CDD505-2E9C-101B-9397-08002B2CF9AE}" pid="348" name="FSC#COOELAK@1.1001:Priority">
    <vt:lpwstr> ()</vt:lpwstr>
  </property>
  <property fmtid="{D5CDD505-2E9C-101B-9397-08002B2CF9AE}" pid="349" name="FSC#COOELAK@1.1001:ObjBarCode">
    <vt:lpwstr>*COO.2289.100.2.5085938*</vt:lpwstr>
  </property>
  <property fmtid="{D5CDD505-2E9C-101B-9397-08002B2CF9AE}" pid="350" name="FSC#COOELAK@1.1001:RefBarCode">
    <vt:lpwstr/>
  </property>
  <property fmtid="{D5CDD505-2E9C-101B-9397-08002B2CF9AE}" pid="351" name="FSC#COOELAK@1.1001:FileRefBarCode">
    <vt:lpwstr>**</vt:lpwstr>
  </property>
  <property fmtid="{D5CDD505-2E9C-101B-9397-08002B2CF9AE}" pid="352" name="FSC#COOELAK@1.1001:ExternalRef">
    <vt:lpwstr/>
  </property>
  <property fmtid="{D5CDD505-2E9C-101B-9397-08002B2CF9AE}" pid="353" name="FSC#COOELAK@1.1001:IncomingNumber">
    <vt:lpwstr/>
  </property>
  <property fmtid="{D5CDD505-2E9C-101B-9397-08002B2CF9AE}" pid="354" name="FSC#COOELAK@1.1001:IncomingSubject">
    <vt:lpwstr/>
  </property>
  <property fmtid="{D5CDD505-2E9C-101B-9397-08002B2CF9AE}" pid="355" name="FSC#COOELAK@1.1001:ProcessResponsible">
    <vt:lpwstr/>
  </property>
  <property fmtid="{D5CDD505-2E9C-101B-9397-08002B2CF9AE}" pid="356" name="FSC#COOELAK@1.1001:ProcessResponsiblePhone">
    <vt:lpwstr/>
  </property>
  <property fmtid="{D5CDD505-2E9C-101B-9397-08002B2CF9AE}" pid="357" name="FSC#COOELAK@1.1001:ProcessResponsibleMail">
    <vt:lpwstr/>
  </property>
  <property fmtid="{D5CDD505-2E9C-101B-9397-08002B2CF9AE}" pid="358" name="FSC#COOELAK@1.1001:ProcessResponsibleFax">
    <vt:lpwstr/>
  </property>
  <property fmtid="{D5CDD505-2E9C-101B-9397-08002B2CF9AE}" pid="359" name="FSC#COOELAK@1.1001:ApproverFirstName">
    <vt:lpwstr/>
  </property>
  <property fmtid="{D5CDD505-2E9C-101B-9397-08002B2CF9AE}" pid="360" name="FSC#COOELAK@1.1001:ApproverSurName">
    <vt:lpwstr/>
  </property>
  <property fmtid="{D5CDD505-2E9C-101B-9397-08002B2CF9AE}" pid="361" name="FSC#COOELAK@1.1001:ApproverTitle">
    <vt:lpwstr/>
  </property>
  <property fmtid="{D5CDD505-2E9C-101B-9397-08002B2CF9AE}" pid="362" name="FSC#COOELAK@1.1001:ExternalDate">
    <vt:lpwstr/>
  </property>
  <property fmtid="{D5CDD505-2E9C-101B-9397-08002B2CF9AE}" pid="363" name="FSC#COOELAK@1.1001:SettlementApprovedAt">
    <vt:lpwstr/>
  </property>
  <property fmtid="{D5CDD505-2E9C-101B-9397-08002B2CF9AE}" pid="364" name="FSC#COOELAK@1.1001:BaseNumber">
    <vt:lpwstr/>
  </property>
  <property fmtid="{D5CDD505-2E9C-101B-9397-08002B2CF9AE}" pid="365" name="FSC#COOELAK@1.1001:CurrentUserRolePos">
    <vt:lpwstr>referent 7</vt:lpwstr>
  </property>
  <property fmtid="{D5CDD505-2E9C-101B-9397-08002B2CF9AE}" pid="366" name="FSC#COOELAK@1.1001:CurrentUserEmail">
    <vt:lpwstr>viktor.kidala@health.gov.sk</vt:lpwstr>
  </property>
  <property fmtid="{D5CDD505-2E9C-101B-9397-08002B2CF9AE}" pid="367" name="FSC#ELAKGOV@1.1001:PersonalSubjGender">
    <vt:lpwstr/>
  </property>
  <property fmtid="{D5CDD505-2E9C-101B-9397-08002B2CF9AE}" pid="368" name="FSC#ELAKGOV@1.1001:PersonalSubjFirstName">
    <vt:lpwstr/>
  </property>
  <property fmtid="{D5CDD505-2E9C-101B-9397-08002B2CF9AE}" pid="369" name="FSC#ELAKGOV@1.1001:PersonalSubjSurName">
    <vt:lpwstr/>
  </property>
  <property fmtid="{D5CDD505-2E9C-101B-9397-08002B2CF9AE}" pid="370" name="FSC#ELAKGOV@1.1001:PersonalSubjSalutation">
    <vt:lpwstr/>
  </property>
  <property fmtid="{D5CDD505-2E9C-101B-9397-08002B2CF9AE}" pid="371" name="FSC#ELAKGOV@1.1001:PersonalSubjAddress">
    <vt:lpwstr/>
  </property>
  <property fmtid="{D5CDD505-2E9C-101B-9397-08002B2CF9AE}" pid="372" name="FSC#ATSTATECFG@1.1001:Office">
    <vt:lpwstr/>
  </property>
  <property fmtid="{D5CDD505-2E9C-101B-9397-08002B2CF9AE}" pid="373" name="FSC#ATSTATECFG@1.1001:Agent">
    <vt:lpwstr/>
  </property>
  <property fmtid="{D5CDD505-2E9C-101B-9397-08002B2CF9AE}" pid="374" name="FSC#ATSTATECFG@1.1001:AgentPhone">
    <vt:lpwstr/>
  </property>
  <property fmtid="{D5CDD505-2E9C-101B-9397-08002B2CF9AE}" pid="375" name="FSC#ATSTATECFG@1.1001:DepartmentFax">
    <vt:lpwstr/>
  </property>
  <property fmtid="{D5CDD505-2E9C-101B-9397-08002B2CF9AE}" pid="376" name="FSC#ATSTATECFG@1.1001:DepartmentEmail">
    <vt:lpwstr/>
  </property>
  <property fmtid="{D5CDD505-2E9C-101B-9397-08002B2CF9AE}" pid="377" name="FSC#ATSTATECFG@1.1001:SubfileDate">
    <vt:lpwstr/>
  </property>
  <property fmtid="{D5CDD505-2E9C-101B-9397-08002B2CF9AE}" pid="378" name="FSC#ATSTATECFG@1.1001:SubfileSubject">
    <vt:lpwstr/>
  </property>
  <property fmtid="{D5CDD505-2E9C-101B-9397-08002B2CF9AE}" pid="379" name="FSC#ATSTATECFG@1.1001:DepartmentZipCode">
    <vt:lpwstr/>
  </property>
  <property fmtid="{D5CDD505-2E9C-101B-9397-08002B2CF9AE}" pid="380" name="FSC#ATSTATECFG@1.1001:DepartmentCountry">
    <vt:lpwstr/>
  </property>
  <property fmtid="{D5CDD505-2E9C-101B-9397-08002B2CF9AE}" pid="381" name="FSC#ATSTATECFG@1.1001:DepartmentCity">
    <vt:lpwstr/>
  </property>
  <property fmtid="{D5CDD505-2E9C-101B-9397-08002B2CF9AE}" pid="382" name="FSC#ATSTATECFG@1.1001:DepartmentStreet">
    <vt:lpwstr/>
  </property>
  <property fmtid="{D5CDD505-2E9C-101B-9397-08002B2CF9AE}" pid="383" name="FSC#CCAPRECONFIGG@15.1001:DepartmentON">
    <vt:lpwstr/>
  </property>
  <property fmtid="{D5CDD505-2E9C-101B-9397-08002B2CF9AE}" pid="384" name="FSC#CCAPRECONFIGG@15.1001:DepartmentWebsite">
    <vt:lpwstr/>
  </property>
  <property fmtid="{D5CDD505-2E9C-101B-9397-08002B2CF9AE}" pid="385" name="FSC#ATSTATECFG@1.1001:DepartmentDVR">
    <vt:lpwstr/>
  </property>
  <property fmtid="{D5CDD505-2E9C-101B-9397-08002B2CF9AE}" pid="386" name="FSC#ATSTATECFG@1.1001:DepartmentUID">
    <vt:lpwstr/>
  </property>
  <property fmtid="{D5CDD505-2E9C-101B-9397-08002B2CF9AE}" pid="387" name="FSC#ATSTATECFG@1.1001:SubfileReference">
    <vt:lpwstr/>
  </property>
  <property fmtid="{D5CDD505-2E9C-101B-9397-08002B2CF9AE}" pid="388" name="FSC#ATSTATECFG@1.1001:Clause">
    <vt:lpwstr/>
  </property>
  <property fmtid="{D5CDD505-2E9C-101B-9397-08002B2CF9AE}" pid="389" name="FSC#ATSTATECFG@1.1001:ApprovedSignature">
    <vt:lpwstr/>
  </property>
  <property fmtid="{D5CDD505-2E9C-101B-9397-08002B2CF9AE}" pid="390" name="FSC#ATSTATECFG@1.1001:BankAccount">
    <vt:lpwstr/>
  </property>
  <property fmtid="{D5CDD505-2E9C-101B-9397-08002B2CF9AE}" pid="391" name="FSC#ATSTATECFG@1.1001:BankAccountOwner">
    <vt:lpwstr/>
  </property>
  <property fmtid="{D5CDD505-2E9C-101B-9397-08002B2CF9AE}" pid="392" name="FSC#ATSTATECFG@1.1001:BankInstitute">
    <vt:lpwstr/>
  </property>
  <property fmtid="{D5CDD505-2E9C-101B-9397-08002B2CF9AE}" pid="393" name="FSC#ATSTATECFG@1.1001:BankAccountID">
    <vt:lpwstr/>
  </property>
  <property fmtid="{D5CDD505-2E9C-101B-9397-08002B2CF9AE}" pid="394" name="FSC#ATSTATECFG@1.1001:BankAccountIBAN">
    <vt:lpwstr/>
  </property>
  <property fmtid="{D5CDD505-2E9C-101B-9397-08002B2CF9AE}" pid="395" name="FSC#ATSTATECFG@1.1001:BankAccountBIC">
    <vt:lpwstr/>
  </property>
  <property fmtid="{D5CDD505-2E9C-101B-9397-08002B2CF9AE}" pid="396" name="FSC#ATSTATECFG@1.1001:BankName">
    <vt:lpwstr/>
  </property>
  <property fmtid="{D5CDD505-2E9C-101B-9397-08002B2CF9AE}" pid="397" name="FSC#COOELAK@1.1001:ObjectAddressees">
    <vt:lpwstr/>
  </property>
  <property fmtid="{D5CDD505-2E9C-101B-9397-08002B2CF9AE}" pid="398" name="FSC#COOELAK@1.1001:replyreference">
    <vt:lpwstr/>
  </property>
  <property fmtid="{D5CDD505-2E9C-101B-9397-08002B2CF9AE}" pid="399" name="FSC#COOELAK@1.1001:OfficeHours">
    <vt:lpwstr/>
  </property>
  <property fmtid="{D5CDD505-2E9C-101B-9397-08002B2CF9AE}" pid="400" name="FSC#COOELAK@1.1001:FileRefOULong">
    <vt:lpwstr/>
  </property>
  <property fmtid="{D5CDD505-2E9C-101B-9397-08002B2CF9AE}" pid="401" name="FSC#COOSYSTEM@1.1:Container">
    <vt:lpwstr>COO.2289.100.2.5085938</vt:lpwstr>
  </property>
  <property fmtid="{D5CDD505-2E9C-101B-9397-08002B2CF9AE}" pid="402" name="FSC#FSCFOLIO@1.1001:docpropproject">
    <vt:lpwstr/>
  </property>
</Properties>
</file>