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5EFAF" w14:textId="40C7E4E0" w:rsidR="00E66622" w:rsidRPr="00E66622" w:rsidRDefault="0078532E" w:rsidP="00DB2917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t>VZNESENÉ PRIPOMIENKY V RÁMCI PRIPOMIENKOVÉHO KONANIA</w:t>
      </w:r>
      <w:r w:rsidRPr="00E66622">
        <w:rPr>
          <w:rFonts w:ascii="Times New Roman" w:eastAsia="Times New Roman" w:hAnsi="Times New Roman" w:cs="Times New Roman"/>
          <w:b/>
          <w:sz w:val="28"/>
        </w:rPr>
        <w:br/>
      </w:r>
      <w:r w:rsidR="009D32B4" w:rsidRPr="00C13765">
        <w:rPr>
          <w:rFonts w:ascii="Times New Roman" w:eastAsia="Times New Roman" w:hAnsi="Times New Roman" w:cs="Times New Roman"/>
          <w:b/>
          <w:sz w:val="24"/>
          <w:szCs w:val="20"/>
          <w:lang w:val="en-US"/>
        </w:rPr>
        <w:t>Návrh zákona, ktorým sa dopĺňa zákon č. 139/1998 Z. z. o omamných látkach, psychotropných látkach a prípravkoch v znení neskorších predpisov</w:t>
      </w:r>
      <w:r w:rsidR="00917A99">
        <w:rPr>
          <w:rFonts w:ascii="Times New Roman" w:eastAsia="Times New Roman" w:hAnsi="Times New Roman" w:cs="Times New Roman"/>
          <w:b/>
          <w:sz w:val="28"/>
        </w:rPr>
        <w:br/>
      </w:r>
      <w:r w:rsidR="003F1216">
        <w:rPr>
          <w:rFonts w:ascii="Times New Roman" w:eastAsia="Times New Roman" w:hAnsi="Times New Roman" w:cs="Times New Roman"/>
          <w:bCs/>
          <w:sz w:val="24"/>
          <w:szCs w:val="24"/>
        </w:rPr>
        <w:t>LP/2026/182</w:t>
      </w:r>
    </w:p>
    <w:p w14:paraId="4153872D" w14:textId="77777777" w:rsid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Vysvetlivky k použitým skratkám v tabuľke: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O – obyčajná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br/>
        <w:t>Z – zásadná</w:t>
      </w:r>
    </w:p>
    <w:p w14:paraId="23F5C21C" w14:textId="17DC67E2" w:rsidR="00F0653F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  <w:lang w:val="en-US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pripomienok, z toho zásadných: </w:t>
      </w:r>
      <w:r w:rsidRPr="0053699B">
        <w:rPr>
          <w:rFonts w:ascii="Times New Roman" w:eastAsia="Times New Roman" w:hAnsi="Times New Roman" w:cs="Times New Roman"/>
          <w:sz w:val="18"/>
          <w:szCs w:val="18"/>
        </w:rPr>
        <w:tab/>
      </w:r>
      <w:r w:rsidR="00A36692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2E3CEC">
        <w:rPr>
          <w:rFonts w:ascii="Times New Roman" w:eastAsia="Times New Roman" w:hAnsi="Times New Roman" w:cs="Times New Roman"/>
          <w:sz w:val="24"/>
          <w:szCs w:val="24"/>
          <w:lang w:val="en-US"/>
        </w:rPr>
        <w:t>/0</w:t>
      </w:r>
    </w:p>
    <w:p w14:paraId="258F0E4D" w14:textId="7818F349" w:rsidR="00E66622" w:rsidRPr="00DB2917" w:rsidRDefault="00000000" w:rsidP="00DB2917">
      <w:pPr>
        <w:spacing w:line="276" w:lineRule="auto"/>
        <w:rPr>
          <w:sz w:val="24"/>
          <w:szCs w:val="24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Po</w:t>
      </w:r>
      <w:r w:rsidR="001F777F">
        <w:rPr>
          <w:rFonts w:ascii="Times New Roman" w:eastAsia="Times New Roman" w:hAnsi="Times New Roman" w:cs="Times New Roman"/>
          <w:sz w:val="24"/>
          <w:szCs w:val="24"/>
        </w:rPr>
        <w:t>č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et vznesených hromadných pripomienok: 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ab/>
      </w:r>
      <w:r w:rsidR="00335FFB">
        <w:rPr>
          <w:rFonts w:ascii="Times New Roman" w:eastAsia="Times New Roman" w:hAnsi="Times New Roman" w:cs="Times New Roman"/>
          <w:sz w:val="24"/>
          <w:szCs w:val="24"/>
        </w:rPr>
        <w:t>0</w:t>
      </w:r>
    </w:p>
    <w:p w14:paraId="1F0934E1" w14:textId="7C2466DA" w:rsidR="007C1A93" w:rsidRPr="00E66622" w:rsidRDefault="00E66622">
      <w:pPr>
        <w:rPr>
          <w:rFonts w:ascii="Times New Roman" w:eastAsia="Times New Roman" w:hAnsi="Times New Roman" w:cs="Times New Roman"/>
          <w:sz w:val="20"/>
        </w:rPr>
      </w:pPr>
      <w:r w:rsidRPr="00E66622">
        <w:rPr>
          <w:rFonts w:ascii="Times New Roman" w:eastAsia="Times New Roman" w:hAnsi="Times New Roman" w:cs="Times New Roman"/>
          <w:sz w:val="20"/>
        </w:rPr>
        <w:br/>
      </w:r>
      <w:r w:rsidRPr="00E66622">
        <w:rPr>
          <w:rFonts w:ascii="Times New Roman" w:eastAsia="Times New Roman" w:hAnsi="Times New Roman" w:cs="Times New Roman"/>
          <w:sz w:val="24"/>
          <w:szCs w:val="24"/>
        </w:rPr>
        <w:t>Vznesené pripomienky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5AAFA8" w14:textId="77777777" w:rsidTr="00CD5259">
        <w:trPr>
          <w:trHeight w:val="648"/>
        </w:trPr>
        <w:tc>
          <w:tcPr>
            <w:tcW w:w="1000" w:type="pct"/>
            <w:vAlign w:val="center"/>
          </w:tcPr>
          <w:p w14:paraId="4B4FA583" w14:textId="62ECD7CF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498D7DF6" w14:textId="5D009C3B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Typ</w:t>
            </w:r>
          </w:p>
        </w:tc>
        <w:tc>
          <w:tcPr>
            <w:tcW w:w="3150" w:type="pct"/>
            <w:vAlign w:val="center"/>
          </w:tcPr>
          <w:p w14:paraId="54262B5F" w14:textId="62E0E806" w:rsidR="00E11D16" w:rsidRPr="00E11D16" w:rsidRDefault="00E11D16" w:rsidP="00CB600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2025/2062: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Upozorňujeme, že transpozičná lehota delegovanej smernice (EÚ) 2025/2062 uplynie 12. júla 2026. Predkladateľ navrhuje účinnosť predkladaného návrhu zákona na 1. november 2026 čím vznikne Slovenskej republike transpozičný deficit.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2025/2062: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2.	Pri preukazovaní transpozície čl. 1 delegovanej smernice (EÚ) 2025/2062 žiadame v druhom stĺpci predkladanej tabuľke zhody uvádzať celé znenie predmetného ustanovenia, tak ako bolo publikované v Úradnom vestníku Európskej únie.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transpozícii a tabuľke zhody s delegovanou smernicou (EÚ) 2025/2062: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3.	Do predkladanej tabuľky zhody s delegovanou smernicou (EÚ) 2025/2062 žiadame v záujme preukázania úplnej transpozície doplniť aj ostatné články delegovanej smernice (EÚ) 2025/2062.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doložke zlučiteľnosti: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treťom bode doložky zlučiteľnosti v písm. b) žiadame za názov rámcového rozhodnutia 2004/757/SVV v súlade s bodom 62.11. prílohy č. 1 Legislatívnych pravidiel vlády Slovenskej republiky doplniť dodatok „v platnom znení“.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predkladacej správe: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prvom odseku predkladacej správy žiadame za názov delegovanej smernice (EÚ) 2025/2062 v súlade s bodom 62.10. prílohy č. 1 Legislatívnych pravidiel vlády Slovenskej republiky doplniť publikačný zdroj nasledovne: „(Ú. v. EÚ L, 2025/2062, 23.12.2025)“.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OAPSVLÚVSR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Odbor aproximácie práva sekcie vládnej legislatívy Úradu vlády SR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K všeobecnej časti dôvodovej správy: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 prvom odseku všeobecnej časti dôvodovej správy žiadame za názov delegovanej smernice (EÚ) 2025/2062 v súlade s bodom 62.10. prílohy č. 1 Legislatívnych pravidiel vlády Slovenskej republiky doplniť publikačný zdroj nasledovne: „(Ú. v. EÚ L, 2025/2062, 23.12.2025)“.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Verejnosť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Čl. I § 6 ods. 2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1.	V § 6 ods. 2 písm. a) sa za slová „pôrodná asistencia“ vkladajú slová „ , v študijnom odbore urgentná zdravotná starostlivosť“.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Odôvodnenie: Na základe zmien viacerých právnych predpisov, najmä vyhlášky ministerstva zdravotníctva 321/2005 o rozsahu praxe v niektorých zdravotníckych povolaniach, je nutné aktualizovať a rozšíriť preukazovanie odbornej spôsobilosti a umožniť tak zdravotníckym záchranárom s príslušným vzdelaním využívať vybrané opioidy v prednemocničnej zdravotnej starostlivosti.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ŠÚKL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Štátny ústav pre kontrolu liečiv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</w:t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Celému materiálu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Požadujeme zaradiť liečivo lizdexamfetamín do Prílohy č. 1 k zákonu č. 139/1998 Z. z. o omamných a psychotropných látkach a to konkrétne do II. skupiny – omamné látky.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Zdôvodnenie: Liečivo lizdexamfetamín je neaktívna látka, ktorá sa po absorpcii v gastrointestinálnom trakte hydrolyzuje na dexamfetamín, ktorý je farmakologicky aktívnym metabolitom.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Stimulačné látky vrátane dexamfetamínu majú preukázaný potenciál na zneužívanie, používanie na iné ako liečebné účely a môžu vyvolať vznik liekovej závislosti. Vzhľadom na to, že samotný dexamfetamín je už zaradený do II. skupiny omamných látok v Prílohe č. 1 k zákonu č. 139/1998 Z. z., považujeme za potrebné doplniť do tejto skupiny aj lizdexamfetamín, ktorý sa na dexamfetamín metabolizuje. V aplikačnej praxi sa farmaceuti dostávajú do kontaktu s liekom obsahujúcim látku lizdexamfetamín, pri ktorom nevedia zaujať jednoznačné stanovisko k jeho evidencii v knihe omamných a psychotropných látok, keďže liečivo lizdexamfetamín nie je zaradené v Prílohe č. 1 k zákonu o OPL, avšak na základe jeho farmakodynamických vlastností by malo byť v uvedenej knihe evidované ako aj v Prílohe č. 1 k zákonu o OPL.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 xml:space="preserve">ŠÚKL si je vedomý, že sa jedná o skrátené legislatívne konania z dôvodu transpozície delegovanej smernice Komisie a pridaním lizdexamfetamín, ktorá nie je zahrnutá v smernici, by sa nesplnili podmienky skráteného konania. 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Preto v najbližšej novelizácie právneho predpisu požadujeme zaradenie látky lizdexamfetamín do prílohy tohto zákona. Ako sme  na to v minulosti už upozorňovali my aj INCB (Medzinárodný výbor pre kontrolu narkotík).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GPSR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Generálna prokuratúra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dopravy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MFSR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financií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MHSR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hospodárstva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MINCRS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cestovného ruchu a športu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MIRRI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investícií, regionálneho rozvoja a informatizácie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MKSR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kultúry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MOSR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obrany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MPRVSR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pôdohospodárstva a rozvoja vidieka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MPSVRSR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práce, sociálnych vecí a rodiny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spravodlivosti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vnútra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MZVEZ 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zahraničných vecí a európskych záležitostí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MŠVVaMSR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školstva,výskumu,vývoja a mládeže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MŽPSR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Ministerstvo životného prostredia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NBS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Národná banka Slovenska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PMÚSR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Protimonopolný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ÚJDSR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jadrového dozoru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ÚNMSSR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normalizáciu,  metrológiu a skúšobníctvo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ÚPVSR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priemyselného vlastníctva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ÚVO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Úrad pre verejné obstarávanie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  <w:tr>
        <w:trPr>
          <w:trHeight w:val="648"/>
        </w:trPr>
        <w:tc>
          <w:tcPr>
            <w:vAlign w:val="top"/>
          </w:tcPr>
          <w:p>
            <w:pPr>
              <w:spacing w:after="0"/>
              <w:jc w:val="center"/>
            </w:pPr>
            <w:r>
              <w:rPr>
                <w:b w:val="on"/>
                <w:color w:val="000000"/>
                <w:rFonts w:ascii="Times New Roman" w:hAnsi="Times New Roman" w:cs="Times New Roman" w:eastAsia="Times New Roman"/>
                <w:sz w:val="24"/>
              </w:rPr>
              <w:t>ŠÚSR</w:t>
              <w:br/>
            </w: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Štatistický úrad Slovenskej republiky</w:t>
            </w:r>
          </w:p>
        </w:tc>
        <w:tc>
          <w:tcPr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/>
            </w:r>
          </w:p>
        </w:tc>
        <w:tc>
          <w:tcPr>
            <w:vAlign w:val="top"/>
          </w:tcPr>
          <w:p>
            <w:pPr>
              <w:spacing w:after="0"/>
              <w:jc w:val="start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Odoslané bez pripomienok</w:t>
            </w:r>
          </w:p>
        </w:tc>
      </w:tr>
    </w:tbl>
    <w:p w14:paraId="12D7AF0B" w14:textId="77777777" w:rsidR="00DB2917" w:rsidRDefault="00DB2917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602EC8" w14:textId="28745B1A" w:rsidR="00E66622" w:rsidRPr="000B2D78" w:rsidRDefault="00E66622" w:rsidP="00B325C1">
      <w:pPr>
        <w:keepLines/>
        <w:rPr>
          <w:rFonts w:ascii="Times New Roman" w:hAnsi="Times New Roman" w:cs="Times New Roman"/>
        </w:rPr>
      </w:pPr>
      <w:r w:rsidRPr="00E66622">
        <w:rPr>
          <w:rFonts w:ascii="Times New Roman" w:eastAsia="Times New Roman" w:hAnsi="Times New Roman" w:cs="Times New Roman"/>
          <w:sz w:val="24"/>
          <w:szCs w:val="24"/>
        </w:rPr>
        <w:t>Vznesené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hromadn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é</w:t>
      </w:r>
      <w:r w:rsidRPr="00E66622">
        <w:rPr>
          <w:rFonts w:ascii="Times New Roman" w:eastAsia="Times New Roman" w:hAnsi="Times New Roman" w:cs="Times New Roman"/>
          <w:sz w:val="24"/>
          <w:szCs w:val="24"/>
        </w:rPr>
        <w:t xml:space="preserve"> pripomienky</w:t>
      </w:r>
    </w:p>
    <w:tbl>
      <w:tblPr>
        <w:tblW w:w="5000" w:type="pct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787"/>
        <w:gridCol w:w="1394"/>
        <w:gridCol w:w="8779"/>
      </w:tblGrid>
      <w:tr w:rsidR="00E11D16" w14:paraId="57C7F9BD" w14:textId="77777777" w:rsidTr="00CD5259">
        <w:trPr>
          <w:trHeight w:val="648"/>
          <w:jc w:val="center"/>
        </w:trPr>
        <w:tc>
          <w:tcPr>
            <w:tcW w:w="1000" w:type="pct"/>
            <w:vAlign w:val="center"/>
          </w:tcPr>
          <w:p w14:paraId="12485476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Subjekt</w:t>
            </w:r>
          </w:p>
        </w:tc>
        <w:tc>
          <w:tcPr>
            <w:tcW w:w="500" w:type="pct"/>
            <w:vAlign w:val="center"/>
          </w:tcPr>
          <w:p w14:paraId="7BDCDFBF" w14:textId="3EA361CD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Podporo</w:t>
            </w:r>
            <w:r w:rsidR="000A158B" w:rsidRPr="000A158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A15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vatelia</w:t>
            </w:r>
          </w:p>
        </w:tc>
        <w:tc>
          <w:tcPr>
            <w:tcW w:w="3150" w:type="pct"/>
            <w:vAlign w:val="center"/>
          </w:tcPr>
          <w:p w14:paraId="63809B05" w14:textId="77777777" w:rsidR="00E11D16" w:rsidRPr="00E11D16" w:rsidRDefault="00E11D16" w:rsidP="00B325C1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1D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Pripomienka</w:t>
            </w:r>
          </w:p>
        </w:tc>
      </w:tr>
      <w:tr>
        <w:trPr>
          <w:trHeight w:val="648"/>
        </w:trPr>
        <w:tc>
          <w:tcPr>
            <w:hMerge w:val="restart"/>
            <w:vAlign w:val="center"/>
          </w:tcPr>
          <w:p>
            <w:pPr>
              <w:spacing w:after="0"/>
              <w:jc w:val="center"/>
            </w:pPr>
            <w:r>
              <w:rPr>
                <w:b w:val="off"/>
                <w:color w:val="000000"/>
                <w:rFonts w:ascii="Times New Roman" w:hAnsi="Times New Roman" w:cs="Times New Roman" w:eastAsia="Times New Roman"/>
                <w:sz w:val="24"/>
              </w:rPr>
              <w:t>K materiálu neboli pridané hromadné pripomienky.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 w14:paraId="1F01DA97" w14:textId="77777777" w:rsidR="00E66622" w:rsidRPr="00E66622" w:rsidRDefault="00E66622">
      <w:pPr>
        <w:rPr>
          <w:rFonts w:ascii="Times New Roman" w:hAnsi="Times New Roman" w:cs="Times New Roman"/>
        </w:rPr>
      </w:pPr>
    </w:p>
    <w:sectPr w:rsidR="00E66622" w:rsidRPr="00E66622" w:rsidSect="00E327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840" w:h="12240" w:orient="landscape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1D0B5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endnote>
  <w:endnote w:type="continuationSeparator" w:id="0">
    <w:p w14:paraId="5ED96C60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C66DA" w14:textId="77777777" w:rsidR="00E327C3" w:rsidRDefault="00E327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0051462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28835FB3" w14:textId="07C75C14" w:rsidR="00E66622" w:rsidRPr="00A02DB7" w:rsidRDefault="00E66622">
        <w:pPr>
          <w:pStyle w:val="Footer"/>
          <w:jc w:val="center"/>
          <w:rPr>
            <w:rFonts w:ascii="Times New Roman" w:hAnsi="Times New Roman"/>
          </w:rPr>
        </w:pPr>
        <w:r w:rsidRPr="00A02DB7">
          <w:rPr>
            <w:rFonts w:ascii="Times New Roman" w:hAnsi="Times New Roman"/>
          </w:rPr>
          <w:fldChar w:fldCharType="begin"/>
        </w:r>
        <w:r w:rsidRPr="00A02DB7">
          <w:rPr>
            <w:rFonts w:ascii="Times New Roman" w:hAnsi="Times New Roman"/>
          </w:rPr>
          <w:instrText xml:space="preserve"> PAGE   \* MERGEFORMAT </w:instrText>
        </w:r>
        <w:r w:rsidRPr="00A02DB7">
          <w:rPr>
            <w:rFonts w:ascii="Times New Roman" w:hAnsi="Times New Roman"/>
          </w:rPr>
          <w:fldChar w:fldCharType="separate"/>
        </w:r>
        <w:r w:rsidRPr="00A02DB7">
          <w:rPr>
            <w:rFonts w:ascii="Times New Roman" w:hAnsi="Times New Roman"/>
            <w:noProof/>
          </w:rPr>
          <w:t>2</w:t>
        </w:r>
        <w:r w:rsidRPr="00A02DB7">
          <w:rPr>
            <w:rFonts w:ascii="Times New Roman" w:hAnsi="Times New Roman"/>
            <w:noProof/>
          </w:rPr>
          <w:fldChar w:fldCharType="end"/>
        </w:r>
      </w:p>
    </w:sdtContent>
  </w:sdt>
  <w:p w14:paraId="0B4FCCA7" w14:textId="77777777" w:rsidR="00E66622" w:rsidRDefault="00E6662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AAD61" w14:textId="77777777" w:rsidR="00E327C3" w:rsidRDefault="00E3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27A24" w14:textId="77777777" w:rsidR="00735F5E" w:rsidRPr="00E66622" w:rsidRDefault="00735F5E" w:rsidP="00E66622">
      <w:pPr>
        <w:spacing w:after="0" w:line="240" w:lineRule="auto"/>
      </w:pPr>
      <w:r w:rsidRPr="00E66622">
        <w:separator/>
      </w:r>
    </w:p>
  </w:footnote>
  <w:footnote w:type="continuationSeparator" w:id="0">
    <w:p w14:paraId="1101139D" w14:textId="77777777" w:rsidR="00735F5E" w:rsidRPr="00E66622" w:rsidRDefault="00735F5E" w:rsidP="00E66622">
      <w:pPr>
        <w:spacing w:after="0" w:line="240" w:lineRule="auto"/>
      </w:pPr>
      <w:r w:rsidRPr="00E66622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608A1" w14:textId="77777777" w:rsidR="00E327C3" w:rsidRDefault="00E327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5D83C" w14:textId="77777777" w:rsidR="00E327C3" w:rsidRDefault="00E327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E4C91" w14:textId="77777777" w:rsidR="00E327C3" w:rsidRDefault="00E3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A93"/>
    <w:rsid w:val="00047E84"/>
    <w:rsid w:val="00050137"/>
    <w:rsid w:val="00050C83"/>
    <w:rsid w:val="00076DCD"/>
    <w:rsid w:val="000A158B"/>
    <w:rsid w:val="000B2D78"/>
    <w:rsid w:val="000C172E"/>
    <w:rsid w:val="000D3CA3"/>
    <w:rsid w:val="001228AD"/>
    <w:rsid w:val="00131490"/>
    <w:rsid w:val="00131742"/>
    <w:rsid w:val="001433FA"/>
    <w:rsid w:val="00146A7D"/>
    <w:rsid w:val="001D4771"/>
    <w:rsid w:val="001E50FA"/>
    <w:rsid w:val="001E5996"/>
    <w:rsid w:val="001F777F"/>
    <w:rsid w:val="00231554"/>
    <w:rsid w:val="00237490"/>
    <w:rsid w:val="00245F36"/>
    <w:rsid w:val="0026614F"/>
    <w:rsid w:val="002715E0"/>
    <w:rsid w:val="0029170C"/>
    <w:rsid w:val="00295E6A"/>
    <w:rsid w:val="002A4482"/>
    <w:rsid w:val="002C0EB1"/>
    <w:rsid w:val="002C684B"/>
    <w:rsid w:val="002D3B5E"/>
    <w:rsid w:val="002D4B4A"/>
    <w:rsid w:val="002E3CEC"/>
    <w:rsid w:val="002F5089"/>
    <w:rsid w:val="00310F92"/>
    <w:rsid w:val="00312884"/>
    <w:rsid w:val="00335FFB"/>
    <w:rsid w:val="00350421"/>
    <w:rsid w:val="003A5C5F"/>
    <w:rsid w:val="003C31D4"/>
    <w:rsid w:val="003E641E"/>
    <w:rsid w:val="003F1216"/>
    <w:rsid w:val="003F37C1"/>
    <w:rsid w:val="003F501E"/>
    <w:rsid w:val="004029A2"/>
    <w:rsid w:val="004050CF"/>
    <w:rsid w:val="00405348"/>
    <w:rsid w:val="00431C3A"/>
    <w:rsid w:val="00434080"/>
    <w:rsid w:val="00461AE1"/>
    <w:rsid w:val="00491D61"/>
    <w:rsid w:val="004A62B8"/>
    <w:rsid w:val="004B4188"/>
    <w:rsid w:val="004C4683"/>
    <w:rsid w:val="004E0BF7"/>
    <w:rsid w:val="004F4092"/>
    <w:rsid w:val="00513767"/>
    <w:rsid w:val="005146CA"/>
    <w:rsid w:val="0053699B"/>
    <w:rsid w:val="00543901"/>
    <w:rsid w:val="00583F11"/>
    <w:rsid w:val="005B618C"/>
    <w:rsid w:val="005E5B0E"/>
    <w:rsid w:val="005F3E6F"/>
    <w:rsid w:val="00602231"/>
    <w:rsid w:val="006371D1"/>
    <w:rsid w:val="00641DD8"/>
    <w:rsid w:val="00664F3B"/>
    <w:rsid w:val="00695857"/>
    <w:rsid w:val="006C2D6E"/>
    <w:rsid w:val="0070694E"/>
    <w:rsid w:val="00707B3A"/>
    <w:rsid w:val="00735F5E"/>
    <w:rsid w:val="00774ED8"/>
    <w:rsid w:val="00784062"/>
    <w:rsid w:val="0078532E"/>
    <w:rsid w:val="007C1A93"/>
    <w:rsid w:val="007F482B"/>
    <w:rsid w:val="00805BCF"/>
    <w:rsid w:val="00847145"/>
    <w:rsid w:val="008741FE"/>
    <w:rsid w:val="00887B34"/>
    <w:rsid w:val="008C2612"/>
    <w:rsid w:val="008D299D"/>
    <w:rsid w:val="00913D14"/>
    <w:rsid w:val="00917A99"/>
    <w:rsid w:val="00932936"/>
    <w:rsid w:val="00947810"/>
    <w:rsid w:val="009647D6"/>
    <w:rsid w:val="00980D7A"/>
    <w:rsid w:val="009912BF"/>
    <w:rsid w:val="009B1491"/>
    <w:rsid w:val="009D152C"/>
    <w:rsid w:val="009D32B4"/>
    <w:rsid w:val="009E0711"/>
    <w:rsid w:val="009F35D2"/>
    <w:rsid w:val="00A02DB7"/>
    <w:rsid w:val="00A070EB"/>
    <w:rsid w:val="00A36692"/>
    <w:rsid w:val="00A81039"/>
    <w:rsid w:val="00A950A9"/>
    <w:rsid w:val="00AD0FB4"/>
    <w:rsid w:val="00B02EF2"/>
    <w:rsid w:val="00B0310C"/>
    <w:rsid w:val="00B11932"/>
    <w:rsid w:val="00B13231"/>
    <w:rsid w:val="00B13C0C"/>
    <w:rsid w:val="00B325C1"/>
    <w:rsid w:val="00B8742A"/>
    <w:rsid w:val="00B946A0"/>
    <w:rsid w:val="00BB3CF4"/>
    <w:rsid w:val="00BC339E"/>
    <w:rsid w:val="00BC7790"/>
    <w:rsid w:val="00BD7F55"/>
    <w:rsid w:val="00BE323C"/>
    <w:rsid w:val="00BF207A"/>
    <w:rsid w:val="00C06F1F"/>
    <w:rsid w:val="00C13765"/>
    <w:rsid w:val="00C34659"/>
    <w:rsid w:val="00C43D79"/>
    <w:rsid w:val="00C529CC"/>
    <w:rsid w:val="00C84A5B"/>
    <w:rsid w:val="00C904D1"/>
    <w:rsid w:val="00CB600D"/>
    <w:rsid w:val="00CC742E"/>
    <w:rsid w:val="00CD5259"/>
    <w:rsid w:val="00CD7313"/>
    <w:rsid w:val="00CF1D5F"/>
    <w:rsid w:val="00D01FAC"/>
    <w:rsid w:val="00D0302E"/>
    <w:rsid w:val="00D2596D"/>
    <w:rsid w:val="00D44E47"/>
    <w:rsid w:val="00D466F6"/>
    <w:rsid w:val="00D610D0"/>
    <w:rsid w:val="00D91683"/>
    <w:rsid w:val="00DA267A"/>
    <w:rsid w:val="00DB2917"/>
    <w:rsid w:val="00DB4797"/>
    <w:rsid w:val="00DD2850"/>
    <w:rsid w:val="00DD302E"/>
    <w:rsid w:val="00DD7CB5"/>
    <w:rsid w:val="00DF139C"/>
    <w:rsid w:val="00E07639"/>
    <w:rsid w:val="00E078E8"/>
    <w:rsid w:val="00E113C2"/>
    <w:rsid w:val="00E11D16"/>
    <w:rsid w:val="00E327C3"/>
    <w:rsid w:val="00E37A37"/>
    <w:rsid w:val="00E41A2D"/>
    <w:rsid w:val="00E66622"/>
    <w:rsid w:val="00E92A50"/>
    <w:rsid w:val="00EA3B3C"/>
    <w:rsid w:val="00EE00C6"/>
    <w:rsid w:val="00EE3DCD"/>
    <w:rsid w:val="00F0653F"/>
    <w:rsid w:val="00F17D8C"/>
    <w:rsid w:val="00F456DC"/>
    <w:rsid w:val="00F66A1B"/>
    <w:rsid w:val="00F8431B"/>
    <w:rsid w:val="00F85AB8"/>
    <w:rsid w:val="00F907A2"/>
    <w:rsid w:val="00FA016F"/>
    <w:rsid w:val="00FA40AE"/>
    <w:rsid w:val="00FD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2CD4F"/>
  <w15:docId w15:val="{800A4F65-FABE-47DB-AF8A-6E31DFCAB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D16"/>
    <w:rPr>
      <w:lang w:val="sk-S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6622"/>
  </w:style>
  <w:style w:type="paragraph" w:styleId="Footer">
    <w:name w:val="footer"/>
    <w:basedOn w:val="Normal"/>
    <w:link w:val="FooterChar"/>
    <w:uiPriority w:val="99"/>
    <w:unhideWhenUsed/>
    <w:rsid w:val="00E666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6622"/>
  </w:style>
  <w:style w:type="character" w:styleId="CommentReference">
    <w:name w:val="annotation reference"/>
    <w:basedOn w:val="DefaultParagraphFont"/>
    <w:uiPriority w:val="99"/>
    <w:semiHidden/>
    <w:unhideWhenUsed/>
    <w:rsid w:val="00CD525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525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5259"/>
    <w:rPr>
      <w:sz w:val="20"/>
      <w:szCs w:val="20"/>
      <w:lang w:val="sk-SK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25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259"/>
    <w:rPr>
      <w:b/>
      <w:bCs/>
      <w:sz w:val="20"/>
      <w:szCs w:val="20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10" Target="header3.xml" Type="http://schemas.openxmlformats.org/officeDocument/2006/relationships/header"/><Relationship Id="rId11" Target="footer3.xml" Type="http://schemas.openxmlformats.org/officeDocument/2006/relationships/footer"/><Relationship Id="rId12" Target="fontTable.xml" Type="http://schemas.openxmlformats.org/officeDocument/2006/relationships/fontTable"/><Relationship Id="rId13" Target="theme/theme1.xml" Type="http://schemas.openxmlformats.org/officeDocument/2006/relationships/theme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header2.xml" Type="http://schemas.openxmlformats.org/officeDocument/2006/relationships/header"/><Relationship Id="rId8" Target="footer1.xml" Type="http://schemas.openxmlformats.org/officeDocument/2006/relationships/footer"/><Relationship Id="rId9" Target="footer2.xml" Type="http://schemas.openxmlformats.org/officeDocument/2006/relationships/footer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2024-12-11T14:15:00Z</dcterms:created>
  <dc:creator>Apache POI</dc:creator>
  <cp:lastModifiedBy>Mark M</cp:lastModifiedBy>
  <dcterms:modified xsi:type="dcterms:W3CDTF">2025-01-21T11:18:00Z</dcterms:modified>
  <cp:revision>61</cp:revision>
</cp:coreProperties>
</file>