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991D" w14:textId="34B04939" w:rsidR="00467653" w:rsidRPr="00E66622" w:rsidRDefault="00CE2823" w:rsidP="00467653">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VYJADRENIA K PREDBEŽNEJ INFORMÁCII</w:t>
      </w:r>
      <w:r w:rsidR="00011900" w:rsidRPr="00E66622">
        <w:rPr>
          <w:rFonts w:ascii="Times New Roman" w:eastAsia="Times New Roman" w:hAnsi="Times New Roman" w:cs="Times New Roman"/>
          <w:b/>
          <w:sz w:val="28"/>
        </w:rPr>
        <w:br/>
      </w:r>
      <w:r w:rsidR="00FA2BCB" w:rsidRPr="00533748">
        <w:rPr>
          <w:rFonts w:ascii="Times New Roman" w:eastAsia="Times New Roman" w:hAnsi="Times New Roman" w:cs="Times New Roman"/>
          <w:b/>
          <w:sz w:val="24"/>
          <w:szCs w:val="20"/>
          <w:lang w:val="en-US"/>
        </w:rPr>
        <w:t>Návrh vyhlášky Ministerstva zdravotníctva Slovenskej republiky, ktorou sa mení a dopĺňa vyhláška Ministerstva zdravotníctva Slovenskej republiky, ktorou sa ustanovujú kľúčové ukazovatele výkonnosti Národného inštitútu pre hodnotu a technológie v zdravotníctve, spôsob ich výpočtu, ich cieľové hodnoty a prislúchajúce percento ich významnosti</w:t>
      </w:r>
      <w:r w:rsidR="00917A99">
        <w:rPr>
          <w:rFonts w:ascii="Times New Roman" w:eastAsia="Times New Roman" w:hAnsi="Times New Roman" w:cs="Times New Roman"/>
          <w:b/>
          <w:sz w:val="28"/>
        </w:rPr>
        <w:br/>
      </w:r>
      <w:r w:rsidR="00FA2BCB">
        <w:rPr>
          <w:rFonts w:ascii="Times New Roman" w:eastAsia="Times New Roman" w:hAnsi="Times New Roman" w:cs="Times New Roman"/>
          <w:bCs/>
          <w:sz w:val="24"/>
          <w:szCs w:val="24"/>
        </w:rPr>
        <w:t>PI/2026/252</w:t>
      </w:r>
    </w:p>
    <w:p w14:paraId="1F0934E1" w14:textId="78DB372D" w:rsidR="007C1A93" w:rsidRPr="0084088F" w:rsidRDefault="00000000" w:rsidP="00011900">
      <w:pPr>
        <w:spacing w:line="276" w:lineRule="auto"/>
        <w:rPr>
          <w:sz w:val="24"/>
          <w:szCs w:val="24"/>
          <w:lang w:val="en-US"/>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w:t>
      </w:r>
      <w:r w:rsidR="00011900">
        <w:rPr>
          <w:rFonts w:ascii="Times New Roman" w:eastAsia="Times New Roman" w:hAnsi="Times New Roman" w:cs="Times New Roman"/>
          <w:sz w:val="24"/>
          <w:szCs w:val="24"/>
        </w:rPr>
        <w:t>vyjadrení</w:t>
      </w:r>
      <w:r w:rsidRPr="00E66622">
        <w:rPr>
          <w:rFonts w:ascii="Times New Roman" w:eastAsia="Times New Roman" w:hAnsi="Times New Roman" w:cs="Times New Roman"/>
          <w:sz w:val="24"/>
          <w:szCs w:val="24"/>
        </w:rPr>
        <w:t xml:space="preserve">: </w:t>
      </w:r>
      <w:r w:rsidRPr="0053699B">
        <w:rPr>
          <w:rFonts w:ascii="Times New Roman" w:eastAsia="Times New Roman" w:hAnsi="Times New Roman" w:cs="Times New Roman"/>
          <w:sz w:val="18"/>
          <w:szCs w:val="18"/>
        </w:rPr>
        <w:tab/>
      </w:r>
      <w:r w:rsidR="000724FE">
        <w:rPr>
          <w:rFonts w:ascii="Times New Roman" w:eastAsia="Times New Roman" w:hAnsi="Times New Roman" w:cs="Times New Roman"/>
          <w:sz w:val="24"/>
          <w:szCs w:val="24"/>
          <w:lang w:val="en-US"/>
        </w:rPr>
        <w:t>2</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11"/>
        <w:gridCol w:w="10249"/>
      </w:tblGrid>
      <w:tr w:rsidR="00467653" w14:paraId="575AAFA8" w14:textId="77777777" w:rsidTr="00BE5283">
        <w:trPr>
          <w:trHeight w:val="648"/>
          <w:jc w:val="center"/>
        </w:trPr>
        <w:tc>
          <w:tcPr>
            <w:tcW w:w="1000" w:type="pct"/>
            <w:vAlign w:val="center"/>
          </w:tcPr>
          <w:p w14:paraId="4B4FA583" w14:textId="62ECD7CF" w:rsidR="00467653" w:rsidRPr="00E11D16" w:rsidRDefault="00467653" w:rsidP="00DB2917">
            <w:pPr>
              <w:spacing w:after="0"/>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3778" w:type="pct"/>
            <w:vAlign w:val="center"/>
          </w:tcPr>
          <w:p w14:paraId="54262B5F" w14:textId="0A209097" w:rsidR="00467653" w:rsidRPr="00E11D16" w:rsidRDefault="00467653" w:rsidP="00DB2917">
            <w:pPr>
              <w:spacing w:after="0"/>
              <w:jc w:val="center"/>
              <w:rPr>
                <w:rFonts w:ascii="Times New Roman" w:hAnsi="Times New Roman" w:cs="Times New Roman"/>
                <w:b/>
                <w:bCs/>
                <w:sz w:val="24"/>
                <w:szCs w:val="24"/>
              </w:rPr>
            </w:pPr>
            <w:r>
              <w:rPr>
                <w:rFonts w:ascii="Times New Roman" w:hAnsi="Times New Roman" w:cs="Times New Roman"/>
                <w:b/>
                <w:bCs/>
                <w:sz w:val="24"/>
                <w:szCs w:val="24"/>
              </w:rPr>
              <w:t>Vyjadrenie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top"/>
          </w:tcPr>
          <w:p>
            <w:pPr>
              <w:spacing w:after="0"/>
              <w:jc w:val="start"/>
            </w:pPr>
            <w:r>
              <w:rPr>
                <w:b w:val="off"/>
                <w:color w:val="000000"/>
                <w:rFonts w:ascii="Times New Roman" w:hAnsi="Times New Roman" w:cs="Times New Roman" w:eastAsia="Times New Roman"/>
                <w:sz w:val="24"/>
              </w:rPr>
              <w:t>Navrhujeme zvážiť doplnenie navrhovaného systému hodnotenia činnosti NIHO aj o kvantitatívne merateľné ukazovatele kvality (KPI). Samotné kvantitatívne posudzovanie je dôležité, avšak bez jeho prepojenia na vopred definované a merateľné ukazovatele môže byť náročné objektívne sledovať vývoj kvality, konzistentnosti a predvídateľnosti hodnotiaceho procesu v čase. Za vhodné preto považujeme stanoviť súbor KPI, ktoré by umožnili pravidelne vyhodnocovať nielen počet alebo čas spracovania hodnotení, ale aj kvalitatívne aspekty procesu na kvantitatívnej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Takýmto KPI môže byť napríklad miera metodickej konzistentnosti, vyjadrená ako podiel hodnotení, pri ktorých nebola identifikovaná neodôvodnená odchýlka od publikovanej metodiky, z celkového počtu hodnotení za sledované obdobie. Obdobným spôsobom by bolo možné sledovať napríklad podiel zásadných metodických odchýlok, ktoré boli transparentne a odborne zdôvodnené, prípadne podiel dodatočných požiadaviek na držiteľa registrácie, ktoré bolo možné vopred odvodiť z platnej metodiky. Takto nastavené ukazovatele by umožnili sledovať vývoj kvality hodnotiaceho procesu medzi jednotlivými obdobiami a zároveň by podporili jeho transparentnosť, konzistentnosť a predvídateľnosť pre všetkých účastníkov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top"/>
          </w:tcPr>
          <w:p>
            <w:pPr>
              <w:spacing w:after="0"/>
              <w:jc w:val="start"/>
            </w:pPr>
            <w:r>
              <w:rPr>
                <w:b w:val="off"/>
                <w:color w:val="000000"/>
                <w:rFonts w:ascii="Times New Roman" w:hAnsi="Times New Roman" w:cs="Times New Roman" w:eastAsia="Times New Roman"/>
                <w:sz w:val="24"/>
              </w:rPr>
              <w:t xml:space="preserve">Nakoľko vyhláška upravuje kľúčové ukaozvatele výkonnosti NIHO, považujeme za nevyhnutné predložiť návrh NIHO na jej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Ministerstva zdravotníctva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ktorou sa ustanovujú kľúčové ukazovatele výkonnosti Národného inštitútu pre hodnotu a  technológie v zdravotníctve, spôsob ich výpočtu, ich cieľové hodnoty a prislúchajúce percento ich významnosti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zdravotníctva Slovenskej republiky podľa § 10 ods. 5 zákona č. 358/2021 Z. z. o Národnom inštitúte pre hodnotu a technológie v zdravotníctve a o zmene a doplnení niektorých zákonov (ďalej len „zákon“) ustanovuje: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Kľúčovými ukazovateľmi výkonnosti Národného inštitútu pre hodnotu a technológie v zdravotníctve (ďalej len „inštitút“) sú</w:t>
              <w:br/>
            </w:r>
            <w:r>
              <w:rPr>
                <w:b w:val="off"/>
                <w:color w:val="000000"/>
                <w:rFonts w:ascii="Times New Roman" w:hAnsi="Times New Roman" w:cs="Times New Roman" w:eastAsia="Times New Roman"/>
                <w:sz w:val="24"/>
              </w:rPr>
              <w:t>a)	množstvo predbežných odborných hodnotení,</w:t>
              <w:br/>
            </w:r>
            <w:r>
              <w:rPr>
                <w:b w:val="off"/>
                <w:color w:val="000000"/>
                <w:rFonts w:ascii="Times New Roman" w:hAnsi="Times New Roman" w:cs="Times New Roman" w:eastAsia="Times New Roman"/>
                <w:sz w:val="24"/>
              </w:rPr>
              <w:t xml:space="preserve">b)	množstvo odborných hodnotení, </w:t>
              <w:br/>
            </w:r>
            <w:r>
              <w:rPr>
                <w:b w:val="off"/>
                <w:color w:val="000000"/>
                <w:rFonts w:ascii="Times New Roman" w:hAnsi="Times New Roman" w:cs="Times New Roman" w:eastAsia="Times New Roman"/>
                <w:sz w:val="24"/>
              </w:rPr>
              <w:t xml:space="preserve">c)	dodržanie lehoty predbežného odborného hodnotenia, </w:t>
              <w:br/>
            </w:r>
            <w:r>
              <w:rPr>
                <w:b w:val="off"/>
                <w:color w:val="000000"/>
                <w:rFonts w:ascii="Times New Roman" w:hAnsi="Times New Roman" w:cs="Times New Roman" w:eastAsia="Times New Roman"/>
                <w:sz w:val="24"/>
              </w:rPr>
              <w:t xml:space="preserve">d)	dodržanie lehoty odborného hodnotenia, </w:t>
              <w:br/>
            </w:r>
            <w:r>
              <w:rPr>
                <w:b w:val="off"/>
                <w:color w:val="000000"/>
                <w:rFonts w:ascii="Times New Roman" w:hAnsi="Times New Roman" w:cs="Times New Roman" w:eastAsia="Times New Roman"/>
                <w:sz w:val="24"/>
              </w:rPr>
              <w:t xml:space="preserve">e)	zapojenie odborných spoločností, </w:t>
              <w:br/>
            </w:r>
            <w:r>
              <w:rPr>
                <w:b w:val="off"/>
                <w:color w:val="000000"/>
                <w:rFonts w:ascii="Times New Roman" w:hAnsi="Times New Roman" w:cs="Times New Roman" w:eastAsia="Times New Roman"/>
                <w:sz w:val="24"/>
              </w:rPr>
              <w:t xml:space="preserve">f)	zapojenie pacientskych organizácií.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Kľúčový ukazovateľ výkonnosti inštitútu (ďalej len „kľúčový ukazovateľ“) podľa § 1</w:t>
              <w:br/>
            </w:r>
            <w:r>
              <w:rPr>
                <w:b w:val="off"/>
                <w:color w:val="000000"/>
                <w:rFonts w:ascii="Times New Roman" w:hAnsi="Times New Roman" w:cs="Times New Roman" w:eastAsia="Times New Roman"/>
                <w:sz w:val="24"/>
              </w:rPr>
              <w:t>a)	písm. a) sa vypočíta ako podiel počtu vypracovaných a zverejnených predbežných odborných hodnotení k počtu technológií, ktoré je inštitút povinný hodnotiť podľa § 3 ods. 1 zákona,</w:t>
              <w:br/>
            </w:r>
            <w:r>
              <w:rPr>
                <w:b w:val="off"/>
                <w:color w:val="000000"/>
                <w:rFonts w:ascii="Times New Roman" w:hAnsi="Times New Roman" w:cs="Times New Roman" w:eastAsia="Times New Roman"/>
                <w:sz w:val="24"/>
              </w:rPr>
              <w:t>b)	písm. b) sa vypočíta ako podiel počtu vypracovaných a zverejnených odborných hodnotení k počtu technológií, ktoré je inštitút povinný hodnotiť podľa § 3 ods. 1 zákona,</w:t>
              <w:br/>
            </w:r>
            <w:r>
              <w:rPr>
                <w:b w:val="off"/>
                <w:color w:val="000000"/>
                <w:rFonts w:ascii="Times New Roman" w:hAnsi="Times New Roman" w:cs="Times New Roman" w:eastAsia="Times New Roman"/>
                <w:sz w:val="24"/>
              </w:rPr>
              <w:t>c)	písm. c) sa vypočíta ako podiel počtu predbežných odborných hodnotení zverejnených v lehote podľa § 3 ods. 3 zákona k počtu technológií, ktoré je inštitút povinný hodnotiť podľa § 3 ods. 1 zákona,</w:t>
              <w:br/>
            </w:r>
            <w:r>
              <w:rPr>
                <w:b w:val="off"/>
                <w:color w:val="000000"/>
                <w:rFonts w:ascii="Times New Roman" w:hAnsi="Times New Roman" w:cs="Times New Roman" w:eastAsia="Times New Roman"/>
                <w:sz w:val="24"/>
              </w:rPr>
              <w:t>d)	písm. d) sa vypočíta ako podiel počtu odborných hodnotení zverejnených v lehote podľa § 3 ods. 8 zákona k počtu technológií, ktoré je inštitút povinný hodnotiť podľa § 3 ods. 1 zákona,</w:t>
              <w:br/>
            </w:r>
            <w:r>
              <w:rPr>
                <w:b w:val="off"/>
                <w:color w:val="000000"/>
                <w:rFonts w:ascii="Times New Roman" w:hAnsi="Times New Roman" w:cs="Times New Roman" w:eastAsia="Times New Roman"/>
                <w:sz w:val="24"/>
              </w:rPr>
              <w:t>e)	písm. e) sa vypočíta ako podiel počtu predbežných odborných hodnotení na účely kategorizácie, pri vypracúvaní ktorých inštitút preukázateľne oslovil Slovenskú lekársku spoločnosť so žiadosťou o poskytnutie odborného stanoviska k počtu technológií, ktoré je inštitút povinný hodnotiť podľa § 3 ods. 1 písm. a) zákona,</w:t>
              <w:br/>
            </w:r>
            <w:r>
              <w:rPr>
                <w:b w:val="off"/>
                <w:color w:val="000000"/>
                <w:rFonts w:ascii="Times New Roman" w:hAnsi="Times New Roman" w:cs="Times New Roman" w:eastAsia="Times New Roman"/>
                <w:sz w:val="24"/>
              </w:rPr>
              <w:t xml:space="preserve">f)	písm. f) sa vypočíta ako podiel počtu predbežných odborných hodnotení na účely kategorizácie, pri vypracúvaní ktorých inštitút preukázateľne oslovil pacientsku organizáciu, ktorá združuje osoby, pre ktoré je hodnotená technológia indikovaná so žiadosťou o poskytnutie stanoviska k počtu technológií, ktoré je inštitút povinný hodnotiť podľa § 3 ods. 1 písm. a)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Cieľové hodnoty pre kľúčové ukazovatele sú </w:t>
              <w:br/>
            </w:r>
            <w:r>
              <w:rPr>
                <w:b w:val="off"/>
                <w:color w:val="000000"/>
                <w:rFonts w:ascii="Times New Roman" w:hAnsi="Times New Roman" w:cs="Times New Roman" w:eastAsia="Times New Roman"/>
                <w:sz w:val="24"/>
              </w:rPr>
              <w:t>a)	85 % pre kľúčový ukazovateľ podľa § 1 písm. a) až d),</w:t>
              <w:br/>
            </w:r>
            <w:r>
              <w:rPr>
                <w:b w:val="off"/>
                <w:color w:val="000000"/>
                <w:rFonts w:ascii="Times New Roman" w:hAnsi="Times New Roman" w:cs="Times New Roman" w:eastAsia="Times New Roman"/>
                <w:sz w:val="24"/>
              </w:rPr>
              <w:t>b)	95 % pre kľúčový ukazovateľ podľa § 1 písm. e) a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Prislúchajúce percentá významnosti pre kľúčové ukazovatele sú</w:t>
              <w:br/>
            </w:r>
            <w:r>
              <w:rPr>
                <w:b w:val="off"/>
                <w:color w:val="000000"/>
                <w:rFonts w:ascii="Times New Roman" w:hAnsi="Times New Roman" w:cs="Times New Roman" w:eastAsia="Times New Roman"/>
                <w:sz w:val="24"/>
              </w:rPr>
              <w:t>a)	6 % pre kľúčový ukazovateľ podľa § 1 písm. a) a c),</w:t>
              <w:br/>
            </w:r>
            <w:r>
              <w:rPr>
                <w:b w:val="off"/>
                <w:color w:val="000000"/>
                <w:rFonts w:ascii="Times New Roman" w:hAnsi="Times New Roman" w:cs="Times New Roman" w:eastAsia="Times New Roman"/>
                <w:sz w:val="24"/>
              </w:rPr>
              <w:t>b)	3 % pre kľúčový ukazovateľ podľa § 1 písm. b) a d),</w:t>
              <w:br/>
            </w:r>
            <w:r>
              <w:rPr>
                <w:b w:val="off"/>
                <w:color w:val="000000"/>
                <w:rFonts w:ascii="Times New Roman" w:hAnsi="Times New Roman" w:cs="Times New Roman" w:eastAsia="Times New Roman"/>
                <w:sz w:val="24"/>
              </w:rPr>
              <w:t xml:space="preserve">c)	4 % pre kľúčový ukazovateľ podľa § 1 písm. e) a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Kľúčový ukazovateľ podľa § 1 písm. c) a d) sa nevyhodnocuje za kalendárny rok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Zrušuje sa vyhláška Ministerstva zdravotníctva Slovenskej republiky č. 284/2022 Z. z., ktorou sa ustanovujú kľúčové ukazovatele výkonnosti Národného inštitútu pre hodnotu a technológie v zdravotníctve, spôsob ich výpočtu, ich cieľové hodnoty a prislúchajúce percento ich významnosti.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vyhláška nadobúda účinnosť 1. januára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B.Osobitná 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ustanovenia reflektuje zmeny vyvolané novelou zákona č. 358/2021 Z. z. o Národnom inštitúte pre hodnotu a technológie v zdravotníctve a o zmene a doplnení niektorých zákonov (ďalej len „novela zákona“), ktorá nadobudla účinnosť 1. novembra 2026. Novelou zákona došlo jednak k zmene vymedzenia hlavnej úlohy inštitútu v § 3 ods. 1 zákona č. 358/2021 Z. z. o Národnom inštitúte pre hodnotu a technológie v zdravotníctve a o zmene a doplnení niektorých zákonov (ďalej len „zákon“), ako aj k zavedeniu inštitútu predbežného odborného hodnotenia do zákona. Po zverejnení predbežného odborného hodnotenia inštitút vyzve účastníkov konania na vyjadrenie sa k predbežnému odbornému hodnoteniu, pričom každý z účastníkov konania má právo podať odôvodnený nesúhlas so záverom predbežného odborného hodnotenia.  Zo znenia novely pritom nepochybne vyplýva, že inštitút je povinný preskúmať odôvodnený nesúhlas podaný účastníkom konania a zverejniť “finálne“ odborné hodnotenie, ktorého záver bude buď odlišný od záverov predbežného odborného hodnotenia (ak sa inštitút stotožnil s odôvodneným nesúhlasom účastníka konania) alebo bude rovnaký  (ak sa inštitút nestotožnil s odôvodneným nesúhlasom účastníka konania); v prípade, ak sa inštitút s odôvodneným nesúhlasom nestotožnil, spolu so zverejneným odborným hodnotením zverejní aj svoje stanovisko k odôvodnenému nesúhlasu účastníka konania. Hoci zákonodarca v § 3 ods. 8 explicitne neuvádza, že inštitút zverejňuje odborné hodnotenie (používajúc pojem “odborné odporúčanie“, zo skutočnosti, že práve odborné hodnotenie inštitútu (a nie odborné odporúčanie či predbežné odborné hodnotenie) je podľa zákona č. 363/2011 Z. z. podkladom pre poradné orgány ministerstva a pre rozhodnutie ministerstva v konaní je zrejmé, že výsledkom hodnotenia je práve odborné hodnotenie, ktoré má byť zverejnené v lehote ustanovenej v § 3 ods. 8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ustanovenia zároveň reflektuje skutočnosť, že viaceré kľúčové ukazovatele výkonnosti inštitútu ustanovené vo vyhláške Ministerstva zdravotníctva Slovenskej republiky č. 284/2022 Z. z., ktorou sa ustanovujú kľúčové ukazovatele výkonnosti Národného inštitútu pre hodnotu a technológie v zdravotníctve, spôsob ich výpočtu, ich cieľové hodnoty a prislúchajúce percento ich významnosti (ďalej len „aktuálna vyhláška“), neodrážajú reálnu výkonnosť inštitútu (kľúčový ukazovateľ podľa § 1 písm. c) a d) vyhlášky) a sú vzájomne duplicitné (kľúčový ukazovateľ podľa § 1 písm. a) a písm. e)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špecifikuje spôsob vyhodnocovania jednotlivých kľúčových ukazovateľov definovaných v § 1. Písmená a) až d) reflektujú skutočnosť, že inštitút je povinný vypracovať a zverejniť predbežné odborné hodnotenie a následne (po vyhodnotení odôvodneného nesúhlasu) je povinný vypracovať a zverejniť odborné hodnotenie všetkých technológií vymedzených v § 3 ods. 1 zákona. Písmená e) a f) sú formulované takým spôsobom, aby bolo zrejmé, že povinnosťou inštitútu je vyvinúť aktívne úsilie o získanie stanoviska (vstupu) odborníka a pacientskej organizácie do odborného hodnotenia. Keďže zákonodarca proces vypracúvania odborného hodnotenia rozdelil do fázy vypracúvania predbežného odborného hodnotenia, po zverejnení ktorého nasleduje fáza vypracúvania “finálneho“ odborného hodnotenia, v záujme jednoznačnosti výkladu sa ustanovuje, že Slovenská lekárska spoločnosť a pacientska organizácia sú inštitútom oslovované pri príprave predbežného odborného hodnotenia. Zároveň je zrejmé, že inštitút nemôže ovplyvniť, či Slovenská lekárska spoločnosť alebo pacientska organzácia budú na jeho oslovenie reagovať a požadovaný vstup inštitútu poskytnú, a preto hodnotenie výkonnosti inštitútu nemožno viazať na zabezpečenie poskytnutia takéhoto vstupu.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vyjadruje vysokú dôležitosť spolupráce s pacientskymi organizáciami a odborníkmi. Aby bol kľúčový ukazovateľ výkonnosti podľa § 1 ods. 1 písm. e) a f) splnený, musí byť splnený pri 95 % hodnoteniach na účely kategorizácie. Cieľová hodnota pre ostatné kľúčové ukazovatele je navrhovaná na 85 %. Diferenciácia v cieľovej hodnote reflektuje skutočnosť, že k nesplneniu povinnosti osloviť Slovenskú lekársku spoločnosť alebo pacientsku organizáciu môže dôjsť výlučne opomenutím alebo nedbalosťou inštitútu, zatiaľ čo k nesplneniu ostatných kľúčových ukazovateľov môže dôjsť aj v dôsledku skutočností, ktoré inštitút nemá ako ovplyvniť (napr. zvýšený počet žiadostí o kategorizáciu v určitom období, vysoký počet žiadostí ministerstva podľa § 3b zákona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10 ods. 3 zákona, „kľúčovým ukazovateľom výkonnosti prislúchajú percentá v súčte najviac 50 % z výšky príspevku na činnosť inštitútu podľa osobitného predpisu“, t. j. podľa § 15a zákona č. 581/2004 Z. z. o zdravotných poisťovniach, dohľade nad zdravotnou starostlivosťou a o zmene a doplnení niektorých zákonov. Z uvedeného vyplýva, že súčet percent významnosti prislúchajúcich jednotlivým kľúčovým ukazovateľom môže byť rovný, ale môže byť aj nižší ako 50 %. Navrhovaná úprava znižujúca tento súčet na 26 % (z 50 % ustanovených aktuálnou vyhláškou)  umožňuje, aby kľúčové ukazovatele výkonnosti pôsobili motivačne, avšak nie likvidačne. Pokiaľ by inštitút v určitom kalendárnom roku nesplnil cieľovú hodnotu kľúčových ukazovateľov, zníženie príspevku by viedlo k obmezdeniu aktivít ako sú napr. školenia, pracovné cesty a pod., ale neviedlo by nutne k zníženiu počtu zamestnancov a tým aj k zníženiu pravdepodobnosti splnenia kľúčových ukazovateľov v ďalšom období. V tejto súvislosti tiež možno poukázať na skutočnosť, že inštitút je jedinou organizáciou pôsobiacou v rezorte zdravotníctva, ktorá má objem zdrojov na svoju činnosť právnymi predpismi naviazaný na konkrétne definované ukazovatele výkonnosti. Zároveň možno poukázať aj na skutočnosť, že žiadna z HTA agentúr pôsobiacich v členských štátoch Európskej únie nemá naviazané svoje financovanie na kľúčové ukazovatele výkonnosti.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zákona zásadne mení definíciu hlavnej úlohy inštitútu v § 3 ods. 1 zákona, v dôsledku čoho sa zásadne mení počet technológií, ktoré bude inštitút povinný hodnotiť. Novela zákona zároveň zavádza inštitútu nové povinnosti (§ 3a, 3b), ktoré nepochybne tiež ovplyvnia plnenie hlavnej úlohy inštitútu. Novela zákona bola prijatá bez analýzy dopadov na činnosť inštitútu, a preto v súčasnosti nie je možné predikovať, či bude inštitút schopný plniť svoje povinnosti v zákonných lehotách. Z uvedených dôvodov sa navrhuje, aby sa kľúčové ukazovatele výkonnosti viažúce sa na dodržiavanie lehôt nevyhodnocovali za kalendárny rok 2027. Počas tohto prechodného obdobia sa inštitútu umožní, aby sa personálne a organizačne prispôsobil novele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skutočnosť, že sa navrhuje, aby úprava kľúčových ukazovateľov výkonnosti inštitútu bola obsiahnutá v novej vyhláške, navrhuje sa súčasne zrušenie aktuálnej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Kľúčové ukaozvatele výkonnosti inštitútu sa vyhodnocujú za kalendárny rok, čomu zodpovedá navrhovaná účinnosť od 1. januára nasledujúceho kalendárneho roka. </w:t>
            </w:r>
          </w:p>
        </w:tc>
      </w:tr>
    </w:tbl>
    <w:p w14:paraId="1F01DA97" w14:textId="77777777" w:rsidR="00E66622" w:rsidRPr="00E66622" w:rsidRDefault="00E66622">
      <w:pPr>
        <w:rPr>
          <w:rFonts w:ascii="Times New Roman" w:hAnsi="Times New Roman" w:cs="Times New Roman"/>
        </w:rPr>
      </w:pPr>
    </w:p>
    <w:sectPr w:rsidR="00E66622" w:rsidRPr="00E66622" w:rsidSect="00463836">
      <w:footerReference w:type="default" r:id="rId6"/>
      <w:footerReference w:type="first" r:id="rId7"/>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EEF4" w14:textId="77777777" w:rsidR="00C26117" w:rsidRPr="00E66622" w:rsidRDefault="00C26117" w:rsidP="00E66622">
      <w:pPr>
        <w:spacing w:after="0" w:line="240" w:lineRule="auto"/>
      </w:pPr>
      <w:r w:rsidRPr="00E66622">
        <w:separator/>
      </w:r>
    </w:p>
  </w:endnote>
  <w:endnote w:type="continuationSeparator" w:id="0">
    <w:p w14:paraId="1E5D75E2" w14:textId="77777777" w:rsidR="00C26117" w:rsidRPr="00E66622" w:rsidRDefault="00C26117"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560082"/>
      <w:docPartObj>
        <w:docPartGallery w:val="Page Numbers (Bottom of Page)"/>
        <w:docPartUnique/>
      </w:docPartObj>
    </w:sdtPr>
    <w:sdtEndPr>
      <w:rPr>
        <w:noProof/>
      </w:rPr>
    </w:sdtEndPr>
    <w:sdtContent>
      <w:p w14:paraId="78DC3A0B" w14:textId="5A4296D4" w:rsidR="00236556" w:rsidRDefault="002365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4FCCA7" w14:textId="77777777" w:rsidR="00E66622" w:rsidRDefault="00E66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9100" w14:textId="37C3F5DD" w:rsidR="00236556" w:rsidRPr="00236556" w:rsidRDefault="00236556">
    <w:pPr>
      <w:pStyle w:val="Footer"/>
      <w:jc w:val="center"/>
      <w:rPr>
        <w:rFonts w:ascii="Times New Roman" w:hAnsi="Times New Roman"/>
      </w:rPr>
    </w:pPr>
  </w:p>
  <w:p w14:paraId="5CD0C25D" w14:textId="77777777" w:rsidR="004E6AA4" w:rsidRDefault="004E6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214C0" w14:textId="77777777" w:rsidR="00C26117" w:rsidRPr="00E66622" w:rsidRDefault="00C26117" w:rsidP="00E66622">
      <w:pPr>
        <w:spacing w:after="0" w:line="240" w:lineRule="auto"/>
      </w:pPr>
      <w:r w:rsidRPr="00E66622">
        <w:separator/>
      </w:r>
    </w:p>
  </w:footnote>
  <w:footnote w:type="continuationSeparator" w:id="0">
    <w:p w14:paraId="5F583473" w14:textId="77777777" w:rsidR="00C26117" w:rsidRPr="00E66622" w:rsidRDefault="00C26117" w:rsidP="00E66622">
      <w:pPr>
        <w:spacing w:after="0" w:line="240" w:lineRule="auto"/>
      </w:pPr>
      <w:r w:rsidRPr="00E66622">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900"/>
    <w:rsid w:val="00047E84"/>
    <w:rsid w:val="00050137"/>
    <w:rsid w:val="000724FE"/>
    <w:rsid w:val="00076DCD"/>
    <w:rsid w:val="000A158B"/>
    <w:rsid w:val="000B2D78"/>
    <w:rsid w:val="000B34D9"/>
    <w:rsid w:val="000C172E"/>
    <w:rsid w:val="001228AD"/>
    <w:rsid w:val="00131490"/>
    <w:rsid w:val="00131742"/>
    <w:rsid w:val="001433FA"/>
    <w:rsid w:val="00146A7D"/>
    <w:rsid w:val="001E50FA"/>
    <w:rsid w:val="001E5996"/>
    <w:rsid w:val="001F777F"/>
    <w:rsid w:val="00231554"/>
    <w:rsid w:val="00236556"/>
    <w:rsid w:val="00237490"/>
    <w:rsid w:val="00245F36"/>
    <w:rsid w:val="0026614F"/>
    <w:rsid w:val="002715E0"/>
    <w:rsid w:val="0029170C"/>
    <w:rsid w:val="00295E6A"/>
    <w:rsid w:val="002A4482"/>
    <w:rsid w:val="002C368A"/>
    <w:rsid w:val="002D3B5E"/>
    <w:rsid w:val="00312884"/>
    <w:rsid w:val="00335FFB"/>
    <w:rsid w:val="003A5C5F"/>
    <w:rsid w:val="003C31D4"/>
    <w:rsid w:val="003E641E"/>
    <w:rsid w:val="003F1216"/>
    <w:rsid w:val="003F3166"/>
    <w:rsid w:val="003F37C1"/>
    <w:rsid w:val="004050CF"/>
    <w:rsid w:val="00405348"/>
    <w:rsid w:val="00425A59"/>
    <w:rsid w:val="00434080"/>
    <w:rsid w:val="00463836"/>
    <w:rsid w:val="00467653"/>
    <w:rsid w:val="00491026"/>
    <w:rsid w:val="004A62B8"/>
    <w:rsid w:val="004B0317"/>
    <w:rsid w:val="004B4188"/>
    <w:rsid w:val="004E0BF7"/>
    <w:rsid w:val="004E6AA4"/>
    <w:rsid w:val="004F1B4F"/>
    <w:rsid w:val="004F4092"/>
    <w:rsid w:val="00503F23"/>
    <w:rsid w:val="0051341E"/>
    <w:rsid w:val="00513767"/>
    <w:rsid w:val="005146CA"/>
    <w:rsid w:val="00533748"/>
    <w:rsid w:val="0053699B"/>
    <w:rsid w:val="00563EB3"/>
    <w:rsid w:val="00583F11"/>
    <w:rsid w:val="00592017"/>
    <w:rsid w:val="005B618C"/>
    <w:rsid w:val="005E5B0E"/>
    <w:rsid w:val="005F3E6F"/>
    <w:rsid w:val="005F71E1"/>
    <w:rsid w:val="00602231"/>
    <w:rsid w:val="006371D1"/>
    <w:rsid w:val="00641DD8"/>
    <w:rsid w:val="00664F3B"/>
    <w:rsid w:val="00695857"/>
    <w:rsid w:val="006C2D6E"/>
    <w:rsid w:val="0070694E"/>
    <w:rsid w:val="00707B3A"/>
    <w:rsid w:val="007247A7"/>
    <w:rsid w:val="00762E51"/>
    <w:rsid w:val="00774ED8"/>
    <w:rsid w:val="00784062"/>
    <w:rsid w:val="007C1A93"/>
    <w:rsid w:val="00820A78"/>
    <w:rsid w:val="0084088F"/>
    <w:rsid w:val="008741FE"/>
    <w:rsid w:val="00882D49"/>
    <w:rsid w:val="008C2612"/>
    <w:rsid w:val="008D299D"/>
    <w:rsid w:val="00913D14"/>
    <w:rsid w:val="00917A99"/>
    <w:rsid w:val="00932936"/>
    <w:rsid w:val="00934F23"/>
    <w:rsid w:val="00947810"/>
    <w:rsid w:val="009647D6"/>
    <w:rsid w:val="00980D7A"/>
    <w:rsid w:val="009912BF"/>
    <w:rsid w:val="009B1491"/>
    <w:rsid w:val="009D152C"/>
    <w:rsid w:val="009D32B4"/>
    <w:rsid w:val="009E0711"/>
    <w:rsid w:val="009F35D2"/>
    <w:rsid w:val="00A070EB"/>
    <w:rsid w:val="00A50443"/>
    <w:rsid w:val="00A53B17"/>
    <w:rsid w:val="00A81039"/>
    <w:rsid w:val="00B02EF2"/>
    <w:rsid w:val="00B0310C"/>
    <w:rsid w:val="00B11932"/>
    <w:rsid w:val="00B13C0C"/>
    <w:rsid w:val="00B8742A"/>
    <w:rsid w:val="00B946A0"/>
    <w:rsid w:val="00B95BCC"/>
    <w:rsid w:val="00B95FCB"/>
    <w:rsid w:val="00BC339E"/>
    <w:rsid w:val="00BD7F55"/>
    <w:rsid w:val="00BE323C"/>
    <w:rsid w:val="00BE5283"/>
    <w:rsid w:val="00BF207A"/>
    <w:rsid w:val="00C06F1F"/>
    <w:rsid w:val="00C26117"/>
    <w:rsid w:val="00C43D79"/>
    <w:rsid w:val="00C529CC"/>
    <w:rsid w:val="00C81BA6"/>
    <w:rsid w:val="00C84A5B"/>
    <w:rsid w:val="00CD7313"/>
    <w:rsid w:val="00CE2823"/>
    <w:rsid w:val="00D0302E"/>
    <w:rsid w:val="00D2596D"/>
    <w:rsid w:val="00D44E47"/>
    <w:rsid w:val="00D466F6"/>
    <w:rsid w:val="00D610D0"/>
    <w:rsid w:val="00D91683"/>
    <w:rsid w:val="00DA267A"/>
    <w:rsid w:val="00DB2917"/>
    <w:rsid w:val="00DD2850"/>
    <w:rsid w:val="00DD302E"/>
    <w:rsid w:val="00DD7CB5"/>
    <w:rsid w:val="00E07639"/>
    <w:rsid w:val="00E078E8"/>
    <w:rsid w:val="00E11D16"/>
    <w:rsid w:val="00E37A37"/>
    <w:rsid w:val="00E41A2D"/>
    <w:rsid w:val="00E66622"/>
    <w:rsid w:val="00E67174"/>
    <w:rsid w:val="00E922B9"/>
    <w:rsid w:val="00E92A50"/>
    <w:rsid w:val="00EA3B3C"/>
    <w:rsid w:val="00EE00C6"/>
    <w:rsid w:val="00EE3DCD"/>
    <w:rsid w:val="00F14D0A"/>
    <w:rsid w:val="00F456DC"/>
    <w:rsid w:val="00F5065D"/>
    <w:rsid w:val="00F73F9B"/>
    <w:rsid w:val="00F8431B"/>
    <w:rsid w:val="00F85AB8"/>
    <w:rsid w:val="00F907A2"/>
    <w:rsid w:val="00FA016F"/>
    <w:rsid w:val="00FA2BCB"/>
    <w:rsid w:val="00FA4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oter1.xml" Type="http://schemas.openxmlformats.org/officeDocument/2006/relationships/footer"/><Relationship Id="rId7" Target="footer2.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18</Words>
  <Characters>107</Characters>
  <Application>Microsoft Office Word</Application>
  <DocSecurity>0</DocSecurity>
  <Lines>1</Lines>
  <Paragraphs>1</Paragraphs>
  <ScaleCrop>false</ScaleCrop>
  <Company/>
  <LinksUpToDate>false</LinksUpToDate>
  <CharactersWithSpaces>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2025-01-21T10:44:00Z</dcterms:modified>
  <cp:revision>58</cp:revision>
</cp:coreProperties>
</file>