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297/2008 Z. z. o ochrane pred legalizáciou príjmov z trestnej činnosti a o ochrane pred financovaním terorizmu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LP/2025/518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98/28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98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60</w:t>
      </w:r>
      <w:r w:rsidR="00754CB0">
        <w:rPr>
          <w:rFonts w:ascii="Times New Roman" w:eastAsia="Times New Roman" w:hAnsi="Times New Roman" w:cs="Times New Roman"/>
          <w:sz w:val="24"/>
          <w:szCs w:val="24"/>
        </w:rPr>
        <w:t>/16</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16/</w:t>
      </w:r>
      <w:r w:rsidR="008E0404">
        <w:rPr>
          <w:rFonts w:ascii="Times New Roman" w:eastAsia="Times New Roman" w:hAnsi="Times New Roman" w:cs="Times New Roman"/>
          <w:sz w:val="24"/>
          <w:szCs w:val="24"/>
        </w:rPr>
        <w:t xml:space="preserve">7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22</w:t>
      </w:r>
      <w:r w:rsidR="004A48F0">
        <w:rPr>
          <w:rFonts w:ascii="Times New Roman" w:eastAsia="Times New Roman" w:hAnsi="Times New Roman" w:cs="Times New Roman"/>
          <w:sz w:val="24"/>
          <w:szCs w:val="24"/>
        </w:rPr>
        <w:t>/5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 (§ 7 ods. 1 písm. b) )</w:t>
              <w:br/>
            </w:r>
            <w:r>
              <w:rPr>
                <w:b w:val="off"/>
                <w:color w:val="000000"/>
                <w:rFonts w:ascii="Times New Roman" w:hAnsi="Times New Roman" w:cs="Times New Roman" w:eastAsia="Times New Roman"/>
                <w:sz w:val="24"/>
              </w:rPr>
              <w:t>Navrhujeme zmenu ustanovenia § 7 ods. 1 písm. b)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„b) pri právnickej osobe alebo združení majetku zistenie názvu, adresy sídla, adresy skutočného miesta výkonu podnikateľskej činnosti, ak je odlišná od adresy sídla, identifikačného čísla, označenia úradného registra alebo inej úradnej evidencie, v ktorej je právnická osoba alebo združenie majetku zapísané, číslo zápisu do tohto registra alebo evidencie, a identifikácia fyzickej osoby, ktorá je oprávnená konať v mene právnickej osoby alebo združenia majetku, ako aj zistenie mena a priezviska osôb, ktoré zastávajú funkcie v najvyššom riadiacom orgáne právnickej osoby alebo združenia majetku, teda v štatutárnom orgáne“.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nasledovne upraviť znenie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je zosúladenie rozsahu identifikácie pri právnických osobách a združeniach majetku s odporúčaním FATF č. 10.9b), ktoré požaduje získanie mien relevantných osôb, ktoré zastávajú funkciu vo vrcholovom vedení spoločnosti na najvyššom stupni a ktoré priamo ovplyvňujú smerovanie danej spoločnosti. Výborom Moneyval bola táto požiadavka špecifikovaná o „získanie mien všetkých osôb zastávajúcich vrcholové riadiace pozície (napr. vrcholoví riaditelia)“. Doterajšia úprava vyžadujúca iba identifikáciu osoby oprávnenej konať v mene právnickej osoby, nespĺňala túto požiadavku. Z tohto dôvodu bola zákonná úprava doplnená o povinnosť získať mená a priezviská osôb, ktoré zastávajú funkcie v najvyššom riadiacom orgáne právnickej osoby a združenia majetku, ktorým je štatutárny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textáciu tak, aby bolo bez akýchkoľvek pochybností zrejmé, kto sa považuje za riadiaci orgán spoločnosti a ktoré osoby v ňom zastávajú funkcie. Najvhodnejšie sa javí doplniť, že ide o vrcholový riadiaci orgán, ktorým je v právnom prostredí Slovenskej republiky štatutárny orgán. Máme za to, že zo zákona musí byť zrejmé do akej úrovne je potrebné skúmať riadenie príslušnej spoločnosti. Zároveň účelom ustanovenia je, aby povinná osoba poznala osoby, ktoré v rámci spoločnosti rozhodujú o jej smerovaní, čo nebudú plniť všetky osoby, ktoré majú manažérske pozície, ale len tie osoby, ktoré môžu priamo ovplyvňovať smerovanie príslušnej spoločnosti, čo vždy spĺňajú výlučne členovia štatutárnych orgánov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vysvetľujúcich poznámok k odporúčaniu FATF č. 10, bod 5 písm. a), ods.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„The powers that regulate and bind the legal person or arrangement (e.g. the memorandum and articles of association of a company), as well as the names of the relevant persons having a senior management position in the legal person or arrangement (e.g. senior managing directors in a company, trustee(s) of a trust).“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smernica č. 2015/849 v aktuálnom znení ako aj vyššie uvedené odporúčanie FATF poskytuje členským štátom možnosť prispôsobiť a implementovať ustanovenia smernice tak, aby došlo k získaniu informácií o relevantných osobách, ktoré zastávajú pozíciu na najvyšších úrovniach managementu spoločnosti a zároveň tak, aby bolo predmetné ustanovenie vykonateľné v podmienkach príslušného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podmienkach Slovenskej republiky je v prípade právnických osôb vrcholovým riadiacim orgánom štatutárny orgán, ktorého členovia majú väčšinou aj oprávnenie konať a podpisovať za spoločnosť. Uvedené však neznamená, že predmetné oprávnenie musia mať všetci členovia štatutárneho orgánu, oprávnenie konať za spoločnosť môže mať napríklad len predseda predstavenstva spolu s podpredsedom predstavenstva (ktorých môže byť viac). Zároveň, môže nastať situácia, že osoby, ktoré sú oprávnené podpisovať za danú právnickú osobu, konajú len na základe poverenia od štatutárneho orgánu danej právnickej osoby ako vrcholového manažmentu a teda nemajú rozhodovaciu právomoc. Takýmito osobami sú napríklad splnomocnenci, je však zrejmé, že splnomocnenci nerozhodujú o smerovaní spoločnosti, nie sú vrcholoví manažéri spoločnosti a určite nie sú členmi štatutárneho orgánu spoločnosti. Ak ide o realitu v právnom prostredí Slovenskej republiky, mali by byť za vrcholových manažérov a najvyšší orgán právnickej osoby považovaní členovia štatutárneho orgánu. Tieto osoby je potrebné považovať za relevantné v súlade s odporúčaním č. 10 FATF.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by sme ponechali navrhované znenie, došlo by k situácii, kedy by nebolo zrejmé do akej miery je potrebné skúmať a zisťovať riadiacu štruktúru spoločnosti. V realite a zvonka je možné posúdiť, len to, kto je štatutárnym orgánom spoločnosti, nie to, kto má aké rozhodovacie kompetencie v rámci spoločnosti (pričom kompetencie vôbec nemusia znamenať aj možnosť ovplyvniť smerovanie spoločnosti). Zároveň by takáto úprava bola administratívne náročná, nakoľko by vyžadovala neprimerané skúmanie vnútorného nastavenia príslušnej spoločnosti. Ak napríklad spoločnosť zriadi riadiaci orgán, ktorý je však založený len za účelom riadenia konkrétnej podnikateľskej aktivity danej spoločnosti a neovplyvňuje jej chod ani smerovanie, nie je tento orgán relevantný z pohľadu účelu zákona a smernice. Predmetné je však možné s istotou zistiť len podrobným skúmaním štruktúry a rozdelenia kompetencií v rámci spoločnosti a zároveň, tento orgán bude vždy podriadený štatutárnemu orgánu spoločnosti. Za relevantný orgán je preto potrebné považovať len najvyšší orgán a vrcholový orgán spoločnosti, ktorým je v prípade právnických osôb založených v súlade s právom Slovenskej republiky štatutárny orgán spoločnosti.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bola upravená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10 ods. 1 písm. b) )</w:t>
              <w:br/>
            </w:r>
            <w:r>
              <w:rPr>
                <w:b w:val="off"/>
                <w:color w:val="000000"/>
                <w:rFonts w:ascii="Times New Roman" w:hAnsi="Times New Roman" w:cs="Times New Roman" w:eastAsia="Times New Roman"/>
                <w:sz w:val="24"/>
              </w:rPr>
              <w:t xml:space="preserve">Navrhujeme preformulovať ustanovenie § 10 ods. 1 písm. b)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„Overenie informácií týkajúcich sa identifikácie konečného užívateľa výhod povinná osoba vykonáva ich získaním zo spoľahlivých zdrojov uplatňovaním prístupu založeného na hodnotení rizík podľa § 20a, pričom je oprávnená využiť nezávislé a spoľahlivé informácie, údaje získané z registra právnických osôb, podnikateľov a orgánov verejnej moci 41c) (ďalej len „register právnických osôb“), ako aj údaje získané od samotného klienta.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prípadoch, keď rizikové hodnotenie podľa § 20a nepreukáže zvýšené riziko a povinná osoba vykonala riadnu starostlivosť (due diligence), môžu sa za spoľahlivý zdroj informácií považovať aj interné dokumenty klienta (napríklad zakladateľské listiny, štruktúra akcionárov, rozhodnutia valného zhromaždenia) alebo čestné vyhlásenie klienta, ak neexistujú dôvody na pochybnosti o pravdivosti týchto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ukladá povinnosť overovať údaje o konečnom užívateľovi výhod zo „spoľahlivých zdrojov“, avšak pojem „spoľahlivý zdroj“ nie je v zákone ani v dôvodovej správe bližšie vysvetlený. To vedie k nejasnostiam a rozdielnym výkladom medzi povinnými osobami, čo v praxi zvyšuje administratívnu záťaž pre podnikateľov.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čl. 30 ods. 8 smernice (EÚ) 2015/849 a odporúčaním FATF č. 10 (v zmysle vysvetľujúcich poznámok k odporúčaniu FATF č. 10, bod 5 písm. a), ods. i)) sa od povinných osôb vyžaduje, aby sa pri starostlivosti o klienta nespoliehali výlučne na údaje z registra, ale overovali ich aj z iného spoľahlivého, nezávislého zdroja – napríklad z iného verejného registra alebo prostredníctvom potvrdenia či KYC/due diligence formulára od klienta. Účelom týchto pravidiel však nie je spochybniť register ako zdroj informácií, ale podporiť viaczdrojové overenie.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žiadame, aby bol do dôvodovej správy doplnený bližší výklad pojmu „spoľahlivý zdroj“ v súlade so smernicou a štandardmi FATF, pričom by malo byť zrejmé, že za spoľahlivé zdroje sa považujú najmä registre a evidencie vedené orgánmi verejnej moci (napr. register právnických osôb, obchodný register, register partnerov verejného sektora), ako aj registre členských štátov EÚ alebo štátov OECD, ak obsahujú rovnocenné údaje. Takto doplnený výklad prispeje k jednotnému uplatňovaniu zákona, zníženiu administratívnej záťaže a zachovaniu súladu s cieľom smernice a odporúčaním FATF č. 10.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bola upravená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 10 ods. 9)</w:t>
              <w:br/>
            </w:r>
            <w:r>
              <w:rPr>
                <w:b w:val="off"/>
                <w:color w:val="000000"/>
                <w:rFonts w:ascii="Times New Roman" w:hAnsi="Times New Roman" w:cs="Times New Roman" w:eastAsia="Times New Roman"/>
                <w:sz w:val="24"/>
              </w:rPr>
              <w:t>Navrhujeme vypustiť navrhované nové znenie § 10 ods. 9 a zachovať pôvodné znenie, doplnené o explicitné vyjadrenie „možnosti“ nevykonať základnú starostlivosť,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Povinná osoba môže nevykonať základnú starostlivosť vo vzťahu ku klientovi podľa odseku 2 písm. c),</w:t>
              <w:br/>
            </w:r>
            <w:r>
              <w:rPr>
                <w:b w:val="off"/>
                <w:color w:val="000000"/>
                <w:rFonts w:ascii="Times New Roman" w:hAnsi="Times New Roman" w:cs="Times New Roman" w:eastAsia="Times New Roman"/>
                <w:sz w:val="24"/>
              </w:rPr>
              <w:t>a) ak by jej vykonaním v celom rozsahu alebo len jej časti mohlo dôjsť k zmareniu alebo ohrozeniu spracovania neobvyklej obchodnej operácie, alebo</w:t>
              <w:br/>
            </w:r>
            <w:r>
              <w:rPr>
                <w:b w:val="off"/>
                <w:color w:val="000000"/>
                <w:rFonts w:ascii="Times New Roman" w:hAnsi="Times New Roman" w:cs="Times New Roman" w:eastAsia="Times New Roman"/>
                <w:sz w:val="24"/>
              </w:rPr>
              <w:t>b) ak jej Finančná spravodajská jednotka dá písomný pokyn nevykonať základnú starostlivosť vo vzťahu ku klientovi v celom rozsahu alebo len jej časti z dôvodu, že jej vykonaním by mohlo dôjsť k zmareniu alebo ohrozeniu spracovania neobvyklej obchodnej operácie.“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 10 ods. 9 sa odchyľuje od pôvodného účelu tohto ustanovenia. Pôvodný text stanovoval, že povinná osoba nevykoná základnú starostlivosť, ak by jej vykonanie mohlo zmariť alebo ohroziť spracovanie neobvyklej obchodnej operácie. Takáto formulácia mala jasný preventívny cieľ – chrániť priebeh spracovania podozrivých obchodov a zabrániť ich odhaleniu klientovi.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tento princíp mení, pretože z povinnosti nevykonať základnú starostlivosť robí povinnosť postup spätne zdôvodňovať. Povinná osoba by tak musela vysvetľovať, na základe čoho podozrenie vzniklo, čo ide proti pôvodnému zmyslu ustanovenia a zároveň zvyšuje administratívnu záťaž. Zachovanie pôvodného znenia s doplnením slova „môže“ umožní povinným osobám postupovať primerane podľa okolností a zároveň zachová preventívnu funkciu tohto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bola upravená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novelizačného bodu</w:t>
              <w:br/>
            </w:r>
            <w:r>
              <w:rPr>
                <w:b w:val="off"/>
                <w:color w:val="000000"/>
                <w:rFonts w:ascii="Times New Roman" w:hAnsi="Times New Roman" w:cs="Times New Roman" w:eastAsia="Times New Roman"/>
                <w:sz w:val="24"/>
              </w:rPr>
              <w:t>Čl. 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 – doplnenie nového odseku (9) (doterajší odsek 9 sa primerane prečísluje)</w:t>
              <w:br/>
            </w:r>
            <w:r>
              <w:rPr>
                <w:b w:val="off"/>
                <w:color w:val="000000"/>
                <w:rFonts w:ascii="Times New Roman" w:hAnsi="Times New Roman" w:cs="Times New Roman" w:eastAsia="Times New Roman"/>
                <w:sz w:val="24"/>
              </w:rPr>
              <w:t>„Ak je na účely splnenia povinností podľa tohto zákona potrebné zabezpečiť dokumenty alebo údaje zo zahraničia, možno lehotu na ich predloženie primerane predĺžiť. Nesplnenie povinnosti z dôvodov objektívnej nemožnosti ich včasného získania nezakladá porušenie povinnosti klienta.“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zohľadňuje prípady, keď je na overenie údajov alebo splnenie povinností potrebné získať dokumenty zo zahraničia – napríklad v prípade, že medzi vlastníkmi alebo ovládajúcimi osobami klienta figuruje zahraničný subjekt alebo fyzická osoba.</w:t>
              <w:br/>
            </w:r>
            <w:r>
              <w:rPr>
                <w:b w:val="off"/>
                <w:color w:val="000000"/>
                <w:rFonts w:ascii="Times New Roman" w:hAnsi="Times New Roman" w:cs="Times New Roman" w:eastAsia="Times New Roman"/>
                <w:sz w:val="24"/>
              </w:rPr>
              <w:t>Získanie takýchto dokumentov môže byť časovo a administratívne náročné, a často závisí od procesov zahraničných orgánov. Zákon by preto mal umožniť primerané predĺženie lehoty a jasne ustanoviť, že objektívna nemožnosť včasného zabezpečenia podkladov nemá byť automaticky považovaná za porušenie povinnosti. Takéto riešenie zaisťuje spravodlivejší prístup a predchádza neprimeranému postihovaniu podnikateľov, ktorí konajú v dobrej viere a riadne plnia svoje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prerokovaní predmetnej pripomienky na rozporovom konaní upustil pripomienkujúci subjekt od pripomienky ako od zásadnej.</w:t>
              <w:br/>
            </w:r>
            <w:r>
              <w:rPr>
                <w:b w:val="off"/>
                <w:color w:val="000000"/>
                <w:rFonts w:ascii="Times New Roman" w:hAnsi="Times New Roman" w:cs="Times New Roman" w:eastAsia="Times New Roman"/>
                <w:sz w:val="24"/>
              </w:rPr>
              <w:t>Predmetom pripomienky je úprava vzťahov medzi povinnou osobou a klientom pri vykonávaní starostlivosti, konkrétne predlžovania  lehoty na predloženie dokumentov od klienta. Keďže tieto lehoty určuje klientovi povinná osoba a nie sú nijakým spôsobom limitované zákonom, nepovažujeme za vhodné dĺžku týchto lehôt akokoľvek regulovať.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novelizačného bodu</w:t>
              <w:br/>
            </w:r>
            <w:r>
              <w:rPr>
                <w:b w:val="off"/>
                <w:color w:val="000000"/>
                <w:rFonts w:ascii="Times New Roman" w:hAnsi="Times New Roman" w:cs="Times New Roman" w:eastAsia="Times New Roman"/>
                <w:sz w:val="24"/>
              </w:rPr>
              <w:t>Čl. 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10 – doplnenie nového odseku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„Povinná osoba pri vykonávaní starostlivosti o klienta prihliada na údaje a dokumenty, ktoré sú dostupné vo verejných registroch alebo ktoré už predtým získala v rámci starostlivosti o tohto klienta, a nevyžaduje ich opätovné predloženie, ak sú stále platné a nedošlo k podstatnej zmene.“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zosúladenie s princípmi digitalizácie a byrokratickej jednoduchosti podľa zásady „once only“ uplatňovanej v právnom rámci EÚ.</w:t>
              <w:br/>
            </w:r>
            <w:r>
              <w:rPr>
                <w:b w:val="off"/>
                <w:color w:val="000000"/>
                <w:rFonts w:ascii="Times New Roman" w:hAnsi="Times New Roman" w:cs="Times New Roman" w:eastAsia="Times New Roman"/>
                <w:sz w:val="24"/>
              </w:rPr>
              <w:t>Ustanovenie by zabránilo zbytočnému opakovaniu požiadaviek voči klientom a znížilo administratívnu záťaž pri opakovanej identifikácii a overovaní údajov, najmä ak sú tieto informácie už overené alebo dostupné v oficiálnych registroch.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prerokovaní predmetnej pripomienky na rozporovom konaní upustil pripomienkujúci subjekt od pripomienky ako od zásadnej.</w:t>
              <w:br/>
            </w:r>
            <w:r>
              <w:rPr>
                <w:b w:val="off"/>
                <w:color w:val="000000"/>
                <w:rFonts w:ascii="Times New Roman" w:hAnsi="Times New Roman" w:cs="Times New Roman" w:eastAsia="Times New Roman"/>
                <w:sz w:val="24"/>
              </w:rPr>
              <w:t>Predmetom pripomienky je úprava vzťahov medzi povinnou osobou a klientom pri vykonávaní starostlivosti, konkrétne získavanie dokumentov od klienta pri vykonávaní starostlivosti.</w:t>
              <w:br/>
            </w:r>
            <w:r>
              <w:rPr>
                <w:b w:val="off"/>
                <w:color w:val="000000"/>
                <w:rFonts w:ascii="Times New Roman" w:hAnsi="Times New Roman" w:cs="Times New Roman" w:eastAsia="Times New Roman"/>
                <w:sz w:val="24"/>
              </w:rPr>
              <w:t>Vyžadovanie si dokumentov od klienta a ich poskytovanie klientom je výlučná záležitosť vzťahu medzi nimi a nepovažujeme za potrebné do tohto vzťahu vstupovať  a regulovať ho zmenou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V čl. I bode 2 navrhujeme slová „prvom bode až piatom bode“ nahradiť slovami „tomto písmene“.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považujeme za vhodnejšie. Rovnaká legislatívna technika je použitá aj v písmene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 čl. I bode 3 navrhujeme za slovo „fondu“ vložiť čiarku, keďže ide o časť vety za bodkočiarkou ktorej súčasťou je aj čiarka.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5 § 15 ods. 1 písm. b) v poznámke pod čiarou k odkazu 41</w:t>
              <w:br/>
            </w:r>
            <w:r>
              <w:rPr>
                <w:b w:val="off"/>
                <w:color w:val="000000"/>
                <w:rFonts w:ascii="Times New Roman" w:hAnsi="Times New Roman" w:cs="Times New Roman" w:eastAsia="Times New Roman"/>
                <w:sz w:val="24"/>
              </w:rPr>
              <w:t>V čl. I bode 5 § 15 ods. 1 písm. b) v poznámke pod čiarou k odkazu 41 odporúčame uviesť konkrétne ustanovenia a  na konci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7</w:t>
              <w:br/>
            </w:r>
            <w:r>
              <w:rPr>
                <w:b w:val="off"/>
                <w:color w:val="000000"/>
                <w:rFonts w:ascii="Times New Roman" w:hAnsi="Times New Roman" w:cs="Times New Roman" w:eastAsia="Times New Roman"/>
                <w:sz w:val="24"/>
              </w:rPr>
              <w:t>V čl. I bode 7 navrhujeme slovo „existuje“ nahradiť slovom „je“ a slová „podozrenie povinnej osoby“ nahradiť slovami „jej podozrenie“.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Slovné spojenie „existuje dôvod“ sa bežne používa aj v iných právnych predpisoch. Jeho použitie v návrhu považujeme za vhodnejšie.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9 § 17 ods. 4</w:t>
              <w:br/>
            </w:r>
            <w:r>
              <w:rPr>
                <w:b w:val="off"/>
                <w:color w:val="000000"/>
                <w:rFonts w:ascii="Times New Roman" w:hAnsi="Times New Roman" w:cs="Times New Roman" w:eastAsia="Times New Roman"/>
                <w:sz w:val="24"/>
              </w:rPr>
              <w:t>V čl. I bode 9 sa navrhuje v § 17 vypustiť odsek 4 a doterajšie odseky 5 až 7 označiť ako odseky 4 až 6; v nadväznosti na uvedené navrhujeme upraviť aj vnútorné odkazy na § 17 v § 18 ods. 1, § 22 ods. 1 a 2 a § 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čl. I bode 10 navrhujeme slová „odkedy začala byť“ nahradiť slovami „odo dňa keď sa stala“.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 § 24c ods. 1, ods. 3 písm. a), ods. 6, ods. 9, ods. 5 a 7.</w:t>
              <w:br/>
            </w:r>
            <w:r>
              <w:rPr>
                <w:b w:val="off"/>
                <w:color w:val="000000"/>
                <w:rFonts w:ascii="Times New Roman" w:hAnsi="Times New Roman" w:cs="Times New Roman" w:eastAsia="Times New Roman"/>
                <w:sz w:val="24"/>
              </w:rPr>
              <w:t xml:space="preserve">7.	V čl. I bode 11 v </w:t>
              <w:br/>
            </w:r>
            <w:r>
              <w:rPr>
                <w:b w:val="off"/>
                <w:color w:val="000000"/>
                <w:rFonts w:ascii="Times New Roman" w:hAnsi="Times New Roman" w:cs="Times New Roman" w:eastAsia="Times New Roman"/>
                <w:sz w:val="24"/>
              </w:rPr>
              <w:t>-	§ 24c ods. 1 navrhujeme bodku na konci prvej vety bodkočiarkou a slová „správcom ... fondov je“ nahradiť slovami „jeho správcom a prevádzkovateľom je“;</w:t>
              <w:br/>
            </w:r>
            <w:r>
              <w:rPr>
                <w:b w:val="off"/>
                <w:color w:val="000000"/>
                <w:rFonts w:ascii="Times New Roman" w:hAnsi="Times New Roman" w:cs="Times New Roman" w:eastAsia="Times New Roman"/>
                <w:sz w:val="24"/>
              </w:rPr>
              <w:t>-	§ 24c  ods. 3 písm. a)  navrhujeme slovo „a“ nahradiť čiarkou keďže nejde o výpočet právnych predpokladov alebo následkov;</w:t>
              <w:br/>
            </w:r>
            <w:r>
              <w:rPr>
                <w:b w:val="off"/>
                <w:color w:val="000000"/>
                <w:rFonts w:ascii="Times New Roman" w:hAnsi="Times New Roman" w:cs="Times New Roman" w:eastAsia="Times New Roman"/>
                <w:sz w:val="24"/>
              </w:rPr>
              <w:t>-	§ 24c ods. 6 navrhujeme  slovo „a“ nahradiť bodkou a nasledujúci text upraviť ako novú vetu, keďže ide o samostatný predpoklad;</w:t>
              <w:br/>
            </w:r>
            <w:r>
              <w:rPr>
                <w:b w:val="off"/>
                <w:color w:val="000000"/>
                <w:rFonts w:ascii="Times New Roman" w:hAnsi="Times New Roman" w:cs="Times New Roman" w:eastAsia="Times New Roman"/>
                <w:sz w:val="24"/>
              </w:rPr>
              <w:t>-	§ 24c ods. 9 navrhujeme slová „Ustanovenia odsekov“ nahradiť slovom „Odsek“, vzhľadom na nadbytočnosť slova „Ustanovenia“;</w:t>
              <w:br/>
            </w:r>
            <w:r>
              <w:rPr>
                <w:b w:val="off"/>
                <w:color w:val="000000"/>
                <w:rFonts w:ascii="Times New Roman" w:hAnsi="Times New Roman" w:cs="Times New Roman" w:eastAsia="Times New Roman"/>
                <w:sz w:val="24"/>
              </w:rPr>
              <w:t>-	§ 24c ods. 5 a 7 navrhujeme lehotu 28 dní nahradiť lehotou 30 dní.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Nepovažujeme za potrebné meniť § 24c ods. 1 v súlade s pripomienkou.</w:t>
              <w:br/>
            </w:r>
            <w:r>
              <w:rPr>
                <w:b w:val="off"/>
                <w:color w:val="000000"/>
                <w:rFonts w:ascii="Times New Roman" w:hAnsi="Times New Roman" w:cs="Times New Roman" w:eastAsia="Times New Roman"/>
                <w:sz w:val="24"/>
              </w:rPr>
              <w:t xml:space="preserve">Lehota „28 dní“ bola navrhnutá z dôvodu, že je zhodná s lehotou uvedenou v článku 67 nariadenia Európskeho parlamentu a Rady (EÚ) 2024/1624 z 31. mája 2024 o predchádzaní využívaniu finančného systému na účely prania špinavých peňazí alebo financovania terorizmu, ktoré od 10. júla 2027 nahradí súčasnú smernicu.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w:t>
              <w:br/>
            </w:r>
            <w:r>
              <w:rPr>
                <w:b w:val="off"/>
                <w:color w:val="000000"/>
                <w:rFonts w:ascii="Times New Roman" w:hAnsi="Times New Roman" w:cs="Times New Roman" w:eastAsia="Times New Roman"/>
                <w:sz w:val="24"/>
              </w:rPr>
              <w:t>V čl. I bode 12 navrhujeme text upraviť do jednotného čísla a za slová „§ 21 ods. 2“ vložiť slová „v znení účinnom od 1. marca 2026“, keďže uvedený odsek novelizuje bod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úvodnej vete odporúčame za slovo „sa“ vložiť slová „mení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w:t>
              <w:br/>
            </w:r>
            <w:r>
              <w:rPr>
                <w:b w:val="off"/>
                <w:color w:val="000000"/>
                <w:rFonts w:ascii="Times New Roman" w:hAnsi="Times New Roman" w:cs="Times New Roman" w:eastAsia="Times New Roman"/>
                <w:sz w:val="24"/>
              </w:rPr>
              <w:t xml:space="preserve">10.	V čl. II bode 1 navrhujeme </w:t>
              <w:br/>
            </w:r>
            <w:r>
              <w:rPr>
                <w:b w:val="off"/>
                <w:color w:val="000000"/>
                <w:rFonts w:ascii="Times New Roman" w:hAnsi="Times New Roman" w:cs="Times New Roman" w:eastAsia="Times New Roman"/>
                <w:sz w:val="24"/>
              </w:rPr>
              <w:t>-	v úvodnej časti vety slová „živnostenské oprávnenie“ nahradiť slovom „živnosť“;</w:t>
              <w:br/>
            </w:r>
            <w:r>
              <w:rPr>
                <w:b w:val="off"/>
                <w:color w:val="000000"/>
                <w:rFonts w:ascii="Times New Roman" w:hAnsi="Times New Roman" w:cs="Times New Roman" w:eastAsia="Times New Roman"/>
                <w:sz w:val="24"/>
              </w:rPr>
              <w:t>-	v písmene a) slovo „a“ nahradiť slovom „alebo“;</w:t>
              <w:br/>
            </w:r>
            <w:r>
              <w:rPr>
                <w:b w:val="off"/>
                <w:color w:val="000000"/>
                <w:rFonts w:ascii="Times New Roman" w:hAnsi="Times New Roman" w:cs="Times New Roman" w:eastAsia="Times New Roman"/>
                <w:sz w:val="24"/>
              </w:rPr>
              <w:t>-	v písmene d) nahradiť čiarku na konci slovom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Druhej pripomienke nebolo vyhovené, keďže v písmene a) je uvedený názov živnosti, ktorý je zhodný s jej názvom  uvedeným v prílohe.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w:t>
              <w:br/>
            </w:r>
            <w:r>
              <w:rPr>
                <w:b w:val="off"/>
                <w:color w:val="000000"/>
                <w:rFonts w:ascii="Times New Roman" w:hAnsi="Times New Roman" w:cs="Times New Roman" w:eastAsia="Times New Roman"/>
                <w:sz w:val="24"/>
              </w:rPr>
              <w:t>V čl. II bode 2 navrhujeme slová „upraviť svoje právne vzťahy v súlade s ustanovením § 9“ nahradiť slovami „zosúladiť svoje právne vzťahy s § 9 v znení účinnom od 1. marca 2026“ a slová „pred 1. marcom“ nahradiť slovami „do 28. februára“.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 § 2 ods. 2 úvodná veta</w:t>
              <w:br/>
            </w:r>
            <w:r>
              <w:rPr>
                <w:b w:val="off"/>
                <w:color w:val="000000"/>
                <w:rFonts w:ascii="Times New Roman" w:hAnsi="Times New Roman" w:cs="Times New Roman" w:eastAsia="Times New Roman"/>
                <w:sz w:val="24"/>
              </w:rPr>
              <w:t>V čl. III bode 2 § 2 ods. 2 úvodnej vete odporúčame slovo „ods.“ nahradiť slovom „odsek“.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6 a 8</w:t>
              <w:br/>
            </w:r>
            <w:r>
              <w:rPr>
                <w:b w:val="off"/>
                <w:color w:val="000000"/>
                <w:rFonts w:ascii="Times New Roman" w:hAnsi="Times New Roman" w:cs="Times New Roman" w:eastAsia="Times New Roman"/>
                <w:sz w:val="24"/>
              </w:rPr>
              <w:t>V čl. III navrhujeme presunúť bod 6 za bod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8</w:t>
              <w:br/>
            </w:r>
            <w:r>
              <w:rPr>
                <w:b w:val="off"/>
                <w:color w:val="000000"/>
                <w:rFonts w:ascii="Times New Roman" w:hAnsi="Times New Roman" w:cs="Times New Roman" w:eastAsia="Times New Roman"/>
                <w:sz w:val="24"/>
              </w:rPr>
              <w:t>V čl. III bode 8 navrhujeme slovo „legitímny“ nahradiť slovom „oprávnený“.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bol upravený iným spôsobom v súlade s pripomienkou Štatistického úradu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body 3 až 5</w:t>
              <w:br/>
            </w:r>
            <w:r>
              <w:rPr>
                <w:b w:val="off"/>
                <w:color w:val="000000"/>
                <w:rFonts w:ascii="Times New Roman" w:hAnsi="Times New Roman" w:cs="Times New Roman" w:eastAsia="Times New Roman"/>
                <w:sz w:val="24"/>
              </w:rPr>
              <w:t>V čl. IV navrhujeme spojiť body 3 až 5 napr. takto „V § 22ods. 5 a 6 a § 23 ods. 66 sa za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Podľa navrhovaného znenia čl. I bodu 11 § 24c, ktorý bol do materiálu doplnený po predbežnom pripomienkovom konaní, sa zriaďuje register zahraničných zvereneckých fondov, ktorý je informačným systémom verejnej správy, pričom správcom a prevádzkovateľom tohto registra je Ministerstvo vnútra Slovenskej republiky. Podľa nášho názoru bude mať zriadenie uvedeného informačného systému negatívny vplyv na rozpočet verejnej správy z dôvodu potreby financovania zriadenia, ako aj správy/údržby tohto informačného systému. V nadväznosti na uvedené žiadame do materiálu doplniť Analýzu vplyvov na rozpočet verejnej správy, na zamestnanosť vo verejnej správe a financovanie návrhu, v ktorej budú vyčíslené a bližšie špecifikované vplyvy na rozpočet verejnej správy súvisiace s uvedeným informačným systémom, pričom predpokladané výdavky žiadame zabezpečiť v rámci schválených limitov kapitoly Ministerstva vnútra Slovenskej republiky na príslušný rozpočtový rok, bez dodatočných požiadaviek na rozpočet verejnej správy a bez vplyvu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vplyvov na rozpočet verejnej správy, na zamestnanosť vo verejnej správe a financovanie návrhu bola vypracovaná.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Vzhľadom na skutočnosť, že sa v rámci návrhu riešia nedostatky vytýkané Výborom expertov Rady Európy pre hodnotenie opatrení proti legalizácii príjmov z trestnej činnosti a financovania terorizmu Moneyval a Európskou komisiou, upozorňujeme aj na odporúčanie, ktoré vyplynulo pre Slovenskú republiku zo správy a odporúčaní Globálneho fóra OECD pre transparentnosť a výmenu informácií z roku 2020 (https://www.oecd.org/content/dam/oecd/en/publications/reports/2020/12/global-forum-on-transparency-and-exchange-of-information-for-tax-purposes-slovak-republic-2020-second-round_b2b83b39/960316d9-en.pdf), a ktoré nebolo doteraz doriešené. Ide konkrétne o odporúčanie, aby Slovenská republika zabezpečila, aby všetky zahraničné trusty (zverenecké fondy), ktoré majú správcov s rezidenciou na území Slovenskej republiky, viedli záznamy požadované štandardom minimálne päť rokov. Nadväzne na toto odporúčanie žiadame o doplnenie povinnosti pre správcu zahraničného zvereneckého fondu viesť a aktualizovať evidenciu o spravovanom majetku. Ohľadom doby vedenia záznamov evidujeme, že zákon č. 297/2008 Z. z. už obsahuje požiadavku na vedenie záznamov minimálne päť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24b bol doplnený o nový odsek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bode 5 poznámke pod čiarou k odkazu 41c na konci za úvodzovky hore doplniť bodku, v súvislosti s vypustením odseku 4 v § 17 v bode 9 je potrebné upraviť vnútorné odkazy v § 18 ods. 1, § 22 ods. 1 a 2 a § 23 platného zákona, v bode 11 § 24c ods. 7 uviesť odkedy plynie lehota 28 dní, v § 24c ods. 8 za slovo „vykonal“ vložiť čiarku, v bode 12 § 36d slová „Povinné osoby sú povinné“ nahradiť slovami „Povinná osoba je povinná“, v čl. II úvodnej vete slová „zákona č. 387/2024 Z. z. a zákona č. 26/2025 Z. z. sa dopĺňa“ nahradiť slovami „zákona č. 387/2024 Z. z., zákona č. 26/2025 Z. z. a zákona č. 242/2025 Z. z. sa mení a sa dopĺňa“, v bode 1 § 9 písm. e) nad slová „osobitného predpisu“ vložiť odkaz na príslušný osobitný predpis a doplniť poznámku pod čiarou, v čl. III úvodnej vete slová „zákona č. 52/2018 Z. z. a zákona č. 279/2020 Z. z.“ nahradiť slovami „zákona č. 52/2018 Z. z., zákona č. 279/2020 Z. z. a zákona č. 302/2023 Z. z.“, v bode 2 úvodnú vetu preformulovať takto: „2. V § 2 sa odsek 2 dopĺňa písmenom g), ktoré znie:“ v súlade s bodom 31 prílohy LPV, v bode 6 vypustiť slová „písm. a) a b)“ ako nadbytočné (2x), bod 6 označiť ako bod 8, body 6 až 8 správne chronologicky zoradiť vzhľadom na ustanovenia, ktoré sa nimi novelizujú, v čl. IV body 3 až 5 spojiť do jedného novelizačného bodu, v bode 6 na konci za slovom „účinok“ vypustiť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je potrebné zosúladiť s Legislatívnymi pravidlami vlády Slovenskej republiky, a to napríklad </w:t>
              <w:br/>
            </w:r>
            <w:r>
              <w:rPr>
                <w:b w:val="off"/>
                <w:color w:val="000000"/>
                <w:rFonts w:ascii="Times New Roman" w:hAnsi="Times New Roman" w:cs="Times New Roman" w:eastAsia="Times New Roman"/>
                <w:sz w:val="24"/>
              </w:rPr>
              <w:t>- v čl. I bode 11 § 24c ods. 3 odporúčame slová „tieto údaje:" vypustiť z dôvodu nadbytočnosti.</w:t>
              <w:br/>
            </w:r>
            <w:r>
              <w:rPr>
                <w:b w:val="off"/>
                <w:color w:val="000000"/>
                <w:rFonts w:ascii="Times New Roman" w:hAnsi="Times New Roman" w:cs="Times New Roman" w:eastAsia="Times New Roman"/>
                <w:sz w:val="24"/>
              </w:rPr>
              <w:t>- v čl. II v názve zákona odporúčame doplniť zákon č. 242/2025 Z. z. a za slová „Z. z. sa“ doplniť slovo „mení“.</w:t>
              <w:br/>
            </w:r>
            <w:r>
              <w:rPr>
                <w:b w:val="off"/>
                <w:color w:val="000000"/>
                <w:rFonts w:ascii="Times New Roman" w:hAnsi="Times New Roman" w:cs="Times New Roman" w:eastAsia="Times New Roman"/>
                <w:sz w:val="24"/>
              </w:rPr>
              <w:t>- pri použití odkazu na osobitný predpis odporúčame vložiť odkaz na právny predpis a doplniť znenie poznámky pod čiarou (napr. v čl. II bode 1 § 9 písm. e), v čl. II bode 2 § 80at písm. c)).</w:t>
              <w:br/>
            </w:r>
            <w:r>
              <w:rPr>
                <w:b w:val="off"/>
                <w:color w:val="000000"/>
                <w:rFonts w:ascii="Times New Roman" w:hAnsi="Times New Roman" w:cs="Times New Roman" w:eastAsia="Times New Roman"/>
                <w:sz w:val="24"/>
              </w:rPr>
              <w:t>- v čl. III v názve zákona odporúčame doplniť zákon č. 302/2023 Z. z.</w:t>
              <w:br/>
            </w:r>
            <w:r>
              <w:rPr>
                <w:b w:val="off"/>
                <w:color w:val="000000"/>
                <w:rFonts w:ascii="Times New Roman" w:hAnsi="Times New Roman" w:cs="Times New Roman" w:eastAsia="Times New Roman"/>
                <w:sz w:val="24"/>
              </w:rPr>
              <w:t>- v čl. III odporúčame novelizačný bod 6 presunúť za novelizačný bod 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Slová „tieto údaje“ sú bežnou legislatívnou technikou.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vplyvov.</w:t>
              <w:br/>
            </w:r>
            <w:r>
              <w:rPr>
                <w:b w:val="off"/>
                <w:color w:val="000000"/>
                <w:rFonts w:ascii="Times New Roman" w:hAnsi="Times New Roman" w:cs="Times New Roman" w:eastAsia="Times New Roman"/>
                <w:sz w:val="24"/>
              </w:rPr>
              <w:t>Žiadame vyznačiť pozitívne vplyvy na informatizáciu spoločnosti v doložke vplyvov a vypracovať analýzu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Nemôžeme súhlasiť s predkladateľom, že materiál nemá žiadne vplyvy na informatizáciu spoločnosti. Predkladateľ doplnil do vlastného materiálu po PPK bod 11., v rámci ktorého sa vytvára „register zahraničných zvereneckých fondov, ktorý je informačným systémom verejnej správy“. Uvedené predstavuje vplyvy na informatizáciu spoločnosti, ktoré je nutné v doložke vplyvov vyznačiť a v analýze vplyvov podľa metodiky rozpísať.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vplyvov na informatizáciu spoločnosti bola vypracovaná.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11, § 24c ods. 8.</w:t>
              <w:br/>
            </w:r>
            <w:r>
              <w:rPr>
                <w:b w:val="off"/>
                <w:color w:val="000000"/>
                <w:rFonts w:ascii="Times New Roman" w:hAnsi="Times New Roman" w:cs="Times New Roman" w:eastAsia="Times New Roman"/>
                <w:sz w:val="24"/>
              </w:rPr>
              <w:t>Odporúčame zosúladiť spôsob doručovania potvrdenia podľa príslušných ustanovení so zákonom č. 305/2013 Z. z. o elektronickej podobe výkonu pôsobnosti orgánov verejnej moci a o zmene a doplnení niektorých zákonov (zákon o e-Governmente) v znení neskorších predpisov (ďalej len „zákon o e-Governmente“). Odporúčame znenie ustanovenia § 24c ods. 8 upraviť nasledovne: „O vykonaní zápisu navrhovaných údajov vydá okresný úrad v sídle kraja potvrdenie, ktoré zašle navrhovateľovi do elektronickej schránky. O vykonaní zápisu navrhovaných údajov vydá okresný úrad v sídle kraja potvrdenie, ktoré zašle navrhovateľovi do elektronickej schránky.“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Potvrdenie o vykonaní zápisu predstavuje výsledok výkonu verejnej moci a vzťahuje sa naň zákon č. 305/2013 Z. z. o elektronickej podobe výkonu pôsobnosti orgánov verejnej moci a o zmene a doplnení niektorých zákonov (zákon o e-Governmente) v znení neskorších predpisov (ďalej len „zákon o e-Governmente“). Ide o všeobecný predpis upravujúci elektronický výkon pôsobnosti orgánu verejnej moci, a preto sa od neho nemožno odkloniť. Podľa § 29 ods. 1 zákona o e-Governmente je miestom na elektronické doručovanie elektronická schránka, ktorá je aktivovaná, pričom spôsob, resp. formu v akej sa elektronické rozhodnutie doručuje, upravujú ustanovenia 29 a nasl. zákona o e-Governmente. Spôsob doručovania podľa zákona o e-Governmente nenarúša význam registra, resp. jeho funkcionality tak, ako je navrhnutá.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potrebné vkladať uvedené ustanovenie do návrhu, keďže, ako je uvedené v odôvodnení pripomienky, ide o všeobecný predpis upravujúci elektronický výkon pôsobnosti orgánu verejnej moci a preto jeho ustanovenia nie je potrebné preberať do zákona. Zároveň uvádzame, že zápis môže vykonávať aj osoba, ktorá nie je štátnym občanom SR a ani nemá na území SR žiadny pobyt.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11, § 24c ods. 4 a 7.</w:t>
              <w:br/>
            </w:r>
            <w:r>
              <w:rPr>
                <w:b w:val="off"/>
                <w:color w:val="000000"/>
                <w:rFonts w:ascii="Times New Roman" w:hAnsi="Times New Roman" w:cs="Times New Roman" w:eastAsia="Times New Roman"/>
                <w:sz w:val="24"/>
              </w:rPr>
              <w:t>Odporúčame zosúladiť spôsob podávania návrhu na zápis a ohlásenia zmien podľa  príslušných ustanovení so zákonom o e-Governmente, a preto odporúčame preformulovať znenie § 24c ods. 4 a 7 nasledovne: „Návrh na zápis sa podáva elektronickými prostriedkami okresnému úradu v sídle kraja prostredníctvom elektronického formulára zverejneného na webovom sídle ústredného portálu verejnej správy alebo špecializovaného portálu.“</w:t>
              <w:br/>
            </w:r>
            <w:r>
              <w:rPr>
                <w:b w:val="off"/>
                <w:color w:val="000000"/>
                <w:rFonts w:ascii="Times New Roman" w:hAnsi="Times New Roman" w:cs="Times New Roman" w:eastAsia="Times New Roman"/>
                <w:sz w:val="24"/>
              </w:rPr>
              <w:t xml:space="preserve">ODÔVODNENIE: Vzhľadom na to, že ide o výkon verejnej moci je povinnosťou orgánu verejnej moci  pri výkone verejnej moci zabezpečiť na podanie návrhu na zápis a následne ohlásenie zmien elektronický formulár zverejnený na webovom sídle ústredného portálu verejnej správy (§ 6 zákona č. 305/2013 Z. z. o elektronickej podobe výkonu pôsobnosti orgánov verejnej moci a o zmene a doplnení niektorých zákonov (zákon o e-Governmente) v znení neskorších predpisov (ďalej len „zákon o e-Governmente“) alebo špecializovaného portálu (§ 5 ods. 3 zákona o e-Governmente). </w:t>
              <w:br/>
            </w:r>
            <w:r>
              <w:rPr>
                <w:b w:val="off"/>
                <w:color w:val="000000"/>
                <w:rFonts w:ascii="Times New Roman" w:hAnsi="Times New Roman" w:cs="Times New Roman" w:eastAsia="Times New Roman"/>
                <w:sz w:val="24"/>
              </w:rPr>
              <w:t>Podľa § 3 písm. i) zákona o e-Governmente, na účely tohto zákona sa rozumie elektronickým formulárom elektronický dokument obsahujúci automatizovane spracovateľné pravidlá, prostredníctvom ktorých je možné elektronickými prostriedkami vyplniť a prezentovať vyplnené údaje v štruktúrovanej forme, spracovateľnej aj automatizovaným spôsobom informačnými systémami. Podľa § 10 ods. 2 prvá veta zákona o e-Governmente, orgány verejnej moci sú pri výkone verejnej moci elektronicky na zabezpečenie činností, ktoré predmetné moduly zabezpečujú, povinné používať spoločné moduly podľa odseku 3 písm. a), b), e) a f); povinnosť používať spoločný modul podľa odseku 3 písm. e) sa nevzťahuje na používanie programových nástrojov na tvorbu elektronických formulárov. Podľa § 10 ods. 3 písm. e) zákona o e-Governmente, spoločným modulom je modul elektronických formulárov. Spôsob podávania návrhov na zápis/ohlásenie zmien podľa zákona o e-Governmente nenarúša význam registra, resp. jeho funkcionality tak, ako je navrhnutá.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potrebné vkladať uvedené ustanovenie do návrhu, keďže, ako je uvedené v odôvodnení pripomienky, ide o všeobecný predpis upravujúci elektronický výkon pôsobnosti orgánu verejnej moci a preto jeho ustanovenia nie je potrebné preberať do zákona. Zároveň uvádzame, že zápis môže vykonávať aj osoba, ktorá nie je štátnym občanom SR a ani nemá na území SR žiadny pobyt.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Upozorňujeme, že zákon č. 455/1991 Zb. bol novelizovaný aj zákonom č. 242/2025 Z. z. Odporúčame doplniť do úvodnej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 xml:space="preserve">Upozorňujeme, že zákon č. 272/2015 Z. z. bol novelizovaný aj zákonom č. 302/2023 Z. z. Odporúčame doplniť do úvodnej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V novelizačnom bode 2 odporúčame slová ,,§ 2 ods. 2 sa" nahradiť slovami ,,V § 2 sa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9</w:t>
              <w:br/>
            </w:r>
            <w:r>
              <w:rPr>
                <w:b w:val="off"/>
                <w:color w:val="000000"/>
                <w:rFonts w:ascii="Times New Roman" w:hAnsi="Times New Roman" w:cs="Times New Roman" w:eastAsia="Times New Roman"/>
                <w:sz w:val="24"/>
              </w:rPr>
              <w:t>Vzhľadom na vypustenie odseku 4 z § 17 odporúčame upraviť aj vnútorné odkazy na § 17 ods. 6 v § 18 ods. 1 tak, že slová „§ 17 ods. 6“ sa nahradia slovami „§ 17 ods. 5“ a v § 23 sa slová „§ 17 ods. 1 a 6“ nahradia slovami „§ 17 ods. 1 a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úvodnej vete</w:t>
              <w:br/>
            </w:r>
            <w:r>
              <w:rPr>
                <w:b w:val="off"/>
                <w:color w:val="000000"/>
                <w:rFonts w:ascii="Times New Roman" w:hAnsi="Times New Roman" w:cs="Times New Roman" w:eastAsia="Times New Roman"/>
                <w:sz w:val="24"/>
              </w:rPr>
              <w:t>V úvodnej vete čl. II odporúčame slovo „a“ za slovami „č. 387/2024 Z. z.“ nahradiť čiarkou a za slová „č. 26/2025 Z. z.“ vložiť slová „a zákona č. 242/2025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úvodnej vete</w:t>
              <w:br/>
            </w:r>
            <w:r>
              <w:rPr>
                <w:b w:val="off"/>
                <w:color w:val="000000"/>
                <w:rFonts w:ascii="Times New Roman" w:hAnsi="Times New Roman" w:cs="Times New Roman" w:eastAsia="Times New Roman"/>
                <w:sz w:val="24"/>
              </w:rPr>
              <w:t>V úvodnej vete čl. III odporúčame slovo „a“ za slovami „č. 52/2018 Z. z.“ nahradiť čiarkou a za slová „č. 279/2020 Z. z.“ vložiť slová „a zákona č. 302/2023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úvodnej vete</w:t>
              <w:br/>
            </w:r>
            <w:r>
              <w:rPr>
                <w:b w:val="off"/>
                <w:color w:val="000000"/>
                <w:rFonts w:ascii="Times New Roman" w:hAnsi="Times New Roman" w:cs="Times New Roman" w:eastAsia="Times New Roman"/>
                <w:sz w:val="24"/>
              </w:rPr>
              <w:t xml:space="preserve">Odporúčame v čl. II úvodnej vete za slovami „zákona č. 387/2024 Z. z.“ vložiť čiarku a slová „a zákona č. 26/2025 Z. z.“ nahradiť slovami „zákona č. 26/2025 Z. z. a zákona č. 242/2025 </w:t>
              <w:br/>
            </w:r>
            <w:r>
              <w:rPr>
                <w:b w:val="off"/>
                <w:color w:val="000000"/>
                <w:rFonts w:ascii="Times New Roman" w:hAnsi="Times New Roman" w:cs="Times New Roman" w:eastAsia="Times New Roman"/>
                <w:sz w:val="24"/>
              </w:rPr>
              <w:t>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úvodnej vete</w:t>
              <w:br/>
            </w:r>
            <w:r>
              <w:rPr>
                <w:b w:val="off"/>
                <w:color w:val="000000"/>
                <w:rFonts w:ascii="Times New Roman" w:hAnsi="Times New Roman" w:cs="Times New Roman" w:eastAsia="Times New Roman"/>
                <w:sz w:val="24"/>
              </w:rPr>
              <w:t>Odporúčame v čl. III úvodnej vete za slovami „zákona č. 52/2018 Z. z.“ vložiť čiarku a slová „a zákona č. 279/2020 Z. z.“ nahradiť slovami „zákona č. 279/2020 Z. z. a zákona č. 302/2023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2</w:t>
              <w:br/>
            </w:r>
            <w:r>
              <w:rPr>
                <w:b w:val="off"/>
                <w:color w:val="000000"/>
                <w:rFonts w:ascii="Times New Roman" w:hAnsi="Times New Roman" w:cs="Times New Roman" w:eastAsia="Times New Roman"/>
                <w:sz w:val="24"/>
              </w:rPr>
              <w:t>Odporúčame v čl. III bode 2 znenie uvádzacej vety upraviť nasledovne:</w:t>
              <w:br/>
            </w:r>
            <w:r>
              <w:rPr>
                <w:b w:val="off"/>
                <w:color w:val="000000"/>
                <w:rFonts w:ascii="Times New Roman" w:hAnsi="Times New Roman" w:cs="Times New Roman" w:eastAsia="Times New Roman"/>
                <w:sz w:val="24"/>
              </w:rPr>
              <w:t>„V § 2 sa odsek 2 dopĺňa písmenom g), ktoré znie:“.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bodom 6 až 8</w:t>
              <w:br/>
            </w:r>
            <w:r>
              <w:rPr>
                <w:b w:val="off"/>
                <w:color w:val="000000"/>
                <w:rFonts w:ascii="Times New Roman" w:hAnsi="Times New Roman" w:cs="Times New Roman" w:eastAsia="Times New Roman"/>
                <w:sz w:val="24"/>
              </w:rPr>
              <w:t>Odporúčame v čl. III novelizáciu v bode 6 presunúť do bodu 8 a následne označiť bod 7 ako bod 6 a bod 8 ako bod 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15</w:t>
              <w:br/>
            </w:r>
            <w:r>
              <w:rPr>
                <w:b w:val="off"/>
                <w:color w:val="000000"/>
                <w:rFonts w:ascii="Times New Roman" w:hAnsi="Times New Roman" w:cs="Times New Roman" w:eastAsia="Times New Roman"/>
                <w:sz w:val="24"/>
              </w:rPr>
              <w:t>Na konci novelizačného bodu za citáciou poznámky pod čiarou odporúčame doplniť bodku.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w:t>
              <w:br/>
            </w:r>
            <w:r>
              <w:rPr>
                <w:b w:val="off"/>
                <w:color w:val="000000"/>
                <w:rFonts w:ascii="Times New Roman" w:hAnsi="Times New Roman" w:cs="Times New Roman" w:eastAsia="Times New Roman"/>
                <w:sz w:val="24"/>
              </w:rPr>
              <w:t>Nakoľko dochádza k zmene celého ustanovenia, odporúčame v novelizačnom bode uviesť aj znenie poznámky pod čiarou k odkazu 28aaa).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Keďže sa poznámka pod čiarou nemení, nepovažujeme za potrebné ju uvádzať v novelizačnom bode a v rovnakom znení, v akom je aj v súčasnosti.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6</w:t>
              <w:br/>
            </w:r>
            <w:r>
              <w:rPr>
                <w:b w:val="off"/>
                <w:color w:val="000000"/>
                <w:rFonts w:ascii="Times New Roman" w:hAnsi="Times New Roman" w:cs="Times New Roman" w:eastAsia="Times New Roman"/>
                <w:sz w:val="24"/>
              </w:rPr>
              <w:t>Novelizačný bod 6 odporúčame označiť ako bod 8 a zaradiť ho na koniec článku III, pretože sa ním novelizuje § 11, ktorý v zákone nasleduje až po § 7a (novelizačné body 7 a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11 (§ 24c)</w:t>
              <w:br/>
            </w:r>
            <w:r>
              <w:rPr>
                <w:b w:val="off"/>
                <w:color w:val="000000"/>
                <w:rFonts w:ascii="Times New Roman" w:hAnsi="Times New Roman" w:cs="Times New Roman" w:eastAsia="Times New Roman"/>
                <w:sz w:val="24"/>
              </w:rPr>
              <w:t>Navrhujeme, aby predkladateľ prepracoval navrhovanú právnu úpravu registra zahraničných zvereneckých fondov, a to z dôvodu, že zverenecký fond nemusí mať nevyhnutne právnu subjektivitu. Navrhované znenie § 24c ods. 3 pri použití pojmov ako „názov“, „identifikačné číslo“ a „sídlo“ zvádza k tomu, že do tohto registra sa zapisujú zverenecké fondy, ktoré sú právnickými osobami. V tejto súvislosti dávame do pozornosti napríklad právnu úpravu zvereneckých fondov v Českej republike, podľa ktorej je zverenecký fond samostatné bezsubjektové majetkové usporiadanie a nemá právnu subjektivitu, t.j. nemá názov, nemá sídlo a nemá identifikačné číslo tak ako tomu je v prípade právnických osôb.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bol upravený tak, aby bolo vyhovené pripomienke Ministerstva spravodlivosti SR, avšak sa ponechávajú aj uvedené pojmy pre prípad, keď budú zverenecké fondy právnickými osobami.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 (§ 9)</w:t>
              <w:br/>
            </w:r>
            <w:r>
              <w:rPr>
                <w:b w:val="off"/>
                <w:color w:val="000000"/>
                <w:rFonts w:ascii="Times New Roman" w:hAnsi="Times New Roman" w:cs="Times New Roman" w:eastAsia="Times New Roman"/>
                <w:sz w:val="24"/>
              </w:rPr>
              <w:t xml:space="preserve">Nesúhlasíme s navrhovaným znením § 9 písm. c) a d), nakoľko tento text možno interpretovať tak, že existuje živnosť na spravovanie virtuálnych sídiel spoločností a profesionálny výkon funkcie štatutárneho orgánu, čo môže podporovať fenomén tzv. bielych koní. Virtuálne sídla a biele kone sú pritom spomínané práve v správe z 5. kola hodnotenia Slovenskej republiky zo strany Výboru Moneyval ako riziká v oblasti AML.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Výkon živnosti, ktorá by spočívala  konaní ako štatutárny orgán, prokurista a podobne živnostenský zákon nepozná; takáto živnosť nie je uvedená ani v prílohe živnostenského zákona ani v zozname odporúčaných voľných živností na stránke ministerstva vnútra. Živnosť je verejné povolenie na podnikanie a teda sa vykonáva samostatne, vo vlastnom mene, na vlastnú zodpovednosť. Činnosť štatutárneho orgánu a osôb sa spravuje zmluvou o výkone funkcie, teda nejde o výkon činnosti vo vlastnom mene ani samostatne, ale ide o konanie právnickej osoby (§ 13 ods. 1 ObZ).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Živnostenský zákon predpokladá výkon živnosti právnickou osobou cez zodpovedného zástupcu. Zodpovedný zástupca môže vykonávať funkciu vo viacerých ako jednej prevádzkarni (§ 11 ods. 5 živnostenského zákona) s možnosťou výnimky udelenej živnostenským úradom. Je otázne, ako ochotný bude živnostenský úrad udeľovať výnimky v prípade veľkého počtu spravovaných spoločností.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Živnosť spočívajúca v tom, že právnická osoba bude konať ako štatutárny orgán nezodpovedá povahe inštitútu štatutárneho orgánu. Podnikateľ – právnická osoba koná sama prostredníctvom svojho štatutárneho orgánu, resp. osoby, ktorá preberá postavenie štatutárneho orgánu (likvidátor, správca v konkurze a pod.). Takéto konanie vyplýva zo zmluvy o zriadení právnickej osoby, zakladacej listiny, alebo zákona. Výkon člena štatutárneho orgánu je osobný. Obchodné vedenie, rovnako ako inú činnosť štatutárneho orgánu nie je možné previesť na tretiu osobu a tretiu osobu nemožno poveriť jej výkonom v mene člena štatutárneho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otázne, ako „osobný“ je výkon člena štatutárneho orgánu profesionálnou právnickou osobou, ktorá ju vykonáva pre neurčitý počet obchodný spoločností.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sa môže aplikovať iba na štatutárne orgány v.o.s, k.s. a j.s.a.. Je teda otázne, aký má praktický dosah na zamedzenie prania špinavých peňazí vzhľadom na počty týchto spoločností v SR a do akej miery splní uvedené ustanovenie požiadavky čl. 47 ods. 2 smernice (EÚ) 2015/849, keďže v živnostenskom zákone nie je stanovený žiadny kontrolný mechanizmus na plnenie tejto povinnosti právnických osôb, napríklad ani pri procese získania živnostenského oprávnenia.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bol upravený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Navrhujeme precizovať požiadavku na získanie mena a priezviska osôb zastávajúcich vrcholové riadiace pozície v súlade s požiadavkou MONEYVAL (odporúčanie FATF č. 10.9b). Zároveň odporúčame v súvislosti so zmenou v § 7 ods. 1 písm. b) upraviť aj § 8 ods. 1 písm. 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dôvodovej správy vyplýva, že účelom doplnenia právnej úpravy v § 7 ods. 1 písm. b) zákona o AML o povinnosť získať mená a priezviská osôb, ktoré zastávajú funkcie v riadiacom orgáne právnickej osoby a združenia majetku, je naplniť požiadavku MONEYVAL (zosúladenie s odporúčaním FATF č. 10.9b), a to „získanie mien všetkých osôb zastávajúcich vrcholové riadiace pozície (napr. vrcholoví riaditelia)“, a teda nielen osôb, ktoré zastávajú funkcie v riadiacom orgáne.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ustanovenia § 8 zákona č. 297/2008 Z.z. by bola nad rámec požiadavky FATF, ktorá vyžaduje v rámci identifikácie zistenie mena a priezviska osôb, ktoré majú funkciu vo vyššom vedení a to na účely ustálenia právomocí, ktorými sa daná právnická osoba ovláda a zaväzuje. Z tohto dôvodu bolo ustanovenie § 7 ods. 1 písm. b) doplnené o zistenie  mena a priezviska osôb, ktoré zastávajú funkcie v riadiacom orgáne právnickej osoby alebo združenia majetku. Dôvodová správa bola vo vzťahu k tomuto bodu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Navrhujeme zvážiť doplnenie aspoň jedného alternatívneho spôsobu nahlasovania neobvyklých obchodných operácií (ďalej len „NOO“).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Kým pôvodná úprava počíta s možnosťou urobiť „prvotné" hlásenie telefonicky [§ 17 ods. 2 písm. d)], keď vec neznesie odklad a následne ho doplniť „komplexným“ hlásením“ so záznamom, navrhovaná úprava už s touto možnosťou nepočíta. Uvedomujeme si, že hlásenie cez webovú aplikáciu môže byť rovnako rýchle ako telefonickou formou, máme však za to, že v záujme zachytenia, resp. nestratenia podozrivého obchodu by predmetná úprava mohla obsahovať aj alternatívu pre prípad, že hlásenie formou GoAML nie je objektívne možné napr. v dôsledku výpadku alebo celkovej nedostupnosti internetu na strane povinnej osoby, príp. prevádzkovej alebo systémovej chyby na strane GoAML. Rovnako by uvedené doplnenie zohľadňovalo realitu „občasných“ povinných osôb uvedených v § 5 ods. 3 zákona, ktoré sa nimi stávajú len pri konkrétnom obchode spĺňajúcom zákonné kritériá. Zároveň chceme pri jedinej navrhovanej možnosti nahlasovania NOO poukázať  na časový rozostup medzi účinnosťou § 17 ods. 2 (01.03.2026) a uplynutím lehoty na registráciu do systému podľa § 36d (31.08.2026), kedy možnosť nahlasovania NOO „starými“ spôsobmi už nebude možná, ale zároveň povinnej osobe ešte neuplynie lehota na registráciu.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 návrhu bola doplnená možnosť nahlasovať NOO aj inou elektronickou formou. Navrhovanú úpravu ustanovenia považujeme za dostatočnú, keďže celkový výpadok internetu považujeme za veľmi nepravdepodobný. </w:t>
              <w:br/>
            </w:r>
            <w:r>
              <w:rPr>
                <w:b w:val="off"/>
                <w:color w:val="000000"/>
                <w:rFonts w:ascii="Times New Roman" w:hAnsi="Times New Roman" w:cs="Times New Roman" w:eastAsia="Times New Roman"/>
                <w:sz w:val="24"/>
              </w:rPr>
              <w:t xml:space="preserve">Povinná osoba bude povinná sa zaregistrovať, aby bola schopná ohlasovať NOO už len na to určeným spôsobom.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8</w:t>
              <w:br/>
            </w:r>
            <w:r>
              <w:rPr>
                <w:b w:val="off"/>
                <w:color w:val="000000"/>
                <w:rFonts w:ascii="Times New Roman" w:hAnsi="Times New Roman" w:cs="Times New Roman" w:eastAsia="Times New Roman"/>
                <w:sz w:val="24"/>
              </w:rPr>
              <w:t>V § 7a navrhujeme odsek 11 upraviť takto:</w:t>
              <w:br/>
            </w:r>
            <w:r>
              <w:rPr>
                <w:b w:val="off"/>
                <w:color w:val="000000"/>
                <w:rFonts w:ascii="Times New Roman" w:hAnsi="Times New Roman" w:cs="Times New Roman" w:eastAsia="Times New Roman"/>
                <w:sz w:val="24"/>
              </w:rPr>
              <w:t>„Štatistický úrad poskytne na základe odôvodnenej žiadosti osobe, ktorá preukáže legitímny záujem, zo záznamu o konečnom užívateľovi výhod údaje zapísané v registri právnických osôb v rozsahu meno, priezvisko, mesiac a rok narodenia, štátnu príslušnosť a štát pobytu, ako aj:</w:t>
              <w:br/>
            </w:r>
            <w:r>
              <w:rPr>
                <w:b w:val="off"/>
                <w:color w:val="000000"/>
                <w:rFonts w:ascii="Times New Roman" w:hAnsi="Times New Roman" w:cs="Times New Roman" w:eastAsia="Times New Roman"/>
                <w:sz w:val="24"/>
              </w:rPr>
              <w:t>a) v prípade konečných užívateľov výhod právnických osôb údaje o povahe a rozsahu držaného podielu konečného užívateľa výhod,</w:t>
              <w:br/>
            </w:r>
            <w:r>
              <w:rPr>
                <w:b w:val="off"/>
                <w:color w:val="000000"/>
                <w:rFonts w:ascii="Times New Roman" w:hAnsi="Times New Roman" w:cs="Times New Roman" w:eastAsia="Times New Roman"/>
                <w:sz w:val="24"/>
              </w:rPr>
              <w:t>b) v prípade konečných užívateľov výhod účelovo zriadeného trustu alebo podobného právneho zoskupenia údaje o povahe podielu konečného užívateľa výhod.“.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Slovné spojenie „údaje, ktoré zakladajú postavenie konečného užívateľa výhod“ považujeme za príliš všeobecné a nereflektujúce explicitnú požiadavku článku 12 ods. 1 písm. d) a e) smernice (EÚ) 2024/1640 (6. AML smernice) na rozlíšenie medzi povahou a rozsahom podielu, čo môže viesť k interpretačným nejasnostiam. Na požiadavku zo smernice sa odvoláva aj samotná dôvodová správa k bodu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bol upravený v súlade so zásadnou pripomienkou Štatistického úradu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 xml:space="preserve">Navrhujeme doplniť možnosť okresného úradu vykonať zápis ex offo a zohľadniť v šiestej časti zákona možné porušenie povinnosti správcu zahraničného zvereneckého fondu podať návrh na zápis.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by orgány dozoru, dohľadu alebo Finančná spravodajská jednotka pri kontrole dodržiavania ustanovení zákona u povinných osôb zistili, že v obchodnom vzťahu s povinnou osobou už zahraničný zverenecký fond (ktorého správca si predmetnú povinnosť nesplnil) je, prakticky by nebolo možné ho do registra zapísať, keďže zápis je viazaný len na návrh správcu. Navyše porušenie tejto povinnosti sa podľa navrhovaného znenia nebude považovať za správny delikt.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návrhu bolo doplnené ustanovenie o správnom delikte, ak správca nezaregistruje zahraničný zverenecký fond. Uvedené doplnenie považujeme za dostatočné na to, aby bola zabezpečená registrácia správcom.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V súvislosti so zavedením nového systému GoAML a existujúcim znením § 31 zákona č. 297/2008 Z. z. a § 2 ods. 6 zákona č. 747/2004 Z. z.  odporúčame ustanoviť spôsob plnenia oznamovacej povinnosti NBS, resp. komunikačného kanála, ktorým má ohlasovať neobvyklú obchodnú operáciu, ktorú zistí pri výkone dohľadu.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prípadoch, keď NBS nevystupuje v pozícii povinnej osoby, ale orgánu dohľadu, považujeme za vhodné popri zavádzaní systému GoAML ustanoviť spôsob plnenia oznamovacej povinnosti pre NBS, nakoľko doposiaľ absentuje v právnom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Keďže sa ustanovenie § 31 zákona č. 297/2008 Z.z. vzťahuje potenciálne na viaceré subjekty, a nie len na navrhovateľa pripomienky, bude potrebné v tejto veci vykonať ďalšie kroky, ktoré sú naplánované v rámci transpozície AMLD6.</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sprievodnej dokumentácii</w:t>
              <w:br/>
            </w:r>
            <w:r>
              <w:rPr>
                <w:b w:val="off"/>
                <w:color w:val="000000"/>
                <w:rFonts w:ascii="Times New Roman" w:hAnsi="Times New Roman" w:cs="Times New Roman" w:eastAsia="Times New Roman"/>
                <w:sz w:val="24"/>
              </w:rPr>
              <w:t xml:space="preserve">Právne akty EÚ citované v sprievodnej dokumentácii (predkladacia správa, dôvodová správa, doložka vybraných vplyvov, analýza vplyvov na podnikateľské prostredie) odporúčame uvádzať v súlade s platnými Legislatívnymi pravidlami vlády SR.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 xml:space="preserve">Dovoľujeme si upozorniť, že informácia o tom, či má návrh zákona byť predmetom vnútrokomunitárneho pripomienkového konania má byť v zmysle platných Legislatívnych pravidiel vlády SR súčasťou všeobecnej časti dôvodovej správy a nie predkladacej správy.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 - bodu 3 písm. b)</w:t>
              <w:br/>
            </w:r>
            <w:r>
              <w:rPr>
                <w:b w:val="off"/>
                <w:color w:val="000000"/>
                <w:rFonts w:ascii="Times New Roman" w:hAnsi="Times New Roman" w:cs="Times New Roman" w:eastAsia="Times New Roman"/>
                <w:sz w:val="24"/>
              </w:rPr>
              <w:t xml:space="preserve">Pri úplnej citácii smernice (EÚ) 2015/849 v platnom znení odporúčame vypustiť slová „(Text s významom pre EHP)“.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	V súvislosti s predkladaným návrhom zákona, ktorým dochádza k transpozícii smernice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5.6.2015) v platnom znení, si dovoľujeme upozorniť na konanie vedené zo strany Európskej komisie voči Slovenskej republike v štádiu doplňujúceho formálneho oznámenia C(2023)7248 final pre nesprávnu transpozíciu smernice (EÚ) 2015/849 v platnom znení. Predchádzajúca novela zákona č. 297/2008 Z. z. odstránila viaceré nesprávne transpozície a nedostatky transpozície smernice (EÚ) 2015/849 v platnom znení.</w:t>
              <w:br/>
            </w:r>
            <w:r>
              <w:rPr>
                <w:b w:val="off"/>
                <w:color w:val="000000"/>
                <w:rFonts w:ascii="Times New Roman" w:hAnsi="Times New Roman" w:cs="Times New Roman" w:eastAsia="Times New Roman"/>
                <w:sz w:val="24"/>
              </w:rPr>
              <w:t>Predkladaný návrh zákona na niektorých miestach reflektuje na predmetné konanie a snaží sa odstrániť ďalšie nedostatky transpozície. Dovoľujeme si však poukázať na skutočnosť, že stále nie je odstránený nedostatok transpozície čl. 30 ods. 1, čl. 31 ods. 5, čl. 57a ods. 4 a čl. 60 ods. 1 smernice (EÚ) 2015/849 v platnom znení.  Vo vzťahu k uvedeným odporúčame vykonať úpravu a upraviť transpozíciu do ďalšieho legislatívneho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30 ods. 1 smernice (EÚ) 2015/849 je plne transponovaný v ustanovení § 10a ods. 1, ods. 3 zákona č. 297/2008 Z.z. ako aj v ustanovení § 10 ods. 5 zákona č. 297/2008 Z.z.</w:t>
              <w:br/>
            </w:r>
            <w:r>
              <w:rPr>
                <w:b w:val="off"/>
                <w:color w:val="000000"/>
                <w:rFonts w:ascii="Times New Roman" w:hAnsi="Times New Roman" w:cs="Times New Roman" w:eastAsia="Times New Roman"/>
                <w:sz w:val="24"/>
              </w:rPr>
              <w:t>Čl. 31 ods. 5 smernice (EÚ) 2015/849 je plne transponovaný v ustanovení § 10a ods. 3 zákona č. 297/2008 Z.z.</w:t>
              <w:br/>
            </w:r>
            <w:r>
              <w:rPr>
                <w:b w:val="off"/>
                <w:color w:val="000000"/>
                <w:rFonts w:ascii="Times New Roman" w:hAnsi="Times New Roman" w:cs="Times New Roman" w:eastAsia="Times New Roman"/>
                <w:sz w:val="24"/>
              </w:rPr>
              <w:t>Čl. 57a ods. 4 smernice (EÚ) 2015/849 je plne transponovaný v ustanovení § 29 zákona č. 297/2008 Z.z.</w:t>
              <w:br/>
            </w:r>
            <w:r>
              <w:rPr>
                <w:b w:val="off"/>
                <w:color w:val="000000"/>
                <w:rFonts w:ascii="Times New Roman" w:hAnsi="Times New Roman" w:cs="Times New Roman" w:eastAsia="Times New Roman"/>
                <w:sz w:val="24"/>
              </w:rPr>
              <w:t>Čl. 60 ods. 1 smernice (EÚ) 2015/849 je plne transponovaný v ustanovení § 33a zákona č. 297/2008 Z.z.</w:t>
              <w:br/>
            </w:r>
            <w:r>
              <w:rPr>
                <w:b w:val="off"/>
                <w:color w:val="000000"/>
                <w:rFonts w:ascii="Times New Roman" w:hAnsi="Times New Roman" w:cs="Times New Roman" w:eastAsia="Times New Roman"/>
                <w:sz w:val="24"/>
              </w:rPr>
              <w:t xml:space="preserve">Uvedené články smernice považujeme za úplne transponované a neprebieha vo vzťahu k nim voči Slovenskej republike žiadne konanie.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	Čl. I návrhu zákona sa zasahuje do niektorých ustanovení, ktoré sú transpozičnými opatreniami smernice Európskeho parlamentu a Rady (EÚ) 2018/843 z 30. mája 2018, ktorou sa mení smernica (EÚ) 2015/849 o predchádzaní využívaniu finančného systému na účely prania špinavých peňazí alebo financovania terorizmu a smernice 2009/138/ES a 2013/36/EÚ (Ú. v. EÚ L 156, 19.6.2018). Ide najmä o Čl. I bod 1 a 2, ktorým sa mení ustanovenie § 6a ods. 1 písm. c), bod 3, ktorým sa mení ustanovenie § 6a ods. 1 písm. d) a bod 5, ktorým sa mení ustanovenie § 10 ods. 1 písm. b). Na základe uvedeného žiadame vypracovať čiastkovú tabuľku zhody k uvedeným článkom smernice. Ak sa návrhom zákona zasahuje aj do ďalších ustanovení, ktoré sú transpozičnými opatreniami k ostatným článkom smernice (EÚ) 2018/843, je potrebné aj tieto články a transpozičné opatrenia zahrnúť do tejto čiastkovej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	Podľa predkladacej správy k predkladanému návrhu zákona, dochádza k úprave nesprávnej transpozície čl. 30 ods. 8 smernice (EÚ) 2015/849 v platnom znení. V predloženej tabuľke zhody chýba preukázanie transpozície čl. 30 ods. 8 smernice (EÚ) 2015/849 v platnom znení. Žiadame preto doplniť predloženú tabuľku zhody a preukázať transpozíciu čl. 30 ods. 8 smernice (EÚ) 2015/849 v platnom znení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2024/1640:</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(EÚ) 2024/1640 z 31. mája 2024 mechanizmoch, ktoré majú členské štáty zaviesť na predchádzanie využívaniu finančného systému na účely prania špinavých peňazí alebo financovania terorizmu, ktorou sa mení smernica (EÚ) 2019/1937 a mení a zrušuje smernica (EÚ) 2015/849 (Ú. v. EÚ L, 2024/1640, 19.6.2024)“.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2024/1640:</w:t>
              <w:br/>
            </w:r>
            <w:r>
              <w:rPr>
                <w:b w:val="off"/>
                <w:color w:val="000000"/>
                <w:rFonts w:ascii="Times New Roman" w:hAnsi="Times New Roman" w:cs="Times New Roman" w:eastAsia="Times New Roman"/>
                <w:sz w:val="24"/>
              </w:rPr>
              <w:t>2.	V pravom záhlaví tabuľky zhody žiadame uvádzať všetky relevantné právne predpisy, vrátane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2024/1640:</w:t>
              <w:br/>
            </w:r>
            <w:r>
              <w:rPr>
                <w:b w:val="off"/>
                <w:color w:val="000000"/>
                <w:rFonts w:ascii="Times New Roman" w:hAnsi="Times New Roman" w:cs="Times New Roman" w:eastAsia="Times New Roman"/>
                <w:sz w:val="24"/>
              </w:rPr>
              <w:t>3.	V šiestom stĺpci tabuľky zhody žiadame uvádzať znenie transpozičných opatrení vo svojej celistvosti,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2024/1640:</w:t>
              <w:br/>
            </w:r>
            <w:r>
              <w:rPr>
                <w:b w:val="off"/>
                <w:color w:val="000000"/>
                <w:rFonts w:ascii="Times New Roman" w:hAnsi="Times New Roman" w:cs="Times New Roman" w:eastAsia="Times New Roman"/>
                <w:sz w:val="24"/>
              </w:rPr>
              <w:t>4.	Upozorňujeme, že predkladaným návrhom zákona dochádza ku čiastočnej transpozícii smernice (EÚ) 2024/1640 do slovenského právneho poriadku. Väčšina článkov smernice nateraz transponovaná nebola, a ani predkladaným návrhom zákona sa netransponuje, čo spôsobuje nedostatok transpozície a transpozíciu je možné označiť len za čiastočnú. Na uvedené upozorňujeme najmä z dôvodu už začatého konania zo strany Európskej komisie proti Slovenskej republike v štádiu formálneho oznámenia pre neoznámenie transpozičných opatrení tejto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Ostatné články smernice majú transpozičnú lehotu 10. júl 2026, 10. júl 2027 a 10. júl 2029.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5.6.2015)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2.	V pravom záhlaví tabuľky zhody žiadame uvádzať všetky relevantné právne predpisy, vrátane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3.	V šiestom stĺpci tabuľky zhody žiadame uvádzať znenie transpozičných opatrení vo svojej celistvosti, vrátane poznámok pod čiarou. Túto pripomienku vzťahujeme na časť tabuľky zhody, v ktorej sa preukazuje transpozícia čl. 3 bodu 6, čl. 13 ods. 1, čl. 47 ods. 2, čl. 61 ods. 2 a PRÍLOHA III.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4.	Žiadame preukázať transpozíciu čl. 13 ods. 5 druhý pododsek smernice (EÚ) 2015/849 v platnom znení, pokiaľ ide o postúpenie životného poistenia.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13 ods. 5 smernice (EÚ) 2015/849 bol transponovaný do ustanovenia § 10 ods. 8 a § 8 ods. 5 zákona č. 297/2008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5.	Pri preukazovaní transpozície čl. 31 ods. 3a smernice (EÚ) 2015/849 v platnom znení je potrebné v tabuľke zhody uvádzať ako transpozičné opatrenie aj čl. III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6.	Žiadame preukázať transpozíciu čl. 33 ods. 2 smernice (EÚ) 2015/849 v platnom znení. Uvádzané transpozičné opatrenia považujeme za nesúvisiace.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33 ods. 2 smernice (EÚ) 2015/849 bol transponovaný do ustanovenia § 17 ods. 1  a § 20 ods. 2 písm. h) zákona č. 297/2008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7.	Pri preukazovaní transpozície čl. 47 ods. 2 smernice (EÚ) 2015/849 v platnom znení žiadame uvádzať ako relevantné transpozičné opatrenia aj ustanovenia platných a účinných právnych  predpisov a to pokiaľ ide o prevádzkovanie živností aj fyzickými osobami a taktiež ustanovenia týkajúce sa osvedčení na preukázanie odbornej spôsobilosti a vhodnosti osôb na výkon manažérskych funkcií. Uvedené žiadame najmä z dôvodu, že v kontexte nedostatočnej transpozície čl. 47 ods. 2 smernice (EÚ) 2015/849 v platnom znení je vedené konanie zo strany Európskej komisie. Uvedený nedostatok transpozície už bol odstránený v predchádzajúcom legislatívnom procese a preto je vhodné uvádzať v tabuľke zhody všetky relevantné transpozičné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8.	Žiadame preukázať transpozíciu PRÍLOHY III bodu 2 písm. e) smernice (EÚ) 2015/849 v platnom znení do slovenského 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súvislosti s napĺňaním štandardu FATF č. 15.1 bolo potrebné riziká z prílohy č. III uviesť priamo v zákone a nie v jeho prílohách. Z tohto dôvodu bolo zmenené ustanovenie § 20a ods. 1 zákona č. 297/2008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Žiadame prepracovať osobitnú časť dôvodovej správy k predkladanému návrhu zákona a v jednotlivých bodoch uvádzať o akú smernicu ide. Sekundárne právne akty EÚ žiadame citovať v zmysle platných Legislatívnych pravidiel vlády SR a to pokiaľ ide o ich úplnú aj skrátenú citáciu.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uviesť ako relevantný sekundárny akt EÚ aj smernicu Európskeho parlamentu a Rady (EÚ) 2024/1640 z 31. mája 2024 mechanizmoch, ktoré majú členské štáty zaviesť na predchádzanie využívaniu finančného systému na účely prania špinavých peňazí alebo financovania terorizmu, ktorou sa mení smernica (EÚ) 2019/1937 a mení a zrušuje smernica (EÚ) 2015/849 (Ú. v. EÚ L, 2024/1640, 19.6.2024), vrátane jej gestora.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4 písm. b) doložky zlučiteľnosti žiadame uviesť aj konanie vedené zo strany Európskej komisie proti Slovenskej republike v štádiu formálneho oznámenia pre neoznámenie transpozičných opatrení smernice (EÚ)  2024/1640.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žiadame uvádzať citácie smerníc v prípade ich úplných citácií aj s publikačným zdrojom a v prípade smernice (EÚ) 2015/849 v platnom znení aj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w:t>
              <w:br/>
            </w:r>
            <w:r>
              <w:rPr>
                <w:b w:val="off"/>
                <w:color w:val="000000"/>
                <w:rFonts w:ascii="Times New Roman" w:hAnsi="Times New Roman" w:cs="Times New Roman" w:eastAsia="Times New Roman"/>
                <w:sz w:val="24"/>
              </w:rPr>
              <w:t>Navrhujeme zmenu ustanovenia § 7 ods. 1 písm. b)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pri právnickej osobe alebo združení majetku zistenie názvu, adresy sídla, adresy skutočného miesta výkonu podnikateľskej činnosti, ak je odlišná od adresy sídla, identifikačného čísla, označenia úradného registra alebo inej úradnej evidencie, v ktorej je právnická osoba alebo združenie majetku zapísané, číslo zápisu do tohto registra alebo evidencie, a identifikácia fyzickej osoby, ktorá je oprávnená konať v mene právnickej osoby alebo združenia majetku, ako aj zistenie mena a priezviska osôb, ktoré zastávajú funkcie v najvyššom riadiacom orgáne právnickej osoby alebo združenia majetku, teda v štatutárnom orgáne“.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nasledovne upraviť znenie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úpravy je zosúladenie rozsahu identifikácie pri právnických osobách a združeniach majetku s odporúčaním FATF č. 10.9b), ktoré požaduje získanie mien relevantných osôb, ktoré zastávajú funkciu vo vrcholovom vedení spoločnosti na najvyššom stupni a ktoré priamo ovplyvňujú smerovanie danej spoločnosti. Výborom Moneyval bola táto požiadavka špecifikovaná o „získanie mien všetkých osôb zastávajúcich vrcholové riadiace pozície (napr. vrcholoví riaditelia)“. Doterajšia úprava vyžadujúca iba identifikáciu osoby oprávnenej konať v mene právnickej osoby, nespĺňala túto požiadavku. Z tohto dôvodu bola zákonná úprava doplnená o povinnosť získať mená a priezviská osôb, ktoré zastávajú funkcie v najvyššom riadiacom orgáne právnickej osoby a združenia majetku, ktorým je štatutárny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textáciu tak, aby bolo bez akýchkoľvek pochybností zrejmé, kto sa považuje za riadiaci orgán spoločnosti a ktoré osoby v ňom zastávajú funkcie. Najvhodnejšie sa javí doplniť, že ide o vrcholový riadiaci orgán, ktorým je v právnom prostredí Slovenskej republiky štatutárny orgán. Máme za to, že zo zákona musí byť zrejmé do akej úrovne je potrebné skúmať riadenie príslušnej spoločnosti. Zároveň účelom ustanovenia je, aby povinná osoba poznala osoby, ktoré v rámci spoločnosti rozhodujú o jej smerovaní, čo nebudú plniť všetky osoby, ktoré majú manažérske pozície, ale len tie osoby, ktoré môžu priamo ovplyvňovať smerovanie príslušnej spoločnosti, čo vždy spĺňajú výlučne členovia štatutárnych orgánov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vysvetľujúcich poznámok k odporúčaniu FATF č. 10, bod 5 písm. a), ods. ii):</w:t>
              <w:br/>
            </w:r>
            <w:r>
              <w:rPr>
                <w:b w:val="off"/>
                <w:color w:val="000000"/>
                <w:rFonts w:ascii="Times New Roman" w:hAnsi="Times New Roman" w:cs="Times New Roman" w:eastAsia="Times New Roman"/>
                <w:sz w:val="24"/>
              </w:rPr>
              <w:t>„The powers that regulate and bind the legal person or arrangement (e.g. the memorandum and articles of association of a company), as well as the names of the relevant persons having a senior management position in the legal person or arrangement (e.g. senior managing directors in a company, trustee(s) of a trust).“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smernica č. 2015/849 v aktuálnom znení ako aj vyššie uvedené odporúčanie FATF poskytuje členským štátom možnosť prispôsobiť a implementovať ustanovenia smernice tak, aby došlo k získaniu informácií o relevantných osobách, ktoré zastávajú pozíciu na najvyšších úrovniach managementu spoločnosti a zároveň tak, aby bolo predmetné ustanovenie vykonateľné v podmienkach príslušného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podmienkach Slovenskej republiky je v prípade právnických osôb vrcholovým riadiacim orgánom štatutárny orgán, ktorého členovia majú väčšinou aj oprávnenie konať a podpisovať za spoločnosť. Uvedené však neznamená, že predmetné oprávnenie musia mať všetci členovia štatutárneho orgánu, oprávnenie konať za spoločnosť môže mať napríklad len predseda predstavenstva spolu s podpredsedom predstavenstva (ktorých môže byť viac). Zároveň, môže nastať situácia, že osoby, ktoré sú oprávnené podpisovať za danú právnickú osobu, konajú len na základe poverenia od štatutárneho orgánu danej právnickej osoby ako vrcholového manažmentu a teda nemajú rozhodovaciu právomoc. Takýmito osobami sú napríklad splnomocnenci, je však zrejmé, že splnomocnenci nerozhodujú o smerovaní spoločnosti, nie sú vrcholoví manažéri spoločnosti a určite nie sú členmi štatutárneho orgánu spoločnosti. Ak ide o realitu v právnom prostredí Slovenskej republiky, mali by byť za vrcholových manažérov a najvyšší orgán právnickej osoby považovaní členovia štatutárneho orgánu. Tieto osoby je potrebné považovať za relevantné v súlade s odporúčaním č. 10 FATF.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by sme ponechali navrhované znenie, došlo by k situácii, kedy by nebolo zrejmé do akej miery je potrebné skúmať a zisťovať riadiacu štruktúru spoločnosti. V realite a zvonka je možné posúdiť, len to, kto je štatutárnym orgánom spoločnosti, nie to, kto má aké rozhodovacie kompetencie v rámci spoločnosti (pričom kompetencie vôbec nemusia znamenať aj možnosť ovplyvniť smerovanie spoločnosti). Zároveň by takáto úprava bola administratívne náročná, nakoľko by vyžadovala neprimerané skúmanie vnútorného nastavenia príslušnej spoločnosti. Ak napríklad spoločnosť zriadi riadiaci orgán, ktorý je však založený len za účelom riadenia konkrétnej podnikateľskej aktivity danej spoločnosti a neovplyvňuje jej chod ani smerovanie, nie je tento orgán relevantný z pohľadu účelu zákona a smernice. Predmetné je však možné s istotou zistiť len podrobným skúmaním štruktúry a rozdelenia kompetencií v rámci spoločnosti a zároveň, tento orgán bude vždy podriadený štatutárnemu orgánu spoločnosti. Za relevantný orgán je preto potrebné považovať len najvyšší orgán a vrcholový orgán spoločnosti, ktorým je v prípade právnických osôb založených v súlade s právom Slovenskej republiky štatutárny orgán spoločnosti.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bola upravená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w:t>
              <w:br/>
            </w:r>
            <w:r>
              <w:rPr>
                <w:b w:val="off"/>
                <w:color w:val="000000"/>
                <w:rFonts w:ascii="Times New Roman" w:hAnsi="Times New Roman" w:cs="Times New Roman" w:eastAsia="Times New Roman"/>
                <w:sz w:val="24"/>
              </w:rPr>
              <w:t xml:space="preserve">Navrhujeme preformulovať ustanovenie § 10 ods. 1 písm. b)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„Overenie informácií týkajúcich sa identifikácie konečného užívateľa výhod povinná osoba vykonáva ich získaním zo spoľahlivých zdrojov uplatňovaním prístupu založeného na hodnotení rizík podľa § 20a, pričom je oprávnená využiť nezávislé a spoľahlivé informácie, údaje získané z registra právnických osôb, podnikateľov a orgánov verejnej moci 41c) (ďalej len „register právnických osôb“), ako aj údaje získané od samotného klienta. V prípadoch, keď rizikové hodnotenie podľa § 20a nepreukáže zvýšené riziko a povinná osoba vykonala riadnu starostlivosť (due diligence), môžu sa za spoľahlivý zdroj informácií považovať aj interné dokumenty klienta (napríklad zakladateľské listiny, štruktúra akcionárov, rozhodnutia valného zhromaždenia) alebo čestné vyhlásenie klienta, ak neexistujú dôvody na pochybnosti o pravdivosti týchto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ukladá povinnosť overovať údaje o konečnom užívateľovi výhod zo „spoľahlivých zdrojov“, avšak pojem „spoľahlivý zdroj“ nie je v zákone ani v dôvodovej správe bližšie vysvetlený. To vedie k nejasnostiam a rozdielnym výkladom medzi povinnými osobami, čo v praxi zvyšuje administratívnu záťaž pre podnikateľov.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čl. 30 ods. 8 smernice (EÚ) 2015/849 a odporúčaním FATF č. 10 (v zmysle vysvetľujúcich poznámok k odporúčaniu FATF č. 10, bod 5 písm. a), ods. i)) sa od povinných osôb vyžaduje, aby sa pri starostlivosti o klienta nespoliehali výlučne na údaje z registra, ale overovali ich aj z iného spoľahlivého, nezávislého zdroja – napríklad z iného verejného registra alebo prostredníctvom potvrdenia či KYC/due diligence formulára od klienta. Účelom týchto pravidiel však nie je spochybniť register ako zdroj informácií, ale podporiť viaczdrojové overenie.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žiadame, aby bol do dôvodovej správy doplnený bližší výklad pojmu „spoľahlivý zdroj“ v súlade so smernicou a štandardmi FATF, pričom by malo byť zrejmé, že za spoľahlivé zdroje sa považujú najmä registre a evidencie vedené orgánmi verejnej moci (napr. register právnických osôb, obchodný register, register partnerov verejného sektora), ako aj registre členských štátov EÚ alebo štátov OECD, ak obsahujú rovnocenné údaje. Takto doplnený výklad prispeje k jednotnému uplatňovaniu zákona, zníženiu administratívnej záťaže a zachovaniu súladu s cieľom smernice a odporúčaním FATF č. 10.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bola upravená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w:t>
              <w:br/>
            </w:r>
            <w:r>
              <w:rPr>
                <w:b w:val="off"/>
                <w:color w:val="000000"/>
                <w:rFonts w:ascii="Times New Roman" w:hAnsi="Times New Roman" w:cs="Times New Roman" w:eastAsia="Times New Roman"/>
                <w:sz w:val="24"/>
              </w:rPr>
              <w:t>Navrhujeme vypustiť navrhované nové znenie § 10 ods. 9 a zachovať pôvodné znenie, doplnené o explicitné vyjadrenie „možnosti“ nevykonať základnú starostlivosť,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Povinná osoba môže nevykonať základnú starostlivosť vo vzťahu ku klientovi podľa odseku 2 písm. c),</w:t>
              <w:br/>
            </w:r>
            <w:r>
              <w:rPr>
                <w:b w:val="off"/>
                <w:color w:val="000000"/>
                <w:rFonts w:ascii="Times New Roman" w:hAnsi="Times New Roman" w:cs="Times New Roman" w:eastAsia="Times New Roman"/>
                <w:sz w:val="24"/>
              </w:rPr>
              <w:t>a) ak by jej vykonaním v celom rozsahu alebo len jej časti mohlo dôjsť k zmareniu alebo ohrozeniu spracovania neobvyklej obchodnej operácie, alebo</w:t>
              <w:br/>
            </w:r>
            <w:r>
              <w:rPr>
                <w:b w:val="off"/>
                <w:color w:val="000000"/>
                <w:rFonts w:ascii="Times New Roman" w:hAnsi="Times New Roman" w:cs="Times New Roman" w:eastAsia="Times New Roman"/>
                <w:sz w:val="24"/>
              </w:rPr>
              <w:t>b) ak jej Finančná spravodajská jednotka dá písomný pokyn nevykonať základnú starostlivosť vo vzťahu ku klientovi v celom rozsahu alebo len jej časti z dôvodu, že jej vykonaním by mohlo dôjsť k zmareniu alebo ohrozeniu spracovania neobvyklej obchodnej operácie.“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nové znenie § 10 ods. 9 sa odchyľuje od pôvodného účelu tohto ustanovenia. Pôvodný text stanovoval, že povinná osoba nevykoná základnú starostlivosť, ak by jej vykonanie mohlo zmariť alebo ohroziť spracovanie neobvyklej obchodnej operácie. Takáto formulácia mala jasný preventívny cieľ – chrániť priebeh spracovania podozrivých obchodov a zabrániť ich odhaleniu klientovi.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nové znenie tento princíp mení, pretože z povinnosti nevykonať základnú starostlivosť robí povinnosť postup spätne zdôvodňovať. Povinná osoba by tak musela vysvetľovať, na základe čoho podozrenie vzniklo, čo ide proti pôvodnému zmyslu ustanovenia a zároveň zvyšuje administratívnu záťaž. Zachovanie pôvodného znenia s doplnením slova „môže“ umožní povinným osobám postupovať primerane podľa okolností a zároveň zachová preventívnu funkciu tohto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bola upravená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 – doplnenie nového odseku (9) (doterajší odsek 9 sa primerane prečísluje)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Ak je na účely splnenia povinností podľa tohto zákona potrebné zabezpečiť dokumenty alebo údaje zo zahraničia, možno lehotu na ich predloženie primerane predĺžiť. Nesplnenie povinnosti z dôvodov objektívnej nemožnosti ich včasného získania nezakladá porušenie povinnosti klienta.“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zohľadňuje prípady, keď je na overenie údajov alebo splnenie povinností potrebné získať dokumenty zo zahraničia – napríklad v prípade, že medzi vlastníkmi alebo ovládajúcimi osobami klienta figuruje zahraničný subjekt alebo fyzická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Získanie takýchto dokumentov môže byť časovo a administratívne náročné, a často závisí od procesov zahraničných orgánov. Zákon by preto mal umožniť primerané predĺženie lehoty a jasne ustanoviť, že objektívna nemožnosť včasného zabezpečenia podkladov nemá byť automaticky považovaná za porušenie povinnosti. Takéto riešenie zaisťuje spravodlivejší prístup a predchádza neprimeranému postihovaniu podnikateľov, ktorí konajú v dobrej viere a riadne plnia svoje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prerokovaní predmetnej pripomienky na rozporovom konaní upustil pripomienkujúci subjekt od pripomienky ako od zásadnej.</w:t>
              <w:br/>
            </w:r>
            <w:r>
              <w:rPr>
                <w:b w:val="off"/>
                <w:color w:val="000000"/>
                <w:rFonts w:ascii="Times New Roman" w:hAnsi="Times New Roman" w:cs="Times New Roman" w:eastAsia="Times New Roman"/>
                <w:sz w:val="24"/>
              </w:rPr>
              <w:t>Predmetom pripomienky je úprava vzťahov medzi povinnou osobou a klientom pri vykonávaní starostlivosti, konkrétne predlžovania  lehoty na predloženie dokumentov od klienta. Keďže tieto lehoty určuje klientovi povinná osoba a nie sú nijakým spôsobom limitované zákonom, nepovažujeme za vhodné dĺžku týchto lehôt akokoľvek regulovať.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10 – doplnenie nového odseku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Povinná osoba pri vykonávaní starostlivosti o klienta prihliada na údaje a dokumenty, ktoré sú dostupné vo verejných registroch alebo ktoré už predtým získala v rámci starostlivosti o tohto klienta, a nevyžaduje ich opätovné predloženie, ak sú stále platné a nedošlo k podstatnej zmene.“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zosúladenie s princípmi digitalizácie a byrokratickej jednoduchosti podľa zásady „once only“ uplatňovanej v právnom rámci EÚ. Ustanovenie by zabránilo zbytočnému opakovaniu požiadaviek voči klientom a znížilo administratívnu záťaž pri opakovanej identifikácii a overovaní údajov, najmä ak sú tieto informácie už overené alebo dostupné v oficiálnych registroch.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prerokovaní predmetnej pripomienky na rozporovom konaní upustil pripomienkujúci subjekt od pripomienky ako od zásadnej.</w:t>
              <w:br/>
            </w:r>
            <w:r>
              <w:rPr>
                <w:b w:val="off"/>
                <w:color w:val="000000"/>
                <w:rFonts w:ascii="Times New Roman" w:hAnsi="Times New Roman" w:cs="Times New Roman" w:eastAsia="Times New Roman"/>
                <w:sz w:val="24"/>
              </w:rPr>
              <w:t>Predmetom pripomienky je úprava vzťahov medzi povinnou osobou a klientom pri vykonávaní starostlivosti, konkrétne získavanie dokumentov od klienta pri vykonávaní starostlivosti.</w:t>
              <w:br/>
            </w:r>
            <w:r>
              <w:rPr>
                <w:b w:val="off"/>
                <w:color w:val="000000"/>
                <w:rFonts w:ascii="Times New Roman" w:hAnsi="Times New Roman" w:cs="Times New Roman" w:eastAsia="Times New Roman"/>
                <w:sz w:val="24"/>
              </w:rPr>
              <w:t>Vyžadovanie si dokumentov od klienta a ich poskytovanie klientom je výlučná záležitosť vzťahu medzi nimi a nepovažujeme za potrebné do tohto vzťahu vstupovať  a regulovať ho zmenou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w:t>
              <w:br/>
            </w:r>
            <w:r>
              <w:rPr>
                <w:b w:val="off"/>
                <w:color w:val="000000"/>
                <w:rFonts w:ascii="Times New Roman" w:hAnsi="Times New Roman" w:cs="Times New Roman" w:eastAsia="Times New Roman"/>
                <w:sz w:val="24"/>
              </w:rPr>
              <w:t>V §17 odsek 2 navrhujeme, aby zostala povinným osobám ponechaná možnosť popri elektronickom ohlasovaní cez informačný systém Finančnej spravodajskej jednotky (goAML) aj minimálne jedna alternatívna forma ohlásenia, napríklad telefonicky alebo písomne, ktorá by slúžila ako záložný mechanizmus v prípade technických problémov informačného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AML ukladá povinným osobám povinnosť ohlásiť neobvyklú obchodnú operáciu bez zbytočného odkladu. V prípade technického výpadku systému goAML (napr. softvérový problém, kybernetický incident) môže dôjsť k znemožneniu splnenia tejto zákonnej povinnosti.</w:t>
              <w:br/>
            </w:r>
            <w:r>
              <w:rPr>
                <w:b w:val="off"/>
                <w:color w:val="000000"/>
                <w:rFonts w:ascii="Times New Roman" w:hAnsi="Times New Roman" w:cs="Times New Roman" w:eastAsia="Times New Roman"/>
                <w:sz w:val="24"/>
              </w:rPr>
              <w:t>Zachovanie aspoň jednej alternatívnej formy hlásenia (napr. telefonicky s následným doplnením hlásenia elektronicky) by umožnilo povinnej osobe konať bezodkladne aj v krízovej situácii, čím by sa zabezpečila kontinuita plnenia zákonných povinností.</w:t>
              <w:br/>
            </w:r>
            <w:r>
              <w:rPr>
                <w:b w:val="off"/>
                <w:color w:val="000000"/>
                <w:rFonts w:ascii="Times New Roman" w:hAnsi="Times New Roman" w:cs="Times New Roman" w:eastAsia="Times New Roman"/>
                <w:sz w:val="24"/>
              </w:rPr>
              <w:t>Navrhujeme preto znenie § 17ods. upraviť tak, aby sa ohlasovanie primárne vykonávalo prostredníctvom informačného systému Finančnej spravodajskej jednotky, s výnimkou prípadov, keď je tento systém dočasne nedostupný, pričom v takýchto prípadoch by bolo možné ohlásenie vykonať alternatívnou formou (napr. telefonicky alebo písomne).</w:t>
              <w:br/>
            </w:r>
            <w:r>
              <w:rPr>
                <w:b w:val="off"/>
                <w:color w:val="000000"/>
                <w:rFonts w:ascii="Times New Roman" w:hAnsi="Times New Roman" w:cs="Times New Roman" w:eastAsia="Times New Roman"/>
                <w:sz w:val="24"/>
              </w:rPr>
              <w:t>Navrhovaná zmena by mala za cieľ zvýšiť právnu istotu povinných osôb a zároveň zabezpečiť efektívne fungovanie systému ohlasovania NOO aj v prípade technických výpadkov.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 písm. b)</w:t>
              <w:br/>
            </w:r>
            <w:r>
              <w:rPr>
                <w:b w:val="off"/>
                <w:color w:val="000000"/>
                <w:rFonts w:ascii="Times New Roman" w:hAnsi="Times New Roman" w:cs="Times New Roman" w:eastAsia="Times New Roman"/>
                <w:sz w:val="24"/>
              </w:rPr>
              <w:t>Navrhujeme spresniť pojem „riadiaci orgán“ v záujme právnej istoty. Podľa § 6a zákona sa rozlišuje medzi štatutárnym orgánom, riadiacim orgánom, dozorným orgánom a kontrolným orgánom. Riadiaci orgán teda predstavuje odlišný orgán od štatutárneho orgánu. Napríklad zákon č. 566/2001 Z. z. používa pojem riadiaci orgán vo vzťahu k štatutárnemu orgánu a k orgánu, ktorý má kontrolu nad manažmentom, zatiaľ čo Obchodný zákonník používa pojem riadiaca pôsobnosť. Vzhľadom na túto nejednotnosť pojmov je nová povinnosť zisťovania mena a priezviska osôb zastávajúcich funkcie v „riadiacom orgáne“ neurčitá a môže spôsobovať aplikačné nejasnosti.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bola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Navrhujeme vypustiť časť vety „existuje dôvod domnievať sa, že ďalšie uplatňovanie opatrení základnej starostlivosti vo vzťahu ku klientovi môže odhaliť podozrenie povinnej osoby“.</w:t>
              <w:br/>
            </w:r>
            <w:r>
              <w:rPr>
                <w:b w:val="off"/>
                <w:color w:val="000000"/>
                <w:rFonts w:ascii="Times New Roman" w:hAnsi="Times New Roman" w:cs="Times New Roman" w:eastAsia="Times New Roman"/>
                <w:sz w:val="24"/>
              </w:rPr>
              <w:t>Už prvá časť ustanovenia obsahuje podmienku existencie podozrenia povinnej osoby. Opätovné vyžadovanie vyhodnotenia ďalších dôvodov, ktoré môžu alebo nemusia odhaliť podozrenie, je nadbytočné a kladie na povinnú osobu neprimerané dôkazné a rozhodovacie bremeno. Takéto dôvody sa často preukážu až následne, preto ich nemožno požadovať v čase rozhodovania o prerušení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Uvedenú časť vety považujeme za podstatnú, keďže nepostačuje len podozrenie z NOO, ale aj možnosť, že bude podozrenie odhalené.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24c ods. 6</w:t>
              <w:br/>
            </w:r>
            <w:r>
              <w:rPr>
                <w:b w:val="off"/>
                <w:color w:val="000000"/>
                <w:rFonts w:ascii="Times New Roman" w:hAnsi="Times New Roman" w:cs="Times New Roman" w:eastAsia="Times New Roman"/>
                <w:sz w:val="24"/>
              </w:rPr>
              <w:t>Navrhujeme spresniť, kto je povinný podať návrh na zápis údajov o zahraničnom zvereneckom združení z dôvodu uzatvorenia obchodného vzťahu s povinnou osobou, keďže z navrhovaného znenia nie je jednoznačné, či ide o povinnú osobu alebo o samotného zástupcu zahraničného zvereneckého združenia.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odseku 4 "(4)	Návrh na zápis údajov podľa odseku 3 podáva správca zahraničného zvereneckého fondu na ktoromkoľvek okresnom úrade v sídle kraja.".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36d</w:t>
              <w:br/>
            </w:r>
            <w:r>
              <w:rPr>
                <w:b w:val="off"/>
                <w:color w:val="000000"/>
                <w:rFonts w:ascii="Times New Roman" w:hAnsi="Times New Roman" w:cs="Times New Roman" w:eastAsia="Times New Roman"/>
                <w:sz w:val="24"/>
              </w:rPr>
              <w:t>Navrhujeme predĺžiť lehotu na registráciu povinných osôb do 31. októbra 2026, aby sa zabezpečil dostatočný čas na technickú a administratívnu implementáciu systému a na informovanie všetkých povinných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Navrhovanú lehotu považujeme za dostatočnú. Návrh si nevyžiada náročnú technickú ani administratívnu implementáciu systému.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 § 24c ods. 2</w:t>
              <w:br/>
            </w:r>
            <w:r>
              <w:rPr>
                <w:b w:val="off"/>
                <w:color w:val="000000"/>
                <w:rFonts w:ascii="Times New Roman" w:hAnsi="Times New Roman" w:cs="Times New Roman" w:eastAsia="Times New Roman"/>
                <w:sz w:val="24"/>
              </w:rPr>
              <w:t>Navrhujeme úvodnú vetu ustanovenia § 24c ods. 2 v znení: „Ak odsek 9 neustanovuje inak, údaje o zahraničnom zvereneckom fonde sa do registra zahraničných zvereneckých fondov zapisujú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časť vety bola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 § 24c ods. 8</w:t>
              <w:br/>
            </w:r>
            <w:r>
              <w:rPr>
                <w:b w:val="off"/>
                <w:color w:val="000000"/>
                <w:rFonts w:ascii="Times New Roman" w:hAnsi="Times New Roman" w:cs="Times New Roman" w:eastAsia="Times New Roman"/>
                <w:sz w:val="24"/>
              </w:rPr>
              <w:t>Navrhujeme v ustanovení § 24c ods. 8 za slovo „vykonal“ vložiť 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 § 9</w:t>
              <w:br/>
            </w:r>
            <w:r>
              <w:rPr>
                <w:b w:val="off"/>
                <w:color w:val="000000"/>
                <w:rFonts w:ascii="Times New Roman" w:hAnsi="Times New Roman" w:cs="Times New Roman" w:eastAsia="Times New Roman"/>
                <w:sz w:val="24"/>
              </w:rPr>
              <w:t>Navrhujeme v ustanovení § 9 v úvodnej vete za slovo „bezúhonný“ vložiť 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8 § 7a ods. 11</w:t>
              <w:br/>
            </w:r>
            <w:r>
              <w:rPr>
                <w:b w:val="off"/>
                <w:color w:val="000000"/>
                <w:rFonts w:ascii="Times New Roman" w:hAnsi="Times New Roman" w:cs="Times New Roman" w:eastAsia="Times New Roman"/>
                <w:sz w:val="24"/>
              </w:rPr>
              <w:t>Navrhujeme v ustanovení § 7a ods. 11 za slovo „záujem“ vložiť 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bol upravený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24c</w:t>
              <w:br/>
            </w:r>
            <w:r>
              <w:rPr>
                <w:b w:val="off"/>
                <w:color w:val="000000"/>
                <w:rFonts w:ascii="Times New Roman" w:hAnsi="Times New Roman" w:cs="Times New Roman" w:eastAsia="Times New Roman"/>
                <w:sz w:val="24"/>
              </w:rPr>
              <w:t>K článku I, bod 11 - § 24c</w:t>
              <w:br/>
            </w:r>
            <w:r>
              <w:rPr>
                <w:b w:val="off"/>
                <w:color w:val="000000"/>
                <w:rFonts w:ascii="Times New Roman" w:hAnsi="Times New Roman" w:cs="Times New Roman" w:eastAsia="Times New Roman"/>
                <w:sz w:val="24"/>
              </w:rPr>
              <w:t>V článku I, bod 11 sa navrhuje zaviesť nový § 24c „Register zahraničných zvereneckých fondov“. V § 24c ods. 2 sa uvádza, cit:</w:t>
              <w:br/>
            </w:r>
            <w:r>
              <w:rPr>
                <w:b w:val="off"/>
                <w:color w:val="000000"/>
                <w:rFonts w:ascii="Times New Roman" w:hAnsi="Times New Roman" w:cs="Times New Roman" w:eastAsia="Times New Roman"/>
                <w:sz w:val="24"/>
              </w:rPr>
              <w:t>„(2) Údaje o zahraničnom zvereneckom fonde sa do registra zahraničných zvereneckých fondov zapisujú, ak odsek 9 neustanovuje inak, a ak</w:t>
              <w:br/>
            </w:r>
            <w:r>
              <w:rPr>
                <w:b w:val="off"/>
                <w:color w:val="000000"/>
                <w:rFonts w:ascii="Times New Roman" w:hAnsi="Times New Roman" w:cs="Times New Roman" w:eastAsia="Times New Roman"/>
                <w:sz w:val="24"/>
              </w:rPr>
              <w:t>a)	má správca zahraničného zvereneckého fondu adresu trvalého pobytu, iného pobytu alebo sídlo na území Slovenskej republiky,</w:t>
              <w:br/>
            </w:r>
            <w:r>
              <w:rPr>
                <w:b w:val="off"/>
                <w:color w:val="000000"/>
                <w:rFonts w:ascii="Times New Roman" w:hAnsi="Times New Roman" w:cs="Times New Roman" w:eastAsia="Times New Roman"/>
                <w:sz w:val="24"/>
              </w:rPr>
              <w:t>b)	správca zahraničného zvereneckého fondu plánuje nadviazať obchodný vzťah v mene zahraničného zvereneckého fondu s povinnou osobou alebo</w:t>
              <w:br/>
            </w:r>
            <w:r>
              <w:rPr>
                <w:b w:val="off"/>
                <w:color w:val="000000"/>
                <w:rFonts w:ascii="Times New Roman" w:hAnsi="Times New Roman" w:cs="Times New Roman" w:eastAsia="Times New Roman"/>
                <w:sz w:val="24"/>
              </w:rPr>
              <w:t>c)	správca zahraničného zvereneckého fondu plánuje nadobudnúť nehnuteľnosť v prospech zahraničného zvereneckého fondu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24c ods. 6 sa uvádza, cit:</w:t>
              <w:br/>
            </w:r>
            <w:r>
              <w:rPr>
                <w:b w:val="off"/>
                <w:color w:val="000000"/>
                <w:rFonts w:ascii="Times New Roman" w:hAnsi="Times New Roman" w:cs="Times New Roman" w:eastAsia="Times New Roman"/>
                <w:sz w:val="24"/>
              </w:rPr>
              <w:t>„(6) Návrh na zápis údajov podľa odseku 3 z dôvodu podľa odseku 2 písm. b) sa podáva pred nadviazaním obchodného vzťahu a návrh na zápis údajov podľa odseku 3 z dôvodu podľa odseku 2 písm. c) sa podáva pred uzatvorením zmluvy o nadobudnutí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registra zahraničných zvereneckých fondov chápeme vzhľadom na povinnosť transponovať ustanovenia smernice, avšak navrhli by sme objasnenie znenia „nadobudnúť nehnuteľnosť v prospech zahraničného zvereneckého fondu“. Považujeme za potrebné uviesť, že v praxi okresných úradov, katastrálnych odborov sa vyskytli prípady, kde nadobúdateľom nehnuteľnosti mal byť zahraničný zverenecký fond, konkrétne napr. Svěřenský fond, ktorý pozná právna úprava v Českej republike. Vo vzťahu k možnosti nadobudnúť nehnuteľnosti v prospech zahraničného zvereneckého fondu sa Úrad obrátil na Ministerstvo spravodlivosti SR ešte v roku 2017 a podporne na základe jeho stanoviska boli okresné úrady, katastrálne odbory inštruované tak, že slovenský právny poriadok nepozná inštitút zvereneckého fondu, a preto nie je možné nadobudnúť nehnuteľnosti v Slovenskej republike v prospech zahraničného zvereneckého fondu. V tejto súvislosti žiadame o objasnenie znenia, ktoré sa navrhuje doplniť do zákona č. 297/2008 Z. z., t. j. „nadobudnutie nehnuteľnosti v prospech zahraničného zvereneckého fondu“, keďže právny poriadok SR nepozná inštitút zvereneckého fondu a za súčasnej právnej úpravy nie je možné nadobudnúť nehnuteľný majetok v jeho prospech.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upravená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11 [nový § 24c ods. 3 písm. a)]</w:t>
              <w:br/>
            </w:r>
            <w:r>
              <w:rPr>
                <w:b w:val="off"/>
                <w:color w:val="000000"/>
                <w:rFonts w:ascii="Times New Roman" w:hAnsi="Times New Roman" w:cs="Times New Roman" w:eastAsia="Times New Roman"/>
                <w:sz w:val="24"/>
              </w:rPr>
              <w:t>Žiadame  slovo "sídlo" nahradiť slovami "adresa miesta, z ktorého je zahraničný zverenecký fond spravovaný".</w:t>
              <w:br/>
            </w:r>
            <w:r>
              <w:rPr>
                <w:b w:val="off"/>
                <w:color w:val="000000"/>
                <w:rFonts w:ascii="Times New Roman" w:hAnsi="Times New Roman" w:cs="Times New Roman" w:eastAsia="Times New Roman"/>
                <w:sz w:val="24"/>
              </w:rPr>
              <w:t>Odôvodnenie: Zverenecký fond nemá podľa dostupných právnych informácií sídlo a tiež nie je ani právnickou osobou. Podľa  Občianskeho zákonníka a Obchodného zákonníka má sídlo len právnická osoba. Ako údaj slúžiaci na identifikáciu zapisovaného zahraničného zvereneckého fondu je relevantným údajom práve navrhovaný údaj.</w:t>
              <w:br/>
            </w:r>
            <w:r>
              <w:rPr>
                <w:b w:val="off"/>
                <w:color w:val="000000"/>
                <w:rFonts w:ascii="Times New Roman" w:hAnsi="Times New Roman" w:cs="Times New Roman" w:eastAsia="Times New Roman"/>
                <w:sz w:val="24"/>
              </w:rPr>
              <w:t>Túto pripomienku uplatňujeme vo vzťahu k požadovanému zápisu údajov o zahraničnom zvereneckom fonde do registra právnických osôb, podnikateľov a orgánov verejnej moci (ďalej len "register právnických osôb") a považujeme ju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11 [§ 24c ods. 3 písm. b)]</w:t>
              <w:br/>
            </w:r>
            <w:r>
              <w:rPr>
                <w:b w:val="off"/>
                <w:color w:val="000000"/>
                <w:rFonts w:ascii="Times New Roman" w:hAnsi="Times New Roman" w:cs="Times New Roman" w:eastAsia="Times New Roman"/>
                <w:sz w:val="24"/>
              </w:rPr>
              <w:t>Žiadame formulovať písmeno b) takto:</w:t>
              <w:br/>
            </w:r>
            <w:r>
              <w:rPr>
                <w:b w:val="off"/>
                <w:color w:val="000000"/>
                <w:rFonts w:ascii="Times New Roman" w:hAnsi="Times New Roman" w:cs="Times New Roman" w:eastAsia="Times New Roman"/>
                <w:sz w:val="24"/>
              </w:rPr>
              <w:t>"b) identifikačné údaje o jeho konečnom užívateľovi výhod podľa § 6a ods. 1 písm. d) v rozsahu podľa § 7 ods. 3 a údaj, ktorý zakladá  postavenie jeho konečného užívateľa výhod podľa § 6a ods. 1 písm. d) prvého bodu, druhého bodu, tretieho bodu, štvrtého bodu alebo piateho bodu.".</w:t>
              <w:br/>
            </w:r>
            <w:r>
              <w:rPr>
                <w:b w:val="off"/>
                <w:color w:val="000000"/>
                <w:rFonts w:ascii="Times New Roman" w:hAnsi="Times New Roman" w:cs="Times New Roman" w:eastAsia="Times New Roman"/>
                <w:sz w:val="24"/>
              </w:rPr>
              <w:t>Odôvodnenie: Údaje sa týkajú konečného užívateľa, preto je z hľadiska výstižnosti a zrozumiteľnosti potrebné označovať osoby, o ktorých údaje ide, zákonným pomenovaním. Zároveň vzhľadom na osobitnú a rôznu povahu postavenia konečných užívateľov vo vzťahu k zvereneckému fondu sa javí ako potrebné viesť v zriaďovanom registri ako aj v registri právnických osôb údaj o konkrétnom právnom vzťahu zapisovanej fyzickej osoby k zvereneckému fondu, ktoré ustanovuje § 6a ods. 1 písm. d) prvom až piatom bode pri vymedzení konečného užívateľa výhod zahraničného zvereneckého fondu, teda napríklad, že ide o postavenie zriaďovateľa, správcu, príjemcu prostriedkov atď. vrátane možných kombinácií týchto postavení. V tejto súvislosti je potrebné sa v návrhu zákona vysporiadať s otázkou, či v rámci postavenia príjemcu prostriedkov budú zapisované aj údaje o charakteristikách budúcich príjemcov prostriedkov zo zvereneckého fondu.</w:t>
              <w:br/>
            </w:r>
            <w:r>
              <w:rPr>
                <w:b w:val="off"/>
                <w:color w:val="000000"/>
                <w:rFonts w:ascii="Times New Roman" w:hAnsi="Times New Roman" w:cs="Times New Roman" w:eastAsia="Times New Roman"/>
                <w:sz w:val="24"/>
              </w:rPr>
              <w:t>Túto pripomienku vzhľadom na zápis do registra právnických osôb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11 [§ 24c ods. 3 písm. a)]</w:t>
              <w:br/>
            </w:r>
            <w:r>
              <w:rPr>
                <w:b w:val="off"/>
                <w:color w:val="000000"/>
                <w:rFonts w:ascii="Times New Roman" w:hAnsi="Times New Roman" w:cs="Times New Roman" w:eastAsia="Times New Roman"/>
                <w:sz w:val="24"/>
              </w:rPr>
              <w:t>Žiadame nahradiť slová "identifikačné číslo" slovami "jedinečný identifikátor zahraničného zvereneckého fondu pridelený podľa právneho poriadku štátu, ktorý ho registroval, spolu s označením príslušného registra a s kódom registrujúceho štátu". Štatistický úrad Slovenskej republiky zásadne odmieta prideľovať domáci jedinečný identifikátor entitám zriadeným podľa cudzích právnych poriadkov, pretože tým môže dôjsť k zmätkom vo verejných informačných systémoch, a to vo vzťahu k medzinárodnému kódu EUID prideľovanému Štatistickým úradom SR (systémy BORIS a BRIS) a vo vzťahu k úradnej činnosti orgánov verejnej moci (finančná správa, sociálne poistenie, zber údajov štátnej štatistiky). Identifikačné číslo organizácie sa prideľuje len subjektom zriadeným podľa právneho poriadku SR a tým entitám, ktoré majú v SR postavenie podnikateľa na základe miesta výkonu ich činnosti.</w:t>
              <w:br/>
            </w:r>
            <w:r>
              <w:rPr>
                <w:b w:val="off"/>
                <w:color w:val="000000"/>
                <w:rFonts w:ascii="Times New Roman" w:hAnsi="Times New Roman" w:cs="Times New Roman" w:eastAsia="Times New Roman"/>
                <w:sz w:val="24"/>
              </w:rPr>
              <w:t>V tejto súvislosti žiadame, aby zriaďovaný register sám generoval a viedol osobitný identifikátor, ktorý bude používať aj register právnických osôb na účel vyhľadávania údajov o zahraničnom zvereneckom fonde príslušnými orgánmi, povinnými osobami a na účel požadovania údajov zo záznamu o konečnom užívateľovi výhod osobami, ktoré deklarujú oprávnený záujem, keďže vyhľadávanie pomocou zahraničného identifikátora môže byť spojené s technickým problémom - v informačnom systéme registra právnických osôb ide o textové pole. Aby príslušné orgány, povinné osoby a najmä osoby, ktoré budú žiadať o údaje zo záznamu o konečných užívateľoch výhod na základe deklarovania oprávneného záujmu boli oboznámené s týmto jedinečným identifikátorom, žiadame, aby príslušná časť údajov registra zahraničných zvereneckých fondov bez údajov o konečných užívateľoch výhod bola verejne prístupná.</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1 [§ 1a písm. e)]</w:t>
              <w:br/>
            </w:r>
            <w:r>
              <w:rPr>
                <w:b w:val="off"/>
                <w:color w:val="000000"/>
                <w:rFonts w:ascii="Times New Roman" w:hAnsi="Times New Roman" w:cs="Times New Roman" w:eastAsia="Times New Roman"/>
                <w:sz w:val="24"/>
              </w:rPr>
              <w:t>Žiadame  novelizačný bod 1 vypustiť.</w:t>
              <w:br/>
            </w:r>
            <w:r>
              <w:rPr>
                <w:b w:val="off"/>
                <w:color w:val="000000"/>
                <w:rFonts w:ascii="Times New Roman" w:hAnsi="Times New Roman" w:cs="Times New Roman" w:eastAsia="Times New Roman"/>
                <w:sz w:val="24"/>
              </w:rPr>
              <w:t>Odôvodnenie: Zavádzanie základného pojmu, ktorý obsahuje termín nedefinovaný právnym poriadkom SR, ak sa navyše tento základný pojem nebude používať v celom zákone 272/2015 Z. z. o registri právnických osôb, podnikateľov a orgánov verejnej moci a o zmene a doplnení niektorých zákonov v znení neskorších predpisov (ďalej len "zákon o registri právnických osôb"), považujeme za nepotrebné. Aj v zákone č. 297/2008 Z. z. je termín "zahraničný zverenecký fond" len zavedenou legislatívnou skratkou, čo sa javí ako vhodné riešenie aj v zákone registri právnických osôb.</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 [§ 2 ods. 2 písm. g) zákona č. 272/2015 Z. z.]</w:t>
              <w:br/>
            </w:r>
            <w:r>
              <w:rPr>
                <w:b w:val="off"/>
                <w:color w:val="000000"/>
                <w:rFonts w:ascii="Times New Roman" w:hAnsi="Times New Roman" w:cs="Times New Roman" w:eastAsia="Times New Roman"/>
                <w:sz w:val="24"/>
              </w:rPr>
              <w:t>Žiadame formulovať novelizačný bod takto:</w:t>
              <w:br/>
            </w:r>
            <w:r>
              <w:rPr>
                <w:b w:val="off"/>
                <w:color w:val="000000"/>
                <w:rFonts w:ascii="Times New Roman" w:hAnsi="Times New Roman" w:cs="Times New Roman" w:eastAsia="Times New Roman"/>
                <w:sz w:val="24"/>
              </w:rPr>
              <w:t>"2. V § 2 sa za odsek 2 vkladá nový odsek 3, ktorý znie:</w:t>
              <w:br/>
            </w:r>
            <w:r>
              <w:rPr>
                <w:b w:val="off"/>
                <w:color w:val="000000"/>
                <w:rFonts w:ascii="Times New Roman" w:hAnsi="Times New Roman" w:cs="Times New Roman" w:eastAsia="Times New Roman"/>
                <w:sz w:val="24"/>
              </w:rPr>
              <w:t>"(3) Na účel podľa odseku 4 písm. b) až d) sa do registra právnických osôb zapisujú aj údaje o  zvereneckom fonde zriadenom podľa práva iného štátu alebo o obdobnej právnej štruktúre založenej podľa práva iného štátu (ďalej len „zahraničný zverenecký fond“).".</w:t>
              <w:br/>
            </w:r>
            <w:r>
              <w:rPr>
                <w:b w:val="off"/>
                <w:color w:val="000000"/>
                <w:rFonts w:ascii="Times New Roman" w:hAnsi="Times New Roman" w:cs="Times New Roman" w:eastAsia="Times New Roman"/>
                <w:sz w:val="24"/>
              </w:rPr>
              <w:t>Doterajšie odseky 3 a 4 sa označujú ako odseky 4 a 5.".</w:t>
              <w:br/>
            </w:r>
            <w:r>
              <w:rPr>
                <w:b w:val="off"/>
                <w:color w:val="000000"/>
                <w:rFonts w:ascii="Times New Roman" w:hAnsi="Times New Roman" w:cs="Times New Roman" w:eastAsia="Times New Roman"/>
                <w:sz w:val="24"/>
              </w:rPr>
              <w:t xml:space="preserve">Odôvodnenie: Účel vedenia údajov o zahraničnom zvereneckom fonde v registri právnických osôb sa obmedzuje len na účely dosiahnutia cieľov AML legislatívy, čomu zodpovedá aj ich rozsah, nemožnosť ich referencovania a akceptovateľnosti faktu, že ide o údaje o zahraničných osobách. Zapisovanie údajov o zahraničných osobách na osobitný účel nekorešponduje s prevažujúcim a pôvodným účelom zriadenia registra právnických osôb, s účelom tvorby a prideľovania IČO ani s aktuálnymi technickými možnosťami jeho informačného systému. </w:t>
              <w:br/>
            </w:r>
            <w:r>
              <w:rPr>
                <w:b w:val="off"/>
                <w:color w:val="000000"/>
                <w:rFonts w:ascii="Times New Roman" w:hAnsi="Times New Roman" w:cs="Times New Roman" w:eastAsia="Times New Roman"/>
                <w:sz w:val="24"/>
              </w:rPr>
              <w:t>Vzhľadom na enormný záujem o bezporuchovú aplikáciu ďalších ustanovení zákona o registri právnických osôb, ktorá by nemala byť predloženou novelou negatívne dotknutá, považujeme túto pripomienku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požadovaný novelizačný bod [§ 2 zákona č. 272/2015 Z. z.]</w:t>
              <w:br/>
            </w:r>
            <w:r>
              <w:rPr>
                <w:b w:val="off"/>
                <w:color w:val="000000"/>
                <w:rFonts w:ascii="Times New Roman" w:hAnsi="Times New Roman" w:cs="Times New Roman" w:eastAsia="Times New Roman"/>
                <w:sz w:val="24"/>
              </w:rPr>
              <w:t>Žiadame samostatným novelizačným bodom zmeniť § 2 ods. 4 zákona o registri právnických osôb (v platnom znení ide o odsek 3) takto:</w:t>
              <w:br/>
            </w:r>
            <w:r>
              <w:rPr>
                <w:b w:val="off"/>
                <w:color w:val="000000"/>
                <w:rFonts w:ascii="Times New Roman" w:hAnsi="Times New Roman" w:cs="Times New Roman" w:eastAsia="Times New Roman"/>
                <w:sz w:val="24"/>
              </w:rPr>
              <w:t>"X. V § 2 ods. 4 sa za písmeno c) vkladá nového písmeno d), ktoré znie:</w:t>
              <w:br/>
            </w:r>
            <w:r>
              <w:rPr>
                <w:b w:val="off"/>
                <w:color w:val="000000"/>
                <w:rFonts w:ascii="Times New Roman" w:hAnsi="Times New Roman" w:cs="Times New Roman" w:eastAsia="Times New Roman"/>
                <w:sz w:val="24"/>
              </w:rPr>
              <w:t>"d) poskytovania údajov o konečnom užívateľovi výhod osobe, ktorá preukázateľne vykonáva činnosť zameranú na predchádzanie legalizácii príjmov z trestnej činnosti, financovania terorizmu alebo súvisiacim predikatívnym trestným činom11a) alebo činnosť zameranú na boj proti nim, a nie je plnením úloh subjektu podľa písmena b) alebo písmena c) (ďalej len „oprávnený záujem“) podľa podmienok ustanovených v tomto zákone,".</w:t>
              <w:br/>
            </w:r>
            <w:r>
              <w:rPr>
                <w:b w:val="off"/>
                <w:color w:val="000000"/>
                <w:rFonts w:ascii="Times New Roman" w:hAnsi="Times New Roman" w:cs="Times New Roman" w:eastAsia="Times New Roman"/>
                <w:sz w:val="24"/>
              </w:rPr>
              <w:t>Doterajšie písmená d) a e) sa označujú ako písmená e) a f).".</w:t>
              <w:br/>
            </w:r>
            <w:r>
              <w:rPr>
                <w:b w:val="off"/>
                <w:color w:val="000000"/>
                <w:rFonts w:ascii="Times New Roman" w:hAnsi="Times New Roman" w:cs="Times New Roman" w:eastAsia="Times New Roman"/>
                <w:sz w:val="24"/>
              </w:rPr>
              <w:t>Odôvodnenie: V prípade záveru, že súčasťou predkladanej novely zákona ostane aj úprava poskytovania údajov zo záznamu o konečnom užívateľovi výhod osobám, ktoré deklarujú oprávnený záujem, je potrebné tento účel, a to aj vzhľadom na požiadavky GDPR uviesť priamo v zákone. Pri zverejňovaní údajov o konečnom užívateľovi výhod sa uplatňoval účel uvedený v súčasnom znení písmena d). navrhovaným znením sa zároveň do textu zákona premieta vymedzenie oprávneného záujmu vrátane doterajšieho odkazu 11a na medzinárodnú úpravu tzv. predikatívnych trestných činov.</w:t>
              <w:br/>
            </w:r>
            <w:r>
              <w:rPr>
                <w:b w:val="off"/>
                <w:color w:val="000000"/>
                <w:rFonts w:ascii="Times New Roman" w:hAnsi="Times New Roman" w:cs="Times New Roman" w:eastAsia="Times New Roman"/>
                <w:sz w:val="24"/>
              </w:rPr>
              <w:t>Táto pripomienka je vzhľadom na novú úlohu Štatistického úradu SR, ktorej výkon zasahuje do práv a povinností dotknutých osôb a osôb s oprávneným záujmom,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požadovaný novelizačný bod [§ 2 zákona č. 272/2015 Z. z.]</w:t>
              <w:br/>
            </w:r>
            <w:r>
              <w:rPr>
                <w:b w:val="off"/>
                <w:color w:val="000000"/>
                <w:rFonts w:ascii="Times New Roman" w:hAnsi="Times New Roman" w:cs="Times New Roman" w:eastAsia="Times New Roman"/>
                <w:sz w:val="24"/>
              </w:rPr>
              <w:t>Žiadame samostatným novelizačným bodom nahradiť znenie odseku 5 zákona o registri právnických osôb (v platnom znení ide odsek 4) takto:</w:t>
              <w:br/>
            </w:r>
            <w:r>
              <w:rPr>
                <w:b w:val="off"/>
                <w:color w:val="000000"/>
                <w:rFonts w:ascii="Times New Roman" w:hAnsi="Times New Roman" w:cs="Times New Roman" w:eastAsia="Times New Roman"/>
                <w:sz w:val="24"/>
              </w:rPr>
              <w:t>"(5) Údaje vedené v registri právnických osôb o tom, kto sa do registra právnických osôb zapisuje podľa odseku 2, sa považujú za úplné a zodpovedajúce skutočnosti, kým nie je preukázaný opak. Údaje vedené v registri právnických osôb o zahraničnom zvereneckom fonde, sa považujú za úplné a zodpovedajúce skutočnosti, kým nie je preukázaný opak, a to len v rozsahu, v akom sú vedené v referenčnom registri podľa osobitného predpisu. Proti tomu, kto sa v dobrej viere spolieha na údaje v registri právnických osôb podľa prvej vety a druhej vety, nemôže iná osoba namietať, že tieto údaje nie sú úplné alebo nezodpovedajú skutočnosti.".</w:t>
              <w:br/>
            </w:r>
            <w:r>
              <w:rPr>
                <w:b w:val="off"/>
                <w:color w:val="000000"/>
                <w:rFonts w:ascii="Times New Roman" w:hAnsi="Times New Roman" w:cs="Times New Roman" w:eastAsia="Times New Roman"/>
                <w:sz w:val="24"/>
              </w:rPr>
              <w:t>Odôvodnenie: Údaje pochádzajúce z registra zahraničných zvereneckých fondov nebude možné referencovať. Ide o údaje zo zahraničných registrov, ktorých správnosť a úplnosť nebude môcť registrátor hodnoverne overiť alebo meniť použitím automatizovaných prostriedkov prostredníctvom priamej alebo nepriamej integrácie z informačnými systémami iných krajín. Preto by sa na ne nemala vzťahovať všeobecná vyvrátiteľná domnienka ustanovená v zákone okrem prípadov, ak ide o údaje z RFO v prípade konečného užívateľa výhod.</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bodu 3 [§ 3 ods. 8 zákona č. 272/2015 z. z.]</w:t>
              <w:br/>
            </w:r>
            <w:r>
              <w:rPr>
                <w:b w:val="off"/>
                <w:color w:val="000000"/>
                <w:rFonts w:ascii="Times New Roman" w:hAnsi="Times New Roman" w:cs="Times New Roman" w:eastAsia="Times New Roman"/>
                <w:sz w:val="24"/>
              </w:rPr>
              <w:t>Žiadame zmeniť znenie novelizačného bodu takto:</w:t>
              <w:br/>
            </w:r>
            <w:r>
              <w:rPr>
                <w:b w:val="off"/>
                <w:color w:val="000000"/>
                <w:rFonts w:ascii="Times New Roman" w:hAnsi="Times New Roman" w:cs="Times New Roman" w:eastAsia="Times New Roman"/>
                <w:sz w:val="24"/>
              </w:rPr>
              <w:t>"3. V § 3 sa za odsek 7 vkladajú nové odseky 8 a 9, ktoré znejú:</w:t>
              <w:br/>
            </w:r>
            <w:r>
              <w:rPr>
                <w:b w:val="off"/>
                <w:color w:val="000000"/>
                <w:rFonts w:ascii="Times New Roman" w:hAnsi="Times New Roman" w:cs="Times New Roman" w:eastAsia="Times New Roman"/>
                <w:sz w:val="24"/>
              </w:rPr>
              <w:t>"(8) Do registra právnických osôb sa o zahraničnom zvereneckom fonde zapisujú</w:t>
              <w:br/>
            </w:r>
            <w:r>
              <w:rPr>
                <w:b w:val="off"/>
                <w:color w:val="000000"/>
                <w:rFonts w:ascii="Times New Roman" w:hAnsi="Times New Roman" w:cs="Times New Roman" w:eastAsia="Times New Roman"/>
                <w:sz w:val="24"/>
              </w:rPr>
              <w:t>a) názov,</w:t>
              <w:br/>
            </w:r>
            <w:r>
              <w:rPr>
                <w:b w:val="off"/>
                <w:color w:val="000000"/>
                <w:rFonts w:ascii="Times New Roman" w:hAnsi="Times New Roman" w:cs="Times New Roman" w:eastAsia="Times New Roman"/>
                <w:sz w:val="24"/>
              </w:rPr>
              <w:t>b)  adresa miesta, z ktorého je zahraničný zverenecký fond spravovaný,</w:t>
              <w:br/>
            </w:r>
            <w:r>
              <w:rPr>
                <w:b w:val="off"/>
                <w:color w:val="000000"/>
                <w:rFonts w:ascii="Times New Roman" w:hAnsi="Times New Roman" w:cs="Times New Roman" w:eastAsia="Times New Roman"/>
                <w:sz w:val="24"/>
              </w:rPr>
              <w:t>c)  identifikátor pridelený alebo určený na účely jednoznačnej identifikácie podľa právneho poriadku štátu, v ktorom je registrovaný vrátane kódu cudzieho štátu, ktorý identifikátor pridelil, a označenie tohto identifikátora alebo evidencie, z ktorej identifikátor pochádza,</w:t>
              <w:br/>
            </w:r>
            <w:r>
              <w:rPr>
                <w:b w:val="off"/>
                <w:color w:val="000000"/>
                <w:rFonts w:ascii="Times New Roman" w:hAnsi="Times New Roman" w:cs="Times New Roman" w:eastAsia="Times New Roman"/>
                <w:sz w:val="24"/>
              </w:rPr>
              <w:t>d) jedinečný identifikátor, pod ktorým je zahraničný zverenecký fond vedený v registri zahraničných zvereneckých fondov,</w:t>
              <w:br/>
            </w:r>
            <w:r>
              <w:rPr>
                <w:b w:val="off"/>
                <w:color w:val="000000"/>
                <w:rFonts w:ascii="Times New Roman" w:hAnsi="Times New Roman" w:cs="Times New Roman" w:eastAsia="Times New Roman"/>
                <w:sz w:val="24"/>
              </w:rPr>
              <w:t>e) záznam o konečnom užívateľovi výhod.".</w:t>
              <w:br/>
            </w:r>
            <w:r>
              <w:rPr>
                <w:b w:val="off"/>
                <w:color w:val="000000"/>
                <w:rFonts w:ascii="Times New Roman" w:hAnsi="Times New Roman" w:cs="Times New Roman" w:eastAsia="Times New Roman"/>
                <w:sz w:val="24"/>
              </w:rPr>
              <w:t xml:space="preserve"> (9) Údaje o zahraničnom zvereneckom fonde zapísané do registra právnických osôb sa vedú spolu s informáciou, že boli do registra právnických osôb poskytnuté Ministerstvom vnútra Slovenskej republiky z registra zahraničných zvereneckých fondov.".</w:t>
              <w:br/>
            </w:r>
            <w:r>
              <w:rPr>
                <w:b w:val="off"/>
                <w:color w:val="000000"/>
                <w:rFonts w:ascii="Times New Roman" w:hAnsi="Times New Roman" w:cs="Times New Roman" w:eastAsia="Times New Roman"/>
                <w:sz w:val="24"/>
              </w:rPr>
              <w:t>Doterajšie odseky 8 až 13 sa označujú ako odseky 10 až 15.".</w:t>
              <w:br/>
            </w:r>
            <w:r>
              <w:rPr>
                <w:b w:val="off"/>
                <w:color w:val="000000"/>
                <w:rFonts w:ascii="Times New Roman" w:hAnsi="Times New Roman" w:cs="Times New Roman" w:eastAsia="Times New Roman"/>
                <w:sz w:val="24"/>
              </w:rPr>
              <w:t xml:space="preserve">Zároveň upozorňujeme na potrebu riešiť zákonom situáciu, že konečný užívateľ výhod neexistuje, ale sú určené charakteristiky budúceho prijímateľa prostriedkov zahraničného zvereneckého fondu.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Zverenecký fond nemá sídlo, preto považujeme za potrebné nahradiť ho navrhovaným údajom, čo odôvodňujeme v zásadnej pripomienke k § 24c ods. 3.</w:t>
              <w:br/>
            </w:r>
            <w:r>
              <w:rPr>
                <w:b w:val="off"/>
                <w:color w:val="000000"/>
                <w:rFonts w:ascii="Times New Roman" w:hAnsi="Times New Roman" w:cs="Times New Roman" w:eastAsia="Times New Roman"/>
                <w:sz w:val="24"/>
              </w:rPr>
              <w:t>Zahraničnému zvereneckému fondu nebude štatistický úrad prideľovať IČO, čo rovnako odôvodňujeme  v jednej z pripomienok k § 24c ods. 3. Naopak ocenil by, ak bolo možné vyhľadávať údaje o zapísanom zahraničnom zvereneckom fonde použitím jedinečného identifikátora generovaného registrom zahraničných zvereneckých fondov [údaj v písmene d)].</w:t>
              <w:br/>
            </w:r>
            <w:r>
              <w:rPr>
                <w:b w:val="off"/>
                <w:color w:val="000000"/>
                <w:rFonts w:ascii="Times New Roman" w:hAnsi="Times New Roman" w:cs="Times New Roman" w:eastAsia="Times New Roman"/>
                <w:sz w:val="24"/>
              </w:rPr>
              <w:t>Údajová položka v predloženom znení písmena e) nemá zmysel, pretože ide len o jeden register vedený ministerstvom vnútra a je potrebné doplniť nový odsek, ktorý zabezpečí, že údaje o zahraničnom zvereneckom fonde budú sprevádzané údajmi o registri a jeho správcovi (povinnej osobe).</w:t>
              <w:br/>
            </w:r>
            <w:r>
              <w:rPr>
                <w:b w:val="off"/>
                <w:color w:val="000000"/>
                <w:rFonts w:ascii="Times New Roman" w:hAnsi="Times New Roman" w:cs="Times New Roman" w:eastAsia="Times New Roman"/>
                <w:sz w:val="24"/>
              </w:rPr>
              <w:t>Naopak je potrebné, aby súčasťou záznamu o konečnom užívateľovi výhod bol údaj z registra zahraničných zvereneckých fondov, ktorým je jedno alebo viacero z piatich postavení fyzickej osoby, ktoré zakladá postavenie konečného užívateľa výhod zahraničného zvereneckého fondu podľa § 6a písm. d) zákona č. 297/2008 Z. z. v znení neskorších predpisov.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 v súlade so závermi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požadovaný novelizačný bod [§ 3 ods. 12 zákona č. 272/2015 Z. z.]</w:t>
              <w:br/>
            </w:r>
            <w:r>
              <w:rPr>
                <w:b w:val="off"/>
                <w:color w:val="000000"/>
                <w:rFonts w:ascii="Times New Roman" w:hAnsi="Times New Roman" w:cs="Times New Roman" w:eastAsia="Times New Roman"/>
                <w:sz w:val="24"/>
              </w:rPr>
              <w:t>Žiadame samostatným novelizačným bodom zmeniť znenie ustanovenia § 3 ods. 12 zákona o registri právnických osôb (súčasný odsek 10) takto:</w:t>
              <w:br/>
            </w:r>
            <w:r>
              <w:rPr>
                <w:b w:val="off"/>
                <w:color w:val="000000"/>
                <w:rFonts w:ascii="Times New Roman" w:hAnsi="Times New Roman" w:cs="Times New Roman" w:eastAsia="Times New Roman"/>
                <w:sz w:val="24"/>
              </w:rPr>
              <w:t>"X. V § 3 ods. 12 sa slová "§ 3" nahrádzajú slovami "odsekov 1 až 7".</w:t>
              <w:br/>
            </w:r>
            <w:r>
              <w:rPr>
                <w:b w:val="off"/>
                <w:color w:val="000000"/>
                <w:rFonts w:ascii="Times New Roman" w:hAnsi="Times New Roman" w:cs="Times New Roman" w:eastAsia="Times New Roman"/>
                <w:sz w:val="24"/>
              </w:rPr>
              <w:t>Odôvodnenie: V súčasnom znení zákona je nesprávny vnútorný odkaz. Na jeho mieste by však po akceptácii nového znenia odseku 8 mal byť odkaz zavedený, a to vzhľadom na skutočnosť, že odsek 12 (súčasný odsek 10) sa na identifikáciu konečného užívateľa výhod  sa na údaje o konečnom užívateľovi výhod nemôže vzťahovať - identifikačným údajom je len meno, priezvisko a dátum narodenia alebo rodné číslo pridelené v SR, a to na základe zákona č. 297/2008 Z. z.</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bodu 8 (§ 7a ods. 11 zákona č. 272/2015 Z. z.]</w:t>
              <w:br/>
            </w:r>
            <w:r>
              <w:rPr>
                <w:b w:val="off"/>
                <w:color w:val="000000"/>
                <w:rFonts w:ascii="Times New Roman" w:hAnsi="Times New Roman" w:cs="Times New Roman" w:eastAsia="Times New Roman"/>
                <w:sz w:val="24"/>
              </w:rPr>
              <w:t>Žiadame buď vypustiť novelizačný bod 8 bez náhrady alebo upraviť znenie odseku 11 v novelizačnom bode 8 takto:</w:t>
              <w:br/>
            </w:r>
            <w:r>
              <w:rPr>
                <w:b w:val="off"/>
                <w:color w:val="000000"/>
                <w:rFonts w:ascii="Times New Roman" w:hAnsi="Times New Roman" w:cs="Times New Roman" w:eastAsia="Times New Roman"/>
                <w:sz w:val="24"/>
              </w:rPr>
              <w:t xml:space="preserve">"(11) Štatistický úrad poskytuje údaje  zo záznamu o konečnom užívateľovi výhod vedené v registri právnických osôb osobe, ktorá preukáže oprávnený záujem (ďalej len „osoba  s oprávneným záujmom“) výlučne na základe jej písomnej žiadosti, a to v rozsahu meno, priezvisko, mesiac a rok narodenia, krajina pobytu, štátna príslušnosť konečného užívateľa výhod a povaha a rozsah držaného podielu konečného užívateľa výhod, ak z osobitného predpisu11c) nevyplýva menší rozsah poskytovaných údajov.  Na základe jednej žiadosti je možné žiadať len o údaje zo záznamu o konečnom užívateľovi výhod vo vzťahu k desiatim právnickým osobám alebo zahraničným zvereneckým fondom vedeným v registri právnických osôb. Údaje podľa prvej vety sa poskytnú písomnou formou, a ak z osobitného predpisu nevyplýva menší rozsah poskytovaných údajov, poskytnú sa formou odpisu. Údaje podľa prvej vety sa sprístupňujú len vo vzťahu </w:t>
              <w:br/>
            </w:r>
            <w:r>
              <w:rPr>
                <w:b w:val="off"/>
                <w:color w:val="000000"/>
                <w:rFonts w:ascii="Times New Roman" w:hAnsi="Times New Roman" w:cs="Times New Roman" w:eastAsia="Times New Roman"/>
                <w:sz w:val="24"/>
              </w:rPr>
              <w:t>a)	k právnickej osobe, ktorá musí byť  v žiadosti identifikovaná  názvom právnickej osoby a identifikačným číslom organizácie alebo názvom a sídlom právnickej osoby,</w:t>
              <w:br/>
            </w:r>
            <w:r>
              <w:rPr>
                <w:b w:val="off"/>
                <w:color w:val="000000"/>
                <w:rFonts w:ascii="Times New Roman" w:hAnsi="Times New Roman" w:cs="Times New Roman" w:eastAsia="Times New Roman"/>
                <w:sz w:val="24"/>
              </w:rPr>
              <w:t>b)	k zahraničnému zvereneckému fondu, ktorý musí byť v žiadosti identifikovaný názvom a identifikátorom podľa § 3 ods. 8 písm. b) alebo názvom a adresou miesta, z ktorého je zahraničný zverenecký fond spravovaný.</w:t>
              <w:br/>
            </w:r>
            <w:r>
              <w:rPr>
                <w:b w:val="off"/>
                <w:color w:val="000000"/>
                <w:rFonts w:ascii="Times New Roman" w:hAnsi="Times New Roman" w:cs="Times New Roman" w:eastAsia="Times New Roman"/>
                <w:sz w:val="24"/>
              </w:rPr>
              <w:t>Odôvodnenie: Štatistický úrad SR pripravuje návrh novely zákona o registri právnických osôb, v ktorom upraví poskytovanie údajov o konečnom užívateľovi výhod osobám s tzv. oprávneným záujmom podľa požiadaviek piatej AML smernice. Návrh predložený ministerstvom vnútra je nevykonateľný a v rozpore s princípom konania štátu v rozsahu a spôsobom, ktorý ustanoví zákon. Ustanovenie čl. 74 šiestej AML smernice nemožno transponovať do právneho poriadku SR jednou vetou, pretože chýbajú nielen procesné pravidlá postupu správcu centrálneho registra ale aj podrobnosti hmotnoprávneho charakteru. Čiastočne je možné vzhľadom na transpozičný deficit tieto nedostatky návrhu predkladateľa odstrániť akceptovaním návrhu znenia odseku 11 a akceptovaním návrhu na doplnenia ďalších, nových ustanovení § 7a. Zároveň predkladateľ v predloženom legislatívnom materiáli nezohľadnil výdavky správcu  registra konečných užívateľov výhod na uspokojovanie žiadostí oprávnených osôb o údaje o konečnom užívateľovi výhod, ktoré sú spojené so zmenou informačného systému registra právnických osôb a s potrebou štátnozamestnaneckých miest pri vybavovaní agendy  žiadostí o poskytnutie údajov zo záznamu o konečnom užívateľovi výhod.</w:t>
              <w:br/>
            </w:r>
            <w:r>
              <w:rPr>
                <w:b w:val="off"/>
                <w:color w:val="000000"/>
                <w:rFonts w:ascii="Times New Roman" w:hAnsi="Times New Roman" w:cs="Times New Roman" w:eastAsia="Times New Roman"/>
                <w:sz w:val="24"/>
              </w:rPr>
              <w:t xml:space="preserve">Poznámka: V každom prípade sú všetky riešenia týkajúce sa vedenia údajov o konečných užívateľoch výhod v registri právnických osôb dlhodobo problematické  pre známy fakt, že po nadobudnutí nového, šiesteho balíka AML legislatívy EÚ bude nákladovo nehospodárne a organizačne neefektívne viesť centrálny register konečných užívateľov výhod ako súčasť registra právnických osôb pod správou Štatistického úradu SR, ktorý nie je orgánom príslušným na prijímanie opatrení pri predchádzaní prania špinavých peňazí a financovania terorizmu a boja proti nim.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 na základe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požadovaný novelizačný bod [§ 7a zákona č. 272/2015 Z. z. ]</w:t>
              <w:br/>
            </w:r>
            <w:r>
              <w:rPr>
                <w:b w:val="off"/>
                <w:color w:val="000000"/>
                <w:rFonts w:ascii="Times New Roman" w:hAnsi="Times New Roman" w:cs="Times New Roman" w:eastAsia="Times New Roman"/>
                <w:sz w:val="24"/>
              </w:rPr>
              <w:t>Žiadame samostatným novelizačným bodom doplniť § 7a zákona o registri právnických osôb, ktorý znie:</w:t>
              <w:br/>
            </w:r>
            <w:r>
              <w:rPr>
                <w:b w:val="off"/>
                <w:color w:val="000000"/>
                <w:rFonts w:ascii="Times New Roman" w:hAnsi="Times New Roman" w:cs="Times New Roman" w:eastAsia="Times New Roman"/>
                <w:sz w:val="24"/>
              </w:rPr>
              <w:t>"X. § 7a sa dopĺňa odsekmi 12 až 17, ktoré znejú:</w:t>
              <w:br/>
            </w:r>
            <w:r>
              <w:rPr>
                <w:b w:val="off"/>
                <w:color w:val="000000"/>
                <w:rFonts w:ascii="Times New Roman" w:hAnsi="Times New Roman" w:cs="Times New Roman" w:eastAsia="Times New Roman"/>
                <w:sz w:val="24"/>
              </w:rPr>
              <w:t xml:space="preserve">"(12) Osobe s oprávneným záujmom nie je možné poskytnúť </w:t>
              <w:br/>
            </w:r>
            <w:r>
              <w:rPr>
                <w:b w:val="off"/>
                <w:color w:val="000000"/>
                <w:rFonts w:ascii="Times New Roman" w:hAnsi="Times New Roman" w:cs="Times New Roman" w:eastAsia="Times New Roman"/>
                <w:sz w:val="24"/>
              </w:rPr>
              <w:t xml:space="preserve">a)	historické údaje zo záznamu o konečnom užívateľovi, </w:t>
              <w:br/>
            </w:r>
            <w:r>
              <w:rPr>
                <w:b w:val="off"/>
                <w:color w:val="000000"/>
                <w:rFonts w:ascii="Times New Roman" w:hAnsi="Times New Roman" w:cs="Times New Roman" w:eastAsia="Times New Roman"/>
                <w:sz w:val="24"/>
              </w:rPr>
              <w:t>b)	údaje zo záznamu o konečnom užívateľovi výhod právnickej osoby, ktorá zanikla, ak neuplynula doba vedenia týchto údajov v registri právnických osôb podľa odseku 8.</w:t>
              <w:br/>
            </w:r>
            <w:r>
              <w:rPr>
                <w:b w:val="off"/>
                <w:color w:val="000000"/>
                <w:rFonts w:ascii="Times New Roman" w:hAnsi="Times New Roman" w:cs="Times New Roman" w:eastAsia="Times New Roman"/>
                <w:sz w:val="24"/>
              </w:rPr>
              <w:t>(13) Štatistický úrad rozhoduje o poskytnutí údajov osobe s oprávneným záujmom v správnom konaní, ktorého predmetom je preukázanie skutočností uvedených v odseku 14. Ak žiadosť preukazuje skutočnosti podľa odseku 14, štatistický úrad urobí rozhodnutie zápisom v spise a 	poskytne osobe s oprávneným záujmom požadované údaje. Ak osoba deklarovaný záujem nepreukáže, štatistický úrad žiadosť zamietne. Proti rozhodnutiu o zamietnutí žiadosti nie je opravný prostriedok v správnom konaní.</w:t>
              <w:br/>
            </w:r>
            <w:r>
              <w:rPr>
                <w:b w:val="off"/>
                <w:color w:val="000000"/>
                <w:rFonts w:ascii="Times New Roman" w:hAnsi="Times New Roman" w:cs="Times New Roman" w:eastAsia="Times New Roman"/>
                <w:sz w:val="24"/>
              </w:rPr>
              <w:t>(14) Osoba, ktorá deklaruje oprávnený záujem, je v konaní podľa odseku 14 povinná preukázať štatistickému úradu</w:t>
              <w:br/>
            </w:r>
            <w:r>
              <w:rPr>
                <w:b w:val="off"/>
                <w:color w:val="000000"/>
                <w:rFonts w:ascii="Times New Roman" w:hAnsi="Times New Roman" w:cs="Times New Roman" w:eastAsia="Times New Roman"/>
                <w:sz w:val="24"/>
              </w:rPr>
              <w:t>a)	svoju totožnosť a oprávnenie konať v mene osoby s oprávneným záujmom; totožnosť sa preukazuje predložením dokladu totožnosti alebo s použitím prvkov autentifikácie podľa zákona o e-Governmente, ak nejde o žiadosť došlú prostredníctvom systému prepojenia registrov konečných užívateľov výhod,</w:t>
              <w:br/>
            </w:r>
            <w:r>
              <w:rPr>
                <w:b w:val="off"/>
                <w:color w:val="000000"/>
                <w:rFonts w:ascii="Times New Roman" w:hAnsi="Times New Roman" w:cs="Times New Roman" w:eastAsia="Times New Roman"/>
                <w:sz w:val="24"/>
              </w:rPr>
              <w:t xml:space="preserve">b)	jednoznačné vymedzenie svojho postavenia, funkcie alebo povolania a deklarovaného oprávneného záujmu, ak nejde o žiadosť došlú prostredníctvom systému prepojenia registrov konečných užívateľov výhod, </w:t>
              <w:br/>
            </w:r>
            <w:r>
              <w:rPr>
                <w:b w:val="off"/>
                <w:color w:val="000000"/>
                <w:rFonts w:ascii="Times New Roman" w:hAnsi="Times New Roman" w:cs="Times New Roman" w:eastAsia="Times New Roman"/>
                <w:sz w:val="24"/>
              </w:rPr>
              <w:t>c)	väzbu medzi deklarovaným oprávneným záujmom  a právnickou osobou alebo zahraničným zvereneckým fondom, ktorých údaje zo záznamu o konečnom užívateľovi výhod požaduje poskytnúť, ak nejde o žiadosť došlú prostredníctvom systému prepojenia registrov konečných užívateľov výhod, alebo ak osoba deklarujúca oprávnený záujem nie je osobou konajúcou na účely žurnalistiky, výskumným subjektom alebo mimovládnou neziskovou organizáciou.</w:t>
              <w:br/>
            </w:r>
            <w:r>
              <w:rPr>
                <w:b w:val="off"/>
                <w:color w:val="000000"/>
                <w:rFonts w:ascii="Times New Roman" w:hAnsi="Times New Roman" w:cs="Times New Roman" w:eastAsia="Times New Roman"/>
                <w:sz w:val="24"/>
              </w:rPr>
              <w:t xml:space="preserve">(15) Existencia oprávneného záujmu uvedeného v žiadosti podľa odseku 14 sa preukazuje </w:t>
              <w:br/>
            </w:r>
            <w:r>
              <w:rPr>
                <w:b w:val="off"/>
                <w:color w:val="000000"/>
                <w:rFonts w:ascii="Times New Roman" w:hAnsi="Times New Roman" w:cs="Times New Roman" w:eastAsia="Times New Roman"/>
                <w:sz w:val="24"/>
              </w:rPr>
              <w:t>a)	predložením dokumentov alebo ich úradne osvedčených kópií, na ktorých sú zachytené právne úkony vrátane návrhov zmlúv, podaní  alebo individuálnych správnych aktov vydaných v konaní pred orgánom verejnej moci, alebo výpisov a odpisov z informačných systémov použiteľných na právne účely (ďalej len „doklady“) zo strany osoby, ktorá deklaruje oprávnený záujem, a to aj na základe ich dodatočného vyžiadania zo strany štatistického úradu,</w:t>
              <w:br/>
            </w:r>
            <w:r>
              <w:rPr>
                <w:b w:val="off"/>
                <w:color w:val="000000"/>
                <w:rFonts w:ascii="Times New Roman" w:hAnsi="Times New Roman" w:cs="Times New Roman" w:eastAsia="Times New Roman"/>
                <w:sz w:val="24"/>
              </w:rPr>
              <w:t>b)	overením údajov uvedených v žiadosti z referenčných registrov alebo iných registrov verejnej správy, ktoré obsahujú údaje použiteľné na právne účely,</w:t>
              <w:br/>
            </w:r>
            <w:r>
              <w:rPr>
                <w:b w:val="off"/>
                <w:color w:val="000000"/>
                <w:rFonts w:ascii="Times New Roman" w:hAnsi="Times New Roman" w:cs="Times New Roman" w:eastAsia="Times New Roman"/>
                <w:sz w:val="24"/>
              </w:rPr>
              <w:t>c)	 obsahom záväzného stanoviska, o ktorého vydanie môže štatistický úrad požiadať ústredný orgán štátnej správy, Najvyšší súd Slovenskej republiky alebo Generálnu prokuratúru Slovenskej republiky, ak na základe obsahu žiadosti, dokladov a ďalších údajov nie je možné jednoznačne preukázať existenciu deklarovaného oprávneného záujmu podľa odseku 15 písm. b) alebo písm. c).</w:t>
              <w:br/>
            </w:r>
            <w:r>
              <w:rPr>
                <w:b w:val="off"/>
                <w:color w:val="000000"/>
                <w:rFonts w:ascii="Times New Roman" w:hAnsi="Times New Roman" w:cs="Times New Roman" w:eastAsia="Times New Roman"/>
                <w:sz w:val="24"/>
              </w:rPr>
              <w:t xml:space="preserve">(16) Osoba s oprávneným záujmom je povinná uviesť v žiadosti identifikačné údaje fyzickej osoby, ktorú poveruje prístupom k údajom zo záznamu o konečnom užívateľovi výhod vedenom v registri právnických osôb a zaviazať sa v žiadosti, že údaje poskytnuté zo záznamu o konečnom užívateľovi výhod </w:t>
              <w:br/>
            </w:r>
            <w:r>
              <w:rPr>
                <w:b w:val="off"/>
                <w:color w:val="000000"/>
                <w:rFonts w:ascii="Times New Roman" w:hAnsi="Times New Roman" w:cs="Times New Roman" w:eastAsia="Times New Roman"/>
                <w:sz w:val="24"/>
              </w:rPr>
              <w:t>a)	nebude spracúvať v rozpore so všeobecným predpisom o ochrane osobných údajov a na iný účel, ako je účel deklarovaný v žiadosti,</w:t>
              <w:br/>
            </w:r>
            <w:r>
              <w:rPr>
                <w:b w:val="off"/>
                <w:color w:val="000000"/>
                <w:rFonts w:ascii="Times New Roman" w:hAnsi="Times New Roman" w:cs="Times New Roman" w:eastAsia="Times New Roman"/>
                <w:sz w:val="24"/>
              </w:rPr>
              <w:t>b)	zlikviduje bezodkladne po tom, ako pominul účel ich spracúvania deklarovaný v žiadosti,</w:t>
              <w:br/>
            </w:r>
            <w:r>
              <w:rPr>
                <w:b w:val="off"/>
                <w:color w:val="000000"/>
                <w:rFonts w:ascii="Times New Roman" w:hAnsi="Times New Roman" w:cs="Times New Roman" w:eastAsia="Times New Roman"/>
                <w:sz w:val="24"/>
              </w:rPr>
              <w:t>c)	zamedzí neoprávnenému prístupu k údajom zo záznamu o konečnom užívateľovi.</w:t>
              <w:br/>
            </w:r>
            <w:r>
              <w:rPr>
                <w:b w:val="off"/>
                <w:color w:val="000000"/>
                <w:rFonts w:ascii="Times New Roman" w:hAnsi="Times New Roman" w:cs="Times New Roman" w:eastAsia="Times New Roman"/>
                <w:sz w:val="24"/>
              </w:rPr>
              <w:t>(17) Údaje o osobe s oprávneným záujmom, ktorá požiadala o údaje zo záznamu o konečnom užívateľovi výhod vedenom v registri právnických osôb, štatistický úrad nesprístupňuje.".</w:t>
              <w:br/>
            </w:r>
            <w:r>
              <w:rPr>
                <w:b w:val="off"/>
                <w:color w:val="000000"/>
                <w:rFonts w:ascii="Times New Roman" w:hAnsi="Times New Roman" w:cs="Times New Roman" w:eastAsia="Times New Roman"/>
                <w:sz w:val="24"/>
              </w:rPr>
              <w:t>Odôvodnenie: z dôvodov uvedených v zásadnej pripomienke k čl. III novelizačnému bodu 8 a z dôvodu ochrany osobných údajov osoby s oprávneným záujmom a osobných údajov konečného užívateľa výhod. Doplnenie navrhovaných odsekov štatistický úrad požaduje len v spojení  s realizáciou alternatívy uvedenou v jeho zásadnej pripomienke k čl. III bodu 8, ktorá požaduje od predkladateľa úpravu § 7a ods. 11 v znení navrhovanom Štatistickým úradom SR.</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žiadame vyznačiť negatívne rozpočtovo nezabezpečené vplyvy na rozpočet verejnej správy a doplniť doložku popísaním negatívnych vplyvov na rozpočet Štatistického úradu Slovenskej republiky z dôvodu</w:t>
              <w:br/>
            </w:r>
            <w:r>
              <w:rPr>
                <w:b w:val="off"/>
                <w:color w:val="000000"/>
                <w:rFonts w:ascii="Times New Roman" w:hAnsi="Times New Roman" w:cs="Times New Roman" w:eastAsia="Times New Roman"/>
                <w:sz w:val="24"/>
              </w:rPr>
              <w:t>1. príslušnej úpravy informačného systému registra právnických osôb:</w:t>
              <w:br/>
            </w:r>
            <w:r>
              <w:rPr>
                <w:b w:val="off"/>
                <w:color w:val="000000"/>
                <w:rFonts w:ascii="Times New Roman" w:hAnsi="Times New Roman" w:cs="Times New Roman" w:eastAsia="Times New Roman"/>
                <w:sz w:val="24"/>
              </w:rPr>
              <w:t xml:space="preserve">a) o zapisovanie údajov o zahraničných zvereneckých fondoch do registra právnických osôb, </w:t>
              <w:br/>
            </w:r>
            <w:r>
              <w:rPr>
                <w:b w:val="off"/>
                <w:color w:val="000000"/>
                <w:rFonts w:ascii="Times New Roman" w:hAnsi="Times New Roman" w:cs="Times New Roman" w:eastAsia="Times New Roman"/>
                <w:sz w:val="24"/>
              </w:rPr>
              <w:t>b) o poskytovanie údajov zo záznamu o konečnom užívateľovi výhod na základe odôvodnenej žiadosti osobe, ktorá preukáže oprávnený záujem,</w:t>
              <w:br/>
            </w:r>
            <w:r>
              <w:rPr>
                <w:b w:val="off"/>
                <w:color w:val="000000"/>
                <w:rFonts w:ascii="Times New Roman" w:hAnsi="Times New Roman" w:cs="Times New Roman" w:eastAsia="Times New Roman"/>
                <w:sz w:val="24"/>
              </w:rPr>
              <w:t>2. nákladov (napr. mzdových, kapitálových a bežných) spojených s rozhodovaním Štatistického úradu Slovenskej republiky o žiadostiach osôb podľa bodu 1 písm. b) vyššie.</w:t>
              <w:br/>
            </w:r>
            <w:r>
              <w:rPr>
                <w:b w:val="off"/>
                <w:color w:val="000000"/>
                <w:rFonts w:ascii="Times New Roman" w:hAnsi="Times New Roman" w:cs="Times New Roman" w:eastAsia="Times New Roman"/>
                <w:sz w:val="24"/>
              </w:rPr>
              <w:t>Zároveň žiadame v analýze vplyvov na rozpočet verejnej správy, na zamestnanosť vo verejnej správe a financovanie návrhu uviesť odhadované výdavky Štatistického úradu Slovenskej republiky v cca výške 100.000 eur. Presné vyčíslenie požadovaného nároku na štátny rozpočet na krytie nezabezpečených výdavkov Štatistického úradu Slovenskej republiky však bude možné poskytnúť až po sfinalizovaní návrhu zákona v zmysle zásadných pripomienok Štatistického úradu Slovenskej republiky. Teda až potom, keď bude v spolupráci s predkladateľom ustálené:</w:t>
              <w:br/>
            </w:r>
            <w:r>
              <w:rPr>
                <w:b w:val="off"/>
                <w:color w:val="000000"/>
                <w:rFonts w:ascii="Times New Roman" w:hAnsi="Times New Roman" w:cs="Times New Roman" w:eastAsia="Times New Roman"/>
                <w:sz w:val="24"/>
              </w:rPr>
              <w:t>1. akým spôsobom a v akom rozsahu sa budú zapisovať údaje o zahraničných zvereneckých fondoch do registra právnických osôb,</w:t>
              <w:br/>
            </w:r>
            <w:r>
              <w:rPr>
                <w:b w:val="off"/>
                <w:color w:val="000000"/>
                <w:rFonts w:ascii="Times New Roman" w:hAnsi="Times New Roman" w:cs="Times New Roman" w:eastAsia="Times New Roman"/>
                <w:sz w:val="24"/>
              </w:rPr>
              <w:t>2. akým spôsobom sa budú poskytovať údaje zo záznamu o konečnom užívateľovi výhod na základe odôvodnenej žiadosti osobe, ktorá preukáže legitímny záujem (či si tento spôsob bude vyžadovať aj zmenu informačného systému registra právnických osôb).</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bol odstránený. Na základe spoločného rokovania bolo dohodnuté, že budú výdavky vyplývajúce z návrhu zákona pre Ministerstvo vnútra SR a Štatistický úrad SR zabezpečené v rámci schválených limitov príslušných kapitol.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a k doložke vybraných vplyvov</w:t>
              <w:br/>
            </w:r>
            <w:r>
              <w:rPr>
                <w:b w:val="off"/>
                <w:color w:val="000000"/>
                <w:rFonts w:ascii="Times New Roman" w:hAnsi="Times New Roman" w:cs="Times New Roman" w:eastAsia="Times New Roman"/>
                <w:sz w:val="24"/>
              </w:rPr>
              <w:t>Štatistický úrad SR má zásadný technický problém so spôsobom zapisovania údajov o zahraničných zvereneckých fondoch, ktoré sa majú poskytovať z registra zahraničných zvereneckých fondov, pretože všetky subjekty sú zapisované priamo do registra právnických osôb, inak nemôže prebehnúť ani zápis žiadneho údaja zo záznamu o konečnom užívateľovi výhod. Zároveň register právnických osôb nie je určený na zápis zahraničných osôb, ktoré nevznikli podľa práva SR alebo tu nevykonávajú podnikateľskú činnosť, preto sa o zahraničných zvereneckých fondoch nebudú a nemôžu viesť údaje tak, ako o osobách, ktorým sa prideľuje IČO.  Štatistický úrad SR musí vykonať vzhľadom na nutné dodatočné technické zásahy spočívajúce v zmene logiky zápisu údajov o zahraničných zvereneckých fondoch do registra právnických osôb a do modulu registra konečných užívateľov výhod podrobnú procesnú analýzu IKT v spolupráci s dodávateľmi služieb údržby, podpory prevádzky a rozvoja registra právnických osôb. Zvolené technické riešenie bude mať zásadný vplyv na kvantifikáciu požadovaných prostriedkov štátneho rozpočtu a na pripravenosť informačného systému k dátumu účinnosti návrhu zákona (technické riešenie, prípadné verejné obstarávanie). Z tohto dôvodu požadujeme presunúť dátum účinnosti na 1. júla 2026.</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rozporového konania ostane dátum účinnosti 1. marec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 [§ 24c ods. 2 a 9]</w:t>
              <w:br/>
            </w:r>
            <w:r>
              <w:rPr>
                <w:b w:val="off"/>
                <w:color w:val="000000"/>
                <w:rFonts w:ascii="Times New Roman" w:hAnsi="Times New Roman" w:cs="Times New Roman" w:eastAsia="Times New Roman"/>
                <w:sz w:val="24"/>
              </w:rPr>
              <w:t xml:space="preserve">Žiadame z úvodnej vety odseku 2 vypustiť slová "ak odsek 9 neustanovuje inak, a". </w:t>
              <w:br/>
            </w:r>
            <w:r>
              <w:rPr>
                <w:b w:val="off"/>
                <w:color w:val="000000"/>
                <w:rFonts w:ascii="Times New Roman" w:hAnsi="Times New Roman" w:cs="Times New Roman" w:eastAsia="Times New Roman"/>
                <w:sz w:val="24"/>
              </w:rPr>
              <w:t>Odôvodnenie: Odseky 2 a 9 odkazujú jeden na druhý, čo je mätúce. Na aplikáciu výnimky z povinnosti zápisu je postačujúce, ak bude táto výnimka upravená len odsekom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ADDS</w:t>
            </w:r>
            <w:r>
              <w:rPr>
                <w:b w:val="off"/>
                <w:color w:val="000000"/>
                <w:rFonts w:ascii="Times New Roman" w:hAnsi="Times New Roman" w:cs="Times New Roman" w:eastAsia="Times New Roman"/>
                <w:sz w:val="24"/>
              </w:rPr>
              <w:t xml:space="preserve"> – Asociácia doplnkových dôchodkových poisťovní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ADSS</w:t>
            </w:r>
            <w:r>
              <w:rPr>
                <w:b w:val="off"/>
                <w:color w:val="000000"/>
                <w:rFonts w:ascii="Times New Roman" w:hAnsi="Times New Roman" w:cs="Times New Roman" w:eastAsia="Times New Roman"/>
                <w:sz w:val="24"/>
              </w:rPr>
              <w:t xml:space="preserve"> – Asociácia dôchodkových správcovských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AFISPoz</w:t>
            </w:r>
            <w:r>
              <w:rPr>
                <w:b w:val="off"/>
                <w:color w:val="000000"/>
                <w:rFonts w:ascii="Times New Roman" w:hAnsi="Times New Roman" w:cs="Times New Roman" w:eastAsia="Times New Roman"/>
                <w:sz w:val="24"/>
              </w:rPr>
              <w:t xml:space="preserve"> – Asociácia finančných sprostredkovateľov a finančných poradcov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ALS SR</w:t>
            </w:r>
            <w:r>
              <w:rPr>
                <w:b w:val="off"/>
                <w:color w:val="000000"/>
                <w:rFonts w:ascii="Times New Roman" w:hAnsi="Times New Roman" w:cs="Times New Roman" w:eastAsia="Times New Roman"/>
                <w:sz w:val="24"/>
              </w:rPr>
              <w:t xml:space="preserve"> – Asociácia leasingových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AOCP</w:t>
            </w:r>
            <w:r>
              <w:rPr>
                <w:b w:val="off"/>
                <w:color w:val="000000"/>
                <w:rFonts w:ascii="Times New Roman" w:hAnsi="Times New Roman" w:cs="Times New Roman" w:eastAsia="Times New Roman"/>
                <w:sz w:val="24"/>
              </w:rPr>
              <w:t xml:space="preserve"> – Asociácia obchodníkov s cennými papiermi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AZP SR</w:t>
            </w:r>
            <w:r>
              <w:rPr>
                <w:b w:val="off"/>
                <w:color w:val="000000"/>
                <w:rFonts w:ascii="Times New Roman" w:hAnsi="Times New Roman" w:cs="Times New Roman" w:eastAsia="Times New Roman"/>
                <w:sz w:val="24"/>
              </w:rPr>
              <w:t xml:space="preserve"> – Asociácia zdravotných poisťovní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NK SR</w:t>
            </w:r>
            <w:r>
              <w:rPr>
                <w:b w:val="off"/>
                <w:color w:val="000000"/>
                <w:rFonts w:ascii="Times New Roman" w:hAnsi="Times New Roman" w:cs="Times New Roman" w:eastAsia="Times New Roman"/>
                <w:sz w:val="24"/>
              </w:rPr>
              <w:t xml:space="preserve"> – Notárska komora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SASS</w:t>
            </w:r>
            <w:r>
              <w:rPr>
                <w:b w:val="off"/>
                <w:color w:val="000000"/>
                <w:rFonts w:ascii="Times New Roman" w:hAnsi="Times New Roman" w:cs="Times New Roman" w:eastAsia="Times New Roman"/>
                <w:sz w:val="24"/>
              </w:rPr>
              <w:t xml:space="preserve"> – Slovenská asosciácia správcovských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SKAU</w:t>
            </w:r>
            <w:r>
              <w:rPr>
                <w:b w:val="off"/>
                <w:color w:val="000000"/>
                <w:rFonts w:ascii="Times New Roman" w:hAnsi="Times New Roman" w:cs="Times New Roman" w:eastAsia="Times New Roman"/>
                <w:sz w:val="24"/>
              </w:rPr>
              <w:t xml:space="preserve"> – Slovenská komora audítorov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SKE</w:t>
            </w:r>
            <w:r>
              <w:rPr>
                <w:b w:val="off"/>
                <w:color w:val="000000"/>
                <w:rFonts w:ascii="Times New Roman" w:hAnsi="Times New Roman" w:cs="Times New Roman" w:eastAsia="Times New Roman"/>
                <w:sz w:val="24"/>
              </w:rPr>
              <w:t xml:space="preserve"> – Slovenská komora exekútorov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Slovak Business Agency</w:t>
            </w:r>
            <w:r>
              <w:rPr>
                <w:b w:val="off"/>
                <w:color w:val="000000"/>
                <w:rFonts w:ascii="Times New Roman" w:hAnsi="Times New Roman" w:cs="Times New Roman" w:eastAsia="Times New Roman"/>
                <w:sz w:val="24"/>
              </w:rPr>
              <w:t xml:space="preserve"> – Slovak Business Agency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14 (1o,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98 (70o, 28z)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46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