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81/2025 Z. z., ktorým sa zabezpečuje vykonávanie niektorých opatrení Európskej únie na zmiernenie globálneho odlesňovania a ktorým sa menia a dopĺňajú niektoré zákony v znení zákona č. 416/2025 Z. z.</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LP/2026/332</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16/6</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11</w:t>
      </w:r>
      <w:r w:rsidR="004A48F0">
        <w:rPr>
          <w:rFonts w:ascii="Times New Roman" w:eastAsia="Times New Roman" w:hAnsi="Times New Roman" w:cs="Times New Roman"/>
          <w:sz w:val="24"/>
          <w:szCs w:val="24"/>
        </w:rPr>
        <w:t>/6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V čl. I., § 8 ods. 2 navrhujeme vypustiť slovo: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Použitie slova „najmä“ pri vymedzení náležitostí písomného poverenia na výkon štátneho dozoru spôsobuje, že výpočet týchto náležitostí má len demonštratívny charakter. Takáto formulácia vytvára priestor na rozširovanie obsahu písomného poverenia nad rámec náležitostí výslovne ustanovených zákonom, čo nie je z pohľadu právnej istoty a predvídateľnosti výkonu verejnej moci žiaduce.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Písomné poverenie predstavuje základný dokument preukazujúci oprávnenie orgánu dozoru vykonávať štátny dozor voči konkrétnemu subjektu. Z uvedeného dôvodu by jeho zákonom ustanovené náležitosti mali byť vymedzené jednoznačne, určito a taxatívne, aby nevznikali pochybnosti o rozsahu oprávnení kontrolného orgánu ani o zákonnosti výkonu štátneho dozoru.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Navrhovanou úpravou sa posilní právna istota dotknutých subjektov, zabezpečí sa väčšia predvídateľnosť výkonu štátneho dozoru a odstránia sa možné výkladové nejasnosti pri aplikácii predmetného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w:t>
              <w:br/>
            </w:r>
            <w:r>
              <w:rPr>
                <w:b w:val="off"/>
                <w:color w:val="000000"/>
                <w:rFonts w:ascii="Times New Roman" w:hAnsi="Times New Roman" w:cs="Times New Roman" w:eastAsia="Times New Roman"/>
                <w:sz w:val="24"/>
              </w:rPr>
              <w:t>Použitie slova „najmä“ v § 8 ods. 2 je odôvodnené potrebou zachovať primeranú mieru flexibility pri vyhotovovaní písomného poverenia na výkon štátneho dozoru. Navrhované ustanovenie vymedzuje základné náležitosti písomného poverenia, ktoré sú z hľadiska preukázania oprávnenia na výkon štátneho dozoru rozhodujúce.</w:t>
              <w:br/>
            </w:r>
            <w:r>
              <w:rPr>
                <w:b w:val="off"/>
                <w:color w:val="000000"/>
                <w:rFonts w:ascii="Times New Roman" w:hAnsi="Times New Roman" w:cs="Times New Roman" w:eastAsia="Times New Roman"/>
                <w:sz w:val="24"/>
              </w:rPr>
              <w:t>V niektorých prípadoch môže byť potrebné uviesť v poverení aj ďalšie údaje, napríklad číslo poverenia, spisovú značku, právny základ výkonu dozoru, bližšie určenie rozsahu dozoru alebo spôsob jeho výkonu, prípadne iné údaje potrebné vzhľadom na osobitosti konkrétneho prípadu.</w:t>
              <w:br/>
            </w:r>
            <w:r>
              <w:rPr>
                <w:b w:val="off"/>
                <w:color w:val="000000"/>
                <w:rFonts w:ascii="Times New Roman" w:hAnsi="Times New Roman" w:cs="Times New Roman" w:eastAsia="Times New Roman"/>
                <w:sz w:val="24"/>
              </w:rPr>
              <w:t xml:space="preserve">Vypustenie slova „najmä“ by mohlo viesť k neprimerane rigidnému výkladu, podľa ktorého by písomné poverenie mohlo obsahovať výlučne náležitosti uvedené v § 8 ods. 2 písm. a) až g). </w:t>
              <w:br/>
            </w:r>
            <w:r>
              <w:rPr>
                <w:b w:val="off"/>
                <w:color w:val="000000"/>
                <w:rFonts w:ascii="Times New Roman" w:hAnsi="Times New Roman" w:cs="Times New Roman" w:eastAsia="Times New Roman"/>
                <w:sz w:val="24"/>
              </w:rPr>
              <w:t>Ponechanie slova „najmä“ neznamená rozšírenie zákonných oprávnení orgánu dozoru. Rozsah oprávnení orgánu dozoru vyplýva priamo zo zákona č. 81/2025 Z. z., nie z toho, že poverenie môže obsahovať aj ďalšie doplňujúce údaje. Uvedenie ďalších údajov v písomnom poverení nemôže založiť nové oprávnenia orgánu dozoru nad rámec zákona ani zhoršiť právne postavenie osoby podliehajúcej dozoru.</w:t>
              <w:br/>
            </w:r>
            <w:r>
              <w:rPr>
                <w:b w:val="off"/>
                <w:color w:val="000000"/>
                <w:rFonts w:ascii="Times New Roman" w:hAnsi="Times New Roman" w:cs="Times New Roman" w:eastAsia="Times New Roman"/>
                <w:sz w:val="24"/>
              </w:rPr>
              <w:t>Právna istota dotknutých subjektov je zabezpečená tým, že zákon výslovne ustanovuje základné náležitosti poverenia a zároveň v odseku 3 presne upravuje prípady, v ktorých sa niektoré z nich nevyžadujú alebo sa dopĺňajú dodatkom. Demonštratívny charakter výpočtu náležitostí poverenia tak slúži len na umožnenie doplnenia ďalších relevantných údajov podľa okolností konkrétneho prípadu, nie na svojvoľné rozširovanie právomocí orgánu dozoru.</w:t>
              <w:br/>
            </w:r>
            <w:r>
              <w:rPr>
                <w:b w:val="off"/>
                <w:color w:val="000000"/>
                <w:rFonts w:ascii="Times New Roman" w:hAnsi="Times New Roman" w:cs="Times New Roman" w:eastAsia="Times New Roman"/>
                <w:sz w:val="24"/>
              </w:rPr>
              <w:t>Pri prísnom obmedzení a taxatívnom vymedzení náležitostí poverenia na výkon dozoru by mohli vznikať situácie, v ktorých by dozorovaný subjekt spochybňoval zákonnosť celého vykonaného dozoru výlučne z dôvodu formálnych nedostatkov poverenia, hoci by tieto nedostatky nemali vplyv na samotný účel, priebeh ani výsledok dozoru.</w:t>
              <w:br/>
            </w:r>
            <w:r>
              <w:rPr>
                <w:b w:val="off"/>
                <w:color w:val="000000"/>
                <w:rFonts w:ascii="Times New Roman" w:hAnsi="Times New Roman" w:cs="Times New Roman" w:eastAsia="Times New Roman"/>
                <w:sz w:val="24"/>
              </w:rPr>
              <w:t xml:space="preserve">Na rozporovom konaní dňa 8.7.2026 nedošlo k odstráneniu rozporu,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Slová: „troch rokov“ navrhujeme nahradiť slovami: „ jedného roku“ a slová: „ piatich rokov“ navrhujeme nahradiť slovami: „troch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skrátiť navrhované lehoty z troch rokov na jeden rok a z piatich rokov na tri roky. Navrhované lehoty považujeme za neprimerane dlhé vzhľadom na charakter regulovaných povinností a účel sankčného mechanizmu. Sankcionovanie porušení povinností by malo nasledovať v primeranom časovom odstupe od ich spáchania, aby bol zachovaný jeho preventívny a nápravný účinok. S rastúcim časovým odstupom zároveň dochádza k oslabeniu väzby medzi porušením povinnosti a uloženou sankciou.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w:t>
              <w:br/>
            </w:r>
            <w:r>
              <w:rPr>
                <w:b w:val="off"/>
                <w:color w:val="000000"/>
                <w:rFonts w:ascii="Times New Roman" w:hAnsi="Times New Roman" w:cs="Times New Roman" w:eastAsia="Times New Roman"/>
                <w:sz w:val="24"/>
              </w:rPr>
              <w:t>Prejednanie priestupkov v oblasti odlesňovania a degradácie lesov môže byť administratívne a dôkazne rovnako náročné ako konanie o iných správnych deliktoch. Výkon štátneho dozoru prebieha rovnakým spôsobom a môže zahŕňať preverovanie náležitej starostlivosti, vyhlásení, geolokalizačných údajov, sledovateľnosti dodávateľského reťazca, satelitných podkladov, pôvodu komodity alebo výrobku, ako aj súčinnosť s colnými orgánmi, orgánmi iných členských štátov alebo tretích krajín. Rozdiel spočíva len v právnom postavení osoby, voči ktorej sa konanie vedie, teda v tom, že ide o fyzickú osobu (ktorá je sankcionovaná v priestupkovom konaní), nie o právnickú osobu alebo fyzickú osobu – podnikateľa (ktorí sú sankcionovaní za iný správny delikt). To však samo osebe neznamená, že následok konania je menej závažný alebo je protiprávnosť skutku jednoduchšie preukázať príslušným orgánom.</w:t>
              <w:br/>
            </w:r>
            <w:r>
              <w:rPr>
                <w:b w:val="off"/>
                <w:color w:val="000000"/>
                <w:rFonts w:ascii="Times New Roman" w:hAnsi="Times New Roman" w:cs="Times New Roman" w:eastAsia="Times New Roman"/>
                <w:sz w:val="24"/>
              </w:rPr>
              <w:t>Päťročná lehota je odôvodnená aj samotným nariadením (EÚ) 2023/1115, ktoré ukladá hospodárskym subjektom uchovávať dokumentáciu týkajúcu sa náležitej starostlivosti najmenej päť rokov. Ak právna úprava EÚ počíta s päťročnou dostupnosťou podkladov rozhodujúcich pre kontrolu plnenia povinností, je primerané, aby tomu zodpovedal aj vnútroštátny časový rámec na prejednanie porušenia týchto povinností.</w:t>
              <w:br/>
            </w:r>
            <w:r>
              <w:rPr>
                <w:b w:val="off"/>
                <w:color w:val="000000"/>
                <w:rFonts w:ascii="Times New Roman" w:hAnsi="Times New Roman" w:cs="Times New Roman" w:eastAsia="Times New Roman"/>
                <w:sz w:val="24"/>
              </w:rPr>
              <w:t>Pripomienkou navrhované riešenie by v časti jednoročnej subjektívnej lehoty znamenalo dokonca zvoľnenie oproti súčasnému stavu podľa zákona o priestupkoch. Podľa platnej všeobecnej úpravy možno priestupok prejednať do dvoch rokov od jeho spáchania, bez ohľadu na to, kedy sa o ňom príslušný orgán dozvedel. Zavedenie jednoročnej subjektívnej lehoty by preto mohlo viesť k skoršiemu zániku možnosti priestupok prejednať, než je tomu podľa súčasnej právnej úpravy.</w:t>
              <w:br/>
            </w:r>
            <w:r>
              <w:rPr>
                <w:b w:val="off"/>
                <w:color w:val="000000"/>
                <w:rFonts w:ascii="Times New Roman" w:hAnsi="Times New Roman" w:cs="Times New Roman" w:eastAsia="Times New Roman"/>
                <w:sz w:val="24"/>
              </w:rPr>
              <w:t>Navrhované lehoty zároveň predstavujú len najneskorší rámec na prejednanie priestupku. Nezbavujú orgán dozoru povinnosti konať bez zbytočných prieťahov a neznamenajú, že sankcia má byť ukladaná s neodôvodneným časovým odstupom. Ich účelom je zabezpečiť, aby v skutkovo a dôkazne náročných prípadoch nedochádzalo k zániku možnosti priestupok prejednať len z dôvodu krátkej lehoty.</w:t>
              <w:br/>
            </w:r>
            <w:r>
              <w:rPr>
                <w:b w:val="off"/>
                <w:color w:val="000000"/>
                <w:rFonts w:ascii="Times New Roman" w:hAnsi="Times New Roman" w:cs="Times New Roman" w:eastAsia="Times New Roman"/>
                <w:sz w:val="24"/>
              </w:rPr>
              <w:t>Účelom navrhovanej úpravy je zjednotiť lehoty na prejednanie priestupku s lehotami na prejednanie iného správneho deliktu podľa § 14 ods. 14 vyhláseného znenia zákona č. 81/2025 Z. z., teda so subjektívnou lehotou tri roky a objektívnou lehotou päť rokov. Takéto zjednotenie je odôvodnené tým, že dokazovací proces je pri priestupkoch aj iných správnych deliktoch porovnateľne zložitý. Závažnosť protiprávneho konania by sa preto nemala odlišovať rozdielnou dĺžkou lehôt na jeho prejednanie, ale výškou sankcie. Navrhovaná úprava nemení sadzby pokút, pričom pokuty za priestupky zostávajú výrazne nižšie ako pokuty za iné správne delikty.</w:t>
              <w:br/>
            </w:r>
            <w:r>
              <w:rPr>
                <w:b w:val="off"/>
                <w:color w:val="000000"/>
                <w:rFonts w:ascii="Times New Roman" w:hAnsi="Times New Roman" w:cs="Times New Roman" w:eastAsia="Times New Roman"/>
                <w:sz w:val="24"/>
              </w:rPr>
              <w:t xml:space="preserve">Na rozporovom konaní dňa 8.7.2026 nedošlo k odstráneniu rozporu,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32</w:t>
              <w:br/>
            </w:r>
            <w:r>
              <w:rPr>
                <w:b w:val="off"/>
                <w:color w:val="000000"/>
                <w:rFonts w:ascii="Times New Roman" w:hAnsi="Times New Roman" w:cs="Times New Roman" w:eastAsia="Times New Roman"/>
                <w:sz w:val="24"/>
              </w:rPr>
              <w:t>Slová: „päť rokov“ navrhujeme nahradiť slovami: „tri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päťročná lehota predstavuje neprimerane dlhé obdobie právnej neistoty pre hospodárske subjekty. Účelom sankčného mechanizmu má byť predovšetkým včasná reakcia na porušenie povinností a zabezpečenie preventívneho a nápravného účinku sankcie. S rastúcim časovým odstupom od porušenia povinnosti sa tento účinok oslabuje. Navrhovaná trojročná lehota poskytuje orgánu dozoru dostatočný časový priestor na zistenie, preverenie a sankcionovanie porušenia povinností, pričom zároveň primerane zohľadňuje požiadavku právnej istoty a predvídateľnosti právneho prostredia pre hospodárske subjekty.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w:t>
              <w:br/>
            </w:r>
            <w:r>
              <w:rPr>
                <w:b w:val="off"/>
                <w:color w:val="000000"/>
                <w:rFonts w:ascii="Times New Roman" w:hAnsi="Times New Roman" w:cs="Times New Roman" w:eastAsia="Times New Roman"/>
                <w:sz w:val="24"/>
              </w:rPr>
              <w:t>Navrhovaná päťročná lehota je v právnom poriadku Slovenskej republiky pre posudzovanie opakovaného spáchania iných správnych deliktov bežne zaužívaná. Bola prevzatá zo zákona č. 113/2018 Z. z. o uvádzaní dreva a výrobkov z dreva na vnútorný trh, ktorý upravuje obdobnú právnu oblasť. Zachovanie rovnakej lehoty je odôvodnené potrebou kontinuity pri presadzovaní povinností v oblasti uvádzania dreva, výrobkov z dreva a ďalších relevantných komodít na trh. Päťročné obdobie pri posudzovaní opakovaného porušenia povinností používa aj zákon č. 220/2004 Z. z. o ochrane a využívaní poľnohospodárskej pôdy, zároveň je tento časový rámec použitý aj v zákone č. 455/1991 Zb. o živnostenskom podnikaní (živnostenský zákon) pri sankcionovaní neoprávneného podnikania. Nejde teda o neštandardnú alebo neprimeranú lehotu.</w:t>
              <w:br/>
            </w:r>
            <w:r>
              <w:rPr>
                <w:b w:val="off"/>
                <w:color w:val="000000"/>
                <w:rFonts w:ascii="Times New Roman" w:hAnsi="Times New Roman" w:cs="Times New Roman" w:eastAsia="Times New Roman"/>
                <w:sz w:val="24"/>
              </w:rPr>
              <w:t>Päťročná lehota je primeraná aj ohľadom na povahu povinností podľa nariadenia (EÚ) 2023/1115, kde sa počíta s tým, že hospodárske subjekty uchovávajú relevantné informácie, dokumenty a údaje päť rokov od umiestnenia príslušných výrobkov na trh alebo  od ich vývozu.</w:t>
              <w:br/>
            </w:r>
            <w:r>
              <w:rPr>
                <w:b w:val="off"/>
                <w:color w:val="000000"/>
                <w:rFonts w:ascii="Times New Roman" w:hAnsi="Times New Roman" w:cs="Times New Roman" w:eastAsia="Times New Roman"/>
                <w:sz w:val="24"/>
              </w:rPr>
              <w:t>Navrhovaná úprava sa uplatní len v prípade, ak už bolo za predchádzajúci iný správny delikt právoplatne rozhodnuté o uložení pokuty a subjekt napriek tomu opätovne poruší povinnosti podľa zákona. Nejde teda o neočakávaný zásah do právneho postavenia subjektu, ale o zohľadnenie skutočnosti, že predchádzajúca sankcia nesplnila dostatočný nápravný účinok.</w:t>
              <w:br/>
            </w:r>
            <w:r>
              <w:rPr>
                <w:b w:val="off"/>
                <w:color w:val="000000"/>
                <w:rFonts w:ascii="Times New Roman" w:hAnsi="Times New Roman" w:cs="Times New Roman" w:eastAsia="Times New Roman"/>
                <w:sz w:val="24"/>
              </w:rPr>
              <w:t>Skrátenie lehoty na tri roky by nebolo vhodné, keďže by oslabovalo preventívny a odradzujúci účinok sankčného mechanizmu pri opakovaných porušeniach povinností, ktorý vyplýva priamo z čl. 25 ods. 2 písm. a) nariadenia EÚ) 2023/1115.</w:t>
              <w:br/>
            </w:r>
            <w:r>
              <w:rPr>
                <w:b w:val="off"/>
                <w:color w:val="000000"/>
                <w:rFonts w:ascii="Times New Roman" w:hAnsi="Times New Roman" w:cs="Times New Roman" w:eastAsia="Times New Roman"/>
                <w:sz w:val="24"/>
              </w:rPr>
              <w:t xml:space="preserve">Na rozporovom konaní dňa 8.7.2026 nedošlo k odstráneniu rozporu,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navrhujeme v každom bode vypustiť slová „čl. I“ pre nadbytočnosť.</w:t>
              <w:br/>
            </w:r>
            <w:r>
              <w:rPr>
                <w:b w:val="off"/>
                <w:color w:val="000000"/>
                <w:rFonts w:ascii="Times New Roman" w:hAnsi="Times New Roman" w:cs="Times New Roman" w:eastAsia="Times New Roman"/>
                <w:sz w:val="24"/>
              </w:rPr>
              <w:t>2.	V čl. I bode 1 navrhujeme vypustiť slová „prvej vete“; pripomienka platí primerane aj pre body 5, 7 (v nadväznosti na uvedené vypustiť slovo „ods.“ pred číslom 8), 18.</w:t>
              <w:br/>
            </w:r>
            <w:r>
              <w:rPr>
                <w:b w:val="off"/>
                <w:color w:val="000000"/>
                <w:rFonts w:ascii="Times New Roman" w:hAnsi="Times New Roman" w:cs="Times New Roman" w:eastAsia="Times New Roman"/>
                <w:sz w:val="24"/>
              </w:rPr>
              <w:t>3.	V čl. I odporúčame bod 5 rozdeliť do dvoch novelizačných bodov, keďže druhá časť bodu novelizuje § 8 ods. 6.</w:t>
              <w:br/>
            </w:r>
            <w:r>
              <w:rPr>
                <w:b w:val="off"/>
                <w:color w:val="000000"/>
                <w:rFonts w:ascii="Times New Roman" w:hAnsi="Times New Roman" w:cs="Times New Roman" w:eastAsia="Times New Roman"/>
                <w:sz w:val="24"/>
              </w:rPr>
              <w:t>4.	V čl. I bode 10 navrhujeme vzhľadom k rozsahu zmien upraviť bod takto: „V § 13 ods. 1 písmeno c) znie:“ a upraviť slovosled tak aby sa pododsek začínal slovesom (táto časť pripomienky platí  aj pre body 11, 12, 13, 19, 22).</w:t>
              <w:br/>
            </w:r>
            <w:r>
              <w:rPr>
                <w:b w:val="off"/>
                <w:color w:val="000000"/>
                <w:rFonts w:ascii="Times New Roman" w:hAnsi="Times New Roman" w:cs="Times New Roman" w:eastAsia="Times New Roman"/>
                <w:sz w:val="24"/>
              </w:rPr>
              <w:t>5.	V čl. I bode 25 v § 14 ods. 3 písm. b) navrhujeme na konci čiarku nahradiť slovom „alebo“.</w:t>
              <w:br/>
            </w:r>
            <w:r>
              <w:rPr>
                <w:b w:val="off"/>
                <w:color w:val="000000"/>
                <w:rFonts w:ascii="Times New Roman" w:hAnsi="Times New Roman" w:cs="Times New Roman" w:eastAsia="Times New Roman"/>
                <w:sz w:val="24"/>
              </w:rPr>
              <w:t>6.	V čl. I bode 33 navrhujeme slová „ustanovenia odsekov“ nahradiť slovom „odseky“.</w:t>
              <w:br/>
            </w:r>
            <w:r>
              <w:rPr>
                <w:b w:val="off"/>
                <w:color w:val="000000"/>
                <w:rFonts w:ascii="Times New Roman" w:hAnsi="Times New Roman" w:cs="Times New Roman" w:eastAsia="Times New Roman"/>
                <w:sz w:val="24"/>
              </w:rPr>
              <w:t>7.	V predkladacej správe navrhujeme vypustiť odsek o účinnosti pre nadbytočnosť.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Pripomienky v bodoch 1, 3 a 7, ako aj v bode 4, pokiaľ ide o umiestnenie slovesa v pododsekoch, boli akceptované. Ďalšie pripomienky neboli akceptované s cieľom ponechania spresnenia novelizačných bodov a zachovania jednotnej legislatívnej techniky v novelizovanom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(v čl. I bodoch 1 až 33 vypustiť slová „čl. I“ ako nadbytočné, v bode 3 úvodnú vetu preformulovať takto: „Poznámka pod čiarou k odkazu 44 znie:“ a v poznámke pod čiarou k odkazu 44 za slovami „čl. 18 a“ vypustiť slovo „čl.“).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16</w:t>
              <w:br/>
            </w:r>
            <w:r>
              <w:rPr>
                <w:b w:val="off"/>
                <w:color w:val="000000"/>
                <w:rFonts w:ascii="Times New Roman" w:hAnsi="Times New Roman" w:cs="Times New Roman" w:eastAsia="Times New Roman"/>
                <w:sz w:val="24"/>
              </w:rPr>
              <w:t>V čl. I novelizačnom bode 16 odporúčame slová „ak ide o opakované spáchanie priestupku“ nahradiť slovami „ak ide o priestupok“. Odôvodnenie : Skutočnosť, že ide pokutu pri opakovanom spáchaní priestupku, vyplýva už z úvodnej vety.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dôvodu právnej istoty zotrváme na pôvodnom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každom novelizačnom bode odporúčame vypustiť v úvodnej vete slová ,,čl. I" z dôvodu nadbytočnosti.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v doložke vybraných vplyvov v bode 10. Poznámky popísať možný negatívny sociálny vplyv.</w:t>
              <w:br/>
            </w:r>
            <w:r>
              <w:rPr>
                <w:b w:val="off"/>
                <w:color w:val="000000"/>
                <w:rFonts w:ascii="Times New Roman" w:hAnsi="Times New Roman" w:cs="Times New Roman" w:eastAsia="Times New Roman"/>
                <w:sz w:val="24"/>
              </w:rPr>
              <w:t xml:space="preserve">Odôvodnenie: Zvýšené administratívne a logistické náklady  do nových systémov </w:t>
              <w:br/>
            </w:r>
            <w:r>
              <w:rPr>
                <w:b w:val="off"/>
                <w:color w:val="000000"/>
                <w:rFonts w:ascii="Times New Roman" w:hAnsi="Times New Roman" w:cs="Times New Roman" w:eastAsia="Times New Roman"/>
                <w:sz w:val="24"/>
              </w:rPr>
              <w:t xml:space="preserve">na sledovanie pôvodu tovaru môžu dodávatelia premietnuť do konečných cien výrobkov </w:t>
              <w:br/>
            </w:r>
            <w:r>
              <w:rPr>
                <w:b w:val="off"/>
                <w:color w:val="000000"/>
                <w:rFonts w:ascii="Times New Roman" w:hAnsi="Times New Roman" w:cs="Times New Roman" w:eastAsia="Times New Roman"/>
                <w:sz w:val="24"/>
              </w:rPr>
              <w:t>a  tovarov.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nemá identifikované sociálne vplyvy, keďže sám osebe nezavádza nové vecné povinnosti, ktoré by priamo ovplyvňovali príjmy, výdavky alebo životné podmienky obyvateľstva.</w:t>
              <w:br/>
            </w:r>
            <w:r>
              <w:rPr>
                <w:b w:val="off"/>
                <w:color w:val="000000"/>
                <w:rFonts w:ascii="Times New Roman" w:hAnsi="Times New Roman" w:cs="Times New Roman" w:eastAsia="Times New Roman"/>
                <w:sz w:val="24"/>
              </w:rPr>
              <w:t>Predkladaná novela má charakter zosúladenia zákona č. 81/2025 Z. z. so zmenami vykonanými v nariadení o odlesňovaní v platnom znení, najmä vo vzťahu k upraveným kategóriám dotknutých subjektov, rozsahu ich povinností a súvisiacemu výkonu štátneho dozoru.</w:t>
              <w:br/>
            </w:r>
            <w:r>
              <w:rPr>
                <w:b w:val="off"/>
                <w:color w:val="000000"/>
                <w:rFonts w:ascii="Times New Roman" w:hAnsi="Times New Roman" w:cs="Times New Roman" w:eastAsia="Times New Roman"/>
                <w:sz w:val="24"/>
              </w:rPr>
              <w:t>Zároveň platí, že predmetná právna úprava sa ešte nezačala uplatňovať v praxi. S ohľadom na komplexnosť dodávateľských reťazcov, rôznorodosť dotknutých komodít a výrobkov, meniaci sa rozsah príslušných výrobkov, ako aj meniace sa vymedzenie dotknutých subjektov, nie je v súčasnosti možné objektívne vyčísliť prípadné nepriame dopady na konečné ceny výrobkov a tovarov. Takéto vyčíslenie by bolo založené len na hypotetických predpokladoch a nemalo by dostatočnú výpovednú hodnotu.</w:t>
              <w:br/>
            </w:r>
            <w:r>
              <w:rPr>
                <w:b w:val="off"/>
                <w:color w:val="000000"/>
                <w:rFonts w:ascii="Times New Roman" w:hAnsi="Times New Roman" w:cs="Times New Roman" w:eastAsia="Times New Roman"/>
                <w:sz w:val="24"/>
              </w:rPr>
              <w:t xml:space="preserve">Účelom predmetu novely nie je ani zvyšovanie sadzieb pokút za zistené porušenia, ani zavádzanie nových ustanovení, podľa ktorých by sa mohli uplatňovať nové sankcie. </w:t>
              <w:br/>
            </w:r>
            <w:r>
              <w:rPr>
                <w:b w:val="off"/>
                <w:color w:val="000000"/>
                <w:rFonts w:ascii="Times New Roman" w:hAnsi="Times New Roman" w:cs="Times New Roman" w:eastAsia="Times New Roman"/>
                <w:sz w:val="24"/>
              </w:rPr>
              <w:t>Možné premietnutie nákladov dodávateľov do konečných cien predstavuje nepriamy, neistý a trhovými okolnosťami podmienený jav, ktorý nemožno bez dostupných údajov pripísať predkladanej novele zákona ako jej sociálny vplyv. Z uvedeného dôvodu za predkladateľa zotrvávame na závere, že návrh zákona nemá sociálne vplyvy.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Všeobecne k poznámkam pod čiarou: Žiadame vypustiť z novelizačných bodov zmeny, ktorými sa v poznámkach pod čiarou dopĺňa k nariadeniu (EÚ) 2023/1115 dodatok ,,v platnom znení“ a pridať nový novelizačný bod, ktorým sa vo všetkých poznámkach pod čiarou v zákone č. 81/2025 Z. z. doplní k nariadeniu (EÚ) 2023/1115 dodatok ,,v platnom znení“. V zmysle bodu 62.11. prílohy č. 1 k Legislatívnym pravidlám vlády SR je potrebné, aby sa nariadenie (EÚ) 2023/1115 citovalo v celom zákone s dodatkom ,,v platnom znení“. Odporúčame použiť legislatívnu techniku v zmysle bodu 41.1.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II: Žiadame upraviť účinnosť zákona na 30. decembra 2026, vzhľadom na to, že v zmysle čl. 38 nariadenia (EÚ) 2023/1115 v platnom znení, ktoré sa predmetným zákonom implementuje, sa nariadenie uplatňuje od 30. decembra 2026. Zároveň poukazujeme na to, že samotný čl. I zákona č. 81/2025 Z. z. v znení zákona č. 416/2025 Z. z. nadobúda účinnosť 30. decembra 2026 a nie je možné, aby jeho novela nadobudla účinnosť skorej ako novelizovaný zákon.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V čl. I., § 8 ods. 2 navrhujeme vypustiť slovo: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Použitie slova „najmä“ pri vymedzení náležitostí písomného poverenia na výkon štátneho dozoru spôsobuje, že výpočet týchto náležitostí má len demonštratívny charakter. Takáto formulácia vytvára priestor na rozširovanie obsahu písomného poverenia nad rámec náležitostí výslovne ustanovených zákonom, čo nie je z pohľadu právnej istoty a predvídateľnosti výkonu verejnej moci žiaduce.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Písomné poverenie predstavuje základný dokument preukazujúci oprávnenie orgánu dozoru vykonávať štátny dozor voči konkrétnemu subjektu. Z uvedeného dôvodu by jeho zákonom ustanovené náležitosti mali byť vymedzené jednoznačne, určito a taxatívne, aby nevznikali pochybnosti o rozsahu oprávnení kontrolného orgánu ani o zákonnosti výkonu štátneho dozoru.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Navrhovanou úpravou sa posilní právna istota dotknutých subjektov, zabezpečí sa väčšia predvídateľnosť výkonu štátneho dozoru a odstránia sa možné výkladové nejasnosti pri aplikácii predmetného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w:t>
              <w:br/>
            </w:r>
            <w:r>
              <w:rPr>
                <w:b w:val="off"/>
                <w:color w:val="000000"/>
                <w:rFonts w:ascii="Times New Roman" w:hAnsi="Times New Roman" w:cs="Times New Roman" w:eastAsia="Times New Roman"/>
                <w:sz w:val="24"/>
              </w:rPr>
              <w:t>Použitie slova „najmä“ v § 8 ods. 2 je odôvodnené potrebou zachovať primeranú mieru flexibility pri vyhotovovaní písomného poverenia na výkon štátneho dozoru. Navrhované ustanovenie vymedzuje základné náležitosti písomného poverenia, ktoré sú z hľadiska preukázania oprávnenia na výkon štátneho dozoru rozhodujúce.</w:t>
              <w:br/>
            </w:r>
            <w:r>
              <w:rPr>
                <w:b w:val="off"/>
                <w:color w:val="000000"/>
                <w:rFonts w:ascii="Times New Roman" w:hAnsi="Times New Roman" w:cs="Times New Roman" w:eastAsia="Times New Roman"/>
                <w:sz w:val="24"/>
              </w:rPr>
              <w:t>V niektorých prípadoch môže byť potrebné uviesť v poverení aj ďalšie údaje, napríklad číslo poverenia, spisovú značku, právny základ výkonu dozoru, bližšie určenie rozsahu dozoru alebo spôsob jeho výkonu, prípadne iné údaje potrebné vzhľadom na osobitosti konkrétneho prípadu.</w:t>
              <w:br/>
            </w:r>
            <w:r>
              <w:rPr>
                <w:b w:val="off"/>
                <w:color w:val="000000"/>
                <w:rFonts w:ascii="Times New Roman" w:hAnsi="Times New Roman" w:cs="Times New Roman" w:eastAsia="Times New Roman"/>
                <w:sz w:val="24"/>
              </w:rPr>
              <w:t xml:space="preserve">Vypustenie slova „najmä“ by mohlo viesť k neprimerane rigidnému výkladu, podľa ktorého by písomné poverenie mohlo obsahovať výlučne náležitosti uvedené v § 8 ods. 2 písm. a) až g). </w:t>
              <w:br/>
            </w:r>
            <w:r>
              <w:rPr>
                <w:b w:val="off"/>
                <w:color w:val="000000"/>
                <w:rFonts w:ascii="Times New Roman" w:hAnsi="Times New Roman" w:cs="Times New Roman" w:eastAsia="Times New Roman"/>
                <w:sz w:val="24"/>
              </w:rPr>
              <w:t>Ponechanie slova „najmä“ neznamená rozšírenie zákonných oprávnení orgánu dozoru. Rozsah oprávnení orgánu dozoru vyplýva priamo zo zákona č. 81/2025 Z. z., nie z toho, že poverenie môže obsahovať aj ďalšie doplňujúce údaje. Uvedenie ďalších údajov v písomnom poverení nemôže založiť nové oprávnenia orgánu dozoru nad rámec zákona ani zhoršiť právne postavenie osoby podliehajúcej dozoru.</w:t>
              <w:br/>
            </w:r>
            <w:r>
              <w:rPr>
                <w:b w:val="off"/>
                <w:color w:val="000000"/>
                <w:rFonts w:ascii="Times New Roman" w:hAnsi="Times New Roman" w:cs="Times New Roman" w:eastAsia="Times New Roman"/>
                <w:sz w:val="24"/>
              </w:rPr>
              <w:t>Právna istota dotknutých subjektov je zabezpečená tým, že zákon výslovne ustanovuje základné náležitosti poverenia a zároveň v odseku 3 presne upravuje prípady, v ktorých sa niektoré z nich nevyžadujú alebo sa dopĺňajú dodatkom. Demonštratívny charakter výpočtu náležitostí poverenia tak slúži len na umožnenie doplnenia ďalších relevantných údajov podľa okolností konkrétneho prípadu, nie na svojvoľné rozširovanie právomocí orgánu dozoru.</w:t>
              <w:br/>
            </w:r>
            <w:r>
              <w:rPr>
                <w:b w:val="off"/>
                <w:color w:val="000000"/>
                <w:rFonts w:ascii="Times New Roman" w:hAnsi="Times New Roman" w:cs="Times New Roman" w:eastAsia="Times New Roman"/>
                <w:sz w:val="24"/>
              </w:rPr>
              <w:t>Pri prísnom obmedzení a taxatívnom vymedzení náležitostí poverenia na výkon dozoru by mohli vznikať situácie, v ktorých by dozorovaný subjekt spochybňoval zákonnosť celého vykonaného dozoru výlučne z dôvodu formálnych nedostatkov poverenia, hoci by tieto nedostatky nemali vplyv na samotný účel, priebeh ani výsledok dozoru.</w:t>
              <w:br/>
            </w:r>
            <w:r>
              <w:rPr>
                <w:b w:val="off"/>
                <w:color w:val="000000"/>
                <w:rFonts w:ascii="Times New Roman" w:hAnsi="Times New Roman" w:cs="Times New Roman" w:eastAsia="Times New Roman"/>
                <w:sz w:val="24"/>
              </w:rPr>
              <w:t xml:space="preserve">Na rozporovom konaní dňa 8.7.2026 nedošlo k odstráneniu rozporu,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Slová: „troch rokov“ navrhujeme nahradiť slovami: „ jedného roku“ a slová: „ piatich rokov“ navrhujeme nahradiť slovami: „troch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skrátiť navrhované lehoty z troch rokov na jeden rok a z piatich rokov na tri roky. Navrhované lehoty považujeme za neprimerane dlhé vzhľadom na charakter regulovaných povinností a účel sankčného mechanizmu. Sankcionovanie porušení povinností by malo nasledovať v primeranom časovom odstupe od ich spáchania, aby bol zachovaný jeho preventívny a nápravný účinok. S rastúcim časovým odstupom zároveň dochádza k oslabeniu väzby medzi porušením povinnosti a uloženou sankciou.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w:t>
              <w:br/>
            </w:r>
            <w:r>
              <w:rPr>
                <w:b w:val="off"/>
                <w:color w:val="000000"/>
                <w:rFonts w:ascii="Times New Roman" w:hAnsi="Times New Roman" w:cs="Times New Roman" w:eastAsia="Times New Roman"/>
                <w:sz w:val="24"/>
              </w:rPr>
              <w:t>Prejednanie priestupkov v oblasti odlesňovania a degradácie lesov môže byť administratívne a dôkazne rovnako náročné ako konanie o iných správnych deliktoch. Výkon štátneho dozoru prebieha rovnakým spôsobom a môže zahŕňať preverovanie náležitej starostlivosti, vyhlásení, geolokalizačných údajov, sledovateľnosti dodávateľského reťazca, satelitných podkladov, pôvodu komodity alebo výrobku, ako aj súčinnosť s colnými orgánmi, orgánmi iných členských štátov alebo tretích krajín. Rozdiel spočíva len v právnom postavení osoby, voči ktorej sa konanie vedie, teda v tom, že ide o fyzickú osobu (ktorá je sankcionovaná v priestupkovom konaní), nie o právnickú osobu alebo fyzickú osobu – podnikateľa (ktorí sú sankcionovaní za iný správny delikt). To však samo osebe neznamená, že následok konania je menej závažný alebo je protiprávnosť skutku jednoduchšie preukázať príslušným orgánom.</w:t>
              <w:br/>
            </w:r>
            <w:r>
              <w:rPr>
                <w:b w:val="off"/>
                <w:color w:val="000000"/>
                <w:rFonts w:ascii="Times New Roman" w:hAnsi="Times New Roman" w:cs="Times New Roman" w:eastAsia="Times New Roman"/>
                <w:sz w:val="24"/>
              </w:rPr>
              <w:t>Päťročná lehota je odôvodnená aj samotným nariadením (EÚ) 2023/1115, ktoré ukladá hospodárskym subjektom uchovávať dokumentáciu týkajúcu sa náležitej starostlivosti najmenej päť rokov. Ak právna úprava EÚ počíta s päťročnou dostupnosťou podkladov rozhodujúcich pre kontrolu plnenia povinností, je primerané, aby tomu zodpovedal aj vnútroštátny časový rámec na prejednanie porušenia týchto povinností.</w:t>
              <w:br/>
            </w:r>
            <w:r>
              <w:rPr>
                <w:b w:val="off"/>
                <w:color w:val="000000"/>
                <w:rFonts w:ascii="Times New Roman" w:hAnsi="Times New Roman" w:cs="Times New Roman" w:eastAsia="Times New Roman"/>
                <w:sz w:val="24"/>
              </w:rPr>
              <w:t>Pripomienkou navrhované riešenie by v časti jednoročnej subjektívnej lehoty znamenalo dokonca zvoľnenie oproti súčasnému stavu podľa zákona o priestupkoch. Podľa platnej všeobecnej úpravy možno priestupok prejednať do dvoch rokov od jeho spáchania, bez ohľadu na to, kedy sa o ňom príslušný orgán dozvedel. Zavedenie jednoročnej subjektívnej lehoty by preto mohlo viesť k skoršiemu zániku možnosti priestupok prejednať, než je tomu podľa súčasnej právnej úpravy.</w:t>
              <w:br/>
            </w:r>
            <w:r>
              <w:rPr>
                <w:b w:val="off"/>
                <w:color w:val="000000"/>
                <w:rFonts w:ascii="Times New Roman" w:hAnsi="Times New Roman" w:cs="Times New Roman" w:eastAsia="Times New Roman"/>
                <w:sz w:val="24"/>
              </w:rPr>
              <w:t>Navrhované lehoty zároveň predstavujú len najneskorší rámec na prejednanie priestupku. Nezbavujú orgán dozoru povinnosti konať bez zbytočných prieťahov a neznamenajú, že sankcia má byť ukladaná s neodôvodneným časovým odstupom. Ich účelom je zabezpečiť, aby v skutkovo a dôkazne náročných prípadoch nedochádzalo k zániku možnosti priestupok prejednať len z dôvodu krátkej lehoty.</w:t>
              <w:br/>
            </w:r>
            <w:r>
              <w:rPr>
                <w:b w:val="off"/>
                <w:color w:val="000000"/>
                <w:rFonts w:ascii="Times New Roman" w:hAnsi="Times New Roman" w:cs="Times New Roman" w:eastAsia="Times New Roman"/>
                <w:sz w:val="24"/>
              </w:rPr>
              <w:t>Účelom navrhovanej úpravy je zjednotiť lehoty na prejednanie priestupku s lehotami na prejednanie iného správneho deliktu podľa § 14 ods. 14 vyhláseného znenia zákona č. 81/2025 Z. z., teda so subjektívnou lehotou tri roky a objektívnou lehotou päť rokov. Takéto zjednotenie je odôvodnené tým, že dokazovací proces je pri priestupkoch aj iných správnych deliktoch porovnateľne zložitý. Závažnosť protiprávneho konania by sa preto nemala odlišovať rozdielnou dĺžkou lehôt na jeho prejednanie, ale výškou sankcie. Navrhovaná úprava nemení sadzby pokút, pričom pokuty za priestupky zostávajú výrazne nižšie ako pokuty za iné správne delikty.</w:t>
              <w:br/>
            </w:r>
            <w:r>
              <w:rPr>
                <w:b w:val="off"/>
                <w:color w:val="000000"/>
                <w:rFonts w:ascii="Times New Roman" w:hAnsi="Times New Roman" w:cs="Times New Roman" w:eastAsia="Times New Roman"/>
                <w:sz w:val="24"/>
              </w:rPr>
              <w:t xml:space="preserve">Na rozporovom konaní dňa 8.7.2026 nedošlo k odstráneniu rozporu,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16 a 32</w:t>
              <w:br/>
            </w:r>
            <w:r>
              <w:rPr>
                <w:b w:val="off"/>
                <w:color w:val="000000"/>
                <w:rFonts w:ascii="Times New Roman" w:hAnsi="Times New Roman" w:cs="Times New Roman" w:eastAsia="Times New Roman"/>
                <w:sz w:val="24"/>
              </w:rPr>
              <w:t>Slová: „päť rokov“ navrhujeme nahradiť slovami: „tri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päťročná lehota predstavuje neprimerane dlhé obdobie právnej neistoty pre hospodárske subjekty. Účelom sankčného mechanizmu má byť predovšetkým včasná reakcia na porušenie povinností a zabezpečenie preventívneho a nápravného účinku sankcie. S rastúcim časovým odstupom od porušenia povinnosti sa tento účinok oslabuje. Navrhovaná trojročná lehota poskytuje orgánu dozoru dostatočný časový priestor na zistenie, preverenie a sankcionovanie porušenia povinností, pričom zároveň primerane zohľadňuje požiadavku právnej istoty a predvídateľnosti právneho prostredia pre hospodárske subjekty.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w:t>
              <w:br/>
            </w:r>
            <w:r>
              <w:rPr>
                <w:b w:val="off"/>
                <w:color w:val="000000"/>
                <w:rFonts w:ascii="Times New Roman" w:hAnsi="Times New Roman" w:cs="Times New Roman" w:eastAsia="Times New Roman"/>
                <w:sz w:val="24"/>
              </w:rPr>
              <w:t>Navrhovaná päťročná lehota je v právnom poriadku Slovenskej republiky pre posudzovanie opakovaného spáchania iných správnych deliktov bežne zaužívaná. Bola prevzatá zo zákona č. 113/2018 Z. z. o uvádzaní dreva a výrobkov z dreva na vnútorný trh, ktorý upravuje obdobnú právnu oblasť. Zachovanie rovnakej lehoty je odôvodnené potrebou kontinuity pri presadzovaní povinností v oblasti uvádzania dreva, výrobkov z dreva a ďalších relevantných komodít na trh. Päťročné obdobie pri posudzovaní opakovaného porušenia povinností používa aj zákon č. 220/2004 Z. z. o ochrane a využívaní poľnohospodárskej pôdy, zároveň je tento časový rámec použitý aj v zákone č. 455/1991 Zb. o živnostenskom podnikaní (živnostenský zákon) pri sankcionovaní neoprávneného podnikania. Nejde teda o neštandardnú alebo neprimeranú lehotu.</w:t>
              <w:br/>
            </w:r>
            <w:r>
              <w:rPr>
                <w:b w:val="off"/>
                <w:color w:val="000000"/>
                <w:rFonts w:ascii="Times New Roman" w:hAnsi="Times New Roman" w:cs="Times New Roman" w:eastAsia="Times New Roman"/>
                <w:sz w:val="24"/>
              </w:rPr>
              <w:t>Päťročná lehota je primeraná aj ohľadom na povahu povinností podľa nariadenia (EÚ) 2023/1115, kde sa počíta s tým, že hospodárske subjekty uchovávajú relevantné informácie, dokumenty a údaje päť rokov od umiestnenia príslušných výrobkov na trh alebo  od ich vývozu.</w:t>
              <w:br/>
            </w:r>
            <w:r>
              <w:rPr>
                <w:b w:val="off"/>
                <w:color w:val="000000"/>
                <w:rFonts w:ascii="Times New Roman" w:hAnsi="Times New Roman" w:cs="Times New Roman" w:eastAsia="Times New Roman"/>
                <w:sz w:val="24"/>
              </w:rPr>
              <w:t>Navrhovaná úprava sa uplatní len v prípade, ak už bolo za predchádzajúci iný správny delikt alebo priestupok právoplatne rozhodnuté o uložení pokuty a subjekt napriek tomu opätovne poruší povinnosti podľa zákona. Nejde teda o neočakávaný zásah do právneho postavenia subjektu, ale o zohľadnenie skutočnosti, že predchádzajúca sankcia nesplnila dostatočný nápravný účinok.</w:t>
              <w:br/>
            </w:r>
            <w:r>
              <w:rPr>
                <w:b w:val="off"/>
                <w:color w:val="000000"/>
                <w:rFonts w:ascii="Times New Roman" w:hAnsi="Times New Roman" w:cs="Times New Roman" w:eastAsia="Times New Roman"/>
                <w:sz w:val="24"/>
              </w:rPr>
              <w:t>Skrátenie lehoty na tri roky by nebolo vhodné, keďže by oslabovalo preventívny a odradzujúci účinok sankčného mechanizmu pri opakovaných porušeniach povinností, ktorý vyplýva priamo z čl. 25 ods. 2 písm. a) nariadenia EÚ) 2023/1115.</w:t>
              <w:br/>
            </w:r>
            <w:r>
              <w:rPr>
                <w:b w:val="off"/>
                <w:color w:val="000000"/>
                <w:rFonts w:ascii="Times New Roman" w:hAnsi="Times New Roman" w:cs="Times New Roman" w:eastAsia="Times New Roman"/>
                <w:sz w:val="24"/>
              </w:rPr>
              <w:t>V prípade priestupkov je účelom navrhovanej úpravy zjednotiť lehotu na opakované spáchanie priestupku s lehotou na opakované spáchanie iného správneho deliktu, teda päť rokov. Závažnosť protiprávneho konania by sa preto nemala odlišovať rozdielnymi lehotami pri posudzovaní opakovaného spáchania skutku, ale výškou sankcie. Navrhovaná úprava nemení sadzby pokút, pričom pokuty za priestupky zostávajú výrazne nižšie ako pokuty za iné správne delikty.</w:t>
              <w:br/>
            </w:r>
            <w:r>
              <w:rPr>
                <w:b w:val="off"/>
                <w:color w:val="000000"/>
                <w:rFonts w:ascii="Times New Roman" w:hAnsi="Times New Roman" w:cs="Times New Roman" w:eastAsia="Times New Roman"/>
                <w:sz w:val="24"/>
              </w:rPr>
              <w:t xml:space="preserve">Na rozporovom konaní dňa 8.7.2026 nedošlo k odstráneniu rozporu,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  § 13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bod 16, v § 13 ods. 3 sa slová „piatich rokov“ nahrádzajú slovami „troch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skrátiť lehotu, počas ktorej môže byť upažená pokuta za opakové spáchanie priestupku. Navrhované predĺženie na päť rokov vytvára neodôvodnenú odchýlku od všeobecne zaužívaného štandardu a všeobecnej úpravy podľa zákona č. 372/1990 Zb. o priestupkoch.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sa neakceptuje. </w:t>
              <w:br/>
            </w:r>
            <w:r>
              <w:rPr>
                <w:b w:val="off"/>
                <w:color w:val="000000"/>
                <w:rFonts w:ascii="Times New Roman" w:hAnsi="Times New Roman" w:cs="Times New Roman" w:eastAsia="Times New Roman"/>
                <w:sz w:val="24"/>
              </w:rPr>
              <w:t>Päťročná lehota pre posúdenie opakovaného spáchania priestupu je primeraná aj ohľadom na povahu povinností podľa nariadenia (EÚ) 2023/1115, kde sa počíta s tým, že hospodárske subjekty uchovávajú relevantné informácie, dokumenty a údaje päť rokov od umiestnenia príslušných výrobkov na trh alebo  od ich vývozu.</w:t>
              <w:br/>
            </w:r>
            <w:r>
              <w:rPr>
                <w:b w:val="off"/>
                <w:color w:val="000000"/>
                <w:rFonts w:ascii="Times New Roman" w:hAnsi="Times New Roman" w:cs="Times New Roman" w:eastAsia="Times New Roman"/>
                <w:sz w:val="24"/>
              </w:rPr>
              <w:t>Navrhovaná úprava sa uplatní len v prípade, ak už bolo za predchádzajúci priestupok právoplatne rozhodnuté o uložení pokuty a fyzická osoba napriek tomu opätovne poruší povinnosti podľa zákona. Nejde teda o neočakávaný zásah do právneho postavenia fyzickej osoby, ale o zohľadnenie skutočnosti, že predchádzajúca sankcia nesplnila dostatočný nápravný účinok.</w:t>
              <w:br/>
            </w:r>
            <w:r>
              <w:rPr>
                <w:b w:val="off"/>
                <w:color w:val="000000"/>
                <w:rFonts w:ascii="Times New Roman" w:hAnsi="Times New Roman" w:cs="Times New Roman" w:eastAsia="Times New Roman"/>
                <w:sz w:val="24"/>
              </w:rPr>
              <w:t>Skrátenie lehoty na tri roky by nebolo vhodné, keďže by oslabovalo preventívny a odradzujúci účinok sankčného mechanizmu pri opakovaných porušeniach povinností, ktorý vyplýva priamo z čl. 25 ods. 2 písm. a) nariadenia EÚ) 2023/1115.</w:t>
              <w:br/>
            </w:r>
            <w:r>
              <w:rPr>
                <w:b w:val="off"/>
                <w:color w:val="000000"/>
                <w:rFonts w:ascii="Times New Roman" w:hAnsi="Times New Roman" w:cs="Times New Roman" w:eastAsia="Times New Roman"/>
                <w:sz w:val="24"/>
              </w:rPr>
              <w:t>Účelom navrhovanej úpravy je zjednotiť lehotu na opakované spáchanie priestupku s lehotou na opakované spáchanie iného správneho deliktu, teda päť rokov. Závažnosť protiprávneho konania by sa preto nemala odlišovať rozdielnymi lehotami pri posudzovaní opakovaného spáchania skutku, ale výškou sankcie. Navrhovaná úprava nemení sadzby pokút, pričom pokuty za priestupky zostávajú výrazne nižšie ako pokuty za iné správne delikty.</w:t>
              <w:br/>
            </w:r>
            <w:r>
              <w:rPr>
                <w:b w:val="off"/>
                <w:color w:val="000000"/>
                <w:rFonts w:ascii="Times New Roman" w:hAnsi="Times New Roman" w:cs="Times New Roman" w:eastAsia="Times New Roman"/>
                <w:sz w:val="24"/>
              </w:rPr>
              <w:t xml:space="preserve">Na rozporovom konaní dňa 8.7.2026 nedošlo k odstráneniu rozporu,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 13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bod 17, v § 13 ods. 4 sa slová „troch rokov“ nahrádzajú slovami „jedného roku“ a slová „piatich rokov“ nahrádzajú slovami „troch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skrátiť navrhované lehoty z troch rokov na jeden rok a z piatich rokov na tri roky. Navrhované lehoty považujeme za neprimerane dlhé vzhľadom na charakter regulovaných povinností.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w:t>
              <w:br/>
            </w:r>
            <w:r>
              <w:rPr>
                <w:b w:val="off"/>
                <w:color w:val="000000"/>
                <w:rFonts w:ascii="Times New Roman" w:hAnsi="Times New Roman" w:cs="Times New Roman" w:eastAsia="Times New Roman"/>
                <w:sz w:val="24"/>
              </w:rPr>
              <w:t>Prejednanie priestupkov v oblasti odlesňovania a degradácie lesov môže byť administratívne a dôkazne rovnako náročné ako konanie o iných správnych deliktoch. Výkon štátneho dozoru prebieha rovnakým spôsobom a môže zahŕňať preverovanie náležitej starostlivosti, vyhlásení, geolokalizačných údajov, sledovateľnosti dodávateľského reťazca, satelitných podkladov, pôvodu komodity alebo výrobku, ako aj súčinnosť s colnými orgánmi, orgánmi iných členských štátov alebo tretích krajín. Rozdiel spočíva len v právnom postavení osoby, voči ktorej sa konanie vedie, teda v tom, že ide o fyzickú osobu (ktorá je sankcionovaná v priestupkovom konaní), nie o právnickú osobu alebo fyzickú osobu – podnikateľa (ktorí sú sankcionovaní za iný správny delikt). To však samo osebe neznamená, že následok konania je menej závažný alebo je protiprávnosť skutku jednoduchšie preukázať príslušným orgánom.</w:t>
              <w:br/>
            </w:r>
            <w:r>
              <w:rPr>
                <w:b w:val="off"/>
                <w:color w:val="000000"/>
                <w:rFonts w:ascii="Times New Roman" w:hAnsi="Times New Roman" w:cs="Times New Roman" w:eastAsia="Times New Roman"/>
                <w:sz w:val="24"/>
              </w:rPr>
              <w:t>Päťročná lehota je odôvodnená aj samotným nariadením (EÚ) 2023/1115, ktoré ukladá hospodárskym subjektom uchovávať dokumentáciu týkajúcu sa náležitej starostlivosti najmenej päť rokov. Ak právna úprava EÚ počíta s päťročnou dostupnosťou podkladov rozhodujúcich pre kontrolu plnenia povinností, je primerané, aby tomu zodpovedal aj vnútroštátny časový rámec na prejednanie porušenia týchto povinností.</w:t>
              <w:br/>
            </w:r>
            <w:r>
              <w:rPr>
                <w:b w:val="off"/>
                <w:color w:val="000000"/>
                <w:rFonts w:ascii="Times New Roman" w:hAnsi="Times New Roman" w:cs="Times New Roman" w:eastAsia="Times New Roman"/>
                <w:sz w:val="24"/>
              </w:rPr>
              <w:t>Pripomienkou navrhované riešenie by v časti jednoročnej subjektívnej lehoty znamenalo dokonca zvoľnenie oproti súčasnému stavu podľa zákona o priestupkoch. Podľa platnej všeobecnej úpravy možno priestupok prejednať do dvoch rokov od jeho spáchania, bez ohľadu na to, kedy sa o ňom príslušný orgán dozvedel. Zavedenie jednoročnej subjektívnej lehoty by preto mohlo viesť k skoršiemu zániku možnosti priestupok prejednať, než je tomu podľa súčasnej právnej úpravy.</w:t>
              <w:br/>
            </w:r>
            <w:r>
              <w:rPr>
                <w:b w:val="off"/>
                <w:color w:val="000000"/>
                <w:rFonts w:ascii="Times New Roman" w:hAnsi="Times New Roman" w:cs="Times New Roman" w:eastAsia="Times New Roman"/>
                <w:sz w:val="24"/>
              </w:rPr>
              <w:t>Navrhované lehoty zároveň predstavujú len najneskorší rámec na prejednanie priestupku. Nezbavujú orgán dozoru povinnosti konať bez zbytočných prieťahov a neznamenajú, že sankcia má byť ukladaná s neodôvodneným časovým odstupom. Ich účelom je zabezpečiť, aby v skutkovo a dôkazne náročných prípadoch nedochádzalo k zániku možnosti priestupok prejednať len z dôvodu krátkej lehoty.</w:t>
              <w:br/>
            </w:r>
            <w:r>
              <w:rPr>
                <w:b w:val="off"/>
                <w:color w:val="000000"/>
                <w:rFonts w:ascii="Times New Roman" w:hAnsi="Times New Roman" w:cs="Times New Roman" w:eastAsia="Times New Roman"/>
                <w:sz w:val="24"/>
              </w:rPr>
              <w:t>Účelom navrhovanej úpravy je zjednotiť lehoty na prejednanie priestupku s lehotami na prejednanie iného správneho deliktu podľa § 14 ods. 14 vyhláseného znenia zákona č. 81/2025 Z. z., teda so subjektívnou lehotou tri roky a objektívnou lehotou päť rokov. Takéto zjednotenie je odôvodnené tým, že dokazovací proces je pri priestupkoch aj iných správnych deliktoch porovnateľne zložitý. Závažnosť protiprávneho konania by sa preto nemala odlišovať rozdielnou dĺžkou lehôt na jeho prejednanie, ale výškou sankcie. Navrhovaná úprava nemení sadzby pokút, pričom pokuty za priestupky zostávajú výrazne nižšie ako pokuty za iné správne delikty.</w:t>
              <w:br/>
            </w:r>
            <w:r>
              <w:rPr>
                <w:b w:val="off"/>
                <w:color w:val="000000"/>
                <w:rFonts w:ascii="Times New Roman" w:hAnsi="Times New Roman" w:cs="Times New Roman" w:eastAsia="Times New Roman"/>
                <w:sz w:val="24"/>
              </w:rPr>
              <w:t xml:space="preserve">Na rozporovom konaní dňa 8.7.2026 nedošlo k odstráneniu rozporu,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32, § 14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bod 32, v § 14 ods. 8 sa slová „päť rokov“ nahrádzajú slovami „tri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ustanoviť, že iný správny delikt je spáchaný opakovane, ak v čase jeho spáchania od nadobudnutia právoplatnosti rozhodnutia o uložení pokuty za predchádzajúci iný správny delikt podľa tohto zákona neuplynulo viac ako tri roky. Navrhovaná trojročná lehota poskytuje orgánu dozoru dostatočný časový priestor na zistenie opakovaného porušenia povinností.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w:t>
              <w:br/>
            </w:r>
            <w:r>
              <w:rPr>
                <w:b w:val="off"/>
                <w:color w:val="000000"/>
                <w:rFonts w:ascii="Times New Roman" w:hAnsi="Times New Roman" w:cs="Times New Roman" w:eastAsia="Times New Roman"/>
                <w:sz w:val="24"/>
              </w:rPr>
              <w:t>Navrhovaná päťročná lehota je v právnom poriadku Slovenskej republiky pre posudzovanie opakovaného spáchania iných správnych deliktov bežne zaužívaná. Bola prevzatá zo zákona č. 113/2018 Z. z. o uvádzaní dreva a výrobkov z dreva na vnútorný trh, ktorý upravuje obdobnú právnu oblasť. Zachovanie rovnakej lehoty je odôvodnené potrebou kontinuity pri presadzovaní povinností v oblasti uvádzania dreva, výrobkov z dreva a ďalších relevantných komodít na trh. Päťročné obdobie pri posudzovaní opakovaného porušenia povinností používa aj zákon č. 220/2004 Z. z. o ochrane a využívaní poľnohospodárskej pôdy, zároveň je tento časový rámec použitý aj v zákone č. 455/1991 Zb. o živnostenskom podnikaní (živnostenský zákon) pri sankcionovaní neoprávneného podnikania. Nejde teda o neštandardnú alebo neprimeranú lehotu.</w:t>
              <w:br/>
            </w:r>
            <w:r>
              <w:rPr>
                <w:b w:val="off"/>
                <w:color w:val="000000"/>
                <w:rFonts w:ascii="Times New Roman" w:hAnsi="Times New Roman" w:cs="Times New Roman" w:eastAsia="Times New Roman"/>
                <w:sz w:val="24"/>
              </w:rPr>
              <w:t>Päťročná lehota je primeraná aj ohľadom na povahu povinností podľa nariadenia (EÚ) 2023/1115, kde sa počíta s tým, že hospodárske subjekty uchovávajú relevantné informácie, dokumenty a údaje päť rokov od umiestnenia príslušných výrobkov na trh alebo  od ich vývozu.</w:t>
              <w:br/>
            </w:r>
            <w:r>
              <w:rPr>
                <w:b w:val="off"/>
                <w:color w:val="000000"/>
                <w:rFonts w:ascii="Times New Roman" w:hAnsi="Times New Roman" w:cs="Times New Roman" w:eastAsia="Times New Roman"/>
                <w:sz w:val="24"/>
              </w:rPr>
              <w:t>Navrhovaná úprava sa uplatní len v prípade, ak už bolo za predchádzajúci iný správny delikt právoplatne rozhodnuté o uložení pokuty a subjekt napriek tomu opätovne poruší povinnosti podľa zákona. Nejde teda o neočakávaný zásah do právneho postavenia subjektu, ale o zohľadnenie skutočnosti, že predchádzajúca sankcia nesplnila dostatočný nápravný účinok.</w:t>
              <w:br/>
            </w:r>
            <w:r>
              <w:rPr>
                <w:b w:val="off"/>
                <w:color w:val="000000"/>
                <w:rFonts w:ascii="Times New Roman" w:hAnsi="Times New Roman" w:cs="Times New Roman" w:eastAsia="Times New Roman"/>
                <w:sz w:val="24"/>
              </w:rPr>
              <w:t>Skrátenie lehoty na tri roky by nebolo vhodné, keďže by oslabovalo preventívny a odradzujúci účinok sankčného mechanizmu pri opakovaných porušeniach povinností, ktorý vyplýva priamo z čl. 25 ods. 2 písm. a) nariadenia EÚ) 2023/1115.</w:t>
              <w:br/>
            </w:r>
            <w:r>
              <w:rPr>
                <w:b w:val="off"/>
                <w:color w:val="000000"/>
                <w:rFonts w:ascii="Times New Roman" w:hAnsi="Times New Roman" w:cs="Times New Roman" w:eastAsia="Times New Roman"/>
                <w:sz w:val="24"/>
              </w:rPr>
              <w:t xml:space="preserve">Na rozporovom konaní dňa 8.7.2026 nedošlo k odstráneniu rozporu,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ZO SR</w:t>
            </w:r>
            <w:r>
              <w:rPr>
                <w:b w:val="off"/>
                <w:color w:val="000000"/>
                <w:rFonts w:ascii="Times New Roman" w:hAnsi="Times New Roman" w:cs="Times New Roman" w:eastAsia="Times New Roman"/>
                <w:sz w:val="24"/>
              </w:rPr>
              <w:t xml:space="preserve"> – Zväz obchodu SR</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16 (10o, 6z)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16</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