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3C5" w:rsidRPr="00F11530" w:rsidRDefault="007B13C5" w:rsidP="007B13C5">
      <w:pPr>
        <w:rPr>
          <w:b/>
          <w:sz w:val="20"/>
          <w:szCs w:val="20"/>
          <w:lang w:eastAsia="sk-SK"/>
        </w:rPr>
      </w:pPr>
      <w:r w:rsidRPr="00F11530">
        <w:rPr>
          <w:b/>
          <w:sz w:val="20"/>
          <w:szCs w:val="20"/>
          <w:lang w:eastAsia="sk-SK"/>
        </w:rPr>
        <w:t>Doložka vybraných vplyvov</w:t>
      </w:r>
    </w:p>
    <w:p w:rsidR="007B13C5" w:rsidRPr="00F11530" w:rsidRDefault="007B13C5" w:rsidP="007B13C5">
      <w:pPr>
        <w:spacing w:after="200" w:line="276" w:lineRule="auto"/>
        <w:ind w:left="426"/>
        <w:contextualSpacing/>
        <w:rPr>
          <w:rFonts w:ascii="Calibri" w:eastAsia="Calibri" w:hAnsi="Calibri"/>
          <w:b/>
          <w:sz w:val="20"/>
          <w:szCs w:val="20"/>
        </w:rPr>
      </w:pPr>
    </w:p>
    <w:tbl>
      <w:tblPr>
        <w:tblStyle w:val="Mriekatabuky1"/>
        <w:tblW w:w="9209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172"/>
        <w:gridCol w:w="1417"/>
      </w:tblGrid>
      <w:tr w:rsidR="007B13C5" w:rsidRPr="00F11530" w:rsidTr="00F11530">
        <w:tc>
          <w:tcPr>
            <w:tcW w:w="9209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Základné údaje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7B13C5" w:rsidRPr="00F11530" w:rsidRDefault="007B13C5" w:rsidP="00F11530">
            <w:pPr>
              <w:spacing w:after="200" w:line="276" w:lineRule="auto"/>
              <w:ind w:left="142"/>
              <w:contextualSpacing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Názov materiálu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Zákon, </w:t>
            </w:r>
            <w:r w:rsidR="006125BA" w:rsidRPr="00F11530">
              <w:rPr>
                <w:sz w:val="20"/>
                <w:szCs w:val="20"/>
                <w:lang w:eastAsia="sk-SK"/>
              </w:rPr>
              <w:t>ktorým sa mení a dopĺňa zákon č. 25/2025 Z. z. Stavebný zákon a o zmene a doplnení niektorých zákonov (Stavebný zákon) v znení neskorších predpisov</w:t>
            </w:r>
            <w:r w:rsidR="006125BA" w:rsidRPr="00F11530">
              <w:rPr>
                <w:sz w:val="20"/>
                <w:szCs w:val="20"/>
              </w:rPr>
              <w:t xml:space="preserve"> 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7B13C5" w:rsidRPr="00F11530" w:rsidRDefault="007B13C5" w:rsidP="00F11530">
            <w:pPr>
              <w:spacing w:after="200" w:line="276" w:lineRule="auto"/>
              <w:ind w:left="142"/>
              <w:contextualSpacing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Predkladateľ (a spolupredkladateľ)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</w:p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Ministerstvo dopravy Slovenskej republiky</w:t>
            </w:r>
          </w:p>
        </w:tc>
      </w:tr>
      <w:tr w:rsidR="007B13C5" w:rsidRPr="00F11530" w:rsidTr="00F11530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7B13C5" w:rsidRPr="00F11530" w:rsidRDefault="007B13C5" w:rsidP="00F11530">
            <w:pPr>
              <w:spacing w:after="200" w:line="276" w:lineRule="auto"/>
              <w:ind w:left="142" w:firstLine="32"/>
              <w:contextualSpacing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Charakter predkladaného materiálu</w:t>
            </w:r>
          </w:p>
        </w:tc>
        <w:sdt>
          <w:sdtPr>
            <w:rPr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7B13C5" w:rsidRPr="00F11530" w:rsidTr="00F1153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ind w:left="175" w:hanging="175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7B13C5" w:rsidRPr="00F11530" w:rsidTr="00F1153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7B13C5" w:rsidRPr="00F11530" w:rsidRDefault="007B13C5" w:rsidP="00F11530">
            <w:pPr>
              <w:rPr>
                <w:i/>
                <w:sz w:val="20"/>
                <w:szCs w:val="20"/>
                <w:lang w:eastAsia="sk-SK"/>
              </w:rPr>
            </w:pPr>
            <w:r w:rsidRPr="00F11530">
              <w:rPr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</w:tc>
      </w:tr>
      <w:tr w:rsidR="007B13C5" w:rsidRPr="00F11530" w:rsidTr="00F11530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spacing w:after="200" w:line="276" w:lineRule="auto"/>
              <w:ind w:left="142" w:hanging="142"/>
              <w:contextualSpacing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Termín začiatku a ukončenia PPK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rPr>
                <w:i/>
                <w:sz w:val="20"/>
                <w:szCs w:val="20"/>
                <w:lang w:eastAsia="sk-SK"/>
              </w:rPr>
            </w:pPr>
          </w:p>
        </w:tc>
      </w:tr>
      <w:tr w:rsidR="007B13C5" w:rsidRPr="00F11530" w:rsidTr="00F1153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spacing w:after="200" w:line="276" w:lineRule="auto"/>
              <w:ind w:left="142" w:hanging="142"/>
              <w:contextualSpacing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Predpokladaný termín predloženia na pripomienkové konanie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rPr>
                <w:i/>
                <w:sz w:val="20"/>
                <w:szCs w:val="20"/>
                <w:lang w:eastAsia="sk-SK"/>
              </w:rPr>
            </w:pPr>
            <w:r w:rsidRPr="00F11530">
              <w:rPr>
                <w:i/>
                <w:sz w:val="20"/>
                <w:szCs w:val="20"/>
                <w:lang w:eastAsia="sk-SK"/>
              </w:rPr>
              <w:t>13.február – 5. marec 2026</w:t>
            </w:r>
          </w:p>
        </w:tc>
      </w:tr>
      <w:tr w:rsidR="007B13C5" w:rsidRPr="00F11530" w:rsidTr="00F11530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spacing w:line="276" w:lineRule="auto"/>
              <w:ind w:left="142" w:hanging="142"/>
              <w:contextualSpacing/>
              <w:jc w:val="both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Predpokladaný termín začiatku a ukončenia ZP**</w:t>
            </w:r>
            <w:r w:rsidRPr="00F11530">
              <w:rPr>
                <w:rFonts w:ascii="Calibri" w:eastAsia="Calibri" w:hAnsi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rPr>
                <w:i/>
                <w:sz w:val="20"/>
                <w:szCs w:val="20"/>
                <w:lang w:eastAsia="sk-SK"/>
              </w:rPr>
            </w:pPr>
          </w:p>
        </w:tc>
      </w:tr>
      <w:tr w:rsidR="007B13C5" w:rsidRPr="00F11530" w:rsidTr="00F1153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spacing w:after="200" w:line="276" w:lineRule="auto"/>
              <w:ind w:left="142" w:hanging="142"/>
              <w:contextualSpacing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Predpokladaný termín predloženia na rokovanie vlády SR*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rPr>
                <w:i/>
                <w:sz w:val="20"/>
                <w:szCs w:val="20"/>
                <w:lang w:eastAsia="sk-SK"/>
              </w:rPr>
            </w:pPr>
            <w:r w:rsidRPr="00F11530">
              <w:rPr>
                <w:i/>
                <w:sz w:val="20"/>
                <w:szCs w:val="20"/>
                <w:lang w:eastAsia="sk-SK"/>
              </w:rPr>
              <w:t>apríl 2026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Definovanie problému</w:t>
            </w:r>
          </w:p>
        </w:tc>
      </w:tr>
      <w:tr w:rsidR="007B13C5" w:rsidRPr="00F11530" w:rsidTr="00F11530">
        <w:trPr>
          <w:trHeight w:val="718"/>
        </w:trPr>
        <w:tc>
          <w:tcPr>
            <w:tcW w:w="9209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spacing w:after="160" w:line="276" w:lineRule="auto"/>
              <w:ind w:firstLine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Ministerstvo dopravy Slovenskej republiky (ďalej len „ministerstvo“) predkladá návrh zákona</w:t>
            </w:r>
            <w:r w:rsidR="00F22DF7" w:rsidRPr="00F11530">
              <w:rPr>
                <w:sz w:val="20"/>
                <w:szCs w:val="20"/>
              </w:rPr>
              <w:t xml:space="preserve">, </w:t>
            </w:r>
            <w:r w:rsidR="00F22DF7" w:rsidRPr="00F11530">
              <w:rPr>
                <w:sz w:val="20"/>
                <w:szCs w:val="20"/>
                <w:lang w:eastAsia="sk-SK"/>
              </w:rPr>
              <w:t>ktorým sa mení a dopĺňa zákon č. 25/2025 Z. z. Stavebný zákon a o zmene a doplnení niektorých zákonov (Stavebný zákon) v znení neskorších predpisov</w:t>
            </w:r>
            <w:r w:rsidRPr="00F11530">
              <w:rPr>
                <w:sz w:val="20"/>
                <w:szCs w:val="20"/>
              </w:rPr>
              <w:t xml:space="preserve">,  s cieľom zjednotiť a uľahčiť jeho aplikáciu.  </w:t>
            </w:r>
          </w:p>
          <w:p w:rsidR="007B13C5" w:rsidRPr="00F11530" w:rsidRDefault="007B13C5" w:rsidP="00142293">
            <w:pPr>
              <w:spacing w:after="160" w:line="276" w:lineRule="auto"/>
              <w:ind w:firstLine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 xml:space="preserve">Návrh zákona reflektuje skúsenosti a poznatky získané z praxe pri aplikácii Stavebného zákona, účinného od 1. apríla 2025.  Stavebný zákon odštartoval veľkú reformu v oblasti výstavby na Slovensku s cieľom akcelerovania prípravných a povoľovacích procesov. Obdobie od účinnosti Stavebného zákona a jeho uplatňovanie v praxi kladú zvýšené nároky na všetky dotknuté subjekty vzhľadom na skutočnosť, že zmeny, ktoré stavebný zákon priniesol sa týkajú  inštitucionálnych a organizačných zmien, procesných postupov, ako aj zavedenia elektronizácie a digitalizácie stavebnej agendy. Stavebný zákon sa aplikuje v prechodnom období, kedy sa na určené stavby stále uplatňuje aj právna úprava zákona č. 50/1976 Zb. o územnom plánovaní a stavebnom poriadku v znení neskorších predpisov. </w:t>
            </w:r>
          </w:p>
          <w:p w:rsidR="007B13C5" w:rsidRPr="00F11530" w:rsidRDefault="007B13C5" w:rsidP="00F11530">
            <w:pPr>
              <w:spacing w:after="160" w:line="276" w:lineRule="auto"/>
              <w:ind w:firstLine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 xml:space="preserve">Ministerstvo priebežne monitorovalo uplatňovanie Stavebného zákona a vyhodnocovalo oblasti, ktoré by pri príprave a povoľovaní stavieb mohli spôsobovať ťažkosti. 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Ciele a výsledný stav</w:t>
            </w:r>
          </w:p>
        </w:tc>
      </w:tr>
      <w:tr w:rsidR="007B13C5" w:rsidRPr="00F11530" w:rsidTr="00F11530">
        <w:trPr>
          <w:trHeight w:val="741"/>
        </w:trPr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spacing w:line="276" w:lineRule="auto"/>
              <w:ind w:right="1" w:firstLine="0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 xml:space="preserve">Cieľom nie je meniť vecnú podstatu platných právnych noriem.  Cieľom navrhovanej úpravy Stavebného  zákona je odstrániť jeho nedostatky a precizovať text ustanovení zákona tak, aby boli zrozumiteľnejšie všetkým používateľom a aby sa v čo najväčšej miere odstránila nejednoznačnosť ich výkladu. </w:t>
            </w:r>
          </w:p>
          <w:p w:rsidR="007B13C5" w:rsidRPr="00F11530" w:rsidRDefault="007B13C5" w:rsidP="00142293">
            <w:pPr>
              <w:spacing w:line="276" w:lineRule="auto"/>
              <w:ind w:right="1" w:firstLine="0"/>
              <w:jc w:val="both"/>
              <w:rPr>
                <w:sz w:val="20"/>
                <w:szCs w:val="20"/>
              </w:rPr>
            </w:pPr>
          </w:p>
          <w:p w:rsidR="007B13C5" w:rsidRPr="00F11530" w:rsidRDefault="007B13C5" w:rsidP="00142293">
            <w:pPr>
              <w:spacing w:line="276" w:lineRule="auto"/>
              <w:ind w:right="1" w:firstLine="0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 xml:space="preserve">Navrhovanou úpravou sa 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 xml:space="preserve">v oblasti odbornej terminológie precizujú   definície a pojmy ako „pevné spojenie stavby so zemou“ a s tým súvisiaci „zmontovaný výrobok“. Definícia „budovy“ ako pozemnej stavby sa zosúlaďuje s novou navrhovanou úpravou zákona o katastri nehnuteľností a precizuje sa definícia inžinierskej stavby, ktorá v doterajšej úprave chýba. Do úpravy sa vracia z minulosti zaužívaný pojem „pozemná stavba“ ako stavba, ktorá nie je </w:t>
            </w:r>
            <w:proofErr w:type="spellStart"/>
            <w:r w:rsidRPr="00F11530">
              <w:rPr>
                <w:sz w:val="20"/>
                <w:szCs w:val="20"/>
              </w:rPr>
              <w:t>inžnierskou</w:t>
            </w:r>
            <w:proofErr w:type="spellEnd"/>
            <w:r w:rsidRPr="00F11530">
              <w:rPr>
                <w:sz w:val="20"/>
                <w:szCs w:val="20"/>
              </w:rPr>
              <w:t xml:space="preserve"> stavbou a ani nespĺňa charakteristiku budovy; 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precizuje rozsah dokumentácie predkladanej k ohláseniu drobných stavieb a stavebných úprav ktorými sa nezasahuje do nosnej konštrukcie stavby a rovnako aj požiadavky na jej spracovateľa;</w:t>
            </w:r>
          </w:p>
          <w:p w:rsidR="007B13C5" w:rsidRPr="00F11530" w:rsidRDefault="007B13C5" w:rsidP="007B13C5">
            <w:pPr>
              <w:pStyle w:val="Odsekzoznamu"/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precizuje zabezpečenie preneseného výkonu štátnej správy na obce dvoma zamestnancami na plný pracovný úväzok;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precizuje stavebné práce a drobné stavby a udržiavacie práce pre ktoré sa vyžaduje ohlásenie  stavebnému úradu; precizuje, že k žiadosti o stavebný zámer sa predkladajú jedna dokumentácia, ktorá podľa rozhodnutia stavebníka môže byť rozpracovaná v podrobnosti stavebného zámeru alebo v podrobnosti projektu stavby;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lastRenderedPageBreak/>
              <w:t>precizuje postup stavebného úradu ak obsah odvolania smeruje proti záväznému stanovisku dotknutého orgánu;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odstraňuje duplicit</w:t>
            </w:r>
            <w:r w:rsidR="00F22DF7" w:rsidRPr="00F11530">
              <w:rPr>
                <w:sz w:val="20"/>
                <w:szCs w:val="20"/>
              </w:rPr>
              <w:t>u</w:t>
            </w:r>
            <w:r w:rsidRPr="00F11530">
              <w:rPr>
                <w:sz w:val="20"/>
                <w:szCs w:val="20"/>
              </w:rPr>
              <w:t xml:space="preserve"> § 27 ods.3 a § 33 ods.3 upravujúca požiadavky na osobu vykonávajúcu odborné stavebné práce; 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upravuje vysporiadanie iného práva medzi správcom majetku štátu ako stavebníkom a štátom ako vlastníkom nehnuteľnosti;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precizuje oprávnenie stavebného úradu overiť dokumentáciu zmeny projektu stavby pri kontrolnej prehliadke s podmienkou, že zmena sa nedotkne práv vlastníka pozemku alebo stavby nad dohodnuté iné právo;</w:t>
            </w:r>
          </w:p>
          <w:p w:rsidR="007B13C5" w:rsidRPr="00F11530" w:rsidRDefault="007B13C5" w:rsidP="007C77A1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precizuje moment overenia projektu stavby po nadobudnutí právoplatnosti rozhodnutia o stavebnom zámere;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precizuje ustanovenia o kolaudácii, kolaudačnom osvedčení a o zmene v užívaní stavby;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precizuje postup stavebného inšpektora pri výkone štátneho stavebného dohľadu;</w:t>
            </w:r>
          </w:p>
          <w:p w:rsidR="007B13C5" w:rsidRPr="00F11530" w:rsidRDefault="007B13C5" w:rsidP="007B13C5">
            <w:pPr>
              <w:numPr>
                <w:ilvl w:val="0"/>
                <w:numId w:val="1"/>
              </w:numPr>
              <w:spacing w:line="276" w:lineRule="auto"/>
              <w:ind w:left="851" w:right="1" w:hanging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 xml:space="preserve">precizuje priestupky a iné správne delikty a odstraňuje ich duplicity. </w:t>
            </w:r>
          </w:p>
          <w:p w:rsidR="007B13C5" w:rsidRPr="00F11530" w:rsidRDefault="007B13C5" w:rsidP="00142293">
            <w:pPr>
              <w:spacing w:line="276" w:lineRule="auto"/>
              <w:ind w:left="284" w:right="1" w:firstLine="0"/>
              <w:jc w:val="both"/>
              <w:rPr>
                <w:sz w:val="20"/>
                <w:szCs w:val="20"/>
              </w:rPr>
            </w:pPr>
          </w:p>
          <w:p w:rsidR="007B13C5" w:rsidRPr="00F11530" w:rsidRDefault="007B13C5" w:rsidP="00142293">
            <w:pPr>
              <w:spacing w:line="276" w:lineRule="auto"/>
              <w:ind w:left="284" w:right="1" w:firstLine="0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Návrh zákona nemá žiaden vplyv na rozpočet verejnej správy a  na podnikateľské prostredie. Návrh zákona nemá žiadne sociálne vplyvy ani žiadny vplyv na životné prostredie, na informatizáciu spoločnosti a na služby verejnej správy pre občana, ani na manželstvo, rodičovstvo a rodinu.</w:t>
            </w:r>
          </w:p>
          <w:p w:rsidR="007B13C5" w:rsidRPr="00F11530" w:rsidRDefault="007B13C5" w:rsidP="00142293">
            <w:pPr>
              <w:spacing w:line="276" w:lineRule="auto"/>
              <w:ind w:right="1" w:firstLine="0"/>
              <w:jc w:val="both"/>
              <w:rPr>
                <w:sz w:val="20"/>
                <w:szCs w:val="20"/>
              </w:rPr>
            </w:pPr>
          </w:p>
          <w:p w:rsidR="007B13C5" w:rsidRPr="00F11530" w:rsidRDefault="007B13C5" w:rsidP="00F11530">
            <w:pPr>
              <w:spacing w:line="276" w:lineRule="auto"/>
              <w:ind w:right="1" w:firstLine="567"/>
              <w:jc w:val="both"/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Návrh zákona je v súlade s Ústavou Slovenskej republiky, s ústavnými zákonmi, s nálezmi Ústavného súdu Slovenskej republiky a ostatnými všeobecne záväznými právnymi predpismi Slovenskej republiky a s medzinárodnými zmluvami a inými medzinárodnými dokumentmi, ktorými je Slovenská republika viazaná.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lastRenderedPageBreak/>
              <w:t>Dotknuté subjekty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rFonts w:ascii="Times" w:hAnsi="Times" w:cs="Times"/>
                <w:sz w:val="20"/>
                <w:szCs w:val="20"/>
              </w:rPr>
              <w:br/>
              <w:t>Orgány verejnej moci, ministerstvá a ostatné ústredné orgány štátnej správy, komory regulovaných profesií, architekti, projektanti, stavební dozory, stavbyvedúci, geodeti a kartografi, zhotovitelia, vlastníci a správcovia dopravnej a technickej infraštruktúry, ostatné právnické osoby, fyzické osoby podnikajúce, fyzické osoby a pod.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Alternatívne riešenia</w:t>
            </w:r>
          </w:p>
        </w:tc>
      </w:tr>
      <w:tr w:rsidR="007B13C5" w:rsidRPr="00F11530" w:rsidTr="00F11530">
        <w:trPr>
          <w:trHeight w:val="154"/>
        </w:trPr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F11530">
            <w:pPr>
              <w:rPr>
                <w:sz w:val="20"/>
                <w:szCs w:val="20"/>
              </w:rPr>
            </w:pPr>
            <w:r w:rsidRPr="00F11530">
              <w:rPr>
                <w:sz w:val="20"/>
                <w:szCs w:val="20"/>
              </w:rPr>
              <w:t>Neboli identifikované alternatívy k predloženým riešeniam, ktoré by naplnili cieľ.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Vykonávacie predpisy</w:t>
            </w:r>
          </w:p>
        </w:tc>
      </w:tr>
      <w:tr w:rsidR="007B13C5" w:rsidRPr="00F11530" w:rsidTr="00F11530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B13C5" w:rsidRPr="00F11530" w:rsidRDefault="007B13C5" w:rsidP="00F11530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 w:rsidRPr="00F11530">
              <w:rPr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7B13C5" w:rsidRPr="00F11530" w:rsidRDefault="00F11530" w:rsidP="00142293">
            <w:pPr>
              <w:rPr>
                <w:b/>
                <w:sz w:val="20"/>
                <w:szCs w:val="20"/>
                <w:lang w:eastAsia="sk-SK"/>
              </w:rPr>
            </w:pPr>
            <w:sdt>
              <w:sdtPr>
                <w:rPr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3C5"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B13C5" w:rsidRPr="00F11530">
              <w:rPr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89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7B13C5" w:rsidRPr="00F11530" w:rsidRDefault="00F11530" w:rsidP="00142293">
            <w:pPr>
              <w:rPr>
                <w:b/>
                <w:sz w:val="20"/>
                <w:szCs w:val="20"/>
                <w:lang w:eastAsia="sk-SK"/>
              </w:rPr>
            </w:pPr>
            <w:sdt>
              <w:sdtPr>
                <w:rPr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3C5"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7B13C5" w:rsidRPr="00F11530">
              <w:rPr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F11530">
            <w:pPr>
              <w:rPr>
                <w:i/>
                <w:sz w:val="20"/>
                <w:szCs w:val="20"/>
                <w:lang w:eastAsia="sk-SK"/>
              </w:rPr>
            </w:pPr>
            <w:r w:rsidRPr="00F11530">
              <w:rPr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 xml:space="preserve">Transpozícia/implementácia práva EÚ </w:t>
            </w:r>
          </w:p>
        </w:tc>
      </w:tr>
      <w:tr w:rsidR="007B13C5" w:rsidRPr="00F11530" w:rsidTr="00F11530">
        <w:trPr>
          <w:trHeight w:val="157"/>
        </w:trPr>
        <w:tc>
          <w:tcPr>
            <w:tcW w:w="9209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7B13C5" w:rsidRPr="00F11530" w:rsidTr="00142293">
              <w:trPr>
                <w:trHeight w:val="90"/>
              </w:trPr>
              <w:tc>
                <w:tcPr>
                  <w:tcW w:w="8643" w:type="dxa"/>
                </w:tcPr>
                <w:p w:rsidR="007B13C5" w:rsidRPr="00F11530" w:rsidRDefault="007B13C5" w:rsidP="0014229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7B13C5" w:rsidRPr="00F11530" w:rsidTr="00142293">
              <w:trPr>
                <w:trHeight w:val="296"/>
              </w:trPr>
              <w:tc>
                <w:tcPr>
                  <w:tcW w:w="8643" w:type="dxa"/>
                </w:tcPr>
                <w:p w:rsidR="007B13C5" w:rsidRPr="00F11530" w:rsidRDefault="007B13C5" w:rsidP="00142293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F1153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F1153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F1153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F1153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F1153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7B13C5" w:rsidRPr="00F11530" w:rsidRDefault="007B13C5" w:rsidP="0014229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F1153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</w:tbl>
          <w:p w:rsidR="007B13C5" w:rsidRPr="00F11530" w:rsidRDefault="007B13C5" w:rsidP="00142293">
            <w:pPr>
              <w:jc w:val="both"/>
              <w:rPr>
                <w:i/>
                <w:sz w:val="20"/>
                <w:szCs w:val="20"/>
                <w:lang w:eastAsia="sk-SK"/>
              </w:rPr>
            </w:pP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Preskúmanie účelnosti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Počet dní pre rozhodnutie o stavebnom zámere. Očakáva sa zníženie z 300 na 90 dní v priemere v roku 2032   </w:t>
            </w:r>
          </w:p>
        </w:tc>
      </w:tr>
      <w:tr w:rsidR="007B13C5" w:rsidRPr="00F11530" w:rsidTr="00F11530">
        <w:tc>
          <w:tcPr>
            <w:tcW w:w="920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B13C5" w:rsidRPr="00F11530" w:rsidRDefault="007B13C5" w:rsidP="00142293">
            <w:pPr>
              <w:ind w:left="142" w:hanging="142"/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7B13C5" w:rsidRPr="00F11530" w:rsidRDefault="007B13C5" w:rsidP="00142293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7B13C5" w:rsidRPr="00F11530" w:rsidRDefault="007B13C5" w:rsidP="00142293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7B13C5" w:rsidRPr="00F11530" w:rsidRDefault="007B13C5" w:rsidP="00142293">
            <w:pPr>
              <w:jc w:val="both"/>
              <w:rPr>
                <w:sz w:val="20"/>
                <w:szCs w:val="20"/>
                <w:lang w:eastAsia="sk-SK"/>
              </w:rPr>
            </w:pPr>
          </w:p>
          <w:p w:rsidR="007B13C5" w:rsidRDefault="007B13C5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Pr="00F11530" w:rsidRDefault="00F11530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</w:tc>
      </w:tr>
      <w:tr w:rsidR="007B13C5" w:rsidRPr="00F11530" w:rsidTr="00F11530">
        <w:trPr>
          <w:trHeight w:val="283"/>
        </w:trPr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lastRenderedPageBreak/>
              <w:t>Vybrané vplyvy  materiálu</w:t>
            </w:r>
          </w:p>
        </w:tc>
      </w:tr>
      <w:tr w:rsidR="007B13C5" w:rsidRPr="00F11530" w:rsidTr="00F1153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ind w:left="-107" w:right="-108"/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ind w:left="3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ind w:left="-107" w:right="-108"/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34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Čiastočne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ind w:left="-107" w:right="-108"/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ind w:left="3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ind w:left="171"/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z toho rozpočtovo zabezpečené vplyvy,</w:t>
            </w:r>
          </w:p>
          <w:p w:rsidR="007B13C5" w:rsidRPr="00F11530" w:rsidRDefault="007B13C5" w:rsidP="00F11530">
            <w:pPr>
              <w:ind w:left="171"/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ind w:left="-107" w:right="-108"/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34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Čiastočne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ind w:left="171"/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ind w:left="-107" w:right="-108"/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34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Nie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ind w:left="-107" w:right="-108"/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34"/>
              <w:rPr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    z toho vplyvy na MSP</w:t>
            </w:r>
          </w:p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ind w:right="-108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54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Nie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sz w:val="20"/>
                <w:szCs w:val="20"/>
                <w:lang w:eastAsia="sk-SK"/>
              </w:rPr>
            </w:pPr>
          </w:p>
          <w:p w:rsidR="007B13C5" w:rsidRPr="00F11530" w:rsidRDefault="007B13C5" w:rsidP="00F11530">
            <w:pPr>
              <w:ind w:left="164"/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 xml:space="preserve">Materiál je posudzovaný podľa zákona č. 24/2006 </w:t>
            </w:r>
            <w:bookmarkStart w:id="0" w:name="_GoBack"/>
            <w:bookmarkEnd w:id="0"/>
            <w:r w:rsidRPr="00F11530">
              <w:rPr>
                <w:sz w:val="20"/>
                <w:szCs w:val="20"/>
                <w:lang w:eastAsia="sk-SK"/>
              </w:rPr>
              <w:t>Z. z. o posudzovaní vplyvov na životné prostredie a o zmene a doplnení niektorých zákonov v znení neskorších predpisov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sz w:val="20"/>
                <w:szCs w:val="20"/>
                <w:lang w:eastAsia="sk-SK"/>
              </w:rPr>
              <w:t>Nie</w:t>
            </w:r>
          </w:p>
        </w:tc>
      </w:tr>
      <w:tr w:rsidR="007B13C5" w:rsidRPr="00F11530" w:rsidTr="00F1153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7B13C5" w:rsidRPr="00F11530" w:rsidTr="0014229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B13C5" w:rsidRPr="00F11530" w:rsidRDefault="007B13C5" w:rsidP="00142293">
            <w:pPr>
              <w:rPr>
                <w:rFonts w:eastAsia="MS Mincho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B13C5" w:rsidRPr="00F11530" w:rsidRDefault="007B13C5" w:rsidP="00142293">
            <w:pPr>
              <w:rPr>
                <w:rFonts w:eastAsia="MS Mincho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B13C5" w:rsidRPr="00F11530" w:rsidRDefault="007B13C5" w:rsidP="00142293">
            <w:pPr>
              <w:rPr>
                <w:rFonts w:eastAsia="MS Mincho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</w:p>
        </w:tc>
      </w:tr>
      <w:tr w:rsidR="007B13C5" w:rsidRPr="00F11530" w:rsidTr="00142293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ind w:left="196" w:hanging="196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7B13C5" w:rsidRPr="00F11530" w:rsidTr="00142293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ind w:left="168" w:hanging="168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7B13C5" w:rsidRPr="00F11530" w:rsidTr="0014229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F11530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B13C5" w:rsidRPr="00F11530" w:rsidRDefault="007B13C5" w:rsidP="00142293">
                <w:pPr>
                  <w:rPr>
                    <w:b/>
                    <w:sz w:val="20"/>
                    <w:szCs w:val="20"/>
                    <w:lang w:eastAsia="sk-SK"/>
                  </w:rPr>
                </w:pPr>
                <w:r w:rsidRPr="00F11530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3C5" w:rsidRPr="00F11530" w:rsidRDefault="007B13C5" w:rsidP="00142293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7B13C5" w:rsidRPr="00F11530" w:rsidRDefault="007B13C5" w:rsidP="007B13C5">
      <w:pPr>
        <w:ind w:right="141"/>
        <w:rPr>
          <w:b/>
          <w:sz w:val="20"/>
          <w:szCs w:val="20"/>
          <w:lang w:eastAsia="sk-SK"/>
        </w:rPr>
      </w:pPr>
    </w:p>
    <w:tbl>
      <w:tblPr>
        <w:tblStyle w:val="Mriekatabuky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7B13C5" w:rsidRPr="00F11530" w:rsidTr="00142293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Poznámky</w:t>
            </w:r>
          </w:p>
        </w:tc>
      </w:tr>
      <w:tr w:rsidR="007B13C5" w:rsidRPr="00F11530" w:rsidTr="00F11530">
        <w:trPr>
          <w:trHeight w:val="264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C5" w:rsidRPr="00F11530" w:rsidRDefault="007B13C5" w:rsidP="00142293">
            <w:pPr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7B13C5" w:rsidRPr="00F11530" w:rsidTr="00142293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Kontakt na spracovateľa</w:t>
            </w:r>
          </w:p>
        </w:tc>
      </w:tr>
      <w:tr w:rsidR="007B13C5" w:rsidRPr="00F11530" w:rsidTr="00142293">
        <w:trPr>
          <w:trHeight w:val="586"/>
        </w:trPr>
        <w:tc>
          <w:tcPr>
            <w:tcW w:w="9214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F11530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 w:rsidRPr="00F11530">
              <w:rPr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7B13C5" w:rsidRPr="00F11530" w:rsidRDefault="007B13C5" w:rsidP="00F11530">
            <w:pPr>
              <w:jc w:val="both"/>
              <w:rPr>
                <w:i/>
                <w:sz w:val="20"/>
                <w:szCs w:val="20"/>
                <w:lang w:eastAsia="sk-SK"/>
              </w:rPr>
            </w:pPr>
            <w:proofErr w:type="spellStart"/>
            <w:r w:rsidRPr="00F11530">
              <w:rPr>
                <w:i/>
                <w:sz w:val="20"/>
                <w:szCs w:val="20"/>
                <w:lang w:eastAsia="sk-SK"/>
              </w:rPr>
              <w:t>viera.rajprichova</w:t>
            </w:r>
            <w:proofErr w:type="spellEnd"/>
            <w:r w:rsidRPr="00F11530">
              <w:rPr>
                <w:i/>
                <w:sz w:val="20"/>
                <w:szCs w:val="20"/>
                <w:lang w:eastAsia="sk-SK"/>
              </w:rPr>
              <w:t>@ mindop.sk</w:t>
            </w:r>
          </w:p>
        </w:tc>
      </w:tr>
      <w:tr w:rsidR="007B13C5" w:rsidRPr="00F11530" w:rsidTr="00142293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26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Zdroje</w:t>
            </w:r>
          </w:p>
        </w:tc>
      </w:tr>
      <w:tr w:rsidR="007B13C5" w:rsidRPr="00F11530" w:rsidTr="00142293">
        <w:trPr>
          <w:trHeight w:val="401"/>
        </w:trPr>
        <w:tc>
          <w:tcPr>
            <w:tcW w:w="9214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F11530">
            <w:pPr>
              <w:ind w:firstLine="0"/>
              <w:jc w:val="both"/>
              <w:rPr>
                <w:b/>
                <w:sz w:val="20"/>
                <w:szCs w:val="20"/>
                <w:lang w:eastAsia="sk-SK"/>
              </w:rPr>
            </w:pPr>
          </w:p>
        </w:tc>
      </w:tr>
      <w:tr w:rsidR="007B13C5" w:rsidRPr="00F11530" w:rsidTr="00142293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47" w:hanging="425"/>
              <w:contextualSpacing/>
              <w:jc w:val="left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t>Stanovisko Komisie na posudzovanie vybraných vplyvov z PPK č. ..........</w:t>
            </w:r>
            <w:r w:rsidRPr="00F11530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</w:p>
          <w:p w:rsidR="007B13C5" w:rsidRPr="00F11530" w:rsidRDefault="007B13C5" w:rsidP="00142293">
            <w:pPr>
              <w:ind w:left="502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rFonts w:eastAsia="Calibri"/>
                <w:sz w:val="20"/>
                <w:szCs w:val="20"/>
              </w:rPr>
              <w:t>(v prípade, ak sa uskutočnilo v zmysle bodu 8.1 Jednotnej metodiky)</w:t>
            </w:r>
          </w:p>
        </w:tc>
      </w:tr>
      <w:tr w:rsidR="007B13C5" w:rsidRPr="00F11530" w:rsidTr="00142293">
        <w:trPr>
          <w:trHeight w:val="70"/>
        </w:trPr>
        <w:tc>
          <w:tcPr>
            <w:tcW w:w="9214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7B13C5" w:rsidRPr="00F11530" w:rsidTr="00142293">
              <w:trPr>
                <w:trHeight w:val="396"/>
              </w:trPr>
              <w:tc>
                <w:tcPr>
                  <w:tcW w:w="2552" w:type="dxa"/>
                </w:tcPr>
                <w:p w:rsidR="007B13C5" w:rsidRPr="00F11530" w:rsidRDefault="00F11530" w:rsidP="00142293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B13C5" w:rsidRPr="00F11530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7B13C5" w:rsidRPr="00F11530">
                    <w:rPr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:rsidR="007B13C5" w:rsidRPr="00F11530" w:rsidRDefault="00F11530" w:rsidP="00142293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B13C5" w:rsidRPr="00F11530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7B13C5" w:rsidRPr="00F11530">
                    <w:rPr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:rsidR="007B13C5" w:rsidRPr="00F11530" w:rsidRDefault="00F11530" w:rsidP="00142293">
                  <w:pPr>
                    <w:ind w:right="459"/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B13C5" w:rsidRPr="00F11530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7B13C5" w:rsidRPr="00F11530">
                    <w:rPr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7B13C5" w:rsidRPr="00F11530" w:rsidRDefault="007B13C5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7B13C5" w:rsidRDefault="007B13C5" w:rsidP="00F11530">
            <w:pPr>
              <w:ind w:firstLine="0"/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F11530">
            <w:pPr>
              <w:ind w:firstLine="0"/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Default="00F11530" w:rsidP="00F11530">
            <w:pPr>
              <w:ind w:firstLine="0"/>
              <w:jc w:val="both"/>
              <w:rPr>
                <w:b/>
                <w:sz w:val="20"/>
                <w:szCs w:val="20"/>
                <w:lang w:eastAsia="sk-SK"/>
              </w:rPr>
            </w:pPr>
          </w:p>
          <w:p w:rsidR="00F11530" w:rsidRPr="00F11530" w:rsidRDefault="00F11530" w:rsidP="00F11530">
            <w:pPr>
              <w:ind w:firstLine="0"/>
              <w:jc w:val="both"/>
              <w:rPr>
                <w:b/>
                <w:sz w:val="20"/>
                <w:szCs w:val="20"/>
                <w:lang w:eastAsia="sk-SK"/>
              </w:rPr>
            </w:pPr>
          </w:p>
        </w:tc>
      </w:tr>
      <w:tr w:rsidR="007B13C5" w:rsidRPr="00F11530" w:rsidTr="00142293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214" w:type="dxa"/>
            <w:tcBorders>
              <w:top w:val="single" w:sz="4" w:space="0" w:color="auto"/>
            </w:tcBorders>
            <w:shd w:val="clear" w:color="auto" w:fill="E2E2E2"/>
          </w:tcPr>
          <w:p w:rsidR="007B13C5" w:rsidRPr="00F11530" w:rsidRDefault="007B13C5" w:rsidP="007B13C5">
            <w:pPr>
              <w:numPr>
                <w:ilvl w:val="0"/>
                <w:numId w:val="2"/>
              </w:numPr>
              <w:ind w:left="450" w:hanging="425"/>
              <w:contextualSpacing/>
              <w:jc w:val="both"/>
              <w:rPr>
                <w:rFonts w:eastAsia="Calibri"/>
                <w:b/>
                <w:sz w:val="20"/>
                <w:szCs w:val="20"/>
              </w:rPr>
            </w:pPr>
            <w:r w:rsidRPr="00F11530">
              <w:rPr>
                <w:rFonts w:eastAsia="Calibri"/>
                <w:b/>
                <w:sz w:val="20"/>
                <w:szCs w:val="20"/>
              </w:rPr>
              <w:lastRenderedPageBreak/>
              <w:t>Stanovisko Komisie na posudzovanie vybraných vplyvov zo záverečného posúdenia č. ..........</w:t>
            </w:r>
            <w:r w:rsidRPr="00F11530">
              <w:rPr>
                <w:rFonts w:eastAsia="Calibri"/>
                <w:sz w:val="20"/>
                <w:szCs w:val="20"/>
              </w:rPr>
              <w:t xml:space="preserve"> (v prípade, ak sa uskutočnilo v zmysle bodu 9.1. Jednotnej metodiky) </w:t>
            </w:r>
          </w:p>
        </w:tc>
      </w:tr>
      <w:tr w:rsidR="007B13C5" w:rsidRPr="00F11530" w:rsidTr="00142293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214" w:type="dxa"/>
            <w:shd w:val="clear" w:color="auto" w:fill="FFFFFF"/>
          </w:tcPr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7B13C5" w:rsidRPr="00F11530" w:rsidTr="00142293">
              <w:trPr>
                <w:trHeight w:val="396"/>
              </w:trPr>
              <w:tc>
                <w:tcPr>
                  <w:tcW w:w="2552" w:type="dxa"/>
                </w:tcPr>
                <w:p w:rsidR="007B13C5" w:rsidRPr="00F11530" w:rsidRDefault="00F11530" w:rsidP="00142293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B13C5" w:rsidRPr="00F11530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7B13C5" w:rsidRPr="00F11530">
                    <w:rPr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:rsidR="007B13C5" w:rsidRPr="00F11530" w:rsidRDefault="00F11530" w:rsidP="00142293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B13C5" w:rsidRPr="00F11530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7B13C5" w:rsidRPr="00F11530">
                    <w:rPr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:rsidR="007B13C5" w:rsidRPr="00F11530" w:rsidRDefault="00F11530" w:rsidP="00142293">
                  <w:pPr>
                    <w:ind w:right="459"/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B13C5" w:rsidRPr="00F11530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7B13C5" w:rsidRPr="00F11530">
                    <w:rPr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:rsidR="007B13C5" w:rsidRPr="00F11530" w:rsidRDefault="007B13C5" w:rsidP="00142293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 w:rsidRPr="00F11530">
              <w:rPr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  <w:p w:rsidR="007B13C5" w:rsidRPr="00F11530" w:rsidRDefault="007B13C5" w:rsidP="00142293">
            <w:pPr>
              <w:rPr>
                <w:b/>
                <w:sz w:val="20"/>
                <w:szCs w:val="20"/>
                <w:lang w:eastAsia="sk-SK"/>
              </w:rPr>
            </w:pPr>
          </w:p>
        </w:tc>
      </w:tr>
    </w:tbl>
    <w:p w:rsidR="007B13C5" w:rsidRDefault="007B13C5" w:rsidP="007B13C5">
      <w:pPr>
        <w:spacing w:line="276" w:lineRule="auto"/>
        <w:ind w:right="1" w:firstLine="567"/>
        <w:jc w:val="both"/>
      </w:pPr>
    </w:p>
    <w:p w:rsidR="007B13C5" w:rsidRDefault="007B13C5" w:rsidP="007B13C5">
      <w:pPr>
        <w:spacing w:line="276" w:lineRule="auto"/>
        <w:ind w:right="1" w:firstLine="567"/>
        <w:jc w:val="both"/>
      </w:pPr>
    </w:p>
    <w:p w:rsidR="007B13C5" w:rsidRDefault="007B13C5" w:rsidP="007B13C5">
      <w:pPr>
        <w:spacing w:line="276" w:lineRule="auto"/>
        <w:ind w:right="1" w:firstLine="567"/>
        <w:jc w:val="both"/>
      </w:pPr>
    </w:p>
    <w:p w:rsidR="0032637B" w:rsidRDefault="0032637B" w:rsidP="00F11530">
      <w:pPr>
        <w:ind w:firstLine="0"/>
        <w:jc w:val="both"/>
      </w:pPr>
    </w:p>
    <w:sectPr w:rsidR="00326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33593"/>
    <w:multiLevelType w:val="hybridMultilevel"/>
    <w:tmpl w:val="A9E2D836"/>
    <w:lvl w:ilvl="0" w:tplc="FA24DCF8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3C5"/>
    <w:rsid w:val="0032637B"/>
    <w:rsid w:val="006125BA"/>
    <w:rsid w:val="007B13C5"/>
    <w:rsid w:val="00F11530"/>
    <w:rsid w:val="00F2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C6F8"/>
  <w15:chartTrackingRefBased/>
  <w15:docId w15:val="{D21D1481-9746-4D22-8BF8-B3A951EA5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liases w:val="Normálny text"/>
    <w:qFormat/>
    <w:rsid w:val="007B13C5"/>
    <w:pPr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ek zoznamu1,Odsek,body,Odsek zoznamu2"/>
    <w:basedOn w:val="Normlny"/>
    <w:link w:val="OdsekzoznamuChar"/>
    <w:uiPriority w:val="34"/>
    <w:qFormat/>
    <w:rsid w:val="007B13C5"/>
    <w:pPr>
      <w:ind w:left="720"/>
      <w:contextualSpacing/>
    </w:pPr>
  </w:style>
  <w:style w:type="table" w:customStyle="1" w:styleId="Mriekatabuky1">
    <w:name w:val="Mriežka tabuľky1"/>
    <w:basedOn w:val="Normlnatabuka"/>
    <w:next w:val="Mriekatabuky"/>
    <w:uiPriority w:val="59"/>
    <w:rsid w:val="007B1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13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OdsekzoznamuChar">
    <w:name w:val="Odsek zoznamu Char"/>
    <w:aliases w:val="Odsek zoznamu1 Char,Odsek Char,body Char,Odsek zoznamu2 Char"/>
    <w:link w:val="Odsekzoznamu"/>
    <w:uiPriority w:val="34"/>
    <w:locked/>
    <w:rsid w:val="007B13C5"/>
    <w:rPr>
      <w:rFonts w:ascii="Times New Roman" w:eastAsia="Times New Roman" w:hAnsi="Times New Roman" w:cs="Times New Roman"/>
      <w:sz w:val="24"/>
      <w:szCs w:val="24"/>
    </w:rPr>
  </w:style>
  <w:style w:type="table" w:styleId="Mriekatabuky">
    <w:name w:val="Table Grid"/>
    <w:basedOn w:val="Normlnatabuka"/>
    <w:uiPriority w:val="39"/>
    <w:rsid w:val="007B1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Zemanová, Ivana</dc:creator>
  <cp:keywords/>
  <dc:description/>
  <cp:lastModifiedBy>Bonko, Andrej</cp:lastModifiedBy>
  <cp:revision>3</cp:revision>
  <dcterms:created xsi:type="dcterms:W3CDTF">2026-01-26T13:47:00Z</dcterms:created>
  <dcterms:modified xsi:type="dcterms:W3CDTF">2026-02-11T12:22:00Z</dcterms:modified>
</cp:coreProperties>
</file>