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AF27C" w14:textId="77777777" w:rsidR="007C517C" w:rsidRDefault="00870BB3">
      <w:pPr>
        <w:spacing w:after="200"/>
        <w:jc w:val="center"/>
      </w:pPr>
      <w:r>
        <w:rPr>
          <w:b/>
          <w:bCs/>
          <w:sz w:val="28"/>
          <w:szCs w:val="28"/>
        </w:rPr>
        <w:t>Dôvodová správa</w:t>
      </w:r>
    </w:p>
    <w:p w14:paraId="5BA5385E" w14:textId="77777777" w:rsidR="007C517C" w:rsidRDefault="00870BB3">
      <w:pPr>
        <w:spacing w:after="360"/>
        <w:jc w:val="center"/>
      </w:pPr>
      <w:r>
        <w:rPr>
          <w:b/>
          <w:bCs/>
          <w:sz w:val="26"/>
          <w:szCs w:val="26"/>
        </w:rPr>
        <w:t>Všeobecná časť</w:t>
      </w:r>
    </w:p>
    <w:p w14:paraId="6C704643" w14:textId="77777777" w:rsidR="007C517C" w:rsidRDefault="00870BB3" w:rsidP="006F5E64">
      <w:pPr>
        <w:spacing w:after="240" w:line="276" w:lineRule="auto"/>
        <w:ind w:firstLine="708"/>
        <w:jc w:val="both"/>
      </w:pPr>
      <w:r>
        <w:t>Návrh vyhlášky Ministerstva zdravotníctva Slovenskej republiky, ktorou sa mení a dopĺňa vyhláška Ministerstva zdravotníctva Slovenskej republiky č. 298/2022 Z. z., ktorou sa ustanovujú podrobnosti výpočtu príslušného násobku hrubého domáceho produktu pre stanovenie prahovej hodnoty posudzovaného lieku (ďalej len „návrh vyhlášky“), sa predkladá ako iniciatívny materiál. Návrh nadväzuje na pripravovanú novelu zákona č. 363/2011 Z. z. o rozsahu a podmienkach úhrady liekov, zdravotníckych pomôcok a dietetických potravín na základe verejného zdravotného poistenia a o zmene a doplnení niektorých zákonov v znení neskorších predpisov (ďalej len „zákon č. 363/2011 Z. z.“) a reaguje na vývoj ekonomickej situácie v Slovenskej republike, ako aj na zistenia a odporúčania vyplývajúce z analýzy Útvaru hodnoty za peniaze Ministerstva financií Slovenskej republiky (ďalej len „ÚHP“).</w:t>
      </w:r>
    </w:p>
    <w:p w14:paraId="2A44698F" w14:textId="77777777" w:rsidR="007C517C" w:rsidRDefault="00870BB3" w:rsidP="006F5E64">
      <w:pPr>
        <w:spacing w:after="240" w:line="276" w:lineRule="auto"/>
        <w:ind w:firstLine="708"/>
        <w:jc w:val="both"/>
      </w:pPr>
      <w:r>
        <w:t>Platná vyhláška č. 298/2022 Z. z. ustanovuje podrobnosti výpočtu príslušného násobku hrubého domáceho produktu na účely stanovenia prahovej hodnoty posudzovaného lieku. Zo spoločenského a ekonomického hľadiska prahová hodnota určuje, pri akej výške inkrementálnych nákladov na jednotku zdravotného prínosu môže byť liek považovaný za nákladovo efektívny. Zo súčasného nastavenia vyplýva, že prahové hodnoty sú v medzinárodnom porovnaní relatívne vysoké a každoročne sa menia so zmenou hrubého domáceho produktu, čo znižuje predvídateľnosť finančných dopadov kategorizácie. Z právneho hľadiska je potrebné zosúladiť terminológiu vyhlášky so zákonom č. 363/2011 Z. z., najmä s pojmom relevantný komparátor, a zohľadniť navrhované priznanie zvýšenej úrovne prahových hodnôt aj liekom na pediatrickú indikáciu.</w:t>
      </w:r>
    </w:p>
    <w:p w14:paraId="1D92581C" w14:textId="77777777" w:rsidR="007C517C" w:rsidRDefault="00870BB3" w:rsidP="006F5E64">
      <w:pPr>
        <w:spacing w:after="240" w:line="276" w:lineRule="auto"/>
        <w:ind w:firstLine="708"/>
        <w:jc w:val="both"/>
      </w:pPr>
      <w:r>
        <w:t>Cieľom návrhu vyhlášky je vytvoriť primeranejšie a predvídateľnejšie nastavenie prahových hodnôt, ktoré bude lepšie zohľadňovať ekonomickú výkonnosť Slovenskej republiky a možnosti financovania zdravotnej starostlivosti z verejného zdravotného poistenia. Úprava koeficientov a hraníc inkrementálneho prínosu v QALY má zabezpečiť diferencovanie prahovej hodnoty podľa veľkosti relatívneho prínosu lieku. Zásah do práv adresátov spočíva v zmene podmienok, za ktorých sa preukazuje nákladová efektívnosť lieku; tento zásah je primeraný účelu úpravy, ktorým je udržateľné využívanie verejných zdrojov pri zachovaní osobitného prístupu k liekom na ojedinelé ochorenie, liekom na inovatívnu liečbu a liekom na pediatrickú indikáciu.</w:t>
      </w:r>
    </w:p>
    <w:p w14:paraId="124AF6C0" w14:textId="77777777" w:rsidR="007C517C" w:rsidRDefault="00870BB3" w:rsidP="006F5E64">
      <w:pPr>
        <w:spacing w:after="240" w:line="276" w:lineRule="auto"/>
        <w:ind w:firstLine="708"/>
        <w:jc w:val="both"/>
      </w:pPr>
      <w:r>
        <w:t>Predmetom návrhu vyhlášky je ustanovenie nových násobkov hrubého domáceho produktu. Pre štandardné lieky sa zavádzajú tri úrovne s koeficientmi 1,25, 2 a 2,3 a s hranicami inkrementálneho prínosu 0,20 QALY a 0,50 QALY. Pre lieky na ojedinelé ochorenie, lieky na pediatrickú indikáciu a lieky na inovatívnu liečbu sa počet úrovní zužuje na dve, s koeficientmi 4 a 8. Zároveň sa ustanovuje referenčná hodnota hrubého domáceho produktu podľa § 7 ods. 4 zákona č. 363/2011 Z. z. za rok 2024 vo výške 24 013,40 eura na obyvateľa, ktorá sa nemení počas troch rokov od nadobudnutia účinnosti vyhlášky. Po uplynutí tohto obdobia ministerstvo zdravotníctva referenčnú hodnotu aktualizuje všeobecne záväzným právnym predpisom.</w:t>
      </w:r>
    </w:p>
    <w:p w14:paraId="60E8EFA7" w14:textId="77777777" w:rsidR="007C517C" w:rsidRDefault="00870BB3" w:rsidP="006F5E64">
      <w:pPr>
        <w:spacing w:after="240" w:line="276" w:lineRule="auto"/>
        <w:ind w:firstLine="708"/>
        <w:jc w:val="both"/>
      </w:pPr>
      <w:r>
        <w:lastRenderedPageBreak/>
        <w:t>Navrhovaná úprava sa vykoná vyhlásením vyhlášky v Zbierke zákonov Slovenskej republiky. Fixácia referenčnej hodnoty a úprava koeficientov sa následne uplatnia pri stanovovaní prahovej hodnoty posudzovaného lieku v konaniach podľa zákona č. 363/2011 Z. z.</w:t>
      </w:r>
    </w:p>
    <w:p w14:paraId="633EB395" w14:textId="77777777" w:rsidR="007C517C" w:rsidRDefault="00870BB3" w:rsidP="006F5E64">
      <w:pPr>
        <w:spacing w:after="240" w:line="276" w:lineRule="auto"/>
        <w:ind w:firstLine="708"/>
        <w:jc w:val="both"/>
      </w:pPr>
      <w:r>
        <w:t>Návrh vyhlášky je v súlade s Ústavou Slovenskej republiky, ústavnými zákonmi a nálezmi Ústavného súdu Slovenskej republiky, inými zákonmi a ostatnými všeobecne záväznými právnymi predpismi Slovenskej republiky, s právom Európskej únie a s medzinárodnými zmluvami, ktorými je Slovenská republika viazaná. Návrh vyhlášky osobitne nadväzuje na zákon č. 363/2011 Z. z. a nie je v rozpore s medzinárodnými dokumentmi, ktorými je Slovenská republika viazaná v oblasti verejného zdravotného poistenia a hodnotenia zdravotníckych technológií.</w:t>
      </w:r>
    </w:p>
    <w:p w14:paraId="777C33C4" w14:textId="77777777" w:rsidR="007C517C" w:rsidRDefault="00870BB3" w:rsidP="006F5E64">
      <w:pPr>
        <w:spacing w:after="240" w:line="276" w:lineRule="auto"/>
        <w:ind w:firstLine="708"/>
        <w:jc w:val="both"/>
      </w:pPr>
      <w:r>
        <w:t>Návrh vyhlášky nie je predmetom vnútrokomunitárneho pripomienkového konania, keďže nejde o technický predpis podľa osobitného predpisu upravujúceho poskytovanie informácií v oblasti technických predpisov a predpisov o normách.</w:t>
      </w:r>
    </w:p>
    <w:p w14:paraId="72DAE1D5" w14:textId="134F8335" w:rsidR="007C517C" w:rsidRDefault="00870BB3" w:rsidP="00013AA2">
      <w:pPr>
        <w:spacing w:after="240" w:line="276" w:lineRule="auto"/>
        <w:ind w:firstLine="708"/>
        <w:jc w:val="both"/>
      </w:pPr>
      <w:r>
        <w:t>Návrh vyhlášky nemá vplyv na rozpočet verejnej správy,</w:t>
      </w:r>
      <w:r w:rsidR="00974E29">
        <w:t xml:space="preserve"> </w:t>
      </w:r>
      <w:r>
        <w:t xml:space="preserve">životné prostredie, informatizáciu spoločnosti, služby verejnej správy pre občana, manželstvo, rodičovstvo a rodinu. </w:t>
      </w:r>
      <w:r w:rsidR="00013AA2" w:rsidRPr="007E07C5">
        <w:t>Návrh vyhlášky má pozitívne a negatívne vplyvy na podnikateľské prostredie</w:t>
      </w:r>
      <w:r w:rsidR="00013AA2">
        <w:t xml:space="preserve"> a pozitívne sociálne vplyvy.</w:t>
      </w:r>
    </w:p>
    <w:p w14:paraId="52169D7E" w14:textId="1EC1F365" w:rsidR="007C517C" w:rsidRDefault="00870BB3" w:rsidP="00013AA2">
      <w:pPr>
        <w:spacing w:after="240" w:line="276" w:lineRule="auto"/>
        <w:ind w:firstLine="708"/>
        <w:jc w:val="both"/>
      </w:pPr>
      <w:r>
        <w:t>Dátum nadobudnutia účinnosti sa navrhuje na 1. decembra 2026 tak, aby sa zabezpečila legisvakancia</w:t>
      </w:r>
      <w:r w:rsidR="006F5E64">
        <w:t xml:space="preserve"> a</w:t>
      </w:r>
      <w:r>
        <w:t xml:space="preserve"> </w:t>
      </w:r>
      <w:r w:rsidR="006F5E64">
        <w:t xml:space="preserve">čo najskoršie </w:t>
      </w:r>
      <w:r>
        <w:t xml:space="preserve">zosúladenie s novelou zákona č. 363/2011 Z. z. </w:t>
      </w:r>
    </w:p>
    <w:sectPr w:rsidR="007C517C">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347BA3"/>
    <w:multiLevelType w:val="hybridMultilevel"/>
    <w:tmpl w:val="EC60BD82"/>
    <w:lvl w:ilvl="0" w:tplc="D1903332">
      <w:start w:val="1"/>
      <w:numFmt w:val="bullet"/>
      <w:lvlText w:val="●"/>
      <w:lvlJc w:val="left"/>
      <w:pPr>
        <w:ind w:left="720" w:hanging="360"/>
      </w:pPr>
    </w:lvl>
    <w:lvl w:ilvl="1" w:tplc="7006363E">
      <w:start w:val="1"/>
      <w:numFmt w:val="bullet"/>
      <w:lvlText w:val="○"/>
      <w:lvlJc w:val="left"/>
      <w:pPr>
        <w:ind w:left="1440" w:hanging="360"/>
      </w:pPr>
    </w:lvl>
    <w:lvl w:ilvl="2" w:tplc="3828C552">
      <w:start w:val="1"/>
      <w:numFmt w:val="bullet"/>
      <w:lvlText w:val="■"/>
      <w:lvlJc w:val="left"/>
      <w:pPr>
        <w:ind w:left="2160" w:hanging="360"/>
      </w:pPr>
    </w:lvl>
    <w:lvl w:ilvl="3" w:tplc="7376E18A">
      <w:start w:val="1"/>
      <w:numFmt w:val="bullet"/>
      <w:lvlText w:val="●"/>
      <w:lvlJc w:val="left"/>
      <w:pPr>
        <w:ind w:left="2880" w:hanging="360"/>
      </w:pPr>
    </w:lvl>
    <w:lvl w:ilvl="4" w:tplc="29642C88">
      <w:start w:val="1"/>
      <w:numFmt w:val="bullet"/>
      <w:lvlText w:val="○"/>
      <w:lvlJc w:val="left"/>
      <w:pPr>
        <w:ind w:left="3600" w:hanging="360"/>
      </w:pPr>
    </w:lvl>
    <w:lvl w:ilvl="5" w:tplc="B94069F2">
      <w:start w:val="1"/>
      <w:numFmt w:val="bullet"/>
      <w:lvlText w:val="■"/>
      <w:lvlJc w:val="left"/>
      <w:pPr>
        <w:ind w:left="4320" w:hanging="360"/>
      </w:pPr>
    </w:lvl>
    <w:lvl w:ilvl="6" w:tplc="F53EDF9C">
      <w:start w:val="1"/>
      <w:numFmt w:val="bullet"/>
      <w:lvlText w:val="●"/>
      <w:lvlJc w:val="left"/>
      <w:pPr>
        <w:ind w:left="5040" w:hanging="360"/>
      </w:pPr>
    </w:lvl>
    <w:lvl w:ilvl="7" w:tplc="11B46B30">
      <w:start w:val="1"/>
      <w:numFmt w:val="bullet"/>
      <w:lvlText w:val="●"/>
      <w:lvlJc w:val="left"/>
      <w:pPr>
        <w:ind w:left="5760" w:hanging="360"/>
      </w:pPr>
    </w:lvl>
    <w:lvl w:ilvl="8" w:tplc="956E3242">
      <w:start w:val="1"/>
      <w:numFmt w:val="bullet"/>
      <w:lvlText w:val="●"/>
      <w:lvlJc w:val="left"/>
      <w:pPr>
        <w:ind w:left="6480" w:hanging="360"/>
      </w:pPr>
    </w:lvl>
  </w:abstractNum>
  <w:num w:numId="1" w16cid:durableId="853470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17C"/>
    <w:rsid w:val="00013AA2"/>
    <w:rsid w:val="0018043C"/>
    <w:rsid w:val="0062201C"/>
    <w:rsid w:val="006F5E64"/>
    <w:rsid w:val="007C517C"/>
    <w:rsid w:val="007D498E"/>
    <w:rsid w:val="007E4EDA"/>
    <w:rsid w:val="00810428"/>
    <w:rsid w:val="00870BB3"/>
    <w:rsid w:val="00974E29"/>
    <w:rsid w:val="00992276"/>
    <w:rsid w:val="00E916C5"/>
    <w:rsid w:val="00FD654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924BB"/>
  <w15:docId w15:val="{21F3D60A-6C32-4D86-9E65-B4A404EF4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sk-SK" w:eastAsia="sk-S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uiPriority w:val="9"/>
    <w:qFormat/>
    <w:pPr>
      <w:outlineLvl w:val="0"/>
    </w:pPr>
    <w:rPr>
      <w:color w:val="2E74B5"/>
      <w:sz w:val="32"/>
      <w:szCs w:val="32"/>
    </w:rPr>
  </w:style>
  <w:style w:type="paragraph" w:styleId="Nadpis2">
    <w:name w:val="heading 2"/>
    <w:uiPriority w:val="9"/>
    <w:semiHidden/>
    <w:unhideWhenUsed/>
    <w:qFormat/>
    <w:pPr>
      <w:outlineLvl w:val="1"/>
    </w:pPr>
    <w:rPr>
      <w:color w:val="2E74B5"/>
      <w:sz w:val="26"/>
      <w:szCs w:val="26"/>
    </w:rPr>
  </w:style>
  <w:style w:type="paragraph" w:styleId="Nadpis3">
    <w:name w:val="heading 3"/>
    <w:uiPriority w:val="9"/>
    <w:semiHidden/>
    <w:unhideWhenUsed/>
    <w:qFormat/>
    <w:pPr>
      <w:outlineLvl w:val="2"/>
    </w:pPr>
    <w:rPr>
      <w:color w:val="1F4D78"/>
    </w:rPr>
  </w:style>
  <w:style w:type="paragraph" w:styleId="Nadpis4">
    <w:name w:val="heading 4"/>
    <w:uiPriority w:val="9"/>
    <w:semiHidden/>
    <w:unhideWhenUsed/>
    <w:qFormat/>
    <w:pPr>
      <w:outlineLvl w:val="3"/>
    </w:pPr>
    <w:rPr>
      <w:i/>
      <w:iCs/>
      <w:color w:val="2E74B5"/>
    </w:rPr>
  </w:style>
  <w:style w:type="paragraph" w:styleId="Nadpis5">
    <w:name w:val="heading 5"/>
    <w:uiPriority w:val="9"/>
    <w:semiHidden/>
    <w:unhideWhenUsed/>
    <w:qFormat/>
    <w:pPr>
      <w:outlineLvl w:val="4"/>
    </w:pPr>
    <w:rPr>
      <w:color w:val="2E74B5"/>
    </w:rPr>
  </w:style>
  <w:style w:type="paragraph" w:styleId="Nadpis6">
    <w:name w:val="heading 6"/>
    <w:uiPriority w:val="9"/>
    <w:semiHidden/>
    <w:unhideWhenUsed/>
    <w:qFormat/>
    <w:pPr>
      <w:outlineLvl w:val="5"/>
    </w:pPr>
    <w:rPr>
      <w:color w:val="1F4D7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uiPriority w:val="10"/>
    <w:qFormat/>
    <w:rPr>
      <w:sz w:val="56"/>
      <w:szCs w:val="56"/>
    </w:rPr>
  </w:style>
  <w:style w:type="paragraph" w:customStyle="1" w:styleId="Vrazn1">
    <w:name w:val="Výrazný1"/>
    <w:qFormat/>
    <w:rPr>
      <w:b/>
      <w:bCs/>
    </w:rPr>
  </w:style>
  <w:style w:type="paragraph" w:styleId="Odsekzoznamu">
    <w:name w:val="List Paragraph"/>
    <w:qFormat/>
  </w:style>
  <w:style w:type="character" w:styleId="Hypertextovprepojenie">
    <w:name w:val="Hyperlink"/>
    <w:uiPriority w:val="99"/>
    <w:unhideWhenUsed/>
    <w:rPr>
      <w:color w:val="0563C1"/>
      <w:u w:val="single"/>
    </w:rPr>
  </w:style>
  <w:style w:type="character" w:styleId="Odkaznapoznmkupodiarou">
    <w:name w:val="footnote reference"/>
    <w:uiPriority w:val="99"/>
    <w:semiHidden/>
    <w:unhideWhenUsed/>
    <w:rPr>
      <w:vertAlign w:val="superscript"/>
    </w:rPr>
  </w:style>
  <w:style w:type="paragraph" w:styleId="Textpoznmkypodiarou">
    <w:name w:val="footnote text"/>
    <w:link w:val="TextpoznmkypodiarouChar"/>
    <w:uiPriority w:val="99"/>
    <w:semiHidden/>
    <w:unhideWhenUsed/>
    <w:rPr>
      <w:sz w:val="20"/>
      <w:szCs w:val="20"/>
    </w:rPr>
  </w:style>
  <w:style w:type="character" w:customStyle="1" w:styleId="TextpoznmkypodiarouChar">
    <w:name w:val="Text poznámky pod čiarou Char"/>
    <w:link w:val="Textpoznmkypodiarou"/>
    <w:uiPriority w:val="99"/>
    <w:semiHidden/>
    <w:unhideWhenUsed/>
    <w:rPr>
      <w:sz w:val="20"/>
      <w:szCs w:val="20"/>
    </w:rPr>
  </w:style>
  <w:style w:type="character" w:styleId="Odkaznavysvetlivku">
    <w:name w:val="endnote reference"/>
    <w:uiPriority w:val="99"/>
    <w:semiHidden/>
    <w:unhideWhenUsed/>
    <w:rPr>
      <w:vertAlign w:val="superscript"/>
    </w:rPr>
  </w:style>
  <w:style w:type="paragraph" w:styleId="Textvysvetlivky">
    <w:name w:val="endnote text"/>
    <w:link w:val="TextvysvetlivkyChar"/>
    <w:uiPriority w:val="99"/>
    <w:semiHidden/>
    <w:unhideWhenUsed/>
    <w:rPr>
      <w:sz w:val="20"/>
      <w:szCs w:val="20"/>
    </w:rPr>
  </w:style>
  <w:style w:type="character" w:customStyle="1" w:styleId="TextvysvetlivkyChar">
    <w:name w:val="Text vysvetlivky Char"/>
    <w:link w:val="Textvysvetlivky"/>
    <w:uiPriority w:val="99"/>
    <w:semiHidden/>
    <w:unhideWhenUsed/>
    <w:rPr>
      <w:sz w:val="20"/>
      <w:szCs w:val="20"/>
    </w:rPr>
  </w:style>
  <w:style w:type="paragraph" w:styleId="Revzia">
    <w:name w:val="Revision"/>
    <w:hidden/>
    <w:uiPriority w:val="99"/>
    <w:semiHidden/>
    <w:rsid w:val="006F5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0"/>
    <f:field ref="objvalidfrom" date="" text="" edit="true"/>
    <f:field ref="objvalidto" date="" text=""/>
    <f:field ref="FSCFOLIO_1_1001_FieldReleasedVersionDate" text=""/>
    <f:field ref="FSCFOLIO_1_1001_FieldReleasedVersionNr" text=""/>
    <f:field ref="CCAPRECONFIG_15_1001_Objektname" text="03_Dovodova_sprava_vseobecna_298_2022"/>
    <f:field ref="objname" text="03_Dovodova_sprava_vseobecna_298_2022" edit="true"/>
    <f:field ref="objsubject" text="" edit="true"/>
    <f:field ref="objcreatedby" text="Bohácseková, Soňa, Mgr."/>
    <f:field ref="objcreatedat" date="2026-10-07T12:54:55" text="7.10.2026 12:54:55"/>
    <f:field ref="objchangedby" text="Kidala, Viktor, Mgr. "/>
    <f:field ref="objmodifiedat" date="2026-10-07T13:45:33" text="7.10.2026 13:45:33"/>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689</Words>
  <Characters>3928</Characters>
  <Application>Microsoft Office Word</Application>
  <DocSecurity>0</DocSecurity>
  <Lines>32</Lines>
  <Paragraphs>9</Paragraphs>
  <ScaleCrop>false</ScaleCrop>
  <Company>MZSR</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Melich</dc:creator>
  <cp:lastModifiedBy>Kidala Viktor</cp:lastModifiedBy>
  <cp:revision>7</cp:revision>
  <dcterms:created xsi:type="dcterms:W3CDTF">2026-09-15T14:18:00Z</dcterms:created>
  <dcterms:modified xsi:type="dcterms:W3CDTF">2026-10-07T14:20:00Z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7. 10. 2026, 12:54</vt:lpwstr>
  </property>
  <property fmtid="{D5CDD505-2E9C-101B-9397-08002B2CF9AE}" pid="134" name="FSC#SKEDITIONREG@103.510:curruserrolegroup">
    <vt:lpwstr>Odbor legislatívny</vt:lpwstr>
  </property>
  <property fmtid="{D5CDD505-2E9C-101B-9397-08002B2CF9AE}" pid="135" name="FSC#SKEDITIONREG@103.510:currusersubst">
    <vt:lpwstr>Mgr.  Viktor Kidala</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07.10.2026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*COO.2289.100.2.5085964*</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7</vt:lpwstr>
  </property>
  <property fmtid="{D5CDD505-2E9C-101B-9397-08002B2CF9AE}" pid="366" name="FSC#COOELAK@1.1001:CurrentUserEmail">
    <vt:lpwstr>viktor.kidala@health.gov.sk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COO.2289.100.2.5085964</vt:lpwstr>
  </property>
  <property fmtid="{D5CDD505-2E9C-101B-9397-08002B2CF9AE}" pid="402" name="FSC#FSCFOLIO@1.1001:docpropproject">
    <vt:lpwstr/>
  </property>
</Properties>
</file>