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227" w:rsidRPr="002B703B" w:rsidRDefault="00681227" w:rsidP="00681227">
      <w:pPr>
        <w:pStyle w:val="Default"/>
        <w:ind w:left="360"/>
        <w:jc w:val="center"/>
        <w:rPr>
          <w:b/>
          <w:bCs/>
          <w:color w:val="auto"/>
        </w:rPr>
      </w:pPr>
      <w:r w:rsidRPr="002B703B">
        <w:rPr>
          <w:b/>
          <w:bCs/>
          <w:color w:val="auto"/>
        </w:rPr>
        <w:t>DOLOŽKA ZLUČITEĽNOSTI</w:t>
      </w:r>
    </w:p>
    <w:p w:rsidR="00681227" w:rsidRDefault="00681227" w:rsidP="00681227">
      <w:pPr>
        <w:pStyle w:val="Default"/>
        <w:ind w:left="426"/>
        <w:jc w:val="center"/>
        <w:rPr>
          <w:b/>
          <w:bCs/>
          <w:color w:val="auto"/>
        </w:rPr>
      </w:pPr>
    </w:p>
    <w:p w:rsidR="00681227" w:rsidRPr="002B703B" w:rsidRDefault="00681227" w:rsidP="00681227">
      <w:pPr>
        <w:pStyle w:val="Default"/>
        <w:ind w:left="426"/>
        <w:jc w:val="center"/>
        <w:rPr>
          <w:b/>
          <w:bCs/>
          <w:color w:val="auto"/>
        </w:rPr>
      </w:pPr>
      <w:r w:rsidRPr="002B703B">
        <w:rPr>
          <w:b/>
          <w:bCs/>
          <w:color w:val="auto"/>
        </w:rPr>
        <w:t xml:space="preserve">návrhu </w:t>
      </w:r>
      <w:r w:rsidRPr="002B703B">
        <w:rPr>
          <w:b/>
          <w:color w:val="auto"/>
        </w:rPr>
        <w:t>zákona</w:t>
      </w:r>
      <w:r w:rsidRPr="002B703B">
        <w:rPr>
          <w:b/>
          <w:bCs/>
          <w:color w:val="auto"/>
        </w:rPr>
        <w:t xml:space="preserve"> s právom Európskej únie</w:t>
      </w:r>
    </w:p>
    <w:p w:rsidR="00681227" w:rsidRPr="002B703B" w:rsidRDefault="00681227" w:rsidP="00681227">
      <w:pPr>
        <w:pStyle w:val="Default"/>
        <w:jc w:val="both"/>
        <w:rPr>
          <w:color w:val="auto"/>
        </w:rPr>
      </w:pPr>
    </w:p>
    <w:p w:rsidR="00681227" w:rsidRPr="002B703B" w:rsidRDefault="00681227" w:rsidP="00681227">
      <w:pPr>
        <w:pStyle w:val="Default"/>
        <w:ind w:left="709" w:hanging="283"/>
        <w:jc w:val="both"/>
        <w:rPr>
          <w:color w:val="auto"/>
        </w:rPr>
      </w:pPr>
      <w:r w:rsidRPr="002B703B">
        <w:rPr>
          <w:color w:val="auto"/>
        </w:rPr>
        <w:t xml:space="preserve">1. </w:t>
      </w:r>
      <w:r w:rsidRPr="002B703B">
        <w:rPr>
          <w:b/>
          <w:color w:val="auto"/>
        </w:rPr>
        <w:t>Navrhovateľ zákona</w:t>
      </w:r>
      <w:r w:rsidRPr="002B703B">
        <w:rPr>
          <w:color w:val="auto"/>
        </w:rPr>
        <w:t xml:space="preserve">: </w:t>
      </w:r>
      <w:r>
        <w:rPr>
          <w:color w:val="auto"/>
        </w:rPr>
        <w:t>Ministerstvo dopravy</w:t>
      </w:r>
      <w:r w:rsidRPr="002B703B">
        <w:rPr>
          <w:color w:val="auto"/>
        </w:rPr>
        <w:t xml:space="preserve"> Slovenskej republiky</w:t>
      </w:r>
    </w:p>
    <w:p w:rsidR="00681227" w:rsidRPr="002B703B" w:rsidRDefault="00681227" w:rsidP="00681227">
      <w:pPr>
        <w:pStyle w:val="Default"/>
        <w:ind w:left="709" w:hanging="283"/>
        <w:jc w:val="both"/>
        <w:rPr>
          <w:color w:val="auto"/>
        </w:rPr>
      </w:pPr>
    </w:p>
    <w:p w:rsidR="00681227" w:rsidRDefault="00681227" w:rsidP="00681227">
      <w:pPr>
        <w:pStyle w:val="Default"/>
        <w:ind w:left="709" w:hanging="283"/>
        <w:jc w:val="both"/>
        <w:rPr>
          <w:color w:val="auto"/>
        </w:rPr>
      </w:pPr>
      <w:r w:rsidRPr="002B703B">
        <w:rPr>
          <w:color w:val="auto"/>
        </w:rPr>
        <w:t xml:space="preserve">2. </w:t>
      </w:r>
      <w:r w:rsidRPr="002B703B">
        <w:rPr>
          <w:b/>
          <w:color w:val="auto"/>
        </w:rPr>
        <w:t>Názov návrhu zákona</w:t>
      </w:r>
      <w:r w:rsidRPr="002B703B">
        <w:rPr>
          <w:color w:val="auto"/>
        </w:rPr>
        <w:t xml:space="preserve">: </w:t>
      </w:r>
      <w:bookmarkStart w:id="0" w:name="_GoBack"/>
      <w:bookmarkEnd w:id="0"/>
      <w:r w:rsidR="00723352">
        <w:rPr>
          <w:color w:val="auto"/>
        </w:rPr>
        <w:t>Z</w:t>
      </w:r>
      <w:r w:rsidRPr="002B703B">
        <w:rPr>
          <w:color w:val="auto"/>
        </w:rPr>
        <w:t xml:space="preserve">ákon, ktorým sa </w:t>
      </w:r>
      <w:r>
        <w:rPr>
          <w:color w:val="auto"/>
        </w:rPr>
        <w:t xml:space="preserve">mení a </w:t>
      </w:r>
      <w:r w:rsidRPr="002B703B">
        <w:rPr>
          <w:color w:val="auto"/>
        </w:rPr>
        <w:t xml:space="preserve">dopĺňa zákon č. </w:t>
      </w:r>
      <w:r w:rsidR="006E6E45" w:rsidRPr="006E6E45">
        <w:rPr>
          <w:color w:val="auto"/>
        </w:rPr>
        <w:t>435/2000 Z. z. o námornej plavbe v znení neskorších predpisov</w:t>
      </w:r>
    </w:p>
    <w:p w:rsidR="006E6E45" w:rsidRPr="002B703B" w:rsidRDefault="006E6E45" w:rsidP="00681227">
      <w:pPr>
        <w:pStyle w:val="Default"/>
        <w:ind w:left="709" w:hanging="283"/>
        <w:jc w:val="both"/>
        <w:rPr>
          <w:color w:val="auto"/>
        </w:rPr>
      </w:pPr>
    </w:p>
    <w:p w:rsidR="00681227" w:rsidRPr="002B703B" w:rsidRDefault="00681227" w:rsidP="00681227">
      <w:pPr>
        <w:pStyle w:val="Default"/>
        <w:ind w:left="709" w:hanging="283"/>
        <w:jc w:val="both"/>
        <w:rPr>
          <w:color w:val="auto"/>
        </w:rPr>
      </w:pPr>
      <w:r w:rsidRPr="002B703B">
        <w:rPr>
          <w:color w:val="auto"/>
        </w:rPr>
        <w:t xml:space="preserve">3. </w:t>
      </w:r>
      <w:r w:rsidRPr="002B703B">
        <w:rPr>
          <w:b/>
          <w:bCs/>
          <w:color w:val="auto"/>
        </w:rPr>
        <w:t xml:space="preserve">Predmet návrhu </w:t>
      </w:r>
      <w:r w:rsidRPr="002B703B">
        <w:rPr>
          <w:b/>
          <w:color w:val="auto"/>
        </w:rPr>
        <w:t>zákona</w:t>
      </w:r>
      <w:r w:rsidRPr="002B703B">
        <w:rPr>
          <w:b/>
          <w:bCs/>
          <w:color w:val="auto"/>
        </w:rPr>
        <w:t xml:space="preserve"> </w:t>
      </w:r>
      <w:r>
        <w:rPr>
          <w:b/>
          <w:bCs/>
          <w:color w:val="auto"/>
        </w:rPr>
        <w:t>je</w:t>
      </w:r>
      <w:r w:rsidRPr="002B703B">
        <w:rPr>
          <w:b/>
          <w:bCs/>
          <w:color w:val="auto"/>
        </w:rPr>
        <w:t xml:space="preserve"> upravený v práve Európskej únie</w:t>
      </w:r>
      <w:r>
        <w:rPr>
          <w:b/>
          <w:bCs/>
          <w:color w:val="auto"/>
        </w:rPr>
        <w:t>.</w:t>
      </w:r>
      <w:r w:rsidRPr="002B703B">
        <w:rPr>
          <w:color w:val="auto"/>
        </w:rPr>
        <w:t xml:space="preserve"> </w:t>
      </w:r>
    </w:p>
    <w:p w:rsidR="006E6E45" w:rsidRPr="006E6E45" w:rsidRDefault="006E6E45" w:rsidP="006E6E45">
      <w:p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6E6E45">
        <w:rPr>
          <w:rFonts w:ascii="Times New Roman" w:hAnsi="Times New Roman"/>
          <w:sz w:val="24"/>
          <w:szCs w:val="24"/>
        </w:rPr>
        <w:t xml:space="preserve">a) v primárnom práve v Hlave VI Doprava čl. 90 až 100 Zmluvy o fungovaní Európskej únie, </w:t>
      </w:r>
    </w:p>
    <w:p w:rsidR="006E6E45" w:rsidRPr="006E6E45" w:rsidRDefault="006E6E45" w:rsidP="006E6E45">
      <w:p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6E6E45">
        <w:rPr>
          <w:rFonts w:ascii="Times New Roman" w:hAnsi="Times New Roman"/>
          <w:sz w:val="24"/>
          <w:szCs w:val="24"/>
        </w:rPr>
        <w:t xml:space="preserve">b) v sekundárnom práve v </w:t>
      </w:r>
    </w:p>
    <w:p w:rsidR="006E6E45" w:rsidRPr="006E6E45" w:rsidRDefault="006E6E45" w:rsidP="006E6E45">
      <w:pPr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</w:t>
      </w:r>
      <w:r w:rsidRPr="006E6E45">
        <w:rPr>
          <w:rFonts w:ascii="Times New Roman" w:hAnsi="Times New Roman"/>
          <w:sz w:val="24"/>
          <w:szCs w:val="24"/>
        </w:rPr>
        <w:t>mernic</w:t>
      </w:r>
      <w:r>
        <w:rPr>
          <w:rFonts w:ascii="Times New Roman" w:hAnsi="Times New Roman"/>
          <w:sz w:val="24"/>
          <w:szCs w:val="24"/>
        </w:rPr>
        <w:t>i</w:t>
      </w:r>
      <w:r w:rsidRPr="006E6E45">
        <w:rPr>
          <w:rFonts w:ascii="Times New Roman" w:hAnsi="Times New Roman"/>
          <w:sz w:val="24"/>
          <w:szCs w:val="24"/>
        </w:rPr>
        <w:t xml:space="preserve"> Európskeho parlamentu a Rady (EÚ) 2024/3099 z 27. novembra 2024, ktorou sa mení smernica 2009/16/ES o štátnej prístavnej kontrole (Ú. </w:t>
      </w:r>
      <w:r>
        <w:rPr>
          <w:rFonts w:ascii="Times New Roman" w:hAnsi="Times New Roman"/>
          <w:sz w:val="24"/>
          <w:szCs w:val="24"/>
        </w:rPr>
        <w:t>v. EÚ L, 2024/3099, 16.12.2024),</w:t>
      </w:r>
    </w:p>
    <w:p w:rsidR="006E6E45" w:rsidRPr="006E6E45" w:rsidRDefault="006E6E45" w:rsidP="006E6E45">
      <w:pPr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</w:t>
      </w:r>
      <w:r w:rsidRPr="006E6E45">
        <w:rPr>
          <w:rFonts w:ascii="Times New Roman" w:hAnsi="Times New Roman"/>
          <w:sz w:val="24"/>
          <w:szCs w:val="24"/>
        </w:rPr>
        <w:t>mernic</w:t>
      </w:r>
      <w:r>
        <w:rPr>
          <w:rFonts w:ascii="Times New Roman" w:hAnsi="Times New Roman"/>
          <w:sz w:val="24"/>
          <w:szCs w:val="24"/>
        </w:rPr>
        <w:t>i</w:t>
      </w:r>
      <w:r w:rsidRPr="006E6E45">
        <w:rPr>
          <w:rFonts w:ascii="Times New Roman" w:hAnsi="Times New Roman"/>
          <w:sz w:val="24"/>
          <w:szCs w:val="24"/>
        </w:rPr>
        <w:t xml:space="preserve"> Európskeho parlamentu a Rady (EÚ) 2024/3100 z 27. novembra 2024, ktorou sa mení smernica 2009/21/ES o plnení povinností vlajkového štátu (Ú. </w:t>
      </w:r>
      <w:r>
        <w:rPr>
          <w:rFonts w:ascii="Times New Roman" w:hAnsi="Times New Roman"/>
          <w:sz w:val="24"/>
          <w:szCs w:val="24"/>
        </w:rPr>
        <w:t>v. EÚ L, 2024/3100, 16.12.2024),</w:t>
      </w:r>
    </w:p>
    <w:p w:rsidR="006E6E45" w:rsidRPr="006E6E45" w:rsidRDefault="006E6E45" w:rsidP="006E6E45">
      <w:pPr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</w:t>
      </w:r>
      <w:r w:rsidRPr="006E6E45">
        <w:rPr>
          <w:rFonts w:ascii="Times New Roman" w:hAnsi="Times New Roman"/>
          <w:sz w:val="24"/>
          <w:szCs w:val="24"/>
        </w:rPr>
        <w:t>mernic</w:t>
      </w:r>
      <w:r>
        <w:rPr>
          <w:rFonts w:ascii="Times New Roman" w:hAnsi="Times New Roman"/>
          <w:sz w:val="24"/>
          <w:szCs w:val="24"/>
        </w:rPr>
        <w:t>i</w:t>
      </w:r>
      <w:r w:rsidRPr="006E6E45">
        <w:rPr>
          <w:rFonts w:ascii="Times New Roman" w:hAnsi="Times New Roman"/>
          <w:sz w:val="24"/>
          <w:szCs w:val="24"/>
        </w:rPr>
        <w:t xml:space="preserve"> Európskeho parlamentu a Rady (EÚ) 2024/3101 z 27. novembra 2024, ktorou sa mení smernica 2005/35/ES, pokiaľ ide o znečisťovanie z lodí a zavedenie správnych sankcií za porušenia (Ú. </w:t>
      </w:r>
      <w:r>
        <w:rPr>
          <w:rFonts w:ascii="Times New Roman" w:hAnsi="Times New Roman"/>
          <w:sz w:val="24"/>
          <w:szCs w:val="24"/>
        </w:rPr>
        <w:t>v. EÚ L, 2024/3101, 16.12.2024)</w:t>
      </w:r>
      <w:r w:rsidRPr="006E6E45">
        <w:rPr>
          <w:rFonts w:ascii="Times New Roman" w:hAnsi="Times New Roman"/>
          <w:sz w:val="24"/>
          <w:szCs w:val="24"/>
        </w:rPr>
        <w:t>, ktorých gestorom je Ministerstvo dopravy Slovenskej republiky.</w:t>
      </w:r>
    </w:p>
    <w:p w:rsidR="00681227" w:rsidRDefault="006E6E45" w:rsidP="006E6E45">
      <w:p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6E6E45">
        <w:rPr>
          <w:rFonts w:ascii="Times New Roman" w:hAnsi="Times New Roman"/>
          <w:sz w:val="24"/>
          <w:szCs w:val="24"/>
        </w:rPr>
        <w:t>c)</w:t>
      </w:r>
      <w:r w:rsidRPr="006E6E45">
        <w:rPr>
          <w:rFonts w:ascii="Times New Roman" w:hAnsi="Times New Roman"/>
          <w:sz w:val="24"/>
          <w:szCs w:val="24"/>
        </w:rPr>
        <w:tab/>
        <w:t>nie je obsiahnutá v judikatúre Súdneho dvora Európskej únie.</w:t>
      </w:r>
    </w:p>
    <w:p w:rsidR="006E6E45" w:rsidRPr="002B703B" w:rsidRDefault="006E6E45" w:rsidP="006E6E45">
      <w:p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</w:p>
    <w:p w:rsidR="00681227" w:rsidRDefault="00681227" w:rsidP="00681227">
      <w:pPr>
        <w:spacing w:after="0" w:line="240" w:lineRule="auto"/>
        <w:ind w:left="709" w:hanging="283"/>
        <w:jc w:val="both"/>
        <w:rPr>
          <w:rFonts w:ascii="Times New Roman" w:hAnsi="Times New Roman"/>
          <w:b/>
          <w:sz w:val="24"/>
          <w:szCs w:val="24"/>
        </w:rPr>
      </w:pPr>
      <w:r w:rsidRPr="002B703B">
        <w:rPr>
          <w:rFonts w:ascii="Times New Roman" w:hAnsi="Times New Roman"/>
          <w:sz w:val="24"/>
          <w:szCs w:val="24"/>
        </w:rPr>
        <w:t>4.</w:t>
      </w:r>
      <w:r w:rsidRPr="002B703B">
        <w:rPr>
          <w:rFonts w:ascii="Times New Roman" w:hAnsi="Times New Roman"/>
          <w:sz w:val="24"/>
          <w:szCs w:val="24"/>
        </w:rPr>
        <w:tab/>
      </w:r>
      <w:r w:rsidRPr="002B703B">
        <w:rPr>
          <w:rFonts w:ascii="Times New Roman" w:hAnsi="Times New Roman"/>
          <w:b/>
          <w:sz w:val="24"/>
          <w:szCs w:val="24"/>
        </w:rPr>
        <w:t>Záväzky Slovenskej republiky vo vzťahu k Európskej únii:</w:t>
      </w:r>
    </w:p>
    <w:p w:rsidR="006E6E45" w:rsidRDefault="00681227" w:rsidP="006E6E45">
      <w:p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6E6E45" w:rsidRPr="006E6E45">
        <w:rPr>
          <w:rFonts w:ascii="Times New Roman" w:hAnsi="Times New Roman"/>
          <w:sz w:val="24"/>
          <w:szCs w:val="24"/>
        </w:rPr>
        <w:t xml:space="preserve">a) lehota na prebranie príslušného právneho aktu Európskej únie, príp. aj osobitnú lehotu </w:t>
      </w:r>
      <w:r w:rsidR="006E6E45">
        <w:rPr>
          <w:rFonts w:ascii="Times New Roman" w:hAnsi="Times New Roman"/>
          <w:sz w:val="24"/>
          <w:szCs w:val="24"/>
        </w:rPr>
        <w:t xml:space="preserve">    </w:t>
      </w:r>
    </w:p>
    <w:p w:rsidR="006E6E45" w:rsidRPr="006E6E45" w:rsidRDefault="006E6E45" w:rsidP="006E6E45">
      <w:p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6E6E45">
        <w:rPr>
          <w:rFonts w:ascii="Times New Roman" w:hAnsi="Times New Roman"/>
          <w:sz w:val="24"/>
          <w:szCs w:val="24"/>
        </w:rPr>
        <w:t xml:space="preserve">účinnosti jeho ustanovení:  </w:t>
      </w:r>
    </w:p>
    <w:p w:rsidR="006E6E45" w:rsidRPr="006E6E45" w:rsidRDefault="006E6E45" w:rsidP="006E6E45">
      <w:pPr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 w:rsidRPr="006E6E45">
        <w:rPr>
          <w:rFonts w:ascii="Times New Roman" w:hAnsi="Times New Roman"/>
          <w:sz w:val="24"/>
          <w:szCs w:val="24"/>
        </w:rPr>
        <w:t xml:space="preserve">do </w:t>
      </w:r>
      <w:r>
        <w:rPr>
          <w:rFonts w:ascii="Times New Roman" w:hAnsi="Times New Roman"/>
          <w:sz w:val="24"/>
          <w:szCs w:val="24"/>
        </w:rPr>
        <w:t>6. júla 2027</w:t>
      </w:r>
      <w:r w:rsidRPr="006E6E45">
        <w:rPr>
          <w:rFonts w:ascii="Times New Roman" w:hAnsi="Times New Roman"/>
          <w:sz w:val="24"/>
          <w:szCs w:val="24"/>
        </w:rPr>
        <w:t>,</w:t>
      </w:r>
    </w:p>
    <w:p w:rsidR="006E6E45" w:rsidRPr="006E6E45" w:rsidRDefault="006E6E45" w:rsidP="006E6E45">
      <w:p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6E6E45">
        <w:rPr>
          <w:rFonts w:ascii="Times New Roman" w:hAnsi="Times New Roman"/>
          <w:sz w:val="24"/>
          <w:szCs w:val="24"/>
        </w:rPr>
        <w:t xml:space="preserve">b) informácia o začatí konania v rámci „EÚ Pilot“ alebo o začatí postupu Európskej komisie, alebo o konaní Súdneho dvora Európskej únie proti Slovenskej republike podľa čl. 258 a 260 Zmluvy o fungovaní Európskej únie v jej platnom znení, spolu s uvedením konkrétnych vytýkaných nedostatkov a požiadaviek na zabezpečenie nápravy so zreteľom na nariadenie Európskeho parlamentu a Rady (ES) č. 1049/2001 z 30. mája 2001 o prístupe verejnosti k dokumentom Európskeho parlamentu, Rady a Komisie: </w:t>
      </w:r>
    </w:p>
    <w:p w:rsidR="006E6E45" w:rsidRPr="006E6E45" w:rsidRDefault="006E6E45" w:rsidP="006E6E45">
      <w:pPr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 w:rsidRPr="006E6E45">
        <w:rPr>
          <w:rFonts w:ascii="Times New Roman" w:hAnsi="Times New Roman"/>
          <w:sz w:val="24"/>
          <w:szCs w:val="24"/>
        </w:rPr>
        <w:t>konanie nebolo začaté,</w:t>
      </w:r>
    </w:p>
    <w:p w:rsidR="006E6E45" w:rsidRPr="006E6E45" w:rsidRDefault="006E6E45" w:rsidP="006E6E45">
      <w:p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6E6E45">
        <w:rPr>
          <w:rFonts w:ascii="Times New Roman" w:hAnsi="Times New Roman"/>
          <w:sz w:val="24"/>
          <w:szCs w:val="24"/>
        </w:rPr>
        <w:t xml:space="preserve">c) informácia o právnych predpisoch, v ktorých sú uvádzané právne akty Európskej únie už prebrané, spolu s uvedením rozsahu ich prebrania, príp. potreby prijatia ďalších úprav: </w:t>
      </w:r>
    </w:p>
    <w:p w:rsidR="006E6E45" w:rsidRPr="002B703B" w:rsidRDefault="006E6E45" w:rsidP="006E6E45">
      <w:pPr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4847DE">
        <w:rPr>
          <w:rFonts w:ascii="Times New Roman" w:hAnsi="Times New Roman"/>
          <w:sz w:val="24"/>
          <w:szCs w:val="24"/>
        </w:rPr>
        <w:t>smernica (EÚ) 2024/3099 a</w:t>
      </w:r>
      <w:r w:rsidRPr="006E6E45">
        <w:rPr>
          <w:rFonts w:ascii="Times New Roman" w:hAnsi="Times New Roman"/>
          <w:sz w:val="24"/>
          <w:szCs w:val="24"/>
        </w:rPr>
        <w:t xml:space="preserve"> smernica 2024/3100 </w:t>
      </w:r>
      <w:r w:rsidR="004847DE">
        <w:rPr>
          <w:rFonts w:ascii="Times New Roman" w:hAnsi="Times New Roman"/>
          <w:sz w:val="24"/>
          <w:szCs w:val="24"/>
        </w:rPr>
        <w:t>v</w:t>
      </w:r>
      <w:r w:rsidRPr="006E6E4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zákon</w:t>
      </w:r>
      <w:r w:rsidR="004847DE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č. 435/2000 Z. z. o námornej plavbe v znení neskorších predpisov</w:t>
      </w:r>
    </w:p>
    <w:p w:rsidR="00681227" w:rsidRDefault="004847DE" w:rsidP="004847DE">
      <w:pPr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6E6E45">
        <w:rPr>
          <w:rFonts w:ascii="Times New Roman" w:hAnsi="Times New Roman"/>
          <w:sz w:val="24"/>
          <w:szCs w:val="24"/>
        </w:rPr>
        <w:t>smernica (EÚ)  2024/3101</w:t>
      </w:r>
      <w:r>
        <w:rPr>
          <w:rFonts w:ascii="Times New Roman" w:hAnsi="Times New Roman"/>
          <w:sz w:val="24"/>
          <w:szCs w:val="24"/>
        </w:rPr>
        <w:t xml:space="preserve"> v zákone č. 435/2000 Z. z. o námornej plavbe v znení neskorších predpisov a vyhláške </w:t>
      </w:r>
      <w:r w:rsidRPr="004847DE">
        <w:rPr>
          <w:rFonts w:ascii="Times New Roman" w:hAnsi="Times New Roman"/>
          <w:sz w:val="24"/>
          <w:szCs w:val="24"/>
        </w:rPr>
        <w:t>Ministerstva dopravy, pôšt a telekomunikácií Slovenskej republiky</w:t>
      </w:r>
      <w:r w:rsidR="00C47FCD">
        <w:rPr>
          <w:rFonts w:ascii="Times New Roman" w:hAnsi="Times New Roman"/>
          <w:sz w:val="24"/>
          <w:szCs w:val="24"/>
        </w:rPr>
        <w:t xml:space="preserve"> </w:t>
      </w:r>
      <w:r w:rsidR="00C47FCD" w:rsidRPr="00382F23">
        <w:rPr>
          <w:rFonts w:ascii="Times New Roman" w:hAnsi="Times New Roman"/>
          <w:sz w:val="24"/>
          <w:szCs w:val="24"/>
        </w:rPr>
        <w:t>č. 438/2008 Z. z.</w:t>
      </w:r>
      <w:r w:rsidRPr="00382F23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47DE">
        <w:rPr>
          <w:rFonts w:ascii="Times New Roman" w:hAnsi="Times New Roman"/>
          <w:sz w:val="24"/>
          <w:szCs w:val="24"/>
        </w:rPr>
        <w:t>ktorou sa ustanovujú pravidlá vypúšťania znečisťujúcich látok z námorných lodí do mora</w:t>
      </w:r>
      <w:r w:rsidR="00382F23">
        <w:rPr>
          <w:rFonts w:ascii="Times New Roman" w:hAnsi="Times New Roman"/>
          <w:sz w:val="24"/>
          <w:szCs w:val="24"/>
        </w:rPr>
        <w:t>.</w:t>
      </w:r>
    </w:p>
    <w:p w:rsidR="004847DE" w:rsidRPr="002B703B" w:rsidRDefault="004847DE" w:rsidP="004847DE">
      <w:pPr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</w:p>
    <w:p w:rsidR="00681227" w:rsidRPr="002B703B" w:rsidRDefault="00681227" w:rsidP="00681227">
      <w:pPr>
        <w:tabs>
          <w:tab w:val="left" w:pos="851"/>
        </w:tabs>
        <w:spacing w:after="0" w:line="240" w:lineRule="auto"/>
        <w:ind w:left="709" w:hanging="283"/>
        <w:jc w:val="both"/>
        <w:rPr>
          <w:rFonts w:ascii="Times New Roman" w:hAnsi="Times New Roman"/>
          <w:b/>
          <w:sz w:val="24"/>
          <w:szCs w:val="24"/>
        </w:rPr>
      </w:pPr>
      <w:r w:rsidRPr="002B703B">
        <w:rPr>
          <w:rFonts w:ascii="Times New Roman" w:hAnsi="Times New Roman"/>
          <w:sz w:val="24"/>
          <w:szCs w:val="24"/>
        </w:rPr>
        <w:t>5.</w:t>
      </w:r>
      <w:r w:rsidRPr="002B703B">
        <w:rPr>
          <w:rFonts w:ascii="Times New Roman" w:hAnsi="Times New Roman"/>
          <w:sz w:val="24"/>
          <w:szCs w:val="24"/>
        </w:rPr>
        <w:tab/>
      </w:r>
      <w:r w:rsidRPr="002B703B">
        <w:rPr>
          <w:rFonts w:ascii="Times New Roman" w:hAnsi="Times New Roman"/>
          <w:b/>
          <w:sz w:val="24"/>
          <w:szCs w:val="24"/>
        </w:rPr>
        <w:t xml:space="preserve">Návrh </w:t>
      </w:r>
      <w:r>
        <w:rPr>
          <w:rFonts w:ascii="Times New Roman" w:hAnsi="Times New Roman"/>
          <w:b/>
          <w:sz w:val="24"/>
          <w:szCs w:val="24"/>
        </w:rPr>
        <w:t>zákona</w:t>
      </w:r>
      <w:r w:rsidRPr="002B703B">
        <w:rPr>
          <w:rFonts w:ascii="Times New Roman" w:hAnsi="Times New Roman"/>
          <w:b/>
          <w:sz w:val="24"/>
          <w:szCs w:val="24"/>
        </w:rPr>
        <w:t xml:space="preserve"> je zlučiteľný s právom Európskej únie: </w:t>
      </w:r>
    </w:p>
    <w:p w:rsidR="00DE235F" w:rsidRDefault="00681227" w:rsidP="00CF2A35">
      <w:pPr>
        <w:spacing w:after="0" w:line="240" w:lineRule="auto"/>
        <w:ind w:left="709" w:hanging="283"/>
        <w:jc w:val="both"/>
      </w:pPr>
      <w:r>
        <w:rPr>
          <w:rFonts w:ascii="Times New Roman" w:hAnsi="Times New Roman"/>
          <w:sz w:val="24"/>
          <w:szCs w:val="24"/>
        </w:rPr>
        <w:t xml:space="preserve">    </w:t>
      </w:r>
      <w:r w:rsidRPr="002B703B">
        <w:rPr>
          <w:rFonts w:ascii="Times New Roman" w:hAnsi="Times New Roman"/>
          <w:sz w:val="24"/>
          <w:szCs w:val="24"/>
        </w:rPr>
        <w:t xml:space="preserve"> </w:t>
      </w:r>
      <w:r w:rsidR="006E6E45">
        <w:rPr>
          <w:rFonts w:ascii="Times New Roman" w:hAnsi="Times New Roman"/>
          <w:sz w:val="24"/>
          <w:szCs w:val="24"/>
        </w:rPr>
        <w:t>úplne</w:t>
      </w:r>
    </w:p>
    <w:sectPr w:rsidR="00DE23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227"/>
    <w:rsid w:val="00156471"/>
    <w:rsid w:val="00382F23"/>
    <w:rsid w:val="004847DE"/>
    <w:rsid w:val="005A4AC2"/>
    <w:rsid w:val="00681227"/>
    <w:rsid w:val="006E6E45"/>
    <w:rsid w:val="00723352"/>
    <w:rsid w:val="00794CB1"/>
    <w:rsid w:val="00973090"/>
    <w:rsid w:val="00C47FCD"/>
    <w:rsid w:val="00CF2A35"/>
    <w:rsid w:val="00DE235F"/>
    <w:rsid w:val="00F4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763E5"/>
  <w15:chartTrackingRefBased/>
  <w15:docId w15:val="{D863B678-C558-487C-823A-032FCDFA6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8122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unhideWhenUsed/>
    <w:rsid w:val="006812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Default">
    <w:name w:val="Default"/>
    <w:rsid w:val="006812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MDVSR</Company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Cyprianová, Valeria</dc:creator>
  <cp:keywords/>
  <dc:description/>
  <cp:lastModifiedBy>Prívozníková, Ivana</cp:lastModifiedBy>
  <cp:revision>10</cp:revision>
  <dcterms:created xsi:type="dcterms:W3CDTF">2026-09-07T13:38:00Z</dcterms:created>
  <dcterms:modified xsi:type="dcterms:W3CDTF">2026-10-08T09:08:00Z</dcterms:modified>
</cp:coreProperties>
</file>