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139/1998 Z. z. o omamných látkach, psychotropných látkach a prípravkoch v znení neskorších predpisov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LP/2026/382</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44/14</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44</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22</w:t>
      </w:r>
      <w:r w:rsidR="00754CB0">
        <w:rPr>
          <w:rFonts w:ascii="Times New Roman" w:eastAsia="Times New Roman" w:hAnsi="Times New Roman" w:cs="Times New Roman"/>
          <w:sz w:val="24"/>
          <w:szCs w:val="24"/>
        </w:rPr>
        <w:t>/2</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3/</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19</w:t>
      </w:r>
      <w:r w:rsidR="004A48F0">
        <w:rPr>
          <w:rFonts w:ascii="Times New Roman" w:eastAsia="Times New Roman" w:hAnsi="Times New Roman" w:cs="Times New Roman"/>
          <w:sz w:val="24"/>
          <w:szCs w:val="24"/>
        </w:rPr>
        <w:t>/12</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APSL</w:t>
              <w:br/>
            </w:r>
            <w:r>
              <w:rPr>
                <w:b w:val="off"/>
                <w:color w:val="000000"/>
                <w:rFonts w:ascii="Times New Roman" w:hAnsi="Times New Roman" w:cs="Times New Roman" w:eastAsia="Times New Roman"/>
                <w:sz w:val="24"/>
              </w:rPr>
              <w:t>Asociácia prevádzkovateľov sieťových lekární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30 ods. 4 a 5 k novelizačnému bodu 25.</w:t>
              <w:br/>
            </w:r>
            <w:r>
              <w:rPr>
                <w:b w:val="off"/>
                <w:color w:val="000000"/>
                <w:rFonts w:ascii="Times New Roman" w:hAnsi="Times New Roman" w:cs="Times New Roman" w:eastAsia="Times New Roman"/>
                <w:sz w:val="24"/>
              </w:rPr>
              <w:t xml:space="preserve">K novelizačnému bodu 25. [§ 30] navrhujeme doplniť nasledovne - v § 30 ods. 4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Náležitosti knihy omamných a psychotropných látok a evidencie dokladov preukazujúcich príjem a výdaj omamných a psychotropných látok vedených v listinnej podobe ustanoví všeobecne záväzný právny predpis, ktorý vydá ministerstvo; v prípade vedenia knihy omamných a psychotropných látok v elektronickej podobe sa primerane uplatnia požiadavky ustanovené týmto vykonávacím predpisom, ak odsek 5 neustanovuje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30 sa dopĺňa ods. 5,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Ak je kniha omamných a psychotropných látok vedená v elektronickej podobe, vedie sa ako súhrnná evidencia príjmov a výdajov omamných a psychotropných látok. Za evidenciu dokladov preukazujúcich príjem a výdaj omamných a psychotropných látok sa v takom prípade považujú aj elektronické lekárske predpisy, elektronické dodacie listy, faktúry a ďalšie elektronické doklady uchovávané v informačnom systéme držiteľa povolenia. Kniha omamných a psychotropných látok vedená v elektronickej podobe nemusí obsahovať všetky údaje ustanovené pre vedenie knihy omamných a psychotropných látok v listinnej podobe, ak tieto údaje nie sú súčasťou elektronických dokladov podľa druhej vety a ani inak nie sú poskytovateľovi lekárenskej starostlivosti sprístupnené na účely ich elektronického spracovania. Tým nie je dotknutá povinnosť uchovávať originál dokladu v písomnej podobe, ak osobitný predpis neustanovuje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reaguje na rozvoj elektronického zdravotníctva a na praktické skúsenosti s vedením evidencie omamných a psychotropných látok v informačných systémoch poskytovateľov lekárenskej starostlivosti. Jej cieľom je vytvoriť jednoznačný právny rámec pre vedenie knihy omamných látok elektronickou podobou pri súčasnom zachovaní požadovanej úrovne dohľadateľnosti a kontrolovateľnosti príjmu a výdaja omamných a psychotropných látok.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odseku 4 sa navrhuje výslovne ustanoviť, že náležitosti knihy omamných látok a evidencie dokladov preukazujúcich príjem a výdaj omamných a psychotropných látok ustanovené vykonávacím právnym predpisom sa vzťahujú na evidenciu vedenú v listinnej podobe. Súčasne sa ustanovuje, že pri vedení knihy omamných látok elektronickou podobou sa požiadavky ustanovené vykonávacím právnym predpisom uplatnia primerane, ak odsek 5 neustanovuje inak. Navrhovaná úprava má odstrániť výkladové nejasnosti, podľa ktorých by elektronicky vedená evidencia musela obsahovať všetky údaje a náležitosti požadované pre vedenie knihy omamných a psychotropných látok v listinnej podobe bez ohľadu na technické možnosti elektronických systémov a rozsah údajov sprístupňovaných poskytovateľovi lekárenskej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odseku 5 sa navrhuje ustanoviť osobitnú úpravu vedenia knihy omamných a psychotropných látok elektronickou podobou. Elektronická kniha omamných a psychotropných látok sa vedie ako súhrnná evidencia príjmov a výdajov omamných a psychotropných látok, ktorá poskytuje prehľad o pohybe týchto látok na jednom mieste. Zároveň sa ustanovuje, že za evidenciu dokladov preukazujúcich príjem a výdaj omamných a psychotropných látok sa považujú aj elektronické lekárske predpisy, elektronické dodacie listy, faktúry a ďalšie elektronické doklady uchovávané v informačnom systéme držiteľa povolenia.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zohľadňuje skutočnosť, že údaje sprístupňované poskytovateľovi lekárenskej starostlivosti prostredníctvom elektronického zdravotníctva nie sú totožné s údajmi, ktoré sa historicky zaznamenávali do knihy omamných látok vedenej v listinnej podobe. Najmä pri výdaji humánneho lieku na základe elektronického lekárskeho predpisu nie sú súčasťou údajov prenášaných do informačného systému lekárne adresa pacienta ani adresa predpisujúceho lekára. Niektoré údaje môžu byť síce dostupné na nahliadnutie v systéme elektronického zdravotníctva, najmä v pacientskom sumári, tieto údaje však nie sú poskytované spôsobom umožňujúcim ich automatizované spracovanie a evidovanie v informačných systémoch lekární. Sú určené predovšetkým na nahliadnutie pri poskytovaní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Požiadavka na vedenie elektronickej evidencie v rovnakom rozsahu údajov ako pri listinnej podobe by preto v praxi vyžadovala manuálne vyhľadávanie a prepisovanie údajov z rôznych informačných systémov do elektronickej evidencie. Takýto postup predstavuje neprimeranú administratívnu záťaž, zvyšuje riziko chýb pri spracúvaní údajov a neprináša dodatočný prínos pre účely výkonu štátneho dozoru ani preukazovania legálneho nakladania s omamnými a psychotropnými látkami.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preto umožňuje, aby elektronická evidencia neobsahovala všetky údaje ustanovené pre vedenie knihy omamných a psychotropných látok v listinnej podobe, najmä ak tieto údaje nie sú súčasťou elektronických dokladov alebo nie sú poskytovateľovi lekárenskej starostlivosti sprístupnené na účely ich elektronického spracovania. Cieľom navrhovaného ustanovenia nie je zníženie rozsahu evidencie alebo kontrolných oprávnení orgánov štátneho dozoru, ale odstránenie povinnosti zapisovať údaje, ktoré nie sú poskytovateľovi lekárenskej starostlivosti elektronicky dostupné alebo ktorých automatizované spracovanie nie je technicky možné.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sa výslovne ustanovuje, že navrhovaná úprava sa nedotýka povinnosti uchovávať originály listinných lekárskych predpisov, na základe ktorých bol realizovaný výdaj omamných a psychotropných látok, ak tak ustanovuje osobitný predpis.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zachováva plnú dohľadateľnosť a kontrolovateľnosť pohybu omamných a psychotropných látok, reflektuje aktuálny stav elektronizácie zdravotníctva a zároveň primerane znižuje administratívnu záťaž poskytovateľov lekárenskej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Tieto pripomienky považujeme za zásadné.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charakter uvedených pripomienok si Vás dovoľujeme požiadať o akceptovanie pripomienok v plnom rozsahu.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doplnenie nového odseku 5 sa nepovažuje za potrebné.</w:t>
              <w:br/>
            </w:r>
            <w:r>
              <w:rPr>
                <w:b w:val="off"/>
                <w:color w:val="000000"/>
                <w:rFonts w:ascii="Times New Roman" w:hAnsi="Times New Roman" w:cs="Times New Roman" w:eastAsia="Times New Roman"/>
                <w:sz w:val="24"/>
              </w:rPr>
              <w:t>Navrhované ustanovenie obsahuje podrobnú úpravu vedenia knihy omamných a psychotropných látok v elektronickej podobe, spôsobu evidencie elektronických dokladov, rozsahu evidovaných údajov a technických podmienok vedenia elektronickej evidencie. Ide o otázky vykonávacieho charakteru, ktoré svojou povahou patria do vykonávacieho právneho predpisu vydaného na základe splnomocňovacieho ustanovenia podľa § 30 ods. 4 zákona.</w:t>
              <w:br/>
            </w:r>
            <w:r>
              <w:rPr>
                <w:b w:val="off"/>
                <w:color w:val="000000"/>
                <w:rFonts w:ascii="Times New Roman" w:hAnsi="Times New Roman" w:cs="Times New Roman" w:eastAsia="Times New Roman"/>
                <w:sz w:val="24"/>
              </w:rPr>
              <w:t>Zákon už v § 30 ods. 1 výslovne ustanovuje možnosť vedenia knihy omamných a psychotropných látok a evidencie dokladov v listinnej alebo elektronickej podobe. Nie je preto potrebné vytvárať osobitný zákonný režim pre elektronicky vedenú evidenciu.</w:t>
              <w:br/>
            </w:r>
            <w:r>
              <w:rPr>
                <w:b w:val="off"/>
                <w:color w:val="000000"/>
                <w:rFonts w:ascii="Times New Roman" w:hAnsi="Times New Roman" w:cs="Times New Roman" w:eastAsia="Times New Roman"/>
                <w:sz w:val="24"/>
              </w:rPr>
              <w:t>Navrhované ustanovenie by zároveň umožnilo odlišný rozsah evidovaných údajov pri elektronicky vedenej knihe omamných a psychotropných látok oproti evidencii vedenej v listinnej podobe. Forma vedenia evidencie však sama osebe neodôvodňuje rozdielny rozsah zákonných evidenčných povinností. Elektronická forma predstavuje spôsob vedenia evidencie, nie samostatný právny režim vedenia evidencie. Rozsah údajov vedených v knihe omamných a psychotropných látok musí zabezpečovať rovnakú úroveň preukázateľnosti, dohľadateľnosti a kontrolovateľnosti pohybu omamných a psychotropných látok bez ohľadu na spôsob vedenia evidencie. Technické riešenie elektronickej evidencie preto nemôže byť dôvodom na zmenu rozsahu zákonom ustanovených evidenčných povinností.</w:t>
              <w:br/>
            </w:r>
            <w:r>
              <w:rPr>
                <w:b w:val="off"/>
                <w:color w:val="000000"/>
                <w:rFonts w:ascii="Times New Roman" w:hAnsi="Times New Roman" w:cs="Times New Roman" w:eastAsia="Times New Roman"/>
                <w:sz w:val="24"/>
              </w:rPr>
              <w:t>Podrobnosti vedenia elektronickej evidencie, vrátane náležitostí elektronickej knihy omamných a psychotropných látok, spôsobu evidencie elektronických dokladov, technických požiadaviek na informačné systémy, zabezpečenia nemennosti údajov, ich uchovávania, zálohovania a zabezpečenia výstupov pre výkon štátneho dozoru, patria do vykonávacieho právneho predpisu, ktorý umožňuje primerane reagovať na vývoj elektronického zdravotníctva a informačných technológií bez potreby opakovaných zmien zákona.</w:t>
              <w:br/>
            </w:r>
            <w:r>
              <w:rPr>
                <w:b w:val="off"/>
                <w:color w:val="000000"/>
                <w:rFonts w:ascii="Times New Roman" w:hAnsi="Times New Roman" w:cs="Times New Roman" w:eastAsia="Times New Roman"/>
                <w:sz w:val="24"/>
              </w:rPr>
              <w:t>Splnomocňovacie ustanovenie podľa § 30 ods. 4 poskytuje dostatočný právny základ na úpravu osobitostí vedenia knihy omamných a psychotropných látok v elektronickej podobe vo vykonávacom právnom predpise pri zachovaní jednotných obsahových náležitostí evidencie a požiadaviek na jej preukázateľnosť, dohľadateľnosť a kontrolovateľnosť.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 O:</w:t>
              <w:br/>
            </w:r>
            <w:r>
              <w:rPr>
                <w:b w:val="off"/>
                <w:color w:val="000000"/>
                <w:rFonts w:ascii="Times New Roman" w:hAnsi="Times New Roman" w:cs="Times New Roman" w:eastAsia="Times New Roman"/>
                <w:sz w:val="24"/>
              </w:rPr>
              <w:t>K vyššie uvedenému materiálu Generálna prokuratúra Slovenskej republiky neuplatňuje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1 a 9</w:t>
              <w:br/>
            </w:r>
            <w:r>
              <w:rPr>
                <w:b w:val="off"/>
                <w:color w:val="000000"/>
                <w:rFonts w:ascii="Times New Roman" w:hAnsi="Times New Roman" w:cs="Times New Roman" w:eastAsia="Times New Roman"/>
                <w:sz w:val="24"/>
              </w:rPr>
              <w:t>1.	V čl. I bodoch 1 a 9 navrhujeme vypustiť  slovo „v“ pre nadbytočnosť.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w:t>
              <w:br/>
            </w:r>
            <w:r>
              <w:rPr>
                <w:b w:val="off"/>
                <w:color w:val="000000"/>
                <w:rFonts w:ascii="Times New Roman" w:hAnsi="Times New Roman" w:cs="Times New Roman" w:eastAsia="Times New Roman"/>
                <w:sz w:val="24"/>
              </w:rPr>
              <w:t>2.	V čl. I bode 2 odporúčame zvážiť doplnenie odseku 10 poprípade úpravu § 4 ods. 2, vzhľadom k legislatívnej skratke zavedenej v § 4 ods.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w:t>
              <w:br/>
            </w:r>
            <w:r>
              <w:rPr>
                <w:b w:val="off"/>
                <w:color w:val="000000"/>
                <w:rFonts w:ascii="Times New Roman" w:hAnsi="Times New Roman" w:cs="Times New Roman" w:eastAsia="Times New Roman"/>
                <w:sz w:val="24"/>
              </w:rPr>
              <w:t>3.	V čl. I bode 5 navrhujeme slovo „a“ nahradiť slovami „alebo písm.“ keďže ide o dva diplomy. Pripomienka platí primerane aj pre čl. I bod 13 - § 8 ods. 4 písm. c) šiesty bod a pre čl. I bod 22 - § 23 ods. 2 prvú vetu.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 8 ods. 4 písm. c) šiestom bode sa slovo „a“ nahradené slovom „až“.</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6</w:t>
              <w:br/>
            </w:r>
            <w:r>
              <w:rPr>
                <w:b w:val="off"/>
                <w:color w:val="000000"/>
                <w:rFonts w:ascii="Times New Roman" w:hAnsi="Times New Roman" w:cs="Times New Roman" w:eastAsia="Times New Roman"/>
                <w:sz w:val="24"/>
              </w:rPr>
              <w:t>4.	V čl. I bode 6 odporúčame znenie novelizačného bodu takto: „V § 6 ods. 2 písm. c) sa za slovom „biochémii“ vypúšťa čiarka a slová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Neakceptovaná pripomienka, bod 6 bol upravený na za základe inej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10</w:t>
              <w:br/>
            </w:r>
            <w:r>
              <w:rPr>
                <w:b w:val="off"/>
                <w:color w:val="000000"/>
                <w:rFonts w:ascii="Times New Roman" w:hAnsi="Times New Roman" w:cs="Times New Roman" w:eastAsia="Times New Roman"/>
                <w:sz w:val="24"/>
              </w:rPr>
              <w:t>5.	V čl. I bode 10 odporúčame znenie novelizačného bodu takto: „V § 8 ods. 3 písm. i) sa slová „výskum, výučbu alebo na expertíznu činnosť“ nahrádzajú slovom „výskum“ a slová „výskum, výučbu alebo na expertíznu činnosť.“ sa nahrádzajú slovom „výskum,“.“.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14</w:t>
              <w:br/>
            </w:r>
            <w:r>
              <w:rPr>
                <w:b w:val="off"/>
                <w:color w:val="000000"/>
                <w:rFonts w:ascii="Times New Roman" w:hAnsi="Times New Roman" w:cs="Times New Roman" w:eastAsia="Times New Roman"/>
                <w:sz w:val="24"/>
              </w:rPr>
              <w:t>6.	V čl. I bode 14 navrhujeme vypustiť slová „prvom bode a druhom bode“ a slovo „vypúšťajú sa“ pre nadbytočnosť.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15</w:t>
              <w:br/>
            </w:r>
            <w:r>
              <w:rPr>
                <w:b w:val="off"/>
                <w:color w:val="000000"/>
                <w:rFonts w:ascii="Times New Roman" w:hAnsi="Times New Roman" w:cs="Times New Roman" w:eastAsia="Times New Roman"/>
                <w:sz w:val="24"/>
              </w:rPr>
              <w:t>7.	V čl. I bode 15 navrhujeme vypustiť dvojbodku za slovom „obsahuje“.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19</w:t>
              <w:br/>
            </w:r>
            <w:r>
              <w:rPr>
                <w:b w:val="off"/>
                <w:color w:val="000000"/>
                <w:rFonts w:ascii="Times New Roman" w:hAnsi="Times New Roman" w:cs="Times New Roman" w:eastAsia="Times New Roman"/>
                <w:sz w:val="24"/>
              </w:rPr>
              <w:t>8.	V čl. I bode 19 navrhujeme vypustiť slová „na dobu určitú“ keďže táto skutočnosť implicitne vyplýva  zo skutočnosti, že povolenia sa vydáva maximálne  na päť rokov.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24</w:t>
              <w:br/>
            </w:r>
            <w:r>
              <w:rPr>
                <w:b w:val="off"/>
                <w:color w:val="000000"/>
                <w:rFonts w:ascii="Times New Roman" w:hAnsi="Times New Roman" w:cs="Times New Roman" w:eastAsia="Times New Roman"/>
                <w:sz w:val="24"/>
              </w:rPr>
              <w:t>9.	V čl. I bode 24 odporúčame vypustiť slovo „novým“.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25</w:t>
              <w:br/>
            </w:r>
            <w:r>
              <w:rPr>
                <w:b w:val="off"/>
                <w:color w:val="000000"/>
                <w:rFonts w:ascii="Times New Roman" w:hAnsi="Times New Roman" w:cs="Times New Roman" w:eastAsia="Times New Roman"/>
                <w:sz w:val="24"/>
              </w:rPr>
              <w:t>10.	V čl. I bod 25 odporúčame upraviť takto: „25. V § 30 a nadpise sa pred slovo „látok“ vkladajú slová „a psychotropných“, keďže ide o zmenu názvu knihy kde sa gramaticky mení  pád len slova „kniha“.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Neakceptovaná pripomienka keďže slovo „látok“ sa uvádza aj inde, nie v súvislosti s „knihou“.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27</w:t>
              <w:br/>
            </w:r>
            <w:r>
              <w:rPr>
                <w:b w:val="off"/>
                <w:color w:val="000000"/>
                <w:rFonts w:ascii="Times New Roman" w:hAnsi="Times New Roman" w:cs="Times New Roman" w:eastAsia="Times New Roman"/>
                <w:sz w:val="24"/>
              </w:rPr>
              <w:t>11.	V čl. I bode 27 odporúčame vypustiť slovo „výšky“, slová „povinností uvedených“ nahradiť slovami „niektorej z povinností podľa“ a slová „§ 30, 31 a 33“ nahradiť slovami „§ 30, § 31 a 33“.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celom návrhu skontrolovať správnosť používania legislatívnej skratky „(ďalej len „omamné a psychotropné látky“)“ a pojmu „omamné látky a psychotropné látky“ (napr. v bode 15 § 8 ods. 4 písm. e) štvrtom bode), v čl. I bode 1 na začiatok vložiť slovo „V“, za slová „ods. 9“ vložiť slová „úvodnej vete“ a za slovami „písm. g)“ vypustiť slovo „v“ ako nadbytočné, v bode 2 § 2 ods. 10 za slovo „kriminalistické“ vložiť slovo „účely“, v súvislosti so zavedením základného pojmu „expertízna činnosť“ v § 2 ods. 10 je potrebné z § 4 ods. 2 platného znenia zákona vypustiť legislatívnu skratku „(ďalej len „expertízna činnosť“)“ a primerane uvedené ustanovenie upraviť, pretože pre základný pojem nemožno zároveň zaviesť legislatívnu skratku, v bode 3 § 5 ods. 3 písm. b) vypustiť čiarku za slovom „priestoru“, v bode 5 § 6 ods. 2 písm. a) slovo „veterinárske“ nahradiť slovom „veterinárne“ (2x), bod 6 preformulovať takto: „6. V § 6 ods. 2 písm. c) sa vypúšťajú slová „v špecializačnom odbore vyšetrovacie metódy v patológii a súdnom lekárstve alebo“.“, v bode 8 slová „sa na konci pripájajú tieto slová:“ nahradiť slovami „sa slovo „latkami“ nahrádza slovom „látkami“, slovo „činností,1ba)“ sa nahrádza slovom „činností1ba)“ a na konci sa pripájajú tieto slová:“ a na konci za slovom „lieky“ bodku nahradiť čiarkou, v bode 9 vypustiť slovo „v“ ako nadbytočné, v bode 10 § 8 ods. 3 z dôvodu prehľadnosti uviesť písmeno i) v úplnom znení s touto úvodnou vetou: „V § 8 ods. 3 písmeno i) znie:“, v bode 13 § 8 ods. 4 písm. c) druhom bode slovo „spôsobu“ nahradiť slovom „spôsob“, v § 8 ods. 4 písm. c) šiestom bode slová „písmen h) a j)“ nahradiť slovami „písm. h) až j)“, v bode 14 vypustiť slová „a § 15 ods. 3“ a zmeny v § 15 ods. 3 upraviť v samostatnom novelizačnom bode, pretože vypúšťané slová sa v § 15 ods. 3 nenachádzajú, v bode 15 § 8 ods. 4 písm. e) úvodnej vete na konci vypustiť dvojbodku, v bode 20 za slovom „osoby“ vypustiť čiarku, v bode 21 za slová „ods. 2“ vložiť slová „prvej vete“, v bode 22  § 23 ods. 2 tretej vete slovo „označených“ nahradiť slovom „označené“, v bode 24 úvodnej vete vypustiť slovo „novým“ ako nadbytočné, v bode 25 slová „omamných a“ nahradiť slovami „omamných látok a“, do návrhu zákona doplniť novelizačný bod v tomto znení: „V § 39 ods. 9 sa slová „Výnosy z pokút“ nahrádzajú slovom „Pokuty“ z dôvodu zosúladenia s bodom 7.3 prílohy č. 1 legislatívnych pravidiel, v bode 34 úvodnej vete slovo „po“ nahradiť slovom „pod“ a bod 34 uviesť ako nový bod 8, pretože uvedená poznámka pod čiarou sa vzťahuje k odkazu, ktorý je zavedený v § 6 ods. 2 písm. e) platného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Väčšina pripomienok bola akceptovaná. Niektoré pripomienky však neboli akceptované, keďže boli upravené v zmysle inej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23 (§25 ods. 2)</w:t>
              <w:br/>
            </w:r>
            <w:r>
              <w:rPr>
                <w:b w:val="off"/>
                <w:color w:val="000000"/>
                <w:rFonts w:ascii="Times New Roman" w:hAnsi="Times New Roman" w:cs="Times New Roman" w:eastAsia="Times New Roman"/>
                <w:sz w:val="24"/>
              </w:rPr>
              <w:t xml:space="preserve">Bod 23 navrhujeme preformulovať takto: </w:t>
              <w:br/>
            </w:r>
            <w:r>
              <w:rPr>
                <w:b w:val="off"/>
                <w:color w:val="000000"/>
                <w:rFonts w:ascii="Times New Roman" w:hAnsi="Times New Roman" w:cs="Times New Roman" w:eastAsia="Times New Roman"/>
                <w:sz w:val="24"/>
              </w:rPr>
              <w:t xml:space="preserve">	„23. V § 25 ods. 2 prvej vete sa slovo „tranzite“ nahrádza slovom „prechode“ a v druhej vete sa slová „Colné orgány“ nahrádzajú slovami „Orgány vykonávajúce kontrolnú činnosť“.“.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Colné orgány nie sú vecne príslušné na výkon kontroly pri prevoze liekov z jedného členského štátu EÚ do iného členského štátu EÚ cez územie Slovenskej republiky. Preto navrhujeme, aj v súvislosti s navrhovanou zmenou vo vzťahu k pojmu „prechod územím Slovenskej republiky“, rozšíriť oprávnenia na výkon kontrol na všetky príslušné orgány vykonávajúce kontrolnú činnosť podľa § 38.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tejto súvislosti upozorňujeme, že legislatívnu skratku „(ďalej len „orgán vykonávajúci kontrolnú činnosť“)“ je potrebné zaviesť už v § 16 ods. 6 písm. a) platného znenia zákona, náležite upraviť § 38 ods. 1 platného znenia zákona a použiť túto legislatívnu skratku aj v § 29 ods. 2 a 30 ods. 2 platného znenia zákona namiesto pojmu „kontrolné orgány“ a v § 37 ods. 1 platného znenia zákona namiesto pojmu „kontrolné orgány uvedené v § 38“.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odporúčame zosúladiť s Legislatívnymi pravidlami vlády Slovenskej republiky, a to napríklad</w:t>
              <w:br/>
            </w:r>
            <w:r>
              <w:rPr>
                <w:b w:val="off"/>
                <w:color w:val="000000"/>
                <w:rFonts w:ascii="Times New Roman" w:hAnsi="Times New Roman" w:cs="Times New Roman" w:eastAsia="Times New Roman"/>
                <w:sz w:val="24"/>
              </w:rPr>
              <w:t>- v čl. I bode 1 úvodnej vete odporúčame na začiatku doplniť písmeno „V“,</w:t>
              <w:br/>
            </w:r>
            <w:r>
              <w:rPr>
                <w:b w:val="off"/>
                <w:color w:val="000000"/>
                <w:rFonts w:ascii="Times New Roman" w:hAnsi="Times New Roman" w:cs="Times New Roman" w:eastAsia="Times New Roman"/>
                <w:sz w:val="24"/>
              </w:rPr>
              <w:t>- v  čl. I bode 6 odporúčame slovo „slovo“ nahradiť slovom „slovom“ a slová „vypúšťajú sa “ vypustiť,</w:t>
              <w:br/>
            </w:r>
            <w:r>
              <w:rPr>
                <w:b w:val="off"/>
                <w:color w:val="000000"/>
                <w:rFonts w:ascii="Times New Roman" w:hAnsi="Times New Roman" w:cs="Times New Roman" w:eastAsia="Times New Roman"/>
                <w:sz w:val="24"/>
              </w:rPr>
              <w:t>- v čl. I bode 15 § 8 ods. 4 písm. e) štvrtom bode odporúčame slovo „látok“ za slovom „omamných“ vypustiť, z dôvodu zjednotenia terminológie,</w:t>
              <w:br/>
            </w:r>
            <w:r>
              <w:rPr>
                <w:b w:val="off"/>
                <w:color w:val="000000"/>
                <w:rFonts w:ascii="Times New Roman" w:hAnsi="Times New Roman" w:cs="Times New Roman" w:eastAsia="Times New Roman"/>
                <w:sz w:val="24"/>
              </w:rPr>
              <w:t>- v čl. I bode 27 § 39 ods. 5 odporúčame pred číslo „31“ doplniť paragrafovú značku.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Väčšina pripomienok bola akceptovaná. Niektoré pripomienky však neboli akceptované, keďže boli upravené v zmysle inej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úvodnej vete návrhu zákona</w:t>
              <w:br/>
            </w:r>
            <w:r>
              <w:rPr>
                <w:b w:val="off"/>
                <w:color w:val="000000"/>
                <w:rFonts w:ascii="Times New Roman" w:hAnsi="Times New Roman" w:cs="Times New Roman" w:eastAsia="Times New Roman"/>
                <w:sz w:val="24"/>
              </w:rPr>
              <w:t xml:space="preserve">V úvodnej vete novelizačného článku I odporúčame spojku „a“ za slovami „zákona č. 246/2024 Z. z.“ nahradiť čiarkou a za slová „zákona č. 293/2025 Z. z.“ vložiť slová „a zákona č. .../2026 Z. z.“.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v úvodnej vete zohľadniť novelu zákona č. 138/1998 Z. z., ktorá je predmetom rokovania Národnej rady SR pod číslom parlamentnej tlače 1334.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 návrhu zákona</w:t>
              <w:br/>
            </w:r>
            <w:r>
              <w:rPr>
                <w:b w:val="off"/>
                <w:color w:val="000000"/>
                <w:rFonts w:ascii="Times New Roman" w:hAnsi="Times New Roman" w:cs="Times New Roman" w:eastAsia="Times New Roman"/>
                <w:sz w:val="24"/>
              </w:rPr>
              <w:t xml:space="preserve">V poznámke pod čiarou k odkazu 1eab odporúčame uviesť citáciu ustanovení § 141 ods. 1 písm. a) a ods. 2 písm. b) zákona č. 362/2011 Z. z. o liekoch a zdravotníckych pomôckach a o zmene a doplnení niektorých zákonov.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v novelizovanom zákone č. 139/1998 Z. z. v znení neskorších predpisov odkazovať v príslušnej poznámke pod čiarou iba na príslušné splnomocňovacie ustanovenia zákona č. 362/2011 Z. z. v znení neskorších právnych predpisov, na základe ktorých možno vydať príslušné vykonávacie predpisy.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 návrhu zákona</w:t>
              <w:br/>
            </w:r>
            <w:r>
              <w:rPr>
                <w:b w:val="off"/>
                <w:color w:val="000000"/>
                <w:rFonts w:ascii="Times New Roman" w:hAnsi="Times New Roman" w:cs="Times New Roman" w:eastAsia="Times New Roman"/>
                <w:sz w:val="24"/>
              </w:rPr>
              <w:t xml:space="preserve">V navrhovanom znení § 6 ods. 2 písm. a) odporúčame vypustiť bodkočiarku za slovami „zdravotnícke vedy“, ako aj vypustiť slová „v študijnom programe všeobecné veterinárske lekárstvo, hygieny potravín, urgentná zdravotná starostlivosť“, príp. bodkočiarku nahradiť spojkou „alebo“, resp. čiarkou.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zvážiť uvádzanie samostatných študijných programov popri vymenovaných študijných odboroch. Ak majú byť uznané len príslušné študijné programy v rámci študijných odborov, odporúčame navrhovanú úpravu celkovo preformulovať.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Explicitné uvedenie študijných programov je zámerné. Cieľom navrhovanej úpravy je zabezpečiť právnu istotu pri posudzovaní odbornej spôsobilosti podľa § 6 a zohľadniť historický vývoj systému vysokoškolského vzdelávania, v rámci ktorého dochádzalo k zmenám študijných odborov a študijných programov.</w:t>
              <w:br/>
            </w:r>
            <w:r>
              <w:rPr>
                <w:b w:val="off"/>
                <w:color w:val="000000"/>
                <w:rFonts w:ascii="Times New Roman" w:hAnsi="Times New Roman" w:cs="Times New Roman" w:eastAsia="Times New Roman"/>
                <w:sz w:val="24"/>
              </w:rPr>
              <w:t>Osobitne študijný program urgentná zdravotná starostlivosť predstavuje samostatný kvalifikačný základ, ktorého absolventi majú spĺňať podmienky odbornej spôsobilosti na výkon činnosti odborného zástupcu. Rovnako explicitné uvedenie študijných programov všeobecné veterinárske lekárstvo a hygiena potravín predchádza výkladovým nejasnostiam vo vzťahu k absolventom študijných programov, ktoré sa v priebehu času menili alebo boli nahradené novou štruktúrou vysokoškolského vzdelávania.</w:t>
              <w:br/>
            </w:r>
            <w:r>
              <w:rPr>
                <w:b w:val="off"/>
                <w:color w:val="000000"/>
                <w:rFonts w:ascii="Times New Roman" w:hAnsi="Times New Roman" w:cs="Times New Roman" w:eastAsia="Times New Roman"/>
                <w:sz w:val="24"/>
              </w:rPr>
              <w:t>Vypustenie študijných programov by mohlo viesť k nejednotnému výkladu ustanovenia a k pochybnostiam pri posudzovaní splnenia podmienok odbornej spôsobilosti. Navrhované znenie preto považujeme za vecne opodstatnené.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10 návrhu zákona</w:t>
              <w:br/>
            </w:r>
            <w:r>
              <w:rPr>
                <w:b w:val="off"/>
                <w:color w:val="000000"/>
                <w:rFonts w:ascii="Times New Roman" w:hAnsi="Times New Roman" w:cs="Times New Roman" w:eastAsia="Times New Roman"/>
                <w:sz w:val="24"/>
              </w:rPr>
              <w:t xml:space="preserve">V novelizačnom bode odporúčame vypustiť slová „a na konci sa dopĺňa čiarka“. Zároveň navrhujeme čiarku za slovom „čiarka“ nahradiť spojkou „a“.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legislatívno-technické úpravy v súlade s bodom 31 prílohy č. 1 k Legislatívnym pravidlám vlády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4  (nový odsek 6)</w:t>
              <w:br/>
            </w:r>
            <w:r>
              <w:rPr>
                <w:b w:val="off"/>
                <w:color w:val="000000"/>
                <w:rFonts w:ascii="Times New Roman" w:hAnsi="Times New Roman" w:cs="Times New Roman" w:eastAsia="Times New Roman"/>
                <w:sz w:val="24"/>
              </w:rPr>
              <w:t>K § 4  (nový odsek 6)</w:t>
              <w:br/>
            </w:r>
            <w:r>
              <w:rPr>
                <w:b w:val="off"/>
                <w:color w:val="000000"/>
                <w:rFonts w:ascii="Times New Roman" w:hAnsi="Times New Roman" w:cs="Times New Roman" w:eastAsia="Times New Roman"/>
                <w:sz w:val="24"/>
              </w:rPr>
              <w:t xml:space="preserve">Žiadame doplniť do § 4 nový odsek 6, ktorý znie: „(6) Povolenie sa nevyžaduje na zaobchádzanie s veterinárnymi liekmi s obsahom omamných látok  alebo  psychotropných látok pri poskytovaní odborných veterinárnych činností súkromným veterinárnym lekárom, ktorý je registrovaný v Komore veterinárnych lekárov Slovenskej republiky.1eab) (ďalej len „súkromný veterinárny lekár“).  Na súkromného veterinárneho lekára, ktorý zaobchádza s omamnými látkami alebo psychotropnými látkami spôsobom, na ktorý sa nevyžaduje povolenie podľa prvej vety, sa vzťahujú podmienky a povinnosti podľa § 5 ods. 3, § 14 ods. 1 písm. h), j), k),m) a n), § 30 ods. 1 až 3 a § 31 odseky 1 až 3 a odsek 4 písm. a). Poznámka pod čiarou k odkazu 1eab znie: „1eab) § 2 ods. 1 zákona o súkromných veterinárnych lekároch, o Komore veterinárnych lekárov Slovenskej republiky a o zmene a doplnení zákona č. 488/2002 Z. z. o veterinárnej starostlivosti a o zmene niektorých zákonov v znení neskorších predpisov.“.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Cieľom úpravy v prvej vete je odstrániť administratívnu záťaž spojenú s povoľovacím režimom pri súčasnom zachovaní primeranej úrovne kontroly nad nakladaním s týmito veterinárnymi liekmi. Úprava vychádza z osobitného postavenia súkromných veterinárnych lekárov, ktorí používajú veterinárne lieky obsahujúce omamné látky alebo psychotropné látky pri poskytovaní odbornej veterinárnej činnosti  a sú registrovaní v Komore veterinárnych lekárov Slovenskej republiky. Súkromní veterinárni lekári registrovaní v komore majú zákonom ustanovené profesijné podmienky a povinnosti a komora má vo vzťahu k svojim členom právomoci na posudzovanie a kontrolu výkonu súkromných veterinárnych činností vrátane vyčiarknutia z registra. Úpravou v druhej vete sa zachovávajú relevantné kontrolné mechanizmy týkajúce sa podmienok a povinností súkromných veterinárnych lekárov pri zaobchádzaní s omamnými alebo psychotropnými látkami, teda  aj  keď sa nevyžaduje povolenie.  V prípade akceptácie pripomienky, je potrebné k tejto vecnej úprave vykonať súvisiace úpravy najmä  v kompetenčných ustanoveniach, v sankčných ustanoveniach a doplniť prechodné ustanovenia.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rozporovom konaní zo dňa 07.08.2026 bola táto pripomienka prekvalifikovaná na obyčajnú. Navrhovaná úprava predstavuje koncepčnú zmenu zákona č. 139/1998 Z. z., keďže by pre súkromných veterinárnych lekárov nahradila povoľovací režim oznamovacím režimom. Registrácia v Komore veterinárnych lekárov Slovenskej republiky pritom nemôže nahradiť posúdenie splnenia zákonných podmienok ani výkon štátneho dohľadu podľa zákona č. 139/1998 Z. z.</w:t>
              <w:br/>
            </w:r>
            <w:r>
              <w:rPr>
                <w:b w:val="off"/>
                <w:color w:val="000000"/>
                <w:rFonts w:ascii="Times New Roman" w:hAnsi="Times New Roman" w:cs="Times New Roman" w:eastAsia="Times New Roman"/>
                <w:sz w:val="24"/>
              </w:rPr>
              <w:t xml:space="preserve">Ministerstvo zdravotníctvo SR si k pripomienke vyžiadalo stanovisko Štátnej veterinárnej a potravinovej správy SR a Ústavu štátnej kontroly veterinárnych biopreparátov a liečiv. Oba orgány poukázali na potrebu širšej odbornej diskusie a komplexného doriešenia procesných postupov, kontrolných mechanizmov, evidencie, sankcií a rozdelenia kompetencií. Ústav štátnej kontroly veterinárnych biopreparátov a liečiv zároveň upozornil, že navrhovaný oznamovací režim nezabezpečuje preverenie podmienok pred začatím činnosti ani postup pri ich nesplnení. </w:t>
              <w:br/>
            </w:r>
            <w:r>
              <w:rPr>
                <w:b w:val="off"/>
                <w:color w:val="000000"/>
                <w:rFonts w:ascii="Times New Roman" w:hAnsi="Times New Roman" w:cs="Times New Roman" w:eastAsia="Times New Roman"/>
                <w:sz w:val="24"/>
              </w:rPr>
              <w:t>Keďže navrhovaná zmena presahuje rámec predloženej novely a vyžaduje komplexnú úpravu viacerých ustanovení zákona, pripomienka sa v tomto legislatívnom procese neakceptuje. Problematika bude predmetom ďalšieho odborného rokovania s dotknutými orgánmi a veterinárnou odbornou obcou.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28 (nový odsek 7)</w:t>
              <w:br/>
            </w:r>
            <w:r>
              <w:rPr>
                <w:b w:val="off"/>
                <w:color w:val="000000"/>
                <w:rFonts w:ascii="Times New Roman" w:hAnsi="Times New Roman" w:cs="Times New Roman" w:eastAsia="Times New Roman"/>
                <w:sz w:val="24"/>
              </w:rPr>
              <w:t xml:space="preserve">Žiadame v § 28 doplniť nový odsek 7, ktorý znie: „(7) Súkromný veterinárny lekár je povinný ministerstvu a ústavu kontroly veterinárnych liečiv oznámiť začatie a skončenie zaobchádzania s veterinárnymi liekmi s obsahom omamných látok alebo psychotropných látok pri poskytovaní súkromných veterinárnych činností najneskôr v deň začatia alebo skončenia zaobchádzania s nimi a  bezodkladne oznámiť zmenu v oznámených identifikačných údajoch.  Oznámenie obsahuje meno a priezvisko, číslo osvedčenia na vykonávanie súkromnej veterinárnej činnosti, identifikačné číslo a miesto vykonávania súkromnej veterinárnej činnosti a deň začatia alebo skončenia zaobchádzania s veterinárnymi liekmi s obsahom omamných látok alebo psychotropných látok.“.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Súvisiaca vecná úprava k pripomienke k § 4. Vzhľadom na  to, že sa navrhuje, aby sa povolenie nevyžadovalo na zaobchádzanie s veterinárnymi liekmi s obsahom omamných látok  alebo  psychotropných látok pri poskytovaní odborných veterinárnych činností súkromným veterinárnym lekárom, ktorý je registrovaný v Komore veterinárnych lekárov Slovenskej republiky,  navrhuje sa  upraviť oznamovaciu povinnosť o začatí a skončení  používania veterinárnych liekov obsahujúcich omamné látky alebo psychotropné látky. Oznámenie bude slúžiť na zabezpečenie evidencie a prehľadu o subjektoch, ktoré s týmito veterinárnymi liekmi nakladajú, a zároveň umožní príslušnému orgánu vykonávať účinný dohľad nad ich používaním.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rozporovom konaní zo dňa 07.08.2026 bola táto pripomienka prekvalifikovaná na obyčajnú. Navrhovaná úprava predstavuje nadväzujúce ustanovenie na pripomienku k § 4, ktorou sa navrhuje vylúčiť súkromných veterinárnych lekárov z povoľovacieho režimu podľa zákona č. 139/1998 Z. z. Keďže Ministerstvo zdravotníctva SR túto vecnú zmenu neakceptuje, nie je dôvod upravovať osobitnú oznamovaciu povinnosť ako náhradu za povoľovací režim.</w:t>
              <w:br/>
            </w:r>
            <w:r>
              <w:rPr>
                <w:b w:val="off"/>
                <w:color w:val="000000"/>
                <w:rFonts w:ascii="Times New Roman" w:hAnsi="Times New Roman" w:cs="Times New Roman" w:eastAsia="Times New Roman"/>
                <w:sz w:val="24"/>
              </w:rPr>
              <w:t>Povoľovací režim podľa § 4 zákona č. 139/1998 Z. z. zabezpečuje identifikáciu subjektov oprávnených zaobchádzať s omamnými látkami a psychotropnými látkami, ako aj výkon štátneho dohľadu nad plnením zákonných podmienok. Navrhovaná oznamovacia povinnosť neposkytuje rovnocennú úroveň preventívnej kontroly, keďže ide iba o evidenčný mechanizmus, ktorý nenahrádza posúdenie splnenia zákonných podmienok na zaobchádzanie s omamnými a psychotropnými látkami.</w:t>
              <w:br/>
            </w:r>
            <w:r>
              <w:rPr>
                <w:b w:val="off"/>
                <w:color w:val="000000"/>
                <w:rFonts w:ascii="Times New Roman" w:hAnsi="Times New Roman" w:cs="Times New Roman" w:eastAsia="Times New Roman"/>
                <w:sz w:val="24"/>
              </w:rPr>
              <w:t>Z uvedeného dôvodu Ministerstvo zdravotníctva SR považuje zachovanie existujúceho povoľovacieho režimu za nevyhnutné na zabezpečenie riadnej kontroly nakladania s omamnými a psychotropnými látkami, a preto navrhovanú úpravu neakceptuje.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4</w:t>
              <w:br/>
            </w:r>
            <w:r>
              <w:rPr>
                <w:b w:val="off"/>
                <w:color w:val="000000"/>
                <w:rFonts w:ascii="Times New Roman" w:hAnsi="Times New Roman" w:cs="Times New Roman" w:eastAsia="Times New Roman"/>
                <w:sz w:val="24"/>
              </w:rPr>
              <w:t>Odporúčame v čl. I bode 4 navrhovanom § 5 ods. 3 písm. c) doplniť bližšiu špecifikáciu, ktorá jasne vymedzí rozsah a obsah administratívnych opatrení na zabránenie zneužitia omamných a psychotropných látok.</w:t>
              <w:br/>
            </w:r>
            <w:r>
              <w:rPr>
                <w:b w:val="off"/>
                <w:color w:val="000000"/>
                <w:rFonts w:ascii="Times New Roman" w:hAnsi="Times New Roman" w:cs="Times New Roman" w:eastAsia="Times New Roman"/>
                <w:sz w:val="24"/>
              </w:rPr>
              <w:t xml:space="preserve">Odôvodnenie: Navrhované znenie je všeobecné, čo môže viesť k nejednotnej aplikácii v praxi u rôznych držiteľov povolení. Administratívne opatrenia sú kľúčovým prvkom prevencie </w:t>
              <w:br/>
            </w:r>
            <w:r>
              <w:rPr>
                <w:b w:val="off"/>
                <w:color w:val="000000"/>
                <w:rFonts w:ascii="Times New Roman" w:hAnsi="Times New Roman" w:cs="Times New Roman" w:eastAsia="Times New Roman"/>
                <w:sz w:val="24"/>
              </w:rPr>
              <w:t>pred zneužitím týchto látok, vrátane ich možného prieniku k nepovolaným osobám a mladistvým. Bez jasnejších kritérií nie je možné objektívne vyhodnotiť, či sú prijaté opatrenia u konkrétneho subjektu dostatočné.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doplnenie Ministerstvo zdravotníctva SR nepovažuje za potrebné.</w:t>
              <w:br/>
            </w:r>
            <w:r>
              <w:rPr>
                <w:b w:val="off"/>
                <w:color w:val="000000"/>
                <w:rFonts w:ascii="Times New Roman" w:hAnsi="Times New Roman" w:cs="Times New Roman" w:eastAsia="Times New Roman"/>
                <w:sz w:val="24"/>
              </w:rPr>
              <w:t>§ 5 ustanovuje všeobecné podmienky na zaobchádzanie s omamnými a psychotropnými látkami. Cieľom navrhovaného ustanovenia je uložiť držiteľovi povolenia povinnosť prijať administratívne opatrenia primerané charakteru vykonávanej činnosti na zabezpečenie ochrany omamných a psychotropných látok pred ich zneužitím.</w:t>
              <w:br/>
            </w:r>
            <w:r>
              <w:rPr>
                <w:b w:val="off"/>
                <w:color w:val="000000"/>
                <w:rFonts w:ascii="Times New Roman" w:hAnsi="Times New Roman" w:cs="Times New Roman" w:eastAsia="Times New Roman"/>
                <w:sz w:val="24"/>
              </w:rPr>
              <w:t>Konkrétny obsah administratívnych opatrení vyplýva z ďalších ustanovení zákona č. 139/1998 Z. z., najmä z ustanovení o evidencii a inventarizácii omamných a psychotropných látok (§§ 30 a 31).</w:t>
              <w:br/>
            </w:r>
            <w:r>
              <w:rPr>
                <w:b w:val="off"/>
                <w:color w:val="000000"/>
                <w:rFonts w:ascii="Times New Roman" w:hAnsi="Times New Roman" w:cs="Times New Roman" w:eastAsia="Times New Roman"/>
                <w:sz w:val="24"/>
              </w:rPr>
              <w:t>Primeranosť a dostatočnosť prijatých administratívnych opatrení sa posudzuje v rámci povoľovacieho procesu a výkonu štátneho dozoru podľa zákona č. 139/1998 Z. z. Podrobnejšie alebo taxatívne vymedzenie administratívnych opatrení v § 5 ods. 3 písm. c) sa preto nepovažuje za potrebné, keďže by mohlo viesť k nežiaducemu záveru, že povinnosti držiteľa povolenia sú obmedzené len na výslovne uvedené opatrenia, hoci ich rozsah musí zodpovedať povahe vykonávanej činnosti a požiadavkám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1</w:t>
              <w:br/>
            </w:r>
            <w:r>
              <w:rPr>
                <w:b w:val="off"/>
                <w:color w:val="000000"/>
                <w:rFonts w:ascii="Times New Roman" w:hAnsi="Times New Roman" w:cs="Times New Roman" w:eastAsia="Times New Roman"/>
                <w:sz w:val="24"/>
              </w:rPr>
              <w:t xml:space="preserve">Zásadné pripomienky MV SR uplatňuje k prílohe č. 1 zákona č. 139/1998 Z. z. o omamných látkach, psychotropných látkach a prípravkoch v znení neskorších predpisov, kde navrhujeme rozšíriť a precizovať Zoznam omamných a psychotropných látok (ďalej len „zoznam látok“) tak, aby zahŕňal nielen vymenované látky, ale aj ich štruktúrne príbuzné deriváty a ďalšie chemické modifikácie, ktoré si zachovávajú porovnateľné farmakologické účinky a potenciál zneužívania. Navrhované rozšírenie zoznamu látok je potrebné z dôvodu reagovania na vývoj nových psychoaktívnych látok, pričom sa opiera hlavne o poznatky relevantných európskych agentúr pre oblasť drog, ich zneužívania a drogových závislostí ako napr. European Union Drugs Agency (ďalej len „EUDA“), Advisory Council on the Misuse of Drugs (ďalej len „ACMD“) a nálezy znaleckých posudkov o intoxikácii osôb, najmä mladistvých. </w:t>
              <w:br/>
            </w:r>
            <w:r>
              <w:rPr>
                <w:b w:val="off"/>
                <w:color w:val="000000"/>
                <w:rFonts w:ascii="Times New Roman" w:hAnsi="Times New Roman" w:cs="Times New Roman" w:eastAsia="Times New Roman"/>
                <w:sz w:val="24"/>
              </w:rPr>
              <w:t xml:space="preserve">V aplikačnej praxi sa čoraz častejšie vyskytujú látky, ktoré sa od omamných alebo psychotropných látok uvedených v zozname látok odlišujú iba minimálnou zmenou chemickej štruktúry na molekulárnej úrovni. Z chemického hľadiska ide o odlišné zlúčeniny, z farmakologického a toxikologického hľadiska vykazujú rovnaké alebo veľmi podobné účinky na ľudský organizmus ako látky uvedené v zozname látok. Takéto látky sú často uvádzané na trh práve s cieľom obísť existujúcu právnu reguláciu. Z dôvodu predchádzania obchádzaniu zákona považujeme za potrebné doplniť právnu úpravu o príbuzné deriváty a analógy omamných a psychotropných látok, aby sa predišlo situáciám, keď sa látka s prakticky totožnými účinkami nachádza mimo režimu kontroly len z dôvodu nepatrnej molekulárnej modifikácie. Takýto prístup by zvýšil právnu istotu, zjednodušil aplikačnú prax orgánov činných v trestnom konaní, posilnil ochranu verejného zdravia a súčasne zosúladil našu právnu úpravu s medzinárodnými trendami a právom Európskej únie. </w:t>
              <w:br/>
            </w:r>
            <w:r>
              <w:rPr>
                <w:b w:val="off"/>
                <w:color w:val="000000"/>
                <w:rFonts w:ascii="Times New Roman" w:hAnsi="Times New Roman" w:cs="Times New Roman" w:eastAsia="Times New Roman"/>
                <w:sz w:val="24"/>
              </w:rPr>
              <w:t>Na území Slovenskej republiky boli zaznamenané prípady intoxikácie, ťažké poškodenie zdravia u mladistvých ako aj úmrtie osoby vo veku 19 rokov súvisiace s užitím výrobkov obsahujúcich semisyntetické kanabinoidy vrátane derivátov HHC, čo potvrdzuje reálny výskyt týchto látok na trhu a ich potenciál predstavovať riziko pre zdravie obyvateľstva v Slovenskej republike.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Zákon č. 139/1998 Z. z. neupravuje kategóriu nových psychoaktívnych látok. Prílohy zákona obsahujú výlučne omamné látky a psychotropné látky zaradené do jednotlivých skupín. Skutočnosť, že určitá látka je identifikovaná ako nová psychoaktívna látka v rámci systému monitorovania Európskej únie, sama osebe nepredstavuje dôvod na jej zaradenie do príloh zákona.</w:t>
              <w:br/>
            </w:r>
            <w:r>
              <w:rPr>
                <w:b w:val="off"/>
                <w:color w:val="000000"/>
                <w:rFonts w:ascii="Times New Roman" w:hAnsi="Times New Roman" w:cs="Times New Roman" w:eastAsia="Times New Roman"/>
                <w:sz w:val="24"/>
              </w:rPr>
              <w:t>Systém monitorovania a hodnotenia rizík nových psychoaktívnych látok na úrovni Európskej únie slúži na identifikáciu a odborné posúdenie rizík týchto látok. Na vnútroštátnej úrovni je však na zaradenie látky do príloh zákona č. 139/1998 Z. z. potrebné preukázať, že ide o omamnú alebo psychotropnú látku, a odôvodniť jej zaradenie do príslušnej skupiny podľa zákona.</w:t>
              <w:br/>
            </w:r>
            <w:r>
              <w:rPr>
                <w:b w:val="off"/>
                <w:color w:val="000000"/>
                <w:rFonts w:ascii="Times New Roman" w:hAnsi="Times New Roman" w:cs="Times New Roman" w:eastAsia="Times New Roman"/>
                <w:sz w:val="24"/>
              </w:rPr>
              <w:t>Navrhované rozšírenie prílohy o štruktúrne príbuzné deriváty, analógy a ďalšie chemické modifikácie predstavuje zmenu koncepcie právnej úpravy, ktorá si vyžaduje komplexnú novelizáciu zákona vrátane jednoznačného právneho a chemického vymedzenia rozsahu regulovaných látok. Predložené odôvodnenie tieto skutočnosti nepreukazuje, ale vychádza predovšetkým zo všeobecných poznatkov o nových psychoaktívnych látkach a ich monitorovaní. Ministerstvo zdravotníctva SR považuje za vhodnejšie zachovať existujúci systém individuálneho odborného posudzovania a zaraďovania konkrétnych chemicky identifikovaných omamných a psychotropných látok do príloh zákona.</w:t>
              <w:br/>
            </w:r>
            <w:r>
              <w:rPr>
                <w:b w:val="off"/>
                <w:color w:val="000000"/>
                <w:rFonts w:ascii="Times New Roman" w:hAnsi="Times New Roman" w:cs="Times New Roman" w:eastAsia="Times New Roman"/>
                <w:sz w:val="24"/>
              </w:rPr>
              <w:t>Ministerstvo zdravotníctva SR v spolupráci s Ministerstvom vnútra SR, Štátnym ústavom pre kontrolu liečiv, Ústavom súdneho lekárstva a súdnolekárskej toxikológie LF UK, Klinikou pracovného lekárstva a toxikológie LF UK a UNB a Národným toxikologickým informačným centrom látku odborne posúdi a následne pri najbližšej novele prehodnotí zaradenie látky medzi omamné a psychotropné látky na základe výsledkov odborného posúdenia.</w:t>
              <w:br/>
            </w:r>
            <w:r>
              <w:rPr>
                <w:b w:val="off"/>
                <w:color w:val="000000"/>
                <w:rFonts w:ascii="Times New Roman" w:hAnsi="Times New Roman" w:cs="Times New Roman" w:eastAsia="Times New Roman"/>
                <w:sz w:val="24"/>
              </w:rPr>
              <w:t xml:space="preserve">Na rozporovom konaní zo dňa 05.08.2026 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1</w:t>
              <w:br/>
            </w:r>
            <w:r>
              <w:rPr>
                <w:b w:val="off"/>
                <w:color w:val="000000"/>
                <w:rFonts w:ascii="Times New Roman" w:hAnsi="Times New Roman" w:cs="Times New Roman" w:eastAsia="Times New Roman"/>
                <w:sz w:val="24"/>
              </w:rPr>
              <w:t>1.	Do prílohy č. 1 je potrebné doplniť slová „10 -hydroxyhexahydrokanabinol (10-OH-HHC)“.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Zaradenie látky do zoznamu látok je odôvodnené jej psychoaktívnym účinkom, voľnou dostupnosťou vrátane dostupnosti pre maloletých, ponukou vo forme cukroviniek a vapovacích výrobkov, nepredvídateľným zložením komerčných produktov. 10-OH-HHC je psychoaktívny hydroxylovaný derivát hexahydrokanabinolu, ktorý pôsobí prostredníctvom kanabinoidných receptorov. Účinky sú porovnateľné s účinkami HHC a THC. Môžu zahŕňať zmeny vedomia a vnímania, psychické rozrušenie, úzkosť, poruchy koordinácie a motoriky, tachykardiu, nevoľnosť, somnolenciu a pri závažnej intoxikácii aj poruchy vedomia alebo akútne psychotické prejavy. HHC a širšie skupiny jeho derivátov regulovali napríklad Rakúsko, Belgicko, Dánsko, Francúzsko, Poľsko, Írsko.1 V Českej republike je látka 10-OH-HHC zaradená medzi psychoaktívne látky podľa zákona č. 321/2024 Sb. o psychomodulačních látkách a o změně některých souvisejících zákonů. V Slovenskej republike boli v rokoch 2023-2025 Policajným zborom evidované 4 prípady intoxikácie detí a mladistvých.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EUDA: Hexahydrocannabinol (HHC) and related substances – Technical  Report. Lisbon:   EUDA, 2023.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Odôvodnenie poukazuje na psychoaktívne účinky látky, prípady intoxikácií a jej reguláciu v niektorých členských štátoch Európskej únie. Tieto skutočnosti však samy osebe nepreukazujú dôvody na zaradenie látky 10-hydroxyhexahydrokanabinol (10-OH-HHC) medzi psychotropné látky podľa zákona č. 139/1998 Z. z.</w:t>
              <w:br/>
            </w:r>
            <w:r>
              <w:rPr>
                <w:b w:val="off"/>
                <w:color w:val="000000"/>
                <w:rFonts w:ascii="Times New Roman" w:hAnsi="Times New Roman" w:cs="Times New Roman" w:eastAsia="Times New Roman"/>
                <w:sz w:val="24"/>
              </w:rPr>
              <w:t>Zákon č. 139/1998 Z. z. upravuje omamné a psychotropné látky zaradené do jednotlivých skupín. Pre zaradenie novej látky do príloh zákona je potrebné preukázať, že ide o omamnú alebo psychotropnú látku, a odôvodniť jej zaradenie do príslušnej skupiny podľa kritérií ustanovených zákonom. Predložené odôvodnenie takéto odborné a právne zdôvodnenie neobsahuje.</w:t>
              <w:br/>
            </w:r>
            <w:r>
              <w:rPr>
                <w:b w:val="off"/>
                <w:color w:val="000000"/>
                <w:rFonts w:ascii="Times New Roman" w:hAnsi="Times New Roman" w:cs="Times New Roman" w:eastAsia="Times New Roman"/>
                <w:sz w:val="24"/>
              </w:rPr>
              <w:t>Skutočnosť, že látka je regulovaná v právnych poriadkoch niektorých členských štátov alebo je predmetom monitorovania agentúry EUDA, sama osebe nepredstavuje dôvod na jej zaradenie do príloh zákona č. 139/1998 Z. z. Rovnako zaradenie látky medzi psychoaktívne látky podľa českej právnej úpravy nie je porovnateľné so zaradením medzi omamné alebo psychotropné látky podľa zákona č. 139/1998 Z. z., keďže ide o odlišný právny režim.</w:t>
              <w:br/>
            </w:r>
            <w:r>
              <w:rPr>
                <w:b w:val="off"/>
                <w:color w:val="000000"/>
                <w:rFonts w:ascii="Times New Roman" w:hAnsi="Times New Roman" w:cs="Times New Roman" w:eastAsia="Times New Roman"/>
                <w:sz w:val="24"/>
              </w:rPr>
              <w:t>Ministerstvo zdravotníctva SR považuje za vhodné zachovať existujúci systém individuálneho odborného posudzovania a zaraďovania konkrétnych chemicky identifikovaných omamných a psychotropných látok do príloh zákona.</w:t>
              <w:br/>
            </w:r>
            <w:r>
              <w:rPr>
                <w:b w:val="off"/>
                <w:color w:val="000000"/>
                <w:rFonts w:ascii="Times New Roman" w:hAnsi="Times New Roman" w:cs="Times New Roman" w:eastAsia="Times New Roman"/>
                <w:sz w:val="24"/>
              </w:rPr>
              <w:t>Ministerstvo zdravotníctva SR v spolupráci s Ministerstvom vnútra SR, Štátnym ústavom pre kontrolu liečiv, Ústavom súdneho lekárstva a súdnolekárskej toxikológie LF UK, Klinikou pracovného lekárstva a toxikológie LF UK a UNB a Národným toxikologickým informačným centrom látku odborne posúdi a následne pri najbližšej novele prehodnotí zaradenie látky medzi omamné a psychotropné látky na základe výsledkov odborného posúdenia.</w:t>
              <w:br/>
            </w:r>
            <w:r>
              <w:rPr>
                <w:b w:val="off"/>
                <w:color w:val="000000"/>
                <w:rFonts w:ascii="Times New Roman" w:hAnsi="Times New Roman" w:cs="Times New Roman" w:eastAsia="Times New Roman"/>
                <w:sz w:val="24"/>
              </w:rPr>
              <w:t>Na základe vyjadrenia zo dňa 11.08.2026 Ministerstvo vnútra SR už na rozpore netrvá. Rozpor sa považuje za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1</w:t>
              <w:br/>
            </w:r>
            <w:r>
              <w:rPr>
                <w:b w:val="off"/>
                <w:color w:val="000000"/>
                <w:rFonts w:ascii="Times New Roman" w:hAnsi="Times New Roman" w:cs="Times New Roman" w:eastAsia="Times New Roman"/>
                <w:sz w:val="24"/>
              </w:rPr>
              <w:t>2.	Do prílohy č. 1 je potrebné doplniť slová „ 9-hydroxyhexahydrokanabinol (9-OH-HHC)“.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9-OH-HHC (9-hydroxyhexahydrokanabinol) je psychoaktívny hydroxylovaný derivát hexahydrokanabinolu patriaci medzi semisyntetické kanabinoidy. Pôsobí prostredníctvom kanabinoidných receptorov, predovšetkým receptorov CB1, pričom jeho farmakologické účinky sú porovnateľné s ostatnými psychoaktívnymi derivátmi HHC. Môže vyvolávať zmeny vedomia a vnímania, poruchy koordinácie, tachykardiu, úzkosť, psychické rozrušenie, poruchy vedomia a pri vyšších dávkach aj závažné neuropsychiatrické prejavy2 V Českej republike bolo 9-OH-HHC zaradené medzi regulované psychoaktívne látky podľa zákona č. 321/2024 Sb., o psychomodulačních látkách a o změně některých souvisejících zákonů.</w:t>
              <w:br/>
            </w:r>
            <w:r>
              <w:rPr>
                <w:b w:val="off"/>
                <w:color w:val="000000"/>
                <w:rFonts w:ascii="Times New Roman" w:hAnsi="Times New Roman" w:cs="Times New Roman" w:eastAsia="Times New Roman"/>
                <w:sz w:val="24"/>
              </w:rPr>
              <w:t xml:space="preserve">2  EUDA: Hexahydrocannabinol (HHC) and related substances – Technical  Report. Lisbon:   EUDA, 2023.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Odôvodnenie poukazuje na psychoaktívne účinky látky, prípady intoxikácií a jej reguláciu v niektorých členských štátoch Európskej únie. Uvedené skutočnosti však samy osebe nepreukazujú dôvody na zaradenie látky 10-hydroxyhexahydrokanabinol (10-OH-HHC) medzi psychotropné látky podľa zákona č. 139/1998 Z. z.</w:t>
              <w:br/>
            </w:r>
            <w:r>
              <w:rPr>
                <w:b w:val="off"/>
                <w:color w:val="000000"/>
                <w:rFonts w:ascii="Times New Roman" w:hAnsi="Times New Roman" w:cs="Times New Roman" w:eastAsia="Times New Roman"/>
                <w:sz w:val="24"/>
              </w:rPr>
              <w:t>Zákon č. 139/1998 Z. z. upravuje omamné a psychotropné látky zaradené do jednotlivých skupín príloh. Na zaradenie novej látky do príloh zákona je potrebné odôvodniť, že ide o omamnú alebo psychotropnú látku, a preukázať dôvody jej zaradenia do príslušnej skupiny. Predložené odôvodnenie takéto odborné a právne zdôvodnenie neobsahuje.</w:t>
              <w:br/>
            </w:r>
            <w:r>
              <w:rPr>
                <w:b w:val="off"/>
                <w:color w:val="000000"/>
                <w:rFonts w:ascii="Times New Roman" w:hAnsi="Times New Roman" w:cs="Times New Roman" w:eastAsia="Times New Roman"/>
                <w:sz w:val="24"/>
              </w:rPr>
              <w:t>Skutočnosť, že látka je regulovaná v právnych poriadkoch niektorých členských štátov alebo je predmetom monitorovania agentúry EUDA, sama osebe nepredstavuje dôvod na jej zaradenie do príloh zákona č. 139/1998 Z. z. Rovnako zaradenie látky medzi psychoaktívne látky podľa českej právnej úpravy nie je porovnateľné so zaradením medzi omamné alebo psychotropné látky podľa zákona č. 139/1998 Z. z., keďže ide o odlišný právny režim.</w:t>
              <w:br/>
            </w:r>
            <w:r>
              <w:rPr>
                <w:b w:val="off"/>
                <w:color w:val="000000"/>
                <w:rFonts w:ascii="Times New Roman" w:hAnsi="Times New Roman" w:cs="Times New Roman" w:eastAsia="Times New Roman"/>
                <w:sz w:val="24"/>
              </w:rPr>
              <w:t>Ministerstvo zdravotníctva SR navrhuje zachovať súčasnú koncepciu zákona založenú na individuálnom odbornom posudzovaní a zaraďovaní konkrétnych chemicky identifikovaných omamných a psychotropných látok do príloh zákona.</w:t>
              <w:br/>
            </w:r>
            <w:r>
              <w:rPr>
                <w:b w:val="off"/>
                <w:color w:val="000000"/>
                <w:rFonts w:ascii="Times New Roman" w:hAnsi="Times New Roman" w:cs="Times New Roman" w:eastAsia="Times New Roman"/>
                <w:sz w:val="24"/>
              </w:rPr>
              <w:t>Ministerstvo zdravotníctva SR v spolupráci s Ministerstvom vnútra SR, Štátnym ústavom pre kontrolu liečiv, Ústavom súdneho lekárstva a súdnolekárskej toxikológie LF UK, Klinikou pracovného lekárstva a toxikológie LF UK a UNB a Národným toxikologickým informačným centrom látku odborne posúdi a následne pri najbližšej novele prehodnotí zaradenie látky medzi omamné a psychotropné látky na základe výsledkov odborného posúdenia.</w:t>
              <w:br/>
            </w:r>
            <w:r>
              <w:rPr>
                <w:b w:val="off"/>
                <w:color w:val="000000"/>
                <w:rFonts w:ascii="Times New Roman" w:hAnsi="Times New Roman" w:cs="Times New Roman" w:eastAsia="Times New Roman"/>
                <w:sz w:val="24"/>
              </w:rPr>
              <w:t>Na základe vyjadrenia zo dňa 11.08.2026 Ministerstvo vnútra SR už na rozpore netrvá. Rozpor sa považuje za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1</w:t>
              <w:br/>
            </w:r>
            <w:r>
              <w:rPr>
                <w:b w:val="off"/>
                <w:color w:val="000000"/>
                <w:rFonts w:ascii="Times New Roman" w:hAnsi="Times New Roman" w:cs="Times New Roman" w:eastAsia="Times New Roman"/>
                <w:sz w:val="24"/>
              </w:rPr>
              <w:t>3.	Do prílohy č. 1 je potrebné doplniť slová „11-hydroxyhexahydrokanabinol (11-OH-HHC)“.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11-OH-HHC (11-hydroxyhexahydrokanabinol) je hydroxylovaný derivát hexahydrokanabinolu (HHC), ktorý patrí do skupiny semisyntetických kanabinoidov. Ide o biologicky aktívnu látku pôsobiacu prostredníctvom kanabinoidných receptorov, predovšetkým receptorov CB1 v centrálnom nervovom systéme, pričom jej užitie môže viesť k zmenám vedomia a vnímania, poruchám koncentrácie, koordinácie a psychomotorických funkcií, ako aj k ďalším nežiaducim účinkom typickým pre psychoaktívne kanabinoidy. Pri vyšších dávkach alebo u citlivých osôb môže dôjsť k vzniku úzkostných stavov, agitovanosti, dezorientácie, porúch vedomia, psychotických prejavov, tachykardie a ďalších zdravotných komplikácií vyžadujúcich zdravotnícku intervenciu3. V Slovenskej republike boli v rokoch 2023-2026 Policajným zborom evidované 3 prípady intoxikácie mladistvých.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3 EUDA: Hexahydrocannabinol (HHC) and related substances – Technical  Report. Lisbon:   EUDA, 2023.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Ministerstvo zdravotníctva SR berie na vedomie odborné argumenty uvedené v pripomienke týkajúce sa látky 11-hydroxyhexahydrokanabinol (11-OH-HHC), najmä jej chemickej príbuznosti k hexahydrokanabinolu (HHC), jej predpokladaných psychoaktívnych účinkov a potenciálnych rizík pre verejné zdravie.</w:t>
              <w:br/>
            </w:r>
            <w:r>
              <w:rPr>
                <w:b w:val="off"/>
                <w:color w:val="000000"/>
                <w:rFonts w:ascii="Times New Roman" w:hAnsi="Times New Roman" w:cs="Times New Roman" w:eastAsia="Times New Roman"/>
                <w:sz w:val="24"/>
              </w:rPr>
              <w:t>Látka HHC je v Slovenskej republike zaradená medzi psychotropné látky podľa prílohy č. 1 zákona č. 139/1998 Z. z. Skutočnosť, že 11-OH-HHC predstavuje hydroxylovaný derivát HHC, však sama osebe nezakladá automatické zaradenie tejto konkrétnej látky medzi psychotropné látky podľa zákona č. 139/1998 Z. z.</w:t>
              <w:br/>
            </w:r>
            <w:r>
              <w:rPr>
                <w:b w:val="off"/>
                <w:color w:val="000000"/>
                <w:rFonts w:ascii="Times New Roman" w:hAnsi="Times New Roman" w:cs="Times New Roman" w:eastAsia="Times New Roman"/>
                <w:sz w:val="24"/>
              </w:rPr>
              <w:t>V právnom poriadku Slovenskej republiky nie je uplatnený generický model kontroly chemických derivátov alebo analógov kontrolovaných látok. Z uvedeného dôvodu je potrebné každú konkrétnu látku posudzovať individuálne, a to najmä z hľadiska jej chemických, farmakologických a toxikologických vlastností a dostupných údajov o rizikách pre zdravie jednotlivca a verejné zdravie.</w:t>
              <w:br/>
            </w:r>
            <w:r>
              <w:rPr>
                <w:b w:val="off"/>
                <w:color w:val="000000"/>
                <w:rFonts w:ascii="Times New Roman" w:hAnsi="Times New Roman" w:cs="Times New Roman" w:eastAsia="Times New Roman"/>
                <w:sz w:val="24"/>
              </w:rPr>
              <w:t>Pri odbornom posudzovaní nových psychoaktívnych látok je potrebné zohľadniť relevantné vedecké a odborné podklady, vrátane prípadných hodnotení rizík vykonaných Agentúrou Európskej únie pre drogy (EUDA) podľa nariadenia (EÚ) 2023/1322 o Agentúre Európskej únie pre drogy. Takéto odborné hodnotenia predstavujú významný podklad pri rozhodovaní o potrebe prijatia kontrolných opatrení.</w:t>
              <w:br/>
            </w:r>
            <w:r>
              <w:rPr>
                <w:b w:val="off"/>
                <w:color w:val="000000"/>
                <w:rFonts w:ascii="Times New Roman" w:hAnsi="Times New Roman" w:cs="Times New Roman" w:eastAsia="Times New Roman"/>
                <w:sz w:val="24"/>
              </w:rPr>
              <w:t>V súčasnosti neboli predložené odborné podklady, ktoré by odôvodňovali zaradenie látky 11-hydroxyhexahydrokanabinol (11-OH-HHC) do prílohy č. 1 zákona č. 139/1998 Z. z. Ministerstvo zdravotníctva SR bude uvedenú látku naďalej sledovať a v prípade získania nových relevantných odborných poznatkov alebo vykonania príslušných hodnotení rizík pristúpi k opätovnému posúdeniu potreby jej zaradenia.</w:t>
              <w:br/>
            </w:r>
            <w:r>
              <w:rPr>
                <w:b w:val="off"/>
                <w:color w:val="000000"/>
                <w:rFonts w:ascii="Times New Roman" w:hAnsi="Times New Roman" w:cs="Times New Roman" w:eastAsia="Times New Roman"/>
                <w:sz w:val="24"/>
              </w:rPr>
              <w:t>Ministerstvo zdravotníctva SR v spolupráci s Ministerstvom vnútra SR, Štátnym ústavom pre kontrolu liečiv, Ústavom súdneho lekárstva a súdnolekárskej toxikológie LF UK, Klinikou pracovného lekárstva a toxikológie LF UK a UNB a Národným toxikologickým informačným centrom látku odborne posúdi a následne pri najbližšej novele prehodnotí zaradenie látky medzi omamné a psychotropné látky na základe výsledkov odborného posúdenia.</w:t>
              <w:br/>
            </w:r>
            <w:r>
              <w:rPr>
                <w:b w:val="off"/>
                <w:color w:val="000000"/>
                <w:rFonts w:ascii="Times New Roman" w:hAnsi="Times New Roman" w:cs="Times New Roman" w:eastAsia="Times New Roman"/>
                <w:sz w:val="24"/>
              </w:rPr>
              <w:t>Na základe vyjadrenia zo dňa 11.08.2026 Ministerstvo vnútra SR už na rozpore netrvá. Rozpor sa považuje za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1</w:t>
              <w:br/>
            </w:r>
            <w:r>
              <w:rPr>
                <w:b w:val="off"/>
                <w:color w:val="000000"/>
                <w:rFonts w:ascii="Times New Roman" w:hAnsi="Times New Roman" w:cs="Times New Roman" w:eastAsia="Times New Roman"/>
                <w:sz w:val="24"/>
              </w:rPr>
              <w:t>4.	Do prílohy č. 1 je potrebné doplniť slová „10-hydroxytetrahydrokanabinol (10-OH-THC)“.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10-OH-THC (10-hydroxytetrahydrokanabinol) je hydroxylovaný derivát tetrahydrokanabinolu (THC) patrí do skupiny psychoaktívnych kanabinoidov. Ide o látku štrukturálne a farmakologicky príbuznú THC, pri ktorej sa predpokladá pôsobenie prostredníctvom kanabinoidných receptorov, najmä receptorov CB1 v centrálnom nervovom systéme. Užívanie tejto látky môže viesť k zmenám vedomia a vnímania, poruchám koncentrácie, zhoršeniu psychomotorických schopností, koordinácie a úsudku, ako aj  k ďalším účinkom typickým pre psychoaktívne kanabinoidy. Pri vyšších dávkach alebo u citlivých osôb nemožno vylúčiť vznik úzkostných stavov, agitovanosti, dezorientácie, psychotických prejavov, tachykardie alebo porúch vedomia4. Zaradenie látky do zoznamu látok je odôvodnené jej štrukturálnou a farmakologickou príbuznosťou s THC, psychoaktívnym potenciálom a potrebou predchádzať obchádzaniu právnej regulácie prostredníctvom uvádzania nových derivátov THC na trh. V Slovenskej republike boli Policajným zborom evidované 3 prípady intoxikácií mladistvých.</w:t>
              <w:br/>
            </w:r>
            <w:r>
              <w:rPr>
                <w:b w:val="off"/>
                <w:color w:val="000000"/>
                <w:rFonts w:ascii="Times New Roman" w:hAnsi="Times New Roman" w:cs="Times New Roman" w:eastAsia="Times New Roman"/>
                <w:sz w:val="24"/>
              </w:rPr>
              <w:t>4 ACMD : Semi-synthetic cannabinoids related to tetrahydrocannabinol and cannabidiol. London: Home  Office, 2025</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Látka 10-hydroxytetrahydrokanabinol (10-OH-THC) v súčasnosti nie je zaradená do zoznamov omamných a psychotropných látok podľa príslušných medzinárodných dohovorov o kontrole drog a nie je predmetom medzinárodnej kontroly. Z uvedeného dôvodu nie je možné jej zaradenie do prílohy č. 1 zákona č. 139/1998 Z. z. odôvodniť existujúcim medzinárodným statusom kontrolovanej látky.</w:t>
              <w:br/>
            </w:r>
            <w:r>
              <w:rPr>
                <w:b w:val="off"/>
                <w:color w:val="000000"/>
                <w:rFonts w:ascii="Times New Roman" w:hAnsi="Times New Roman" w:cs="Times New Roman" w:eastAsia="Times New Roman"/>
                <w:sz w:val="24"/>
              </w:rPr>
              <w:t>Problematika 10-OH-THC súvisí skôr s oblasťou nových psychoaktívnych látok, pri ktorých je potrebné vykonať odborné posúdenie rizík, najmä z hľadiska farmakologických účinkov, potenciálu zneužívania a dopadov na verejné zdravie. Až na základe takéhoto posúdenia možno zvážiť prijatie primeraných regulačných opatrení.</w:t>
              <w:br/>
            </w:r>
            <w:r>
              <w:rPr>
                <w:b w:val="off"/>
                <w:color w:val="000000"/>
                <w:rFonts w:ascii="Times New Roman" w:hAnsi="Times New Roman" w:cs="Times New Roman" w:eastAsia="Times New Roman"/>
                <w:sz w:val="24"/>
              </w:rPr>
              <w:t>Ministerstvo zdravotníctva SR v spolupráci s Ministerstvom vnútra SR, Štátnym ústavom pre kontrolu liečiv, Ústavom súdneho lekárstva a súdnolekárskej toxikológie LF UK, Klinikou pracovného lekárstva a toxikológie LF UK a UNB a Národným toxikologickým informačným centrom látku odborne posúdi a následne pri najbližšej novele prehodnotí zaradenie látky medzi omamné a psychotropné látky na základe výsledkov odborného posúdenia.</w:t>
              <w:br/>
            </w:r>
            <w:r>
              <w:rPr>
                <w:b w:val="off"/>
                <w:color w:val="000000"/>
                <w:rFonts w:ascii="Times New Roman" w:hAnsi="Times New Roman" w:cs="Times New Roman" w:eastAsia="Times New Roman"/>
                <w:sz w:val="24"/>
              </w:rPr>
              <w:t>Na základe vyjadrenia zo dňa 11.08.2026 Ministerstvo vnútra SR už na rozpore netrvá. Rozpor sa považuje za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1</w:t>
              <w:br/>
            </w:r>
            <w:r>
              <w:rPr>
                <w:b w:val="off"/>
                <w:color w:val="000000"/>
                <w:rFonts w:ascii="Times New Roman" w:hAnsi="Times New Roman" w:cs="Times New Roman" w:eastAsia="Times New Roman"/>
                <w:sz w:val="24"/>
              </w:rPr>
              <w:t>5.	Do prílohy č. 1 je potrebné doplniť slovo „MDMB-PINACA“.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MDMB-PINACA je látka patriaca do skupiny syntetických kanabinoidov, ktoré pôsobia ako silní agonisti kanabinoidných receptorov, predovšetkým receptorov CB1 v centrálnom nervovom systéme. Na rozdiel od prírodných kanabinoidov alebo semisyntetických derivátov THC a HHC môže vykazovať podstatne vyššiu biologickú aktivitu a vyššie riziko vzniku závažných toxických účinkov. Užívanie látky je spojené s výskytom závažných intoxikácií charakterizovaných poruchami vedomia, agitovanosťou, úzkostnými a psychotickými stavmi, tachykardiou, hypertenziou, kŕčmi, poruchami dýchania a v niektorých prípadoch aj úmrtím. V medzinárodnej odbornej literatúre a monitorovacích systémoch boli zaznamenané početné prípady hospitalizácií a úmrtí súvisiacich s užitím syntetických kanabinoidov vrátane látok zo skupiny PINACA5. V Slovenskej republike bol Policajným zborom evidovaný v roku 2026 prípad ťažkého poškodenia zdravia u mladistvého.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ACMD : Semi-synthetic cannabinoids related to tetrahydrocannabinol and cannabidiol. London: Home Office, 2025</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Látka MDMB-PINACA patrí medzi syntetické kanabinoidy a z odborného hľadiska predstavuje novú psychoaktívnu látku. Na zaradenie látky do prílohy č. 1 zákona č. 139/1998 Z. z. medzi psychotropné látky je však potrebné jednoznačne identifikovať konkrétnu chemickú látku, keďže názvy syntetických kanabinoidov skupiny PINACA môžu označovať rozdielne chemické zlúčeniny s odlišným regulačným statusom.</w:t>
              <w:br/>
            </w:r>
            <w:r>
              <w:rPr>
                <w:b w:val="off"/>
                <w:color w:val="000000"/>
                <w:rFonts w:ascii="Times New Roman" w:hAnsi="Times New Roman" w:cs="Times New Roman" w:eastAsia="Times New Roman"/>
                <w:sz w:val="24"/>
              </w:rPr>
              <w:t>Z dostupných údajov vyplýva, že niektoré látky zo skupiny MDMB-PINACA (napr. 5F-MDMB-PINACA alebo MDMB-4en-PINACA) podliehajú osobitnej kontrole, avšak samotné označenie „MDMB-PINACA“ bez uvedenia úplného chemického názvu alebo jednoznačného identifikátora neumožňuje vykonať spoľahlivé  zaradenie.</w:t>
              <w:br/>
            </w:r>
            <w:r>
              <w:rPr>
                <w:b w:val="off"/>
                <w:color w:val="000000"/>
                <w:rFonts w:ascii="Times New Roman" w:hAnsi="Times New Roman" w:cs="Times New Roman" w:eastAsia="Times New Roman"/>
                <w:sz w:val="24"/>
              </w:rPr>
              <w:t>Po doplnení presnej chemickej špecifikácie látky a overení jej regulačného statusu bude možné posúdiť jej prípadné zaradenie medzi psychotropné látky podľa zákona č. 139/1998 Z. z.</w:t>
              <w:br/>
            </w:r>
            <w:r>
              <w:rPr>
                <w:b w:val="off"/>
                <w:color w:val="000000"/>
                <w:rFonts w:ascii="Times New Roman" w:hAnsi="Times New Roman" w:cs="Times New Roman" w:eastAsia="Times New Roman"/>
                <w:sz w:val="24"/>
              </w:rPr>
              <w:t>Ministerstvo zdravotníctva SR v spolupráci s Ministerstvom vnútra SR, Štátnym ústavom pre kontrolu liečiv, Ústavom súdneho lekárstva a súdnolekárskej toxikológie LF UK, Klinikou pracovného lekárstva a toxikológie LF UK a UNB a Národným toxikologickým informačným centrom látku odborne posúdi a následne pri najbližšej novele prehodnotí zaradenie látky medzi omamné a psychotropné látky na základe výsledkov odborného posúdenia.</w:t>
              <w:br/>
            </w:r>
            <w:r>
              <w:rPr>
                <w:b w:val="off"/>
                <w:color w:val="000000"/>
                <w:rFonts w:ascii="Times New Roman" w:hAnsi="Times New Roman" w:cs="Times New Roman" w:eastAsia="Times New Roman"/>
                <w:sz w:val="24"/>
              </w:rPr>
              <w:t>Na základe vyjadrenia zo dňa 11.08.2026 Ministerstvo vnútra SR už na rozpore netrvá. Rozpor sa považuje za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1</w:t>
              <w:br/>
            </w:r>
            <w:r>
              <w:rPr>
                <w:b w:val="off"/>
                <w:color w:val="000000"/>
                <w:rFonts w:ascii="Times New Roman" w:hAnsi="Times New Roman" w:cs="Times New Roman" w:eastAsia="Times New Roman"/>
                <w:sz w:val="24"/>
              </w:rPr>
              <w:t>6.	Do prílohy č. 1 je potrebné doplniť slová „MDMB-4en-PINACA“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MDMB-4en-PINACA patrí do skupiny syntetických kanabinoidov, ktoré pôsobia ako vysoko účinní agonisti kanabinoidných receptorov, predovšetkým receptorov CB1 v centrálnom nervovom systéme. V porovnaní s prírodnými kanabinoidmi vykazuje výrazne vyššiu biologickú aktivitu, pričom jej užitie je spojené s vysokým rizikom závažných intoxikácií. Klinické prejavy zahŕňajú najmä poruchy vedomia, agitovanosť, úzkostné a psychotické stavy, tachykardiu, hypertenziu, kŕče, poruchy dýchania a ďalšie život ohrozujúce komplikácie. V Európe boli zaznamenané početné prípady akútnych intoxikácií, hospitalizácií a úmrtí v súvislosti s užitím tejto látky, pričom vo viacerých prípadoch bola potvrdená prítomnosť MDMB-4en-PINACA vo forenzných vzorkách6.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ACMD : Semi-synthetic cannabinoids related to tetrahydrocannabinol and cannabidiol. London: Home  Office,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rozporovom konaní zo dňa 05.08.2026 rozpor bol odstránený. Látka už je zaradená do prílohy č. 1, do I. skupiny psychotropných látok.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1</w:t>
              <w:br/>
            </w:r>
            <w:r>
              <w:rPr>
                <w:b w:val="off"/>
                <w:color w:val="000000"/>
                <w:rFonts w:ascii="Times New Roman" w:hAnsi="Times New Roman" w:cs="Times New Roman" w:eastAsia="Times New Roman"/>
                <w:sz w:val="24"/>
              </w:rPr>
              <w:t>7.	Do prílohy č. 1 je potrebné doplniť slová „Δ9-tetrahydrokanabinol acetát, (THC-O acetát, Δ9-THC-O acetát)“.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Δ9-THC-O acetát (Δ9-tetrahydrokanabinol acetát, THC-O acetát) je semisyntetický derivát Δ9-tetrahydrokanabinolu (THC) vznikajúci acetyláciou molekuly THC. Ide o psychoaktívnu látku štrukturálne a farmakologicky príbuznú THC, pri ktorej dochádza k pôsobeniu prostredníctvom kanabinoidných receptorov, najmä receptorov CB1 v centrálnom nervovom systéme. Užívanie tejto látky môže viesť k zmenám vedomia a vnímania, poruchám koncentrácie, úsudku, koordinácie a psychomotorických schopností, ako aj k ďalším účinkom typickým pre psychoaktívne kanabinoidy. Pri vyšších dávkach alebo u citlivých osôb môže dôjsť k vzniku úzkostných stavov, agitovanosti, dezorientácie, psychotických prejavov, tachykardie alebo porúch vedomia. Mimoriadne riziko predstavuje užívanie prostredníctvom inhalácie (vapovanie), pri ktorej môže pri zahrievaní dochádzať k vzniku ďalších potenciálne škodlivých chemických látok7. V Slovenskej republike bolo  v roku 2026 Policajným zborom evidovaných 5 prípadov intoxikácie mladistvých.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ACMD : Semi-synthetic cannabinoids related to tetrahydrocannabinol and cannabidiol. London: Home Office, 2025</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Látka Δ9-tetrahydrokanabinol acetát v súčasnosti nie je zaradená medzi medzinárodne kontrolované omamné alebo psychotropné látky ani nevyplýva jej zaradenie z právne záväzných aktov Európskej únie. Jej prípadné zaradenie do prílohy č. 1 zákona č. 139/1998 Z. z. preto vyžaduje samostatné odborné posúdenie podľa kritérií ustanovených týmto zákonom.</w:t>
              <w:br/>
            </w:r>
            <w:r>
              <w:rPr>
                <w:b w:val="off"/>
                <w:color w:val="000000"/>
                <w:rFonts w:ascii="Times New Roman" w:hAnsi="Times New Roman" w:cs="Times New Roman" w:eastAsia="Times New Roman"/>
                <w:sz w:val="24"/>
              </w:rPr>
              <w:t>Vzhľadom na uvedené nie je možné predmetnú látku zaradiť do prílohy č. 1 zákona č. 139/1998 Z. z. iba na základe jej štrukturálnej príbuznosti s Δ9-tetrahydrokanabinolom. Problematika regulácie nových semisyntetických kanabinoidov si vyžaduje odborné posúdenie a zvolenie primeraného regulačného mechanizmu.</w:t>
              <w:br/>
            </w:r>
            <w:r>
              <w:rPr>
                <w:b w:val="off"/>
                <w:color w:val="000000"/>
                <w:rFonts w:ascii="Times New Roman" w:hAnsi="Times New Roman" w:cs="Times New Roman" w:eastAsia="Times New Roman"/>
                <w:sz w:val="24"/>
              </w:rPr>
              <w:t>Ministerstvo zdravotníctva SR v spolupráci s Ministerstvom vnútra SR, Štátnym ústavom pre kontrolu liečiv, Ústavom súdneho lekárstva a súdnolekárskej toxikológie LF UK, Klinikou pracovného lekárstva a toxikológie LF UK a UNB a Národným toxikologickým informačným centrom látku odborne posúdi a následne pri najbližšej novele prehodnotí zaradenie látky medzi omamné a psychotropné látky na základe výsledkov odborného posúdenia.</w:t>
              <w:br/>
            </w:r>
            <w:r>
              <w:rPr>
                <w:b w:val="off"/>
                <w:color w:val="000000"/>
                <w:rFonts w:ascii="Times New Roman" w:hAnsi="Times New Roman" w:cs="Times New Roman" w:eastAsia="Times New Roman"/>
                <w:sz w:val="24"/>
              </w:rPr>
              <w:t>Na základe vyjadrenia zo dňa 11.08.2026 Ministerstvo vnútra SR už na rozpore netrvá. Rozpor sa považuje za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1</w:t>
              <w:br/>
            </w:r>
            <w:r>
              <w:rPr>
                <w:b w:val="off"/>
                <w:color w:val="000000"/>
                <w:rFonts w:ascii="Times New Roman" w:hAnsi="Times New Roman" w:cs="Times New Roman" w:eastAsia="Times New Roman"/>
                <w:sz w:val="24"/>
              </w:rPr>
              <w:t>8.	Do prílohy č. 1 je potrebné doplniť slovo „Mitragynín“.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Mitragynín je hlavný psychoaktívny alkaloid rastliny Mitragyna speciosa (kratom). Pôsobí na opioidné receptory a je zodpovedný za väčšinu psychoaktívnych účinkov kratomu. Jeho užívanie je spojené s rizikom vzniku závislosti, rozvoja tolerancie, abstinenčných príznakov a intoxikácií. Regulácia látky je odôvodnená jej psychoaktívnymi vlastnosťami, potenciálom zneužívania a rizikami pre verejné zdravie8. Kratom alebo jeho hlavné alkaloidy podliehajú regulácii alebo zákazu vo viacerých európskych štátoch vrátane Dánska, Fínska, Írska, Lotyšska, Litvy, Poľska, Rumunska, Švédska a Nórska. Podľa EUDA sú hlavnými farmakologicky aktívnymi zložkami kratomu práve mitragynín a 7-hydroxymitragynín9. V Českej republike je podľa dostupných informácií poskytnutých národnou protidrogovou centrálou služby kriminálnej polície a vyšetrovania Polície Českej republiky od 01. 01. 2026 evidovaných 17 prípadov úmrtí mladistvých a mladých ľudí v súvislosti s užitím kratomu. V Slovenskej republike sú evidované prípady predávkovaní, nakoľko mitragynín je prítomný v produktoch ponúkaných v automatoch vo forme prášku na prípravu nápoja alebo sladkostí.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World Health Organization:  Expert Committee on Drug Dependence (ECDD), Forty-fourth Report. Critical Review Report: Kratom (Mitragyna speciosa). Geneva: WHO, 2021.</w:t>
              <w:br/>
            </w:r>
            <w:r>
              <w:rPr>
                <w:b w:val="off"/>
                <w:color w:val="000000"/>
                <w:rFonts w:ascii="Times New Roman" w:hAnsi="Times New Roman" w:cs="Times New Roman" w:eastAsia="Times New Roman"/>
                <w:sz w:val="24"/>
              </w:rPr>
              <w:t>9 European Monitoring Centre for Drugs and Drug Addiction (EMCDDA). Kratom  (Mitragyna speciosa) drug profile. Lisbon: EMCDDA</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1</w:t>
              <w:br/>
            </w:r>
            <w:r>
              <w:rPr>
                <w:b w:val="off"/>
                <w:color w:val="000000"/>
                <w:rFonts w:ascii="Times New Roman" w:hAnsi="Times New Roman" w:cs="Times New Roman" w:eastAsia="Times New Roman"/>
                <w:sz w:val="24"/>
              </w:rPr>
              <w:t>9.	Do prílohy č. 1 je potrebné doplniť slovo „7-hydroxymitragynín“.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7-hydroxymitragynín je farmakologicky vysoko účinný alkaloid rastliny Mitragyna speciosa a zároveň metabolit mitragynínu. V porovnaní s mitragynínom vykazuje výrazne vyššiu afinitu k μ-opioidným receptorom a významne sa podieľa na opioidných účinkoch kratomu. Jeho užívanie je spojené s rizikom vzniku závislosti, rozvoja tolerancie, abstinenčných príznakov a závažných intoxikácií vrátane útlmu centrálneho nervového systému. Zaradenie látky do zoznamu látok je odôvodnené jej vysokou farmakologickou účinnosťou, potenciálom zneužívania a rizikami pre verejné zdravie10. Viaceré európske štáty vrátane Írska a Švajčiarska kontrolujú alebo zakázali priamo 7-hydroxymitragynín ako samostatnú psychoaktívnu látku. V Slovenskej republike sú evidované prípady predávkovaní, nakoľko 7-hydroxymitragynín je prítomný v produktoch ponúkaných v automatoch vo forme prášku na prípravu nápoja alebo sladkostí. Svetová zdravotnícka organizácia (WHO ECDD) odporučila pokračovať v medzinárodnom monitorovaní kratomu a jeho hlavných alkaloidov vzhľadom na dostupné údaje o ich psychoaktívnych účinkoch, potenciáli vzniku závislosti a rizikách pre verejné zdravie. Vysoké riziko úmrtia po konzumácii kratomu a jeho alkaloidov je spojené s jeho konzumáciou s alkoholom a následnou zástavou dýchania11.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World Health Organization:  Expert Committee on Drug Dependence (ECDD), Forty-fourth Report. Critical  Review Report: Kratom (Mitragyna speciosa). Geneva: WHO, 2021.</w:t>
              <w:br/>
            </w:r>
            <w:r>
              <w:rPr>
                <w:b w:val="off"/>
                <w:color w:val="000000"/>
                <w:rFonts w:ascii="Times New Roman" w:hAnsi="Times New Roman" w:cs="Times New Roman" w:eastAsia="Times New Roman"/>
                <w:sz w:val="24"/>
              </w:rPr>
              <w:t>11 World Health Organization:  Expert Committee on Drug Dependence (ECDD), Forty-fourth Report. Critical Review Report: Kratom (Mitragyna speciosa). Geneva: WHO, 2021.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2 písm. d)</w:t>
              <w:br/>
            </w:r>
            <w:r>
              <w:rPr>
                <w:b w:val="off"/>
                <w:color w:val="000000"/>
                <w:rFonts w:ascii="Times New Roman" w:hAnsi="Times New Roman" w:cs="Times New Roman" w:eastAsia="Times New Roman"/>
                <w:sz w:val="24"/>
              </w:rPr>
              <w:t xml:space="preserve">K bodu 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6 ods. 2 písm. d) odporúčame slová „dokladom o skončení štúdia na strednej zdravotníckej škole“ nahradiť slovami „dokladom o získanom vzdelaní vydaným strednou zdravotníckou školou“ a vypustiť slová „alebo absolventskou skúškou v študijnom odbore diplomovaná dentálna hygienička“.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používa pojem „doklad o skončení štúdia“, ktorý nezodpovedá terminológii zákona č. 245/2008 Z. z. Školský zákon používa pojem „doklad o získanom vzdelaní“. Navrhované ustanovenie je preto potrebné terminologicky zosúladiť so školským zákonom.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študijný odbor „diplomovaná dentálna hygienička“ nie je zaradený do aktuálnej sústavy odborov vzdelávania pre stredné školy podľa vyhlášky č. 217/2025 Z. z. Nie je preto zrejmé, z akého dôvodu sa v navrhovanom ustanovení uvádza ako študijný odbor, v ktorom sa štúdium končí absolventskou skúškou.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1.	Upozorňujeme, že subjekty, ktoré navrhujú reguláciu alebo zmenu regulácie povolaní v Slovenskej republike majú od 1.1.2021 splniť náležitosti podľa zákona č. 391/2020 Z. z. o teste proporcionality v oblasti regulácie povolaní v znení zákona č. 84/2025 Z. z. Konkrétne ide napríklad o povinnosť vyplniť formulár Test proporcionality a zverejniť ho na svojom webovom sídle a zároveň ho vyplnený poskytnúť Ministerstvu školstva, výskumu, vývoja a mládeže Slovenskej republiky, a to ešte pred zverejnením návrhu právneho predpisu na pripomienkové konanie. Ak bol v súvislosti s predkladaným návrhom zákona vykonaný test proporcionality, odporúčame túto informáciu uviesť v predkladacej správe. Na uvedené upozorňujeme v kontexte navrhovanej zmeny ustanovenia § 6 zákona č. 139/1998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2.	Predkladaný návrh zákona bude predmetom vnútrokomunitárneho pripomienkového konania. Súčasne, vzhľadom na navrhované zaradenie nových psychoaktívnych látok do príloh č. 1 a 2, možno návrh zákona považovať za technický predpis v zmysle zákona č. 55/2018 Z. z. o poskytovaní informácií o technickom predpise a o prekážkach voľného pohybu tovaru v znení neskorších predpisov. V tejto súvislosti žiadame doterajší text § 43a zákona č. 139/1998 Z. z. uviesť ako odsek 1 a doplniť druhým odsekom, ktorým sa splní povinnosť uvedená v čl. 5 ods. 3 Legislatívnych pravidiel vlády SR, a teda „Ustanovenia tohto zákona účinné od 1. januára 2027 boli prijaté v súlade s právne záväzným aktom Európskej únie v oblasti technických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1.	V predkladacej správe žiadame upraviť názov nariadenia (EÚ) 2023/1322 nasledovne: „nariadenie Európskeho parlamentu a Rady (EÚ) 2023/1322 z 27. júna 2023 o Agentúre Európskej únie pre drogy (EUDA) a o zrušení nariadenia (ES) č. 1920/2006 (Ú. v. EÚ L 166, 30.6.2023)“.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1.	V bode 30 osobitnej časti dôvodovej správy žiadame za slová „Jednotného dohovoru o omamných látkach z roku 1961“ vložiť tieto slová: „(vyhláška ministra zahraničných vecí č. 47/1965 Zb. v znení oznámenia Federálneho ministra zahraničných vecí č. 458/1991 Zb.)“.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bode 3 písm. b) doložky zlučiteľnosti žiadame uviesť ako relevantný sekundárny právny akt aj „nariadenie Európskeho parlamentu a Rady (EÚ) 2023/1322 z 27. júna 2023 o Agentúre Európskej únie pre drogy (EUDA) a o zrušení nariadenia (ES) č. 1920/2006 (Ú. v. EÚ L 166, 30.6.2023)“.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 za bod 25</w:t>
              <w:br/>
            </w:r>
            <w:r>
              <w:rPr>
                <w:b w:val="off"/>
                <w:color w:val="000000"/>
                <w:rFonts w:ascii="Times New Roman" w:hAnsi="Times New Roman" w:cs="Times New Roman" w:eastAsia="Times New Roman"/>
                <w:sz w:val="24"/>
              </w:rPr>
              <w:t xml:space="preserve">V § 30 odsek 4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Náležitosti knihy omamných a psychotropných látok a evidencie dokladov preukazujúcich príjem a výdaj omamných a psychotropných látok vedených v listinnej podobe ustanoví všeobecne záväzný právny predpis, ktorý vydá ministerstvo; v prípade vedenia knihy omamných a psychotropných látok v elektronickej podobe sa primerane uplatnia požiadavky ustanovené týmto vykonávacím predpisom, ak odsek 5 neustanovuje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Nad rámec návrhu zákona navrhujeme preformulovať ustanovenie § 30 odsek 4.</w:t>
              <w:br/>
            </w:r>
            <w:r>
              <w:rPr>
                <w:b w:val="off"/>
                <w:color w:val="000000"/>
                <w:rFonts w:ascii="Times New Roman" w:hAnsi="Times New Roman" w:cs="Times New Roman" w:eastAsia="Times New Roman"/>
                <w:sz w:val="24"/>
              </w:rPr>
              <w:t>Navrhovaná úprava reaguje na rozvoj elektronického zdravotníctva a na praktické skúsenosti s vedením evidencie omamných a psychotropných látok v informačných systémoch poskytovateľov lekárenskej starostlivosti. Jej cieľom je vytvoriť jednoznačný právny rámec pre vedenie knihy omamných látok elektronickou podobou pri súčasnom zachovaní požadovanej úrovne dohľadateľnosti a kontrolovateľnosti príjmu a výdaja omamných a psychotropných látok. Máme za to, že rodné číslo je pre kontrolný orgán dostatočný údaj na dohľadanie pacienta a zároveň reflektuje na GDPR, aby sme nezbierali údaje, ktoré ku svojej práci nepotrebujeme.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30 odsek 4 navrhujeme preformulovať a výslovne ustanoviť, že náležitosti knihy omamných látok a evidencie dokladov preukazujúcich príjem a výdaj omamných a psychotropných látok ustanovené vykonávacím právnym predpisom sa vzťahujú na evidenciu vedenú v listinnej podobe. Súčasne sa ustanovuje, že pri vedení knihy omamných látok elektronickou podobou sa požiadavky ustanovené vykonávacím právnym predpisom uplatnia primerane, ak odsek 5 neustanovuje inak. Navrhovaná úprava má odstrániť výkladové nejasnosti, podľa ktorých by elektronicky vedená evidencia musela obsahovať všetky údaje a náležitosti požadované pre vedenie knihy omamných a psychotropných látok v listinnej podobe bez ohľadu na technické možnosti elektronických systémov a rozsah údajov sprístupňovaných poskytovateľovi lekárenskej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 základe stanoviska zo dňa 03.08.2026 rozpor bol odstránený, RÚZ SR predmetné vyhodnotenie pripomienky považuje za akceptovateľné a súhlasí s ním. Zároveň uviedol, že predmetné vyhodnotenie možno považovať za výsledok rozporového konania. </w:t>
              <w:br/>
            </w:r>
            <w:r>
              <w:rPr>
                <w:b w:val="off"/>
                <w:color w:val="000000"/>
                <w:rFonts w:ascii="Times New Roman" w:hAnsi="Times New Roman" w:cs="Times New Roman" w:eastAsia="Times New Roman"/>
                <w:sz w:val="24"/>
              </w:rPr>
              <w:t>Platné znenie § 30 ods. 4 ustanovuje, že náležitosti knihy omamných látok a evidencie dokladov preukazujúcich príjem a výdaj omamných a psychotropných látok upraví všeobecne záväzný právny predpis vydaný Ministerstvom zdravotníctva SR. Zákon zároveň v § 30 ods. 1 ustanovuje, že kniha omamných látok a evidencia dokladov sa vedú elektronickou alebo listinnou podobou.</w:t>
              <w:br/>
            </w:r>
            <w:r>
              <w:rPr>
                <w:b w:val="off"/>
                <w:color w:val="000000"/>
                <w:rFonts w:ascii="Times New Roman" w:hAnsi="Times New Roman" w:cs="Times New Roman" w:eastAsia="Times New Roman"/>
                <w:sz w:val="24"/>
              </w:rPr>
              <w:t>Navrhovaným doplnením § 30 ods. 4 sa vytvára osobitný právny režim pre elektronicky vedenú evidenciu tým, že sa ustanovuje iba primerané uplatnenie požiadaviek vykonávacieho právneho predpisu. Takéto riešenie Ministerstvo zdravotníctva SR nepovažuje za vhodné.</w:t>
              <w:br/>
            </w:r>
            <w:r>
              <w:rPr>
                <w:b w:val="off"/>
                <w:color w:val="000000"/>
                <w:rFonts w:ascii="Times New Roman" w:hAnsi="Times New Roman" w:cs="Times New Roman" w:eastAsia="Times New Roman"/>
                <w:sz w:val="24"/>
              </w:rPr>
              <w:t>Elektronická a listinná podoba predstavujú iba odlišný spôsob vedenia tej istej zákonom ustanovenej evidencie. Forma vedenia evidencie sama osebe neodôvodňuje rozdielny rozsah alebo spôsob uplatňovania požiadaviek ustanovených vykonávacím právnym predpisom.</w:t>
              <w:br/>
            </w:r>
            <w:r>
              <w:rPr>
                <w:b w:val="off"/>
                <w:color w:val="000000"/>
                <w:rFonts w:ascii="Times New Roman" w:hAnsi="Times New Roman" w:cs="Times New Roman" w:eastAsia="Times New Roman"/>
                <w:sz w:val="24"/>
              </w:rPr>
              <w:t>Navrhovaná formulácia, podľa ktorej sa požiadavky vykonávacieho právneho predpisu uplatnia „primerane“, je zároveň neurčitá a vytvára interpretačnú neistotu, keďže neustanovuje, ktoré požiadavky sa majú uplatniť v plnom rozsahu, ktoré len primerane a ktoré sa neuplatnia vôbec. Takáto formulácia môže viesť k rozdielnemu výkladu a nejednotnej aplikačnej praxi.</w:t>
              <w:br/>
            </w:r>
            <w:r>
              <w:rPr>
                <w:b w:val="off"/>
                <w:color w:val="000000"/>
                <w:rFonts w:ascii="Times New Roman" w:hAnsi="Times New Roman" w:cs="Times New Roman" w:eastAsia="Times New Roman"/>
                <w:sz w:val="24"/>
              </w:rPr>
              <w:t>Z uvedených dôvodov sa navrhovaná úprava nepovažuje za opodstatnenú.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 za bod 25</w:t>
              <w:br/>
            </w:r>
            <w:r>
              <w:rPr>
                <w:b w:val="off"/>
                <w:color w:val="000000"/>
                <w:rFonts w:ascii="Times New Roman" w:hAnsi="Times New Roman" w:cs="Times New Roman" w:eastAsia="Times New Roman"/>
                <w:sz w:val="24"/>
              </w:rPr>
              <w:t>V § 30 sa za odsek 4 vkladá nový odsek 5,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Ak je kniha omamných a psychotropných látok vedená v elektronickej podobe, vedie sa ako súhrnná evidencia príjmov a výdajov omamných a psychotropných látok. Za evidenciu dokladov preukazujúcich príjem a výdaj omamných a psychotropných látok sa v takom prípade považujú aj elektronické lekárske predpisy, elektronické dodacie listy, elektronické faktúry a ďalšie elektronické doklady uchovávané v informačnom systéme držiteľa povolenia. Kniha omamných a psychotropných látok vedená v elektronickej podobe nemusí obsahovať všetky údaje ustanovené pre vedenie knihy omamných a psychotropných látok v listinnej podobe, ak tieto údaje nie sú súčasťou elektronických dokladov podľa druhej vety a ani inak nie sú poskytovateľovi lekárenskej starostlivosti sprístupnené na účely ich elektronického spracovania. Tým nie je dotknutá povinnosť uchovávať originál dokladu v písomnej podobe, ak osobitný predpis neustanovuje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Nad rámec návrhu zákona navrhujeme doplniť nový odsek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reaguje na rozvoj elektronického zdravotníctva a na praktické skúsenosti s vedením evidencie omamných a psychotropných látok v informačných systémoch poskytovateľov lekárenskej starostlivosti. Jej cieľom je vytvoriť jednoznačný právny rámec pre vedenie knihy omamných látok elektronickou podobou pri súčasnom zachovaní požadovanej úrovne dohľadateľnosti a kontrolovateľnosti príjmu a výdaja omamných a psychotropných látok. Máme za to, že rodné číslo je pre kontrolný orgán dostatočný údaj na dohľadanie pacienta a zároveň reflektuje na GDPR, aby sme nezbierali údaje, ktoré ku svojej práci nepotrebujeme.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Nový odsek 5 navrhuje ustanoviť osobitnú úpravu vedenia knihy omamných a psychotropných látok elektronickou podobou. Elektronická kniha omamných a psychotropných látok sa vedie ako súhrnná evidencia príjmov a výdajov omamných a psychotropných látok, ktorá poskytuje prehľad o pohybe týchto látok na jednom mieste. Zároveň sa ustanovuje, že za evidenciu dokladov preukazujúcich príjem a výdaj omamných a psychotropných látok sa považujú aj elektronické lekárske predpisy, elektronické dodacie listy, elektronické faktúry a ďalšie elektronické doklady uchovávané v informačnom systéme držiteľa povolenia.</w:t>
              <w:br/>
            </w:r>
            <w:r>
              <w:rPr>
                <w:b w:val="off"/>
                <w:color w:val="000000"/>
                <w:rFonts w:ascii="Times New Roman" w:hAnsi="Times New Roman" w:cs="Times New Roman" w:eastAsia="Times New Roman"/>
                <w:sz w:val="24"/>
              </w:rPr>
              <w:t>Navrhovaná úprava zohľadňuje skutočnosť, že údaje sprístupňované poskytovateľovi lekárenskej starostlivosti prostredníctvom elektronického zdravotníctva nie sú totožné s údajmi, ktoré sa historicky zaznamenávali do knihy omamných látok vedenej v listinnej podobe. Najmä pri výdaji humánneho lieku na základe elektronického lekárskeho predpisu nie sú súčasťou údajov prenášaných do informačného systému lekárne meno pacienta, adresa pacienta ani adresa predpisujúceho lekára. Niektoré údaje môžu byť síce dostupné na nahliadnutie v systéme elektronického zdravotníctva, najmä v pacientskom sumári, tieto údaje však nie sú poskytované spôsobom umožňujúcim ich automatizované spracovanie a evidovanie v informačných systémoch lekární. Sú určené predovšetkým na nahliadnutie pri poskytovaní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Požiadavka na vedenie elektronickej evidencie v rovnakom rozsahu údajov ako pri listinnej podobe by preto v praxi vyžadovala manuálne vyhľadávanie a prepisovanie údajov z rôznych informačných systémov do elektronickej evidencie. Takýto postup predstavuje neprimeranú administratívnu záťaž, zvyšuje riziko chýb pri spracúvaní údajov, pretože neumožňujú kontrolu daného údaju a neprináša dodatočný prínos pre účely výkonu štátneho dozoru ani preukazovania legálneho nakladania s omamnými a psychotropnými látkami.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preto umožňuje, aby elektronická evidencia neobsahovala všetky údaje ustanovené pre vedenie knihy omamných a psychotropných látok v listinnej podobe, najmä ak tieto údaje nie sú súčasťou elektronických dokladov alebo nie sú poskytovateľovi lekárenskej starostlivosti sprístupnené na účely ich elektronického spracovania. Cieľom navrhovaného ustanovenia nie je zníženie rozsahu evidencie alebo kontrolných oprávnení orgánov štátneho dozoru, ale odstránenie povinnosti zapisovať údaje, ktoré nie sú poskytovateľovi lekárenskej starostlivosti elektronicky dostupné alebo ktorých automatizované spracovanie nie je technicky možné.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sa výslovne ustanovuje, že navrhovaná úprava sa nedotýka povinnosti uchovávať originály listinných lekárskych predpisov, na základe ktorých bol realizovaný výdaj omamných a psychotropných látok, ak tak ustanovuje osobitný predpis. Navrhovaná úprava zachováva plnú dohľadateľnosť a kontrolovateľnosť pohybu omamných a psychotropných látok, reflektuje aktuálny stav elektronizácie zdravotníctva a zároveň primerane znižuje administratívnu záťaž poskytovateľov lekárenskej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základe stanoviska zo dňa 03.08.2026 rozpor bol odstránený, RÚZ SR predmetné vyhodnotenie pripomienky považuje za akceptovateľné a súhlasí s ním. Zároveň uviedol, že predmetné vyhodnotenie možno považovať za výsledok rozporového konania.</w:t>
              <w:br/>
            </w:r>
            <w:r>
              <w:rPr>
                <w:b w:val="off"/>
                <w:color w:val="000000"/>
                <w:rFonts w:ascii="Times New Roman" w:hAnsi="Times New Roman" w:cs="Times New Roman" w:eastAsia="Times New Roman"/>
                <w:sz w:val="24"/>
              </w:rPr>
              <w:t>Navrhované doplnenie nového odseku 5 sa nepovažuje za potrebné.</w:t>
              <w:br/>
            </w:r>
            <w:r>
              <w:rPr>
                <w:b w:val="off"/>
                <w:color w:val="000000"/>
                <w:rFonts w:ascii="Times New Roman" w:hAnsi="Times New Roman" w:cs="Times New Roman" w:eastAsia="Times New Roman"/>
                <w:sz w:val="24"/>
              </w:rPr>
              <w:t>Navrhované ustanovenie obsahuje podrobnú úpravu vedenia knihy omamných a psychotropných látok v elektronickej podobe, spôsobu evidencie elektronických dokladov, rozsahu evidovaných údajov a technických podmienok vedenia elektronickej evidencie. Ide o otázky vykonávacieho charakteru, ktoré svojou povahou patria do vykonávacieho právneho predpisu vydaného na základe splnomocňovacieho ustanovenia podľa § 30 ods. 4 zákona.</w:t>
              <w:br/>
            </w:r>
            <w:r>
              <w:rPr>
                <w:b w:val="off"/>
                <w:color w:val="000000"/>
                <w:rFonts w:ascii="Times New Roman" w:hAnsi="Times New Roman" w:cs="Times New Roman" w:eastAsia="Times New Roman"/>
                <w:sz w:val="24"/>
              </w:rPr>
              <w:t>Zákon už v § 30 ods. 1 výslovne ustanovuje možnosť vedenia knihy omamných a psychotropných látok a evidencie dokladov v listinnej alebo elektronickej podobe. Nie je preto potrebné vytvárať osobitný zákonný režim pre elektronicky vedenú evidenciu.</w:t>
              <w:br/>
            </w:r>
            <w:r>
              <w:rPr>
                <w:b w:val="off"/>
                <w:color w:val="000000"/>
                <w:rFonts w:ascii="Times New Roman" w:hAnsi="Times New Roman" w:cs="Times New Roman" w:eastAsia="Times New Roman"/>
                <w:sz w:val="24"/>
              </w:rPr>
              <w:t>Navrhované ustanovenie by zároveň umožnilo odlišný rozsah evidovaných údajov pri elektronicky vedenej knihe omamných a psychotropných látok oproti evidencii vedenej v listinnej podobe. Forma vedenia evidencie však sama osebe neodôvodňuje rozdielny rozsah zákonných evidenčných povinností. Elektronická forma predstavuje spôsob vedenia evidencie, nie samostatný právny režim vedenia evidencie. Rozsah údajov vedených v knihe omamných a psychotropných látok musí zabezpečovať rovnakú úroveň preukázateľnosti, dohľadateľnosti a kontrolovateľnosti pohybu omamných a psychotropných látok bez ohľadu na spôsob vedenia evidencie. Technické riešenie elektronickej evidencie preto nemôže byť dôvodom na zmenu rozsahu zákonom ustanovených evidenčných povinností.</w:t>
              <w:br/>
            </w:r>
            <w:r>
              <w:rPr>
                <w:b w:val="off"/>
                <w:color w:val="000000"/>
                <w:rFonts w:ascii="Times New Roman" w:hAnsi="Times New Roman" w:cs="Times New Roman" w:eastAsia="Times New Roman"/>
                <w:sz w:val="24"/>
              </w:rPr>
              <w:t>Podrobnosti vedenia elektronickej evidencie, vrátane náležitostí elektronickej knihy omamných a psychotropných látok, spôsobu evidencie elektronických dokladov, technických požiadaviek na informačné systémy, zabezpečenia nemennosti údajov, ich uchovávania, zálohovania a zabezpečenia výstupov pre výkon štátneho dozoru, patria do vykonávacieho právneho predpisu, ktorý umožňuje primerane reagovať na vývoj elektronického zdravotníctva a informačných technológií bez potreby opakovaných zmien zákona.</w:t>
              <w:br/>
            </w:r>
            <w:r>
              <w:rPr>
                <w:b w:val="off"/>
                <w:color w:val="000000"/>
                <w:rFonts w:ascii="Times New Roman" w:hAnsi="Times New Roman" w:cs="Times New Roman" w:eastAsia="Times New Roman"/>
                <w:sz w:val="24"/>
              </w:rPr>
              <w:t>Splnomocňovacie ustanovenie podľa § 30 ods. 4 poskytuje dostatočný právny základ na úpravu osobitostí vedenia knihy omamných a psychotropných látok v elektronickej podobe vo vykonávacom právnom predpise pri zachovaní jednotných obsahových náležitostí evidencie a požiadaviek na jej preukázateľnosť, dohľadateľnosť a kontrolovateľnosť.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ZO SR</w:t>
              <w:br/>
            </w:r>
            <w:r>
              <w:rPr>
                <w:b w:val="off"/>
                <w:color w:val="000000"/>
                <w:rFonts w:ascii="Times New Roman" w:hAnsi="Times New Roman" w:cs="Times New Roman" w:eastAsia="Times New Roman"/>
                <w:sz w:val="24"/>
              </w:rPr>
              <w:t>Zväz obchodu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30 odsek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V Čl. I,  § 30 odsek 4 znie: </w:t>
              <w:br/>
            </w:r>
            <w:r>
              <w:rPr>
                <w:b w:val="off"/>
                <w:color w:val="000000"/>
                <w:rFonts w:ascii="Times New Roman" w:hAnsi="Times New Roman" w:cs="Times New Roman" w:eastAsia="Times New Roman"/>
                <w:sz w:val="24"/>
              </w:rPr>
              <w:t>„(4) Náležitosti knihy omamných a psychotropných látok a evidencie dokladov preukazujúcich príjem a výdaj omamných a psychotropných látok vedených v listinnej podobe ustanoví všeobecne záväzný právny predpis, ktorý vydá ministerstvo; v prípade vedenia knihy omamných a psychotropných látok v elektronickej podobe sa primerane uplatnia požiadavky ustanovené týmto vykonávacím predpisom, ak odsek 5 neustanovuje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Nad rámec návrhu zákona navrhujeme preformulovať ustanovenie § 30 odsek 4 a následne doplniť nový odsek 5.</w:t>
              <w:br/>
            </w:r>
            <w:r>
              <w:rPr>
                <w:b w:val="off"/>
                <w:color w:val="000000"/>
                <w:rFonts w:ascii="Times New Roman" w:hAnsi="Times New Roman" w:cs="Times New Roman" w:eastAsia="Times New Roman"/>
                <w:sz w:val="24"/>
              </w:rPr>
              <w:t>Navrhovaná úprava reaguje na rozvoj elektronického zdravotníctva a na praktické skúsenosti s vedením evidencie omamných a psychotropných látok v informačných systémoch poskytovateľov lekárenskej starostlivosti. Jej cieľom je vytvoriť jednoznačný právny rámec pre vedenie knihy omamných látok elektronickou podobou pri súčasnom zachovaní požadovanej úrovne dohľadateľnosti a kontrolovateľnosti príjmu a výdaja omamných a psychotropných látok. Máme za to, že rodné číslo je pre kontrolný orgán dostatočný údaj na dohľadanie pacienta a zároveň reflektuje na GDPR, aby sme nezbierali údaje, ktoré ku svojej práci nepotrebujeme.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30 odsek 4 navrhujeme preformulovať a výslovne ustanoviť, že náležitosti knihy omamných látok a evidencie dokladov preukazujúcich príjem a výdaj omamných a psychotropných látok ustanovené vykonávacím právnym predpisom sa vzťahujú na evidenciu vedenú v listinnej podobe. Súčasne sa ustanovuje, že pri vedení knihy omamných látok elektronickou podobou sa požiadavky ustanovené vykonávacím právnym predpisom uplatnia primerane, ak odsek 5 neustanovuje inak. Navrhovaná úprava má odstrániť výkladové nejasnosti, podľa ktorých by elektronicky vedená evidencia musela obsahovať všetky údaje a náležitosti požadované pre vedenie knihy omamných a psychotropných látok v listinnej podobe bez ohľadu na technické možnosti elektronických systémov a rozsah údajov sprístupňovaných poskytovateľovi lekárenskej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Platné znenie § 30 ods. 4 ustanovuje, že náležitosti knihy omamných látok a evidencie dokladov preukazujúcich príjem a výdaj omamných a psychotropných látok upraví všeobecne záväzný právny predpis vydaný Ministerstvom zdravotníctva SR. Zákon zároveň v § 30 ods. 1 ustanovuje, že kniha omamných látok a evidencia dokladov sa vedú elektronickou alebo listinnou podobou.</w:t>
              <w:br/>
            </w:r>
            <w:r>
              <w:rPr>
                <w:b w:val="off"/>
                <w:color w:val="000000"/>
                <w:rFonts w:ascii="Times New Roman" w:hAnsi="Times New Roman" w:cs="Times New Roman" w:eastAsia="Times New Roman"/>
                <w:sz w:val="24"/>
              </w:rPr>
              <w:t>Navrhovaným doplnením § 30 ods. 4 sa vytvára osobitný právny režim pre elektronicky vedenú evidenciu tým, že sa ustanovuje iba primerané uplatnenie požiadaviek vykonávacieho právneho predpisu. Takéto riešenie Ministerstvo zdravotníctva SR nepovažuje za vhodné.</w:t>
              <w:br/>
            </w:r>
            <w:r>
              <w:rPr>
                <w:b w:val="off"/>
                <w:color w:val="000000"/>
                <w:rFonts w:ascii="Times New Roman" w:hAnsi="Times New Roman" w:cs="Times New Roman" w:eastAsia="Times New Roman"/>
                <w:sz w:val="24"/>
              </w:rPr>
              <w:t>Elektronická a listinná podoba predstavujú iba odlišný spôsob vedenia tej istej zákonom ustanovenej evidencie. Forma vedenia evidencie sama osebe neodôvodňuje rozdielny rozsah alebo spôsob uplatňovania požiadaviek ustanovených vykonávacím právnym predpisom.</w:t>
              <w:br/>
            </w:r>
            <w:r>
              <w:rPr>
                <w:b w:val="off"/>
                <w:color w:val="000000"/>
                <w:rFonts w:ascii="Times New Roman" w:hAnsi="Times New Roman" w:cs="Times New Roman" w:eastAsia="Times New Roman"/>
                <w:sz w:val="24"/>
              </w:rPr>
              <w:t>Navrhovaná formulácia, podľa ktorej sa požiadavky vykonávacieho právneho predpisu uplatnia „primerane“, je zároveň neurčitá a vytvára interpretačnú neistotu, keďže neustanovuje, ktoré požiadavky sa majú uplatniť v plnom rozsahu, ktoré len primerane a ktoré sa neuplatnia vôbec. Takáto formulácia môže viesť k rozdielnemu výkladu a nejednotnej aplikačnej praxi.</w:t>
              <w:br/>
            </w:r>
            <w:r>
              <w:rPr>
                <w:b w:val="off"/>
                <w:color w:val="000000"/>
                <w:rFonts w:ascii="Times New Roman" w:hAnsi="Times New Roman" w:cs="Times New Roman" w:eastAsia="Times New Roman"/>
                <w:sz w:val="24"/>
              </w:rPr>
              <w:t>Z uvedených dôvodov sa navrhovaná úprava nepovažuje za opodstatnenú.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ZO SR</w:t>
              <w:br/>
            </w:r>
            <w:r>
              <w:rPr>
                <w:b w:val="off"/>
                <w:color w:val="000000"/>
                <w:rFonts w:ascii="Times New Roman" w:hAnsi="Times New Roman" w:cs="Times New Roman" w:eastAsia="Times New Roman"/>
                <w:sz w:val="24"/>
              </w:rPr>
              <w:t>Zväz obchodu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30 odsek 5</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V Čl. I,  § 30 sa za odsek 4 vkladá nový odsek 5, ktorý znie:</w:t>
              <w:br/>
            </w:r>
            <w:r>
              <w:rPr>
                <w:b w:val="off"/>
                <w:color w:val="000000"/>
                <w:rFonts w:ascii="Times New Roman" w:hAnsi="Times New Roman" w:cs="Times New Roman" w:eastAsia="Times New Roman"/>
                <w:sz w:val="24"/>
              </w:rPr>
              <w:t>„(5) Ak je kniha omamných a psychotropných látok vedená v elektronickej podobe, vedie sa ako súhrnná evidencia príjmov a výdajov omamných a psychotropných látok. Za evidenciu dokladov preukazujúcich príjem a výdaj omamných a psychotropných látok sa v takom prípade považujú aj elektronické lekárske predpisy, elektronické dodacie listy, elektronické faktúry a ďalšie elektronické doklady uchovávané v informačnom systéme držiteľa povolenia. Kniha omamných a psychotropných látok vedená v elektronickej podobe nemusí obsahovať všetky údaje ustanovené pre vedenie knihy omamných a psychotropných látok v listinnej podobe, ak tieto údaje nie sú súčasťou elektronických dokladov podľa druhej vety a ani inak nie sú poskytovateľovi lekárenskej starostlivosti sprístupnené na účely ich elektronického spracovania. Tým nie je dotknutá povinnosť uchovávať originál dokladu v písomnej podobe, ak osobitný predpis neustanovuje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Nad rámec návrhu zákona navrhujeme preformulovať ustanovenie § 30 odsek 4 a  doplniť nový odsek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reaguje na rozvoj elektronického zdravotníctva a na praktické skúsenosti s vedením evidencie omamných a psychotropných látok v informačných systémoch poskytovateľov lekárenskej starostlivosti. Jej cieľom je vytvoriť jednoznačný právny rámec pre vedenie knihy omamných látok elektronickou podobou pri súčasnom zachovaní požadovanej úrovne dohľadateľnosti a kontrolovateľnosti príjmu a výdaja omamných a psychotropných látok. Máme za to, že rodné číslo je pre kontrolný orgán dostatočný údaj na dohľadanie pacienta a zároveň reflektuje na GDPR, aby sme nezbierali údaje, ktoré ku svojej práci nepotrebujeme.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Nový odsek 5 navrhuje ustanoviť osobitnú úpravu vedenia knihy omamných a psychotropných látok elektronickou podobou. Elektronická kniha omamných a psychotropných látok sa vedie ako súhrnná evidencia príjmov a výdajov omamných a psychotropných látok, ktorá poskytuje prehľad o pohybe týchto látok na jednom mieste. Zároveň sa ustanovuje, že za evidenciu dokladov preukazujúcich príjem a výdaj omamných a psychotropných látok sa považujú aj elektronické lekárske predpisy, elektronické dodacie listy, elektronické faktúry a ďalšie elektronické doklady uchovávané v informačnom systéme držiteľa povolenia.</w:t>
              <w:br/>
            </w:r>
            <w:r>
              <w:rPr>
                <w:b w:val="off"/>
                <w:color w:val="000000"/>
                <w:rFonts w:ascii="Times New Roman" w:hAnsi="Times New Roman" w:cs="Times New Roman" w:eastAsia="Times New Roman"/>
                <w:sz w:val="24"/>
              </w:rPr>
              <w:t>Navrhovaná úprava zohľadňuje skutočnosť, že údaje sprístupňované poskytovateľovi lekárenskej starostlivosti prostredníctvom elektronického zdravotníctva nie sú totožné s údajmi, ktoré sa historicky zaznamenávali do knihy omamných látok vedenej v listinnej podobe. Najmä pri výdaji humánneho lieku na základe elektronického lekárskeho predpisu nie sú súčasťou údajov prenášaných do informačného systému lekárne meno pacienta, adresa pacienta ani adresa predpisujúceho lekára. Niektoré údaje môžu byť síce dostupné na nahliadnutie v systéme elektronického zdravotníctva, najmä v pacientskom sumári, tieto údaje však nie sú poskytované spôsobom umožňujúcim ich automatizované spracovanie a evidovanie v informačných systémoch lekární. Sú určené predovšetkým na nahliadnutie pri poskytovaní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Požiadavka na vedenie elektronickej evidencie v rovnakom rozsahu údajov ako pri listinnej podobe by preto v praxi vyžadovala manuálne vyhľadávanie a prepisovanie údajov z rôznych informačných systémov do elektronickej evidencie. Takýto postup predstavuje neprimeranú administratívnu záťaž, zvyšuje riziko chýb pri spracúvaní údajov, pretože neumožňujú kontrolu daného údaju a neprináša dodatočný prínos pre účely výkonu štátneho dozoru ani preukazovania legálneho nakladania s omamnými a psychotropnými látkami.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preto umožňuje, aby elektronická evidencia neobsahovala všetky údaje ustanovené pre vedenie knihy omamných a psychotropných látok v listinnej podobe, najmä ak tieto údaje nie sú súčasťou elektronických dokladov alebo nie sú poskytovateľovi lekárenskej starostlivosti sprístupnené na účely ich elektronického spracovania. Cieľom navrhovaného ustanovenia nie je zníženie rozsahu evidencie alebo kontrolných oprávnení orgánov štátneho dozoru, ale odstránenie povinnosti zapisovať údaje, ktoré nie sú poskytovateľovi lekárenskej starostlivosti elektronicky dostupné alebo ktorých automatizované spracovanie nie je technicky možné.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sa výslovne ustanovuje, že navrhovaná úprava sa nedotýka povinnosti uchovávať originály listinných lekárskych predpisov, na základe ktorých bol realizovaný výdaj omamných a psychotropných látok, ak tak ustanovuje osobitný predpis. Navrhovaná úprava zachováva plnú dohľadateľnosť a kontrolovateľnosť pohybu omamných a psychotropných látok, reflektuje aktuálny stav elektronizácie zdravotníctva a zároveň primerane znižuje administratívnu záťaž poskytovateľov lekárenskej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doplnenie nového odseku 5 sa nepovažuje za potrebné.</w:t>
              <w:br/>
            </w:r>
            <w:r>
              <w:rPr>
                <w:b w:val="off"/>
                <w:color w:val="000000"/>
                <w:rFonts w:ascii="Times New Roman" w:hAnsi="Times New Roman" w:cs="Times New Roman" w:eastAsia="Times New Roman"/>
                <w:sz w:val="24"/>
              </w:rPr>
              <w:t>Navrhované ustanovenie obsahuje podrobnú úpravu vedenia knihy omamných a psychotropných látok v elektronickej podobe, spôsobu evidencie elektronických dokladov, rozsahu evidovaných údajov a technických podmienok vedenia elektronickej evidencie. Ide o otázky vykonávacieho charakteru, ktoré svojou povahou patria do vykonávacieho právneho predpisu vydaného na základe splnomocňovacieho ustanovenia podľa § 30 ods. 4 zákona.</w:t>
              <w:br/>
            </w:r>
            <w:r>
              <w:rPr>
                <w:b w:val="off"/>
                <w:color w:val="000000"/>
                <w:rFonts w:ascii="Times New Roman" w:hAnsi="Times New Roman" w:cs="Times New Roman" w:eastAsia="Times New Roman"/>
                <w:sz w:val="24"/>
              </w:rPr>
              <w:t>Zákon už v § 30 ods. 1 výslovne ustanovuje možnosť vedenia knihy omamných a psychotropných látok a evidencie dokladov v listinnej alebo elektronickej podobe. Nie je preto potrebné vytvárať osobitný zákonný režim pre elektronicky vedenú evidenciu.</w:t>
              <w:br/>
            </w:r>
            <w:r>
              <w:rPr>
                <w:b w:val="off"/>
                <w:color w:val="000000"/>
                <w:rFonts w:ascii="Times New Roman" w:hAnsi="Times New Roman" w:cs="Times New Roman" w:eastAsia="Times New Roman"/>
                <w:sz w:val="24"/>
              </w:rPr>
              <w:t>Navrhované ustanovenie by zároveň umožnilo odlišný rozsah evidovaných údajov pri elektronicky vedenej knihe omamných a psychotropných látok oproti evidencii vedenej v listinnej podobe. Forma vedenia evidencie však sama osebe neodôvodňuje rozdielny rozsah zákonných evidenčných povinností. Elektronická forma predstavuje spôsob vedenia evidencie, nie samostatný právny režim vedenia evidencie. Rozsah údajov vedených v knihe omamných a psychotropných látok musí zabezpečovať rovnakú úroveň preukázateľnosti, dohľadateľnosti a kontrolovateľnosti pohybu omamných a psychotropných látok bez ohľadu na spôsob vedenia evidencie. Technické riešenie elektronickej evidencie preto nemôže byť dôvodom na zmenu rozsahu zákonom ustanovených evidenčných povinností.</w:t>
              <w:br/>
            </w:r>
            <w:r>
              <w:rPr>
                <w:b w:val="off"/>
                <w:color w:val="000000"/>
                <w:rFonts w:ascii="Times New Roman" w:hAnsi="Times New Roman" w:cs="Times New Roman" w:eastAsia="Times New Roman"/>
                <w:sz w:val="24"/>
              </w:rPr>
              <w:t>Podrobnosti vedenia elektronickej evidencie, vrátane náležitostí elektronickej knihy omamných a psychotropných látok, spôsobu evidencie elektronických dokladov, technických požiadaviek na informačné systémy, zabezpečenia nemennosti údajov, ich uchovávania, zálohovania a zabezpečenia výstupov pre výkon štátneho dozoru, patria do vykonávacieho právneho predpisu, ktorý umožňuje primerane reagovať na vývoj elektronického zdravotníctva a informačných technológií bez potreby opakovaných zmien zákona.</w:t>
              <w:br/>
            </w:r>
            <w:r>
              <w:rPr>
                <w:b w:val="off"/>
                <w:color w:val="000000"/>
                <w:rFonts w:ascii="Times New Roman" w:hAnsi="Times New Roman" w:cs="Times New Roman" w:eastAsia="Times New Roman"/>
                <w:sz w:val="24"/>
              </w:rPr>
              <w:t>Splnomocňovacie ustanovenie podľa § 30 ods. 4 poskytuje dostatočný právny základ na úpravu osobitostí vedenia knihy omamných a psychotropných látok v elektronickej podobe vo vykonávacom právnom predpise pri zachovaní jednotných obsahových náležitostí evidencie a požiadaviek na jej preukázateľnosť, dohľadateľnosť a kontrolovateľnosť.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Do návrhu zákona (vlastný materiál) žiadame doplniť v súlade s § 4 ods. 1 písm. b) zákona č. 55/2018 Z. z. o poskytovaní informácií o technickom predpise a o prekážkach voľného pohybu tovaru (ďalej len „zákon č. 55/2018 Z. z.“) v znení zákona č. 260/2020 Z. z. a čl. 5 ods. 3 Legislatívnych pravidiel vlády SR odkaz na smernicu (EÚ) 2015/1535.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 všeobecnej časti dôvodovej správy vyplýva, že návrh zákona má byť predmetom vnútrokomunitárneho pripomienkového konania. Predmetom vnútrokomunitárneho pripomienkového konania je technický prepis, ktorým je podľa § 2 písm. i) zákona č. 55/2018 Z. z všeobecne záväzný právny predpis alebo iný dokument vrátane návrhu technického predpisu v každom štádiu jeho prípravy pred jeho prijatím, ktorý obsahuje (i) technickú požiadavku na výrobok alebo inú požiadavku, ktorej dodržiavanie je povinné pri sprístupňovaní výrobku na trhu alebo pri používaní výrobku, alebo ktorý zakazuje alebo obmedzuje výrobu, dovoz, predaj alebo používanie výrobku, alebo (ii) pravidlo o službe informačnej spoločnosti, ktorého dodržiavanie je povinné v prípade predaja alebo poskytovania služby informačnej spoločnosti, zriadenia poskytovateľa služby informačnej spoločnosti alebo používania služby informačnej spoločnosti. Podľa § 4 ods. 1 písm. a) zákona č. 55/2018 Z. z. zodpovedný orgán uvádza v technickom predpise odkaz na smernicu Európskeho parlamentu a Rady (EÚ) 2015/1535 z 9. septembra 2015, ktorou sa stanovuje postup pri poskytovaní informácií v oblasti technických predpisov a pravidiel vzťahujúcich sa na služby informačnej spoločnosti, pričom presné znenie odkazu je upravené v čl. 5 Legislatívnych pravidiel vlády SR. Uvedený odkaz vo vlastnom materiály chýba.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APSL</w:t>
            </w:r>
            <w:r>
              <w:rPr>
                <w:b w:val="off"/>
                <w:color w:val="000000"/>
                <w:rFonts w:ascii="Times New Roman" w:hAnsi="Times New Roman" w:cs="Times New Roman" w:eastAsia="Times New Roman"/>
                <w:sz w:val="24"/>
              </w:rPr>
              <w:t xml:space="preserve"> – Asociácia prevádzkovateľov sieťových lekární na Slovensku</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11 (11o,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10 (0o, 10z)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ZO SR</w:t>
            </w:r>
            <w:r>
              <w:rPr>
                <w:b w:val="off"/>
                <w:color w:val="000000"/>
                <w:rFonts w:ascii="Times New Roman" w:hAnsi="Times New Roman" w:cs="Times New Roman" w:eastAsia="Times New Roman"/>
                <w:sz w:val="24"/>
              </w:rPr>
              <w:t xml:space="preserve"> – Zväz obchodu SR</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44 (30o, 14z)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11</w:t>
            </w:r>
          </w:p>
        </w:tc>
        <w:tc>
          <w:tcPr>
            <w:vAlign w:val="center"/>
          </w:tcPr>
          <w:p>
            <w:pPr>
              <w:spacing w:after="0"/>
              <w:jc w:val="center"/>
            </w:pPr>
            <w:r>
              <w:rPr>
                <w:b w:val="on"/>
                <w:color w:val="000000"/>
                <w:rFonts w:ascii="Times New Roman" w:hAnsi="Times New Roman" w:cs="Times New Roman" w:eastAsia="Times New Roman"/>
                <w:sz w:val="24"/>
              </w:rPr>
              <w:t>33</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