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80443" w14:textId="77777777" w:rsidR="003F4D82" w:rsidRPr="007453A2" w:rsidRDefault="003F4D82" w:rsidP="003F4D82">
      <w:pPr>
        <w:spacing w:after="0"/>
        <w:jc w:val="center"/>
        <w:rPr>
          <w:b/>
          <w:bCs/>
        </w:rPr>
      </w:pPr>
      <w:r w:rsidRPr="007453A2">
        <w:rPr>
          <w:b/>
          <w:bCs/>
        </w:rPr>
        <w:t>Dôvodová správa</w:t>
      </w:r>
    </w:p>
    <w:p w14:paraId="44685987" w14:textId="77777777" w:rsidR="003F4D82" w:rsidRDefault="003F4D82" w:rsidP="003F4D82">
      <w:pPr>
        <w:spacing w:after="0"/>
      </w:pPr>
    </w:p>
    <w:p w14:paraId="723F6C0D" w14:textId="77777777" w:rsidR="003F4D82" w:rsidRDefault="003F4D82" w:rsidP="003F4D82">
      <w:pPr>
        <w:spacing w:after="0"/>
      </w:pPr>
    </w:p>
    <w:p w14:paraId="06213107" w14:textId="77777777" w:rsidR="003F4D82" w:rsidRPr="007453A2" w:rsidRDefault="003F4D82" w:rsidP="003F4D82">
      <w:pPr>
        <w:spacing w:after="0"/>
        <w:rPr>
          <w:b/>
          <w:bCs/>
        </w:rPr>
      </w:pPr>
      <w:r w:rsidRPr="007453A2">
        <w:rPr>
          <w:b/>
          <w:bCs/>
        </w:rPr>
        <w:t>A. Všeobecná časť</w:t>
      </w:r>
    </w:p>
    <w:p w14:paraId="42628839" w14:textId="77777777" w:rsidR="003F4D82" w:rsidRDefault="003F4D82" w:rsidP="003F4D82">
      <w:pPr>
        <w:spacing w:after="0"/>
      </w:pPr>
    </w:p>
    <w:p w14:paraId="5910D2C4" w14:textId="77777777" w:rsidR="003F4D82" w:rsidRDefault="003F4D82" w:rsidP="003F4D82">
      <w:pPr>
        <w:spacing w:after="0"/>
        <w:jc w:val="both"/>
      </w:pPr>
    </w:p>
    <w:p w14:paraId="75727DCB" w14:textId="77777777" w:rsidR="003F4D82" w:rsidRDefault="003F4D82" w:rsidP="003F4D82">
      <w:pPr>
        <w:jc w:val="both"/>
      </w:pPr>
      <w:r>
        <w:t xml:space="preserve">Cieľom návrhu </w:t>
      </w:r>
      <w:r w:rsidRPr="003F66A1">
        <w:t xml:space="preserve">opatrenia Národnej banky Slovenska z ... 2026 o miere nákladov na držbu použiteľných vlastných zdrojov a o absolútnej spodnej hranici minimálnej kapitálovej požiadavky na solventnosť </w:t>
      </w:r>
      <w:r>
        <w:t xml:space="preserve">pre </w:t>
      </w:r>
      <w:r w:rsidRPr="003F66A1">
        <w:t>poisťovne, na ktor</w:t>
      </w:r>
      <w:r>
        <w:t>é</w:t>
      </w:r>
      <w:r w:rsidRPr="003F66A1">
        <w:t xml:space="preserve"> sa neuplatňuje osobitný režim a pre zaisťovne, pobočky zahraničných poisťovní a pobočky zahraničných zaisťovní</w:t>
      </w:r>
      <w:r>
        <w:t xml:space="preserve"> (ďalej aj „návrh opatrenia“) je v súvislosti s transpozíciou smernice 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>
        <w:t>makroprudenciálne</w:t>
      </w:r>
      <w:proofErr w:type="spellEnd"/>
      <w:r>
        <w:t xml:space="preserve"> nástroje, riziká ohrozujúce udržateľnosť a dohľad nad skupinou a cezhraničný dohľad, a ktorou sa menia smernice 2002/87/ES a 2013/34/EÚ (Ú. v. EÚ L, 2025/2, 8.1.2025) na základe splnomocňovacieho ustanovenia § 38 ods. 5 návrhu zákona, ktorým sa mení a dopĺňa zákon č. 39/2015 Z. z. o poisťovníctve a o zmene a doplnení niektorých zákonov v znení neskorších predpisov </w:t>
      </w:r>
      <w:r w:rsidRPr="00C406F6">
        <w:t>(</w:t>
      </w:r>
      <w:r w:rsidRPr="00C34353">
        <w:t>číslo tlače 1458</w:t>
      </w:r>
      <w:r w:rsidRPr="00C406F6">
        <w:t xml:space="preserve">) </w:t>
      </w:r>
      <w:r>
        <w:t xml:space="preserve">(ďalej len „návrh zákona“) transponovať do slovenskej právnej úpravy nový čl. 77 ods. 6  smernice </w:t>
      </w:r>
      <w:r w:rsidRPr="00B578C1">
        <w:rPr>
          <w:color w:val="000000"/>
          <w:szCs w:val="22"/>
        </w:rPr>
        <w:t>Európskeho parlamentu a Rady 2009/138/ES z 25. novembra 2009 o začatí a vykonávaní poistenia a zaistenia (Solventnosť II) (prepracované znenie) (Ú. v. EÚ L 335, 17.12.2009</w:t>
      </w:r>
      <w:r>
        <w:rPr>
          <w:color w:val="000000"/>
          <w:szCs w:val="22"/>
        </w:rPr>
        <w:t>)</w:t>
      </w:r>
      <w:r>
        <w:t xml:space="preserve">. </w:t>
      </w:r>
    </w:p>
    <w:p w14:paraId="4450D7B9" w14:textId="77777777" w:rsidR="003F4D82" w:rsidRDefault="003F4D82" w:rsidP="003F4D82">
      <w:pPr>
        <w:jc w:val="both"/>
      </w:pPr>
      <w:r>
        <w:t xml:space="preserve">Podľa novo doplneného odseku 6 v článku 77 sa miera nákladov na kapitál od 30. januára 2027 rovná 4,75 % Uvedené ustanovenie sa navrhuje  transponovať návrhom opatrenia NBS, na vydanie ktorého NBS splnomocňuje § 38 ods. 6 návrhu zákona. </w:t>
      </w:r>
    </w:p>
    <w:p w14:paraId="6C709B29" w14:textId="77777777" w:rsidR="003F4D82" w:rsidRDefault="003F4D82" w:rsidP="003F4D82">
      <w:pPr>
        <w:jc w:val="both"/>
      </w:pPr>
      <w:r>
        <w:t>Aktuálne je miera nákladov na držbu použiteľných vlastných zdrojov upravená v čl. 39 d</w:t>
      </w:r>
      <w:r w:rsidRPr="008072B3">
        <w:t>elegovan</w:t>
      </w:r>
      <w:r>
        <w:t xml:space="preserve">ého </w:t>
      </w:r>
      <w:r w:rsidRPr="008072B3">
        <w:t>nariadeni</w:t>
      </w:r>
      <w:r>
        <w:t>a</w:t>
      </w:r>
      <w:r w:rsidRPr="008072B3">
        <w:t xml:space="preserve"> Komisie (EÚ) 2015/35 z 10. októbra 2014, ktorým sa dopĺňa smernica Európskeho parlamentu a Rady 2009/138/ES o začatí a vykonávaní poistenia a zaistenia (Solventnosť II)</w:t>
      </w:r>
      <w:r>
        <w:t xml:space="preserve"> </w:t>
      </w:r>
      <w:r w:rsidRPr="0068458B">
        <w:t>(Ú. v. EÚ L 12, 17.1.2015)</w:t>
      </w:r>
      <w:r>
        <w:t xml:space="preserve"> v platnom znení</w:t>
      </w:r>
      <w:r w:rsidRPr="0068458B">
        <w:t xml:space="preserve"> </w:t>
      </w:r>
      <w:r>
        <w:t xml:space="preserve">a je </w:t>
      </w:r>
      <w:r w:rsidRPr="007F6F2B">
        <w:t>na úrovni 6,00 %</w:t>
      </w:r>
      <w:r>
        <w:t>.</w:t>
      </w:r>
    </w:p>
    <w:p w14:paraId="36FD749F" w14:textId="77777777" w:rsidR="003F4D82" w:rsidRDefault="003F4D82" w:rsidP="003F4D82">
      <w:pPr>
        <w:jc w:val="both"/>
      </w:pPr>
      <w:r>
        <w:t xml:space="preserve">Delegovaným nariadením Komisie (EÚ) 2026/269 z 29. októbra 2025, ktorým sa mení delegované nariadenie (EÚ) 2015/35, pokiaľ ide o technické rezervy, opatrenia týkajúce sa dlhodobých záruk, vlastné zdroje, akciové riziko, riziko úverového rozpätia pri </w:t>
      </w:r>
      <w:proofErr w:type="spellStart"/>
      <w:r>
        <w:t>sekuritizačných</w:t>
      </w:r>
      <w:proofErr w:type="spellEnd"/>
      <w:r>
        <w:t xml:space="preserve"> pozíciách, iné kapitálové požiadavky podľa štandardného vzorca, predkladanie informácií a zverejňovanie informácií, proporcionalitu a skupinovú solventnosť (</w:t>
      </w:r>
      <w:r w:rsidRPr="00236C67">
        <w:t>Ú. v. EÚ L, 2026/269, 18.2.2026</w:t>
      </w:r>
      <w:r>
        <w:t xml:space="preserve">) sa čl. 39 mení tak, že </w:t>
      </w:r>
      <w:r w:rsidRPr="004C31A0">
        <w:t>miera nákladov na kapitál</w:t>
      </w:r>
      <w:r>
        <w:t xml:space="preserve"> </w:t>
      </w:r>
      <w:r w:rsidRPr="004C31A0">
        <w:t>uvedená v článku 77 ods. 5 smernice 2009/138/ES</w:t>
      </w:r>
      <w:r>
        <w:t xml:space="preserve"> sa rovná 4,75 %, pričom sa bude u</w:t>
      </w:r>
      <w:r w:rsidRPr="007F6F2B">
        <w:t>platň</w:t>
      </w:r>
      <w:r>
        <w:t>ovať</w:t>
      </w:r>
      <w:r w:rsidRPr="007F6F2B">
        <w:t xml:space="preserve"> od 30. januára 2027</w:t>
      </w:r>
      <w:r>
        <w:t xml:space="preserve">. </w:t>
      </w:r>
    </w:p>
    <w:p w14:paraId="346FD400" w14:textId="77777777" w:rsidR="003F4D82" w:rsidRDefault="003F4D82" w:rsidP="003F4D82">
      <w:pPr>
        <w:jc w:val="both"/>
      </w:pPr>
      <w:r>
        <w:t xml:space="preserve">Keďže súčasťou návrhu zákona je aj zrušovacie ustanovenie v § 207b účinné od 30. januára 2027, ktorým sa zrušuje opatrenie Národnej banky Slovenska č. 6/2015 o solventnosti pre poisťovne, na ktoré sa neuplatňuje osobitný režim, a pre zaisťovne, pobočky zahraničných poisťovní a pobočky zahraničných zaisťovní (oznámenie č. 182/2015 Z. z.) v znení opatrenia č. 8/2022 (oznámenie č. 387/2022 Z. z.), je cieľom návrhu opatrenia aj právna úprava absolútnej spodnej hranice minimálnej kapitálovej požiadavky na solventnosť, ktorá je aktuálne ustanovená v opatrení č. 6/2015 (oznámenie č. 182/2015 Z. z.) v znení opatrenia č. 8/2022 (oznámenie č. 387/2022 Z. z.). Aktuálna úprava súm bola nastavená v súlade s oznámením o úprave súm stanovených v smernici Európskeho parlamentu a Rady 2009/138/ES o začatí a vykonávaní poistenia a zaistenia (Solventnosť II) podľa inflácie (2021/C 423/12), ktoré bolo uverejnené </w:t>
      </w:r>
      <w:r>
        <w:lastRenderedPageBreak/>
        <w:t xml:space="preserve">Európskou komisiou v Úradnom vestníku Európskej únie. Smernica </w:t>
      </w:r>
      <w:r w:rsidRPr="002C2D1E">
        <w:t>Európskeho parlamentu a Rady 2009/138/ES o začatí a vykonávaní poistenia a zaistenia (Solventnosť II)</w:t>
      </w:r>
      <w:r>
        <w:t xml:space="preserve"> v článku 300 nastavila pravidlo, podľa ktorého sa sumy vyjadrené v eurách uvedené v smernici každých päť rokov revidujú tak, že sa základná suma v eurách zvýši o percentuálnu zmenu harmonizovaných indexov spotrebiteľských cien všetkých členských štátov, ako ich uverejňuje Európska komisia (</w:t>
      </w:r>
      <w:proofErr w:type="spellStart"/>
      <w:r>
        <w:t>Eurostat</w:t>
      </w:r>
      <w:proofErr w:type="spellEnd"/>
      <w:r>
        <w:t xml:space="preserve">) od 31. decembra 2015 do dátumu revízie. Prvá revízia súm sa vykonala so zreteľom na zvýšenie uvedeného indexu v súvislosti s obdobím od 31. decembra 2015 do 31. decembra 2020. Do slovenského právneho poriadku bola prenesená </w:t>
      </w:r>
      <w:r w:rsidRPr="002C2D1E">
        <w:t>opatren</w:t>
      </w:r>
      <w:r>
        <w:t>ím</w:t>
      </w:r>
      <w:r w:rsidRPr="002C2D1E">
        <w:t xml:space="preserve"> č. 8/2022</w:t>
      </w:r>
      <w:r>
        <w:t>, ktorým bolo novelizované</w:t>
      </w:r>
      <w:r w:rsidRPr="002C2D1E">
        <w:t xml:space="preserve"> opatrenie Národnej banky Slovenska č. 6/2015 o solventnosti pre poisťovne, na ktoré sa neuplatňuje osobitný režim, a pre zaisťovne, pobočky zahraničných poisťovní a pobočky zahraničných zaisťovní</w:t>
      </w:r>
      <w:r>
        <w:t xml:space="preserve">. </w:t>
      </w:r>
    </w:p>
    <w:p w14:paraId="4124CE7B" w14:textId="77777777" w:rsidR="003F4D82" w:rsidRDefault="003F4D82" w:rsidP="003F4D82">
      <w:pPr>
        <w:pStyle w:val="Normlnywebov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  <w:r w:rsidRPr="00CD78DE">
        <w:rPr>
          <w:rFonts w:ascii="Cambria" w:hAnsi="Cambria"/>
          <w:sz w:val="22"/>
          <w:szCs w:val="22"/>
        </w:rPr>
        <w:t>Predkladaný návrh opatrenia je v súlade s Ústavou Slovenskej republiky, ústavnými zákonmi, s nálezmi Ústavného súdu Slovenskej republiky, zákonmi a ostatnými všeobecne záväznými právnymi predpismi Slovenskej republiky, s medzinárodnými zmluvami a inými medzinárodnými dokumentmi, ktorými je Slovenská republika viazaná, ako aj s právom Európskej únie.</w:t>
      </w:r>
    </w:p>
    <w:p w14:paraId="3C120D4A" w14:textId="77777777" w:rsidR="003F4D82" w:rsidRPr="00CD78DE" w:rsidRDefault="003F4D82" w:rsidP="003F4D82">
      <w:pPr>
        <w:pStyle w:val="Normlnywebov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1B94AA19" w14:textId="77777777" w:rsidR="003F4D82" w:rsidRDefault="003F4D82" w:rsidP="003F4D82">
      <w:pPr>
        <w:spacing w:after="0"/>
        <w:jc w:val="both"/>
      </w:pPr>
      <w:r>
        <w:t xml:space="preserve">Návrh opatrenia </w:t>
      </w:r>
      <w:r w:rsidRPr="002A78D2">
        <w:t>nemá vplyv na rozpočet verejnej správy, podnikateľské prostredie</w:t>
      </w:r>
      <w:r>
        <w:t xml:space="preserve">, </w:t>
      </w:r>
      <w:r w:rsidRPr="002A78D2">
        <w:t>životné prostredie, informatizáciu spoločnosti, služby verejnej správy pre občana ani na manželstvo, rodičovstvo a</w:t>
      </w:r>
      <w:r>
        <w:t> </w:t>
      </w:r>
      <w:r w:rsidRPr="002A78D2">
        <w:t>rodinu</w:t>
      </w:r>
      <w:r>
        <w:t xml:space="preserve">  a </w:t>
      </w:r>
      <w:r w:rsidRPr="002A78D2">
        <w:t>nemá sociálne vplyvy.</w:t>
      </w:r>
    </w:p>
    <w:p w14:paraId="314E4F3C" w14:textId="77777777" w:rsidR="003F4D82" w:rsidRDefault="003F4D82" w:rsidP="003F4D82">
      <w:pPr>
        <w:spacing w:after="0"/>
        <w:jc w:val="both"/>
      </w:pPr>
    </w:p>
    <w:p w14:paraId="24427595" w14:textId="77777777" w:rsidR="003F4D82" w:rsidRDefault="003F4D82" w:rsidP="003F4D82">
      <w:pPr>
        <w:spacing w:after="0"/>
        <w:jc w:val="both"/>
      </w:pPr>
      <w:r w:rsidRPr="005E79CB">
        <w:t xml:space="preserve">Návrh zákona nie je predmetom </w:t>
      </w:r>
      <w:proofErr w:type="spellStart"/>
      <w:r w:rsidRPr="005E79CB">
        <w:t>vnútrokomunitárneho</w:t>
      </w:r>
      <w:proofErr w:type="spellEnd"/>
      <w:r w:rsidRPr="005E79CB">
        <w:t xml:space="preserve"> pripomienkového konania.</w:t>
      </w:r>
    </w:p>
    <w:p w14:paraId="24A5A53B" w14:textId="77777777" w:rsidR="003F4D82" w:rsidRDefault="003F4D82" w:rsidP="003F4D82">
      <w:pPr>
        <w:spacing w:after="0"/>
        <w:jc w:val="both"/>
      </w:pPr>
    </w:p>
    <w:p w14:paraId="01C08295" w14:textId="77777777" w:rsidR="003F4D82" w:rsidRDefault="003F4D82" w:rsidP="003F4D82">
      <w:pPr>
        <w:spacing w:after="0"/>
        <w:jc w:val="both"/>
      </w:pPr>
    </w:p>
    <w:p w14:paraId="515E3FCE" w14:textId="77777777" w:rsidR="003F4D82" w:rsidRDefault="003F4D82" w:rsidP="003F4D82">
      <w:pPr>
        <w:spacing w:after="0"/>
        <w:jc w:val="both"/>
      </w:pPr>
    </w:p>
    <w:p w14:paraId="27C2AC17" w14:textId="77777777" w:rsidR="003F4D82" w:rsidRDefault="003F4D82" w:rsidP="003F4D82">
      <w:pPr>
        <w:spacing w:after="0"/>
        <w:jc w:val="both"/>
      </w:pPr>
    </w:p>
    <w:p w14:paraId="7250A833" w14:textId="77777777" w:rsidR="003F4D82" w:rsidRDefault="003F4D82" w:rsidP="003F4D82">
      <w:pPr>
        <w:spacing w:after="0"/>
        <w:jc w:val="both"/>
      </w:pPr>
    </w:p>
    <w:p w14:paraId="1B518F10" w14:textId="77777777" w:rsidR="003F4D82" w:rsidRDefault="003F4D82" w:rsidP="003F4D82">
      <w:pPr>
        <w:spacing w:after="0"/>
        <w:jc w:val="both"/>
      </w:pPr>
    </w:p>
    <w:p w14:paraId="22EA06E5" w14:textId="77777777" w:rsidR="003F4D82" w:rsidRDefault="003F4D82" w:rsidP="003F4D82">
      <w:pPr>
        <w:spacing w:after="0"/>
        <w:jc w:val="both"/>
      </w:pPr>
    </w:p>
    <w:p w14:paraId="645B0227" w14:textId="77777777" w:rsidR="00FF04B5" w:rsidRDefault="00FF04B5" w:rsidP="00B42F36">
      <w:pPr>
        <w:spacing w:after="0"/>
      </w:pPr>
    </w:p>
    <w:p w14:paraId="548EC294" w14:textId="77777777" w:rsidR="003F4D82" w:rsidRDefault="003F4D82" w:rsidP="00B42F36">
      <w:pPr>
        <w:spacing w:after="0"/>
      </w:pPr>
    </w:p>
    <w:p w14:paraId="32969934" w14:textId="77777777" w:rsidR="003F4D82" w:rsidRDefault="003F4D82" w:rsidP="00B42F36">
      <w:pPr>
        <w:spacing w:after="0"/>
      </w:pPr>
    </w:p>
    <w:p w14:paraId="0F87145E" w14:textId="77777777" w:rsidR="003F4D82" w:rsidRDefault="003F4D82" w:rsidP="00B42F36">
      <w:pPr>
        <w:spacing w:after="0"/>
      </w:pPr>
    </w:p>
    <w:p w14:paraId="4706A816" w14:textId="77777777" w:rsidR="003F4D82" w:rsidRDefault="003F4D82" w:rsidP="00B42F36">
      <w:pPr>
        <w:spacing w:after="0"/>
      </w:pPr>
    </w:p>
    <w:p w14:paraId="5C990CBD" w14:textId="77777777" w:rsidR="003F4D82" w:rsidRDefault="003F4D82" w:rsidP="00B42F36">
      <w:pPr>
        <w:spacing w:after="0"/>
      </w:pPr>
    </w:p>
    <w:p w14:paraId="3D19175C" w14:textId="77777777" w:rsidR="003F4D82" w:rsidRDefault="003F4D82" w:rsidP="00B42F36">
      <w:pPr>
        <w:spacing w:after="0"/>
      </w:pPr>
    </w:p>
    <w:p w14:paraId="0FC6A077" w14:textId="77777777" w:rsidR="003F4D82" w:rsidRDefault="003F4D82" w:rsidP="00B42F36">
      <w:pPr>
        <w:spacing w:after="0"/>
      </w:pPr>
    </w:p>
    <w:p w14:paraId="62C84D57" w14:textId="77777777" w:rsidR="003F4D82" w:rsidRDefault="003F4D82" w:rsidP="00B42F36">
      <w:pPr>
        <w:spacing w:after="0"/>
      </w:pPr>
    </w:p>
    <w:p w14:paraId="3162AFE9" w14:textId="77777777" w:rsidR="003F4D82" w:rsidRDefault="003F4D82" w:rsidP="00B42F36">
      <w:pPr>
        <w:spacing w:after="0"/>
      </w:pPr>
    </w:p>
    <w:p w14:paraId="43ECD0FB" w14:textId="77777777" w:rsidR="003F4D82" w:rsidRDefault="003F4D82" w:rsidP="00B42F36">
      <w:pPr>
        <w:spacing w:after="0"/>
      </w:pPr>
    </w:p>
    <w:p w14:paraId="529DD918" w14:textId="77777777" w:rsidR="003F4D82" w:rsidRDefault="003F4D82" w:rsidP="00B42F36">
      <w:pPr>
        <w:spacing w:after="0"/>
      </w:pPr>
    </w:p>
    <w:p w14:paraId="31DDEB96" w14:textId="77777777" w:rsidR="003F4D82" w:rsidRDefault="003F4D82" w:rsidP="00B42F36">
      <w:pPr>
        <w:spacing w:after="0"/>
      </w:pPr>
    </w:p>
    <w:p w14:paraId="03948A10" w14:textId="77777777" w:rsidR="003F4D82" w:rsidRDefault="003F4D82" w:rsidP="00B42F36">
      <w:pPr>
        <w:spacing w:after="0"/>
      </w:pPr>
    </w:p>
    <w:p w14:paraId="1A81F1F1" w14:textId="77777777" w:rsidR="003F4D82" w:rsidRDefault="003F4D82" w:rsidP="00B42F36">
      <w:pPr>
        <w:spacing w:after="0"/>
      </w:pPr>
    </w:p>
    <w:p w14:paraId="48390A6C" w14:textId="77777777" w:rsidR="003F4D82" w:rsidRDefault="003F4D82" w:rsidP="00B42F36">
      <w:pPr>
        <w:spacing w:after="0"/>
      </w:pPr>
    </w:p>
    <w:p w14:paraId="0BF18002" w14:textId="77777777" w:rsidR="003F4D82" w:rsidRDefault="003F4D82" w:rsidP="00B42F36">
      <w:pPr>
        <w:spacing w:after="0"/>
      </w:pPr>
    </w:p>
    <w:p w14:paraId="092499FB" w14:textId="77777777" w:rsidR="003F4D82" w:rsidRDefault="003F4D82" w:rsidP="00B42F36">
      <w:pPr>
        <w:spacing w:after="0"/>
      </w:pPr>
    </w:p>
    <w:p w14:paraId="66078666" w14:textId="77777777" w:rsidR="003F4D82" w:rsidRDefault="003F4D82" w:rsidP="003F4D82">
      <w:pPr>
        <w:spacing w:after="0"/>
        <w:jc w:val="both"/>
      </w:pPr>
    </w:p>
    <w:p w14:paraId="52489587" w14:textId="5D60CF8F" w:rsidR="003F4D82" w:rsidRPr="00AD07E8" w:rsidRDefault="003F4D82" w:rsidP="003F4D82">
      <w:pPr>
        <w:spacing w:after="0"/>
        <w:jc w:val="both"/>
        <w:rPr>
          <w:b/>
          <w:bCs/>
        </w:rPr>
      </w:pPr>
      <w:r w:rsidRPr="00AD07E8">
        <w:rPr>
          <w:b/>
          <w:bCs/>
        </w:rPr>
        <w:lastRenderedPageBreak/>
        <w:t>B. Osobitná časť</w:t>
      </w:r>
    </w:p>
    <w:p w14:paraId="459D32BC" w14:textId="77777777" w:rsidR="003F4D82" w:rsidRDefault="003F4D82" w:rsidP="003F4D82">
      <w:pPr>
        <w:spacing w:after="0"/>
        <w:jc w:val="both"/>
      </w:pPr>
    </w:p>
    <w:p w14:paraId="3AB03635" w14:textId="77777777" w:rsidR="003F4D82" w:rsidRDefault="003F4D82" w:rsidP="003F4D82">
      <w:pPr>
        <w:spacing w:after="0"/>
        <w:jc w:val="both"/>
      </w:pPr>
      <w:r>
        <w:t>§ 1</w:t>
      </w:r>
    </w:p>
    <w:p w14:paraId="151C55EA" w14:textId="77777777" w:rsidR="003F4D82" w:rsidRDefault="003F4D82" w:rsidP="003F4D82">
      <w:pPr>
        <w:spacing w:after="0"/>
        <w:jc w:val="both"/>
      </w:pPr>
      <w:r>
        <w:t xml:space="preserve">Upravuje sa miera nákladov na držbu použiteľných vlastných zdrojov, a to smerom nadol v porovnaní s aktuálnou mierou nákladov. Ide o transpozíciu čl. 1 bodu 38 písm. b) prvého </w:t>
      </w:r>
      <w:proofErr w:type="spellStart"/>
      <w:r>
        <w:t>pododseku</w:t>
      </w:r>
      <w:proofErr w:type="spellEnd"/>
      <w:r>
        <w:t xml:space="preserve"> (čl. 77 ods. 6) </w:t>
      </w:r>
      <w:r w:rsidRPr="004447D6">
        <w:t xml:space="preserve">smernice Európskeho parlamentu a Rady (EÚ) 2025/2 z 27. novembra 2024, ktorou sa mení smernica 2009/138/ES, pokiaľ ide o proporcionalitu, kvalitu dohľadu, predkladanie informácií, opatrenia týkajúce sa dlhodobých záruk, </w:t>
      </w:r>
      <w:proofErr w:type="spellStart"/>
      <w:r w:rsidRPr="004447D6">
        <w:t>makroprudenciálne</w:t>
      </w:r>
      <w:proofErr w:type="spellEnd"/>
      <w:r w:rsidRPr="004447D6">
        <w:t xml:space="preserve"> nástroje, riziká ohrozujúce udržateľnosť a dohľad nad skupinou a cezhraničný dohľad, a ktorou sa menia smernice 2002/87/ES a 2013/34/EÚ (Ú. v. EÚ L, 2025/2, 8.1.2025)</w:t>
      </w:r>
      <w:r>
        <w:t>.</w:t>
      </w:r>
    </w:p>
    <w:p w14:paraId="7B18B07F" w14:textId="77777777" w:rsidR="003F4D82" w:rsidRDefault="003F4D82" w:rsidP="003F4D82">
      <w:pPr>
        <w:spacing w:after="0"/>
        <w:jc w:val="both"/>
      </w:pPr>
    </w:p>
    <w:p w14:paraId="7D37E4B4" w14:textId="77777777" w:rsidR="003F4D82" w:rsidRDefault="003F4D82" w:rsidP="003F4D82">
      <w:pPr>
        <w:spacing w:after="0"/>
        <w:jc w:val="both"/>
      </w:pPr>
      <w:r>
        <w:t>§ 2</w:t>
      </w:r>
    </w:p>
    <w:p w14:paraId="644DD53C" w14:textId="77777777" w:rsidR="003F4D82" w:rsidRDefault="003F4D82" w:rsidP="003F4D82">
      <w:pPr>
        <w:spacing w:after="0"/>
        <w:jc w:val="both"/>
      </w:pPr>
      <w:r>
        <w:t xml:space="preserve">Upravuje sa absolútna spodná hranica minimálnej kapitálovej požiadavky na solventnosť. V porovnaní s aktuálne platným opatrením Národnej banky Slovenska, ktoré bude zrušené, ide o identickú úpravu vrátane identických súm a predstavuje transpozíciu čl. 129 ods. 1 písm. d) </w:t>
      </w:r>
      <w:r w:rsidRPr="004447D6">
        <w:t>smernic</w:t>
      </w:r>
      <w:r>
        <w:t>e</w:t>
      </w:r>
      <w:r w:rsidRPr="004447D6">
        <w:t xml:space="preserve"> Európskeho parlamentu a Rady 2009/138/ES z 25. novembra 2009 o začatí a vykonávaní poistenia a zaistenia (Solventnosť II) (prepracované znenie) (Ú. v. EÚ L 335, 17.12.2009) v platnom znení</w:t>
      </w:r>
      <w:r>
        <w:t xml:space="preserve"> </w:t>
      </w:r>
      <w:r w:rsidRPr="008C183B">
        <w:t>v nadväznosti na oznámenie o úprave súm stanovených v smernici Európskeho parlamentu a Rady 2009/138/ES o začatí a vykonávaní poistenia a zaistenia (Solventnosť II) podľa inflácie, uverejnené Európskou komisiou v Úradnom vestníku Európskej únie (2021/C 423/12)</w:t>
      </w:r>
      <w:r>
        <w:t>.</w:t>
      </w:r>
    </w:p>
    <w:p w14:paraId="18FA44C7" w14:textId="77777777" w:rsidR="003F4D82" w:rsidRDefault="003F4D82" w:rsidP="003F4D82">
      <w:pPr>
        <w:spacing w:after="0"/>
        <w:jc w:val="both"/>
      </w:pPr>
    </w:p>
    <w:p w14:paraId="542D41EF" w14:textId="77777777" w:rsidR="003F4D82" w:rsidRDefault="003F4D82" w:rsidP="003F4D82">
      <w:pPr>
        <w:spacing w:after="0"/>
        <w:jc w:val="both"/>
      </w:pPr>
      <w:r>
        <w:t>§ 3</w:t>
      </w:r>
    </w:p>
    <w:p w14:paraId="67475E24" w14:textId="77777777" w:rsidR="003F4D82" w:rsidRDefault="003F4D82" w:rsidP="003F4D82">
      <w:pPr>
        <w:spacing w:after="0"/>
        <w:jc w:val="both"/>
      </w:pPr>
      <w:r>
        <w:t>U</w:t>
      </w:r>
      <w:r w:rsidRPr="00CA1B75">
        <w:t>v</w:t>
      </w:r>
      <w:r>
        <w:t>ádza sa</w:t>
      </w:r>
      <w:r w:rsidRPr="00CA1B75">
        <w:t xml:space="preserve"> odkaz na transpozičnú prílohu</w:t>
      </w:r>
      <w:r>
        <w:t>.</w:t>
      </w:r>
    </w:p>
    <w:p w14:paraId="37F36FA2" w14:textId="77777777" w:rsidR="003F4D82" w:rsidRDefault="003F4D82" w:rsidP="003F4D82">
      <w:pPr>
        <w:spacing w:after="0"/>
        <w:jc w:val="both"/>
      </w:pPr>
    </w:p>
    <w:p w14:paraId="110E6A8D" w14:textId="77777777" w:rsidR="003F4D82" w:rsidRDefault="003F4D82" w:rsidP="003F4D82">
      <w:pPr>
        <w:spacing w:after="0"/>
        <w:jc w:val="both"/>
      </w:pPr>
      <w:r>
        <w:t>§ 4</w:t>
      </w:r>
    </w:p>
    <w:p w14:paraId="711A6EBF" w14:textId="77777777" w:rsidR="003F4D82" w:rsidRDefault="003F4D82" w:rsidP="003F4D82">
      <w:pPr>
        <w:spacing w:after="0"/>
        <w:jc w:val="both"/>
      </w:pPr>
      <w:r>
        <w:t xml:space="preserve">Navrhovaná účinnosť opatrenia v súlade so </w:t>
      </w:r>
      <w:r w:rsidRPr="009E6538">
        <w:t>smernic</w:t>
      </w:r>
      <w:r>
        <w:t>ou</w:t>
      </w:r>
      <w:r w:rsidRPr="009E6538">
        <w:t xml:space="preserve"> (EÚ) 2025/2</w:t>
      </w:r>
      <w:r>
        <w:t>.</w:t>
      </w:r>
    </w:p>
    <w:p w14:paraId="1E179930" w14:textId="77777777" w:rsidR="003F4D82" w:rsidRDefault="003F4D82" w:rsidP="003F4D82">
      <w:pPr>
        <w:spacing w:after="0"/>
        <w:jc w:val="both"/>
      </w:pPr>
    </w:p>
    <w:p w14:paraId="0A5C8D66" w14:textId="77777777" w:rsidR="003F4D82" w:rsidRDefault="003F4D82" w:rsidP="003F4D82">
      <w:pPr>
        <w:spacing w:after="0"/>
        <w:jc w:val="both"/>
      </w:pPr>
      <w:r>
        <w:t xml:space="preserve">Príloha </w:t>
      </w:r>
    </w:p>
    <w:p w14:paraId="1BA9360F" w14:textId="77777777" w:rsidR="003F4D82" w:rsidRDefault="003F4D82" w:rsidP="003F4D82">
      <w:pPr>
        <w:spacing w:after="0"/>
        <w:jc w:val="both"/>
      </w:pPr>
      <w:r w:rsidRPr="00CA1B75">
        <w:t xml:space="preserve">Uvádza sa </w:t>
      </w:r>
      <w:r>
        <w:t>z</w:t>
      </w:r>
      <w:r w:rsidRPr="00CA1B75">
        <w:t>oznam preberaných právne záväzných aktov Európskej únie</w:t>
      </w:r>
      <w:r>
        <w:t>.</w:t>
      </w:r>
    </w:p>
    <w:p w14:paraId="458B932C" w14:textId="77777777" w:rsidR="003F4D82" w:rsidRDefault="003F4D82" w:rsidP="003F4D82">
      <w:pPr>
        <w:spacing w:after="0"/>
        <w:jc w:val="both"/>
      </w:pPr>
    </w:p>
    <w:p w14:paraId="1699E1E4" w14:textId="77777777" w:rsidR="003F4D82" w:rsidRPr="00564381" w:rsidRDefault="003F4D82" w:rsidP="003F4D82">
      <w:pPr>
        <w:spacing w:after="0"/>
      </w:pPr>
    </w:p>
    <w:p w14:paraId="56760F46" w14:textId="77777777" w:rsidR="003F4D82" w:rsidRDefault="003F4D82" w:rsidP="00B42F36">
      <w:pPr>
        <w:spacing w:after="0"/>
      </w:pPr>
    </w:p>
    <w:p w14:paraId="272C4023" w14:textId="77777777" w:rsidR="003F4D82" w:rsidRPr="00564381" w:rsidRDefault="003F4D82" w:rsidP="00B42F36">
      <w:pPr>
        <w:spacing w:after="0"/>
      </w:pPr>
    </w:p>
    <w:sectPr w:rsidR="003F4D82" w:rsidRPr="0056438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6EDEA" w14:textId="77777777" w:rsidR="003B76A9" w:rsidRDefault="003B76A9" w:rsidP="0009480D">
      <w:pPr>
        <w:spacing w:after="0" w:line="240" w:lineRule="auto"/>
      </w:pPr>
      <w:r>
        <w:separator/>
      </w:r>
    </w:p>
  </w:endnote>
  <w:endnote w:type="continuationSeparator" w:id="0">
    <w:p w14:paraId="5129810C" w14:textId="77777777" w:rsidR="003B76A9" w:rsidRDefault="003B76A9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0230488"/>
      <w:docPartObj>
        <w:docPartGallery w:val="Page Numbers (Bottom of Page)"/>
        <w:docPartUnique/>
      </w:docPartObj>
    </w:sdtPr>
    <w:sdtContent>
      <w:p w14:paraId="00498386" w14:textId="11340689" w:rsidR="003F4D82" w:rsidRDefault="003F4D82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6E81AA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54901" w14:textId="77777777" w:rsidR="003B76A9" w:rsidRDefault="003B76A9" w:rsidP="0009480D">
      <w:pPr>
        <w:spacing w:after="0" w:line="240" w:lineRule="auto"/>
      </w:pPr>
      <w:r>
        <w:separator/>
      </w:r>
    </w:p>
  </w:footnote>
  <w:footnote w:type="continuationSeparator" w:id="0">
    <w:p w14:paraId="3908C3F4" w14:textId="77777777" w:rsidR="003B76A9" w:rsidRDefault="003B76A9" w:rsidP="00094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D73"/>
    <w:rsid w:val="0009480D"/>
    <w:rsid w:val="00130860"/>
    <w:rsid w:val="001663B6"/>
    <w:rsid w:val="001A694C"/>
    <w:rsid w:val="001D01FE"/>
    <w:rsid w:val="001D5F9F"/>
    <w:rsid w:val="00225679"/>
    <w:rsid w:val="002B4CD0"/>
    <w:rsid w:val="003636B5"/>
    <w:rsid w:val="00392F01"/>
    <w:rsid w:val="003B76A9"/>
    <w:rsid w:val="003F4D82"/>
    <w:rsid w:val="004100B0"/>
    <w:rsid w:val="00445B18"/>
    <w:rsid w:val="004D7E2D"/>
    <w:rsid w:val="005316F2"/>
    <w:rsid w:val="00564381"/>
    <w:rsid w:val="005939CC"/>
    <w:rsid w:val="005A1CD3"/>
    <w:rsid w:val="005B7D73"/>
    <w:rsid w:val="006470E3"/>
    <w:rsid w:val="00782367"/>
    <w:rsid w:val="00787300"/>
    <w:rsid w:val="008161F5"/>
    <w:rsid w:val="009841D6"/>
    <w:rsid w:val="009A6FA0"/>
    <w:rsid w:val="00A719D6"/>
    <w:rsid w:val="00B31C02"/>
    <w:rsid w:val="00B42F36"/>
    <w:rsid w:val="00BA4BE5"/>
    <w:rsid w:val="00C35E8A"/>
    <w:rsid w:val="00CB7C08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56303"/>
  <w15:chartTrackingRefBased/>
  <w15:docId w15:val="{FA6EDECB-5A73-44CB-AF6C-66E01C887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F4D82"/>
    <w:rPr>
      <w:sz w:val="22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B7D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B7D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B7D7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B7D7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B7D7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B7D7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B7D73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B7D73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B7D73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B7D73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B7D73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B7D73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10"/>
    <w:qFormat/>
    <w:rsid w:val="005B7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B7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B7D7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B7D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B7D7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B7D73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5B7D7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B7D73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B7D73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B7D73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5B7D73"/>
    <w:rPr>
      <w:b/>
      <w:bCs/>
      <w:smallCaps/>
      <w:color w:val="004C80" w:themeColor="accent1" w:themeShade="BF"/>
      <w:spacing w:val="5"/>
    </w:rPr>
  </w:style>
  <w:style w:type="paragraph" w:styleId="Normlnywebov">
    <w:name w:val="Normal (Web)"/>
    <w:basedOn w:val="Normlny"/>
    <w:uiPriority w:val="99"/>
    <w:rsid w:val="003F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987</Words>
  <Characters>5630</Characters>
  <Application>Microsoft Office Word</Application>
  <DocSecurity>0</DocSecurity>
  <Lines>46</Lines>
  <Paragraphs>13</Paragraphs>
  <ScaleCrop>false</ScaleCrop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2</cp:revision>
  <dcterms:created xsi:type="dcterms:W3CDTF">2026-10-05T08:47:00Z</dcterms:created>
  <dcterms:modified xsi:type="dcterms:W3CDTF">2026-10-05T08:48:00Z</dcterms:modified>
</cp:coreProperties>
</file>