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853A66" w14:textId="77777777" w:rsidR="00A4796C" w:rsidRPr="00F2249F" w:rsidRDefault="00A4796C" w:rsidP="00A4796C"/>
    <w:p w14:paraId="0F9A306C" w14:textId="731C2F34" w:rsidR="00A4796C" w:rsidRPr="00F2249F" w:rsidRDefault="00A4796C" w:rsidP="00A4796C">
      <w:pPr>
        <w:pStyle w:val="Vchodzie"/>
        <w:keepNext/>
        <w:pBdr>
          <w:top w:val="single" w:sz="4" w:space="1" w:color="000000"/>
          <w:left w:val="single" w:sz="4" w:space="4" w:color="000000"/>
          <w:bottom w:val="single" w:sz="4" w:space="1" w:color="000000"/>
          <w:right w:val="single" w:sz="4" w:space="4" w:color="000000"/>
        </w:pBdr>
        <w:shd w:val="clear" w:color="auto" w:fill="D9D9D9"/>
        <w:spacing w:after="0" w:line="240" w:lineRule="auto"/>
        <w:jc w:val="center"/>
        <w:rPr>
          <w:rFonts w:ascii="Times New Roman" w:hAnsi="Times New Roman" w:cs="Times New Roman"/>
          <w:sz w:val="24"/>
          <w:szCs w:val="24"/>
        </w:rPr>
      </w:pPr>
      <w:r w:rsidRPr="00F2249F">
        <w:rPr>
          <w:rFonts w:ascii="Times New Roman" w:hAnsi="Times New Roman" w:cs="Times New Roman"/>
          <w:b/>
          <w:bCs/>
          <w:sz w:val="24"/>
          <w:szCs w:val="24"/>
          <w:lang w:eastAsia="sk-SK"/>
        </w:rPr>
        <w:t>Predbežn</w:t>
      </w:r>
      <w:r w:rsidR="00F1637C" w:rsidRPr="00F2249F">
        <w:rPr>
          <w:rFonts w:ascii="Times New Roman" w:hAnsi="Times New Roman" w:cs="Times New Roman"/>
          <w:b/>
          <w:bCs/>
          <w:sz w:val="24"/>
          <w:szCs w:val="24"/>
          <w:lang w:eastAsia="sk-SK"/>
        </w:rPr>
        <w:t>é stanovisko k návrhu aktu Európskej únie</w:t>
      </w:r>
    </w:p>
    <w:p w14:paraId="294049B8" w14:textId="77777777" w:rsidR="00A4796C" w:rsidRPr="00F2249F" w:rsidRDefault="00A4796C" w:rsidP="00A4796C">
      <w:pPr>
        <w:pStyle w:val="Vchodzie"/>
        <w:spacing w:after="0" w:line="240" w:lineRule="auto"/>
        <w:ind w:left="1080" w:hanging="1080"/>
        <w:jc w:val="both"/>
        <w:rPr>
          <w:rFonts w:ascii="Times New Roman" w:hAnsi="Times New Roman" w:cs="Times New Roman"/>
          <w:sz w:val="24"/>
          <w:szCs w:val="24"/>
        </w:rPr>
      </w:pPr>
    </w:p>
    <w:p w14:paraId="2258F14F" w14:textId="32BD6172" w:rsidR="00A4796C" w:rsidRPr="00F2249F" w:rsidRDefault="00A4796C" w:rsidP="00A4796C">
      <w:pPr>
        <w:pStyle w:val="Vchodzie"/>
        <w:ind w:left="1080" w:hanging="1080"/>
        <w:jc w:val="both"/>
        <w:rPr>
          <w:rFonts w:ascii="Times New Roman" w:hAnsi="Times New Roman" w:cs="Times New Roman"/>
          <w:sz w:val="24"/>
          <w:szCs w:val="24"/>
        </w:rPr>
      </w:pPr>
      <w:r w:rsidRPr="00F2249F">
        <w:rPr>
          <w:rFonts w:ascii="Times New Roman" w:hAnsi="Times New Roman" w:cs="Times New Roman"/>
          <w:b/>
          <w:sz w:val="24"/>
          <w:szCs w:val="24"/>
          <w:lang w:eastAsia="sk-SK"/>
        </w:rPr>
        <w:t>I.</w:t>
      </w:r>
      <w:r w:rsidRPr="00F2249F">
        <w:rPr>
          <w:rFonts w:ascii="Times New Roman" w:hAnsi="Times New Roman" w:cs="Times New Roman"/>
          <w:sz w:val="24"/>
          <w:szCs w:val="24"/>
          <w:lang w:eastAsia="sk-SK"/>
        </w:rPr>
        <w:t xml:space="preserve"> </w:t>
      </w:r>
      <w:r w:rsidR="00B03E8D" w:rsidRPr="00F2249F">
        <w:rPr>
          <w:rFonts w:ascii="Times New Roman" w:hAnsi="Times New Roman" w:cs="Times New Roman"/>
          <w:b/>
          <w:sz w:val="24"/>
          <w:szCs w:val="24"/>
          <w:u w:val="single"/>
          <w:lang w:eastAsia="sk-SK"/>
        </w:rPr>
        <w:t>PREDBEŽNÉ STANOVISKO</w:t>
      </w:r>
    </w:p>
    <w:p w14:paraId="492E38E4" w14:textId="77777777" w:rsidR="00A4796C" w:rsidRPr="00F2249F" w:rsidRDefault="00A4796C" w:rsidP="004A471E">
      <w:pPr>
        <w:pStyle w:val="Vchodzie"/>
        <w:numPr>
          <w:ilvl w:val="0"/>
          <w:numId w:val="1"/>
        </w:numPr>
        <w:spacing w:line="240" w:lineRule="auto"/>
        <w:ind w:left="284"/>
        <w:jc w:val="both"/>
        <w:rPr>
          <w:rFonts w:ascii="Times New Roman" w:hAnsi="Times New Roman" w:cs="Times New Roman"/>
          <w:sz w:val="24"/>
          <w:szCs w:val="24"/>
        </w:rPr>
      </w:pPr>
      <w:r w:rsidRPr="00F2249F">
        <w:rPr>
          <w:rFonts w:ascii="Times New Roman" w:hAnsi="Times New Roman" w:cs="Times New Roman"/>
          <w:b/>
          <w:sz w:val="24"/>
          <w:szCs w:val="24"/>
          <w:lang w:eastAsia="sk-SK"/>
        </w:rPr>
        <w:t>Názov</w:t>
      </w:r>
    </w:p>
    <w:p w14:paraId="4D8CD6EE" w14:textId="17D86D4F" w:rsidR="009B1EC3" w:rsidRPr="00F2249F" w:rsidRDefault="009B1EC3" w:rsidP="009B1EC3">
      <w:pPr>
        <w:pStyle w:val="Vchodzie"/>
        <w:ind w:left="284"/>
        <w:jc w:val="both"/>
        <w:rPr>
          <w:rFonts w:ascii="Times New Roman" w:hAnsi="Times New Roman" w:cs="Times New Roman"/>
          <w:sz w:val="24"/>
          <w:szCs w:val="24"/>
        </w:rPr>
      </w:pPr>
      <w:r w:rsidRPr="00F2249F">
        <w:rPr>
          <w:rFonts w:ascii="Times New Roman" w:hAnsi="Times New Roman" w:cs="Times New Roman"/>
          <w:sz w:val="24"/>
          <w:szCs w:val="24"/>
        </w:rPr>
        <w:t xml:space="preserve">Návrh nariadenia Európskeho parlamentu a Rady o 28. režime podnikového právneho rámca – „EU </w:t>
      </w:r>
      <w:proofErr w:type="spellStart"/>
      <w:r w:rsidRPr="00F2249F">
        <w:rPr>
          <w:rFonts w:ascii="Times New Roman" w:hAnsi="Times New Roman" w:cs="Times New Roman"/>
          <w:sz w:val="24"/>
          <w:szCs w:val="24"/>
        </w:rPr>
        <w:t>Inc</w:t>
      </w:r>
      <w:proofErr w:type="spellEnd"/>
      <w:r w:rsidRPr="00F2249F">
        <w:rPr>
          <w:rFonts w:ascii="Times New Roman" w:hAnsi="Times New Roman" w:cs="Times New Roman"/>
          <w:sz w:val="24"/>
          <w:szCs w:val="24"/>
        </w:rPr>
        <w:t>.“ (ďalej ako „návrh nariadenia“)</w:t>
      </w:r>
    </w:p>
    <w:p w14:paraId="557A1B01" w14:textId="38D67F24" w:rsidR="00A4796C" w:rsidRPr="00F2249F" w:rsidRDefault="009B1EC3" w:rsidP="009B1EC3">
      <w:pPr>
        <w:pStyle w:val="Vchodzie"/>
        <w:spacing w:line="240" w:lineRule="auto"/>
        <w:ind w:left="284"/>
        <w:jc w:val="both"/>
        <w:rPr>
          <w:rFonts w:ascii="Times New Roman" w:hAnsi="Times New Roman" w:cs="Times New Roman"/>
          <w:sz w:val="24"/>
          <w:szCs w:val="24"/>
        </w:rPr>
      </w:pPr>
      <w:proofErr w:type="spellStart"/>
      <w:r w:rsidRPr="00F2249F">
        <w:rPr>
          <w:rFonts w:ascii="Times New Roman" w:hAnsi="Times New Roman" w:cs="Times New Roman"/>
          <w:sz w:val="24"/>
          <w:szCs w:val="24"/>
        </w:rPr>
        <w:t>Proposal</w:t>
      </w:r>
      <w:proofErr w:type="spellEnd"/>
      <w:r w:rsidRPr="00F2249F">
        <w:rPr>
          <w:rFonts w:ascii="Times New Roman" w:hAnsi="Times New Roman" w:cs="Times New Roman"/>
          <w:sz w:val="24"/>
          <w:szCs w:val="24"/>
        </w:rPr>
        <w:t xml:space="preserve"> </w:t>
      </w:r>
      <w:proofErr w:type="spellStart"/>
      <w:r w:rsidRPr="00F2249F">
        <w:rPr>
          <w:rFonts w:ascii="Times New Roman" w:hAnsi="Times New Roman" w:cs="Times New Roman"/>
          <w:sz w:val="24"/>
          <w:szCs w:val="24"/>
        </w:rPr>
        <w:t>for</w:t>
      </w:r>
      <w:proofErr w:type="spellEnd"/>
      <w:r w:rsidRPr="00F2249F">
        <w:rPr>
          <w:rFonts w:ascii="Times New Roman" w:hAnsi="Times New Roman" w:cs="Times New Roman"/>
          <w:sz w:val="24"/>
          <w:szCs w:val="24"/>
        </w:rPr>
        <w:t xml:space="preserve"> a </w:t>
      </w:r>
      <w:proofErr w:type="spellStart"/>
      <w:r w:rsidRPr="00F2249F">
        <w:rPr>
          <w:rFonts w:ascii="Times New Roman" w:hAnsi="Times New Roman" w:cs="Times New Roman"/>
          <w:sz w:val="24"/>
          <w:szCs w:val="24"/>
        </w:rPr>
        <w:t>Regulation</w:t>
      </w:r>
      <w:proofErr w:type="spellEnd"/>
      <w:r w:rsidRPr="00F2249F">
        <w:rPr>
          <w:rFonts w:ascii="Times New Roman" w:hAnsi="Times New Roman" w:cs="Times New Roman"/>
          <w:sz w:val="24"/>
          <w:szCs w:val="24"/>
        </w:rPr>
        <w:t xml:space="preserve"> of </w:t>
      </w:r>
      <w:proofErr w:type="spellStart"/>
      <w:r w:rsidRPr="00F2249F">
        <w:rPr>
          <w:rFonts w:ascii="Times New Roman" w:hAnsi="Times New Roman" w:cs="Times New Roman"/>
          <w:sz w:val="24"/>
          <w:szCs w:val="24"/>
        </w:rPr>
        <w:t>the</w:t>
      </w:r>
      <w:proofErr w:type="spellEnd"/>
      <w:r w:rsidRPr="00F2249F">
        <w:rPr>
          <w:rFonts w:ascii="Times New Roman" w:hAnsi="Times New Roman" w:cs="Times New Roman"/>
          <w:sz w:val="24"/>
          <w:szCs w:val="24"/>
        </w:rPr>
        <w:t xml:space="preserve"> </w:t>
      </w:r>
      <w:proofErr w:type="spellStart"/>
      <w:r w:rsidRPr="00F2249F">
        <w:rPr>
          <w:rFonts w:ascii="Times New Roman" w:hAnsi="Times New Roman" w:cs="Times New Roman"/>
          <w:sz w:val="24"/>
          <w:szCs w:val="24"/>
        </w:rPr>
        <w:t>European</w:t>
      </w:r>
      <w:proofErr w:type="spellEnd"/>
      <w:r w:rsidRPr="00F2249F">
        <w:rPr>
          <w:rFonts w:ascii="Times New Roman" w:hAnsi="Times New Roman" w:cs="Times New Roman"/>
          <w:sz w:val="24"/>
          <w:szCs w:val="24"/>
        </w:rPr>
        <w:t xml:space="preserve"> </w:t>
      </w:r>
      <w:proofErr w:type="spellStart"/>
      <w:r w:rsidRPr="00F2249F">
        <w:rPr>
          <w:rFonts w:ascii="Times New Roman" w:hAnsi="Times New Roman" w:cs="Times New Roman"/>
          <w:sz w:val="24"/>
          <w:szCs w:val="24"/>
        </w:rPr>
        <w:t>Parliament</w:t>
      </w:r>
      <w:proofErr w:type="spellEnd"/>
      <w:r w:rsidRPr="00F2249F">
        <w:rPr>
          <w:rFonts w:ascii="Times New Roman" w:hAnsi="Times New Roman" w:cs="Times New Roman"/>
          <w:sz w:val="24"/>
          <w:szCs w:val="24"/>
        </w:rPr>
        <w:t xml:space="preserve"> and of </w:t>
      </w:r>
      <w:proofErr w:type="spellStart"/>
      <w:r w:rsidRPr="00F2249F">
        <w:rPr>
          <w:rFonts w:ascii="Times New Roman" w:hAnsi="Times New Roman" w:cs="Times New Roman"/>
          <w:sz w:val="24"/>
          <w:szCs w:val="24"/>
        </w:rPr>
        <w:t>the</w:t>
      </w:r>
      <w:proofErr w:type="spellEnd"/>
      <w:r w:rsidRPr="00F2249F">
        <w:rPr>
          <w:rFonts w:ascii="Times New Roman" w:hAnsi="Times New Roman" w:cs="Times New Roman"/>
          <w:sz w:val="24"/>
          <w:szCs w:val="24"/>
        </w:rPr>
        <w:t xml:space="preserve"> </w:t>
      </w:r>
      <w:proofErr w:type="spellStart"/>
      <w:r w:rsidRPr="00F2249F">
        <w:rPr>
          <w:rFonts w:ascii="Times New Roman" w:hAnsi="Times New Roman" w:cs="Times New Roman"/>
          <w:sz w:val="24"/>
          <w:szCs w:val="24"/>
        </w:rPr>
        <w:t>Council</w:t>
      </w:r>
      <w:proofErr w:type="spellEnd"/>
      <w:r w:rsidRPr="00F2249F">
        <w:rPr>
          <w:rFonts w:ascii="Times New Roman" w:hAnsi="Times New Roman" w:cs="Times New Roman"/>
          <w:sz w:val="24"/>
          <w:szCs w:val="24"/>
        </w:rPr>
        <w:t xml:space="preserve"> on </w:t>
      </w:r>
      <w:proofErr w:type="spellStart"/>
      <w:r w:rsidRPr="00F2249F">
        <w:rPr>
          <w:rFonts w:ascii="Times New Roman" w:hAnsi="Times New Roman" w:cs="Times New Roman"/>
          <w:sz w:val="24"/>
          <w:szCs w:val="24"/>
        </w:rPr>
        <w:t>the</w:t>
      </w:r>
      <w:proofErr w:type="spellEnd"/>
      <w:r w:rsidRPr="00F2249F">
        <w:rPr>
          <w:rFonts w:ascii="Times New Roman" w:hAnsi="Times New Roman" w:cs="Times New Roman"/>
          <w:sz w:val="24"/>
          <w:szCs w:val="24"/>
        </w:rPr>
        <w:t xml:space="preserve"> 28th. </w:t>
      </w:r>
      <w:proofErr w:type="spellStart"/>
      <w:r w:rsidRPr="00F2249F">
        <w:rPr>
          <w:rFonts w:ascii="Times New Roman" w:hAnsi="Times New Roman" w:cs="Times New Roman"/>
          <w:sz w:val="24"/>
          <w:szCs w:val="24"/>
        </w:rPr>
        <w:t>regime</w:t>
      </w:r>
      <w:proofErr w:type="spellEnd"/>
      <w:r w:rsidRPr="00F2249F">
        <w:rPr>
          <w:rFonts w:ascii="Times New Roman" w:hAnsi="Times New Roman" w:cs="Times New Roman"/>
          <w:sz w:val="24"/>
          <w:szCs w:val="24"/>
        </w:rPr>
        <w:t xml:space="preserve"> </w:t>
      </w:r>
      <w:proofErr w:type="spellStart"/>
      <w:r w:rsidRPr="00F2249F">
        <w:rPr>
          <w:rFonts w:ascii="Times New Roman" w:hAnsi="Times New Roman" w:cs="Times New Roman"/>
          <w:sz w:val="24"/>
          <w:szCs w:val="24"/>
        </w:rPr>
        <w:t>corporate</w:t>
      </w:r>
      <w:proofErr w:type="spellEnd"/>
      <w:r w:rsidRPr="00F2249F">
        <w:rPr>
          <w:rFonts w:ascii="Times New Roman" w:hAnsi="Times New Roman" w:cs="Times New Roman"/>
          <w:sz w:val="24"/>
          <w:szCs w:val="24"/>
        </w:rPr>
        <w:t xml:space="preserve"> </w:t>
      </w:r>
      <w:proofErr w:type="spellStart"/>
      <w:r w:rsidRPr="00F2249F">
        <w:rPr>
          <w:rFonts w:ascii="Times New Roman" w:hAnsi="Times New Roman" w:cs="Times New Roman"/>
          <w:sz w:val="24"/>
          <w:szCs w:val="24"/>
        </w:rPr>
        <w:t>legal</w:t>
      </w:r>
      <w:proofErr w:type="spellEnd"/>
      <w:r w:rsidRPr="00F2249F">
        <w:rPr>
          <w:rFonts w:ascii="Times New Roman" w:hAnsi="Times New Roman" w:cs="Times New Roman"/>
          <w:sz w:val="24"/>
          <w:szCs w:val="24"/>
        </w:rPr>
        <w:t xml:space="preserve"> </w:t>
      </w:r>
      <w:proofErr w:type="spellStart"/>
      <w:r w:rsidRPr="00F2249F">
        <w:rPr>
          <w:rFonts w:ascii="Times New Roman" w:hAnsi="Times New Roman" w:cs="Times New Roman"/>
          <w:sz w:val="24"/>
          <w:szCs w:val="24"/>
        </w:rPr>
        <w:t>framework</w:t>
      </w:r>
      <w:proofErr w:type="spellEnd"/>
      <w:r w:rsidRPr="00F2249F">
        <w:rPr>
          <w:rFonts w:ascii="Times New Roman" w:hAnsi="Times New Roman" w:cs="Times New Roman"/>
          <w:sz w:val="24"/>
          <w:szCs w:val="24"/>
        </w:rPr>
        <w:t xml:space="preserve"> – EU </w:t>
      </w:r>
      <w:proofErr w:type="spellStart"/>
      <w:r w:rsidRPr="00F2249F">
        <w:rPr>
          <w:rFonts w:ascii="Times New Roman" w:hAnsi="Times New Roman" w:cs="Times New Roman"/>
          <w:sz w:val="24"/>
          <w:szCs w:val="24"/>
        </w:rPr>
        <w:t>Inc</w:t>
      </w:r>
      <w:proofErr w:type="spellEnd"/>
      <w:r w:rsidRPr="00F2249F">
        <w:rPr>
          <w:rFonts w:ascii="Times New Roman" w:hAnsi="Times New Roman" w:cs="Times New Roman"/>
          <w:sz w:val="24"/>
          <w:szCs w:val="24"/>
        </w:rPr>
        <w:t>.</w:t>
      </w:r>
    </w:p>
    <w:p w14:paraId="486AD2B9" w14:textId="71FDE8F4" w:rsidR="00A4796C" w:rsidRPr="00F2249F" w:rsidRDefault="00A4796C" w:rsidP="004A471E">
      <w:pPr>
        <w:pStyle w:val="Vchodzie"/>
        <w:numPr>
          <w:ilvl w:val="0"/>
          <w:numId w:val="1"/>
        </w:numPr>
        <w:spacing w:line="240" w:lineRule="auto"/>
        <w:ind w:left="284"/>
        <w:jc w:val="both"/>
        <w:rPr>
          <w:rFonts w:ascii="Times New Roman" w:hAnsi="Times New Roman" w:cs="Times New Roman"/>
          <w:sz w:val="24"/>
          <w:szCs w:val="24"/>
        </w:rPr>
      </w:pPr>
      <w:r w:rsidRPr="00F2249F">
        <w:rPr>
          <w:rFonts w:ascii="Times New Roman" w:hAnsi="Times New Roman" w:cs="Times New Roman"/>
          <w:b/>
          <w:sz w:val="24"/>
          <w:szCs w:val="24"/>
          <w:lang w:eastAsia="sk-SK"/>
        </w:rPr>
        <w:t xml:space="preserve">Číslo </w:t>
      </w:r>
      <w:r w:rsidR="00B03E8D" w:rsidRPr="00F2249F">
        <w:rPr>
          <w:rFonts w:ascii="Times New Roman" w:hAnsi="Times New Roman" w:cs="Times New Roman"/>
          <w:b/>
          <w:sz w:val="24"/>
          <w:szCs w:val="24"/>
          <w:lang w:eastAsia="sk-SK"/>
        </w:rPr>
        <w:t>a dátum zverejnenia dokumentu Európskou komisiou</w:t>
      </w:r>
    </w:p>
    <w:p w14:paraId="4F18055D" w14:textId="0D0A9043" w:rsidR="00FD75A2" w:rsidRPr="00F2249F" w:rsidRDefault="009B1EC3" w:rsidP="00A4796C">
      <w:pPr>
        <w:pStyle w:val="Vchodzie"/>
        <w:spacing w:after="0" w:line="240" w:lineRule="auto"/>
        <w:ind w:left="284"/>
        <w:jc w:val="both"/>
        <w:rPr>
          <w:rFonts w:ascii="Times New Roman" w:hAnsi="Times New Roman" w:cs="Times New Roman"/>
          <w:sz w:val="24"/>
          <w:szCs w:val="24"/>
        </w:rPr>
      </w:pPr>
      <w:r w:rsidRPr="00F2249F">
        <w:rPr>
          <w:rFonts w:ascii="Times New Roman" w:hAnsi="Times New Roman" w:cs="Times New Roman"/>
          <w:sz w:val="24"/>
          <w:szCs w:val="24"/>
          <w:lang w:eastAsia="sk-SK"/>
        </w:rPr>
        <w:t xml:space="preserve">COM/2026) 321 </w:t>
      </w:r>
      <w:proofErr w:type="spellStart"/>
      <w:r w:rsidRPr="00F2249F">
        <w:rPr>
          <w:rFonts w:ascii="Times New Roman" w:hAnsi="Times New Roman" w:cs="Times New Roman"/>
          <w:sz w:val="24"/>
          <w:szCs w:val="24"/>
          <w:lang w:eastAsia="sk-SK"/>
        </w:rPr>
        <w:t>final</w:t>
      </w:r>
      <w:proofErr w:type="spellEnd"/>
      <w:r w:rsidR="00A4796C" w:rsidRPr="00F2249F">
        <w:rPr>
          <w:rFonts w:ascii="Times New Roman" w:hAnsi="Times New Roman" w:cs="Times New Roman"/>
          <w:sz w:val="24"/>
          <w:szCs w:val="24"/>
          <w:lang w:eastAsia="sk-SK"/>
        </w:rPr>
        <w:t xml:space="preserve">, </w:t>
      </w:r>
      <w:r w:rsidRPr="00F2249F">
        <w:rPr>
          <w:rFonts w:ascii="Times New Roman" w:hAnsi="Times New Roman" w:cs="Times New Roman"/>
          <w:sz w:val="24"/>
          <w:szCs w:val="24"/>
          <w:lang w:eastAsia="sk-SK"/>
        </w:rPr>
        <w:t>18.3.2026</w:t>
      </w:r>
    </w:p>
    <w:p w14:paraId="67641190" w14:textId="77777777" w:rsidR="00A4796C" w:rsidRPr="00F2249F" w:rsidRDefault="00A4796C" w:rsidP="00A4796C">
      <w:pPr>
        <w:pStyle w:val="Vchodzie"/>
        <w:spacing w:after="0" w:line="240" w:lineRule="auto"/>
        <w:ind w:left="284"/>
        <w:jc w:val="both"/>
        <w:rPr>
          <w:rFonts w:ascii="Times New Roman" w:hAnsi="Times New Roman" w:cs="Times New Roman"/>
          <w:sz w:val="24"/>
          <w:szCs w:val="24"/>
        </w:rPr>
      </w:pPr>
    </w:p>
    <w:p w14:paraId="0502A126" w14:textId="77777777" w:rsidR="00A4796C" w:rsidRPr="00F2249F" w:rsidRDefault="00A4796C" w:rsidP="004A471E">
      <w:pPr>
        <w:pStyle w:val="Vchodzie"/>
        <w:numPr>
          <w:ilvl w:val="0"/>
          <w:numId w:val="1"/>
        </w:numPr>
        <w:spacing w:line="240" w:lineRule="auto"/>
        <w:ind w:left="284"/>
        <w:jc w:val="both"/>
        <w:rPr>
          <w:rFonts w:ascii="Times New Roman" w:hAnsi="Times New Roman" w:cs="Times New Roman"/>
          <w:sz w:val="24"/>
          <w:szCs w:val="24"/>
        </w:rPr>
      </w:pPr>
      <w:r w:rsidRPr="00F2249F">
        <w:rPr>
          <w:rFonts w:ascii="Times New Roman" w:hAnsi="Times New Roman" w:cs="Times New Roman"/>
          <w:b/>
          <w:sz w:val="24"/>
          <w:szCs w:val="24"/>
          <w:lang w:eastAsia="sk-SK"/>
        </w:rPr>
        <w:t>Gestor</w:t>
      </w:r>
    </w:p>
    <w:p w14:paraId="50ECEE7E" w14:textId="5D465509" w:rsidR="00A4796C" w:rsidRPr="00F2249F" w:rsidRDefault="009B1EC3" w:rsidP="00A4796C">
      <w:pPr>
        <w:pStyle w:val="Vchodzie"/>
        <w:spacing w:after="0" w:line="240" w:lineRule="auto"/>
        <w:ind w:left="284"/>
        <w:jc w:val="both"/>
        <w:rPr>
          <w:rFonts w:ascii="Times New Roman" w:hAnsi="Times New Roman" w:cs="Times New Roman"/>
          <w:sz w:val="24"/>
          <w:szCs w:val="24"/>
          <w:lang w:eastAsia="sk-SK"/>
        </w:rPr>
      </w:pPr>
      <w:r w:rsidRPr="00F2249F">
        <w:rPr>
          <w:rFonts w:ascii="Times New Roman" w:hAnsi="Times New Roman" w:cs="Times New Roman"/>
          <w:sz w:val="24"/>
          <w:szCs w:val="24"/>
          <w:lang w:eastAsia="sk-SK"/>
        </w:rPr>
        <w:t>Ministerstvo spravodlivosti Slovenskej republiky</w:t>
      </w:r>
    </w:p>
    <w:p w14:paraId="2C8640C0" w14:textId="77777777" w:rsidR="00A4796C" w:rsidRPr="00F2249F" w:rsidRDefault="00A4796C" w:rsidP="00A4796C">
      <w:pPr>
        <w:pStyle w:val="Vchodzie"/>
        <w:spacing w:after="0" w:line="240" w:lineRule="auto"/>
        <w:ind w:left="284"/>
        <w:jc w:val="both"/>
        <w:rPr>
          <w:rFonts w:ascii="Times New Roman" w:hAnsi="Times New Roman" w:cs="Times New Roman"/>
          <w:sz w:val="24"/>
          <w:szCs w:val="24"/>
        </w:rPr>
      </w:pPr>
    </w:p>
    <w:p w14:paraId="356ECB96" w14:textId="77777777" w:rsidR="00A4796C" w:rsidRPr="00F2249F" w:rsidRDefault="00A4796C" w:rsidP="004A471E">
      <w:pPr>
        <w:pStyle w:val="Vchodzie"/>
        <w:numPr>
          <w:ilvl w:val="0"/>
          <w:numId w:val="1"/>
        </w:numPr>
        <w:spacing w:line="240" w:lineRule="auto"/>
        <w:ind w:left="284"/>
        <w:jc w:val="both"/>
        <w:rPr>
          <w:rFonts w:ascii="Times New Roman" w:hAnsi="Times New Roman" w:cs="Times New Roman"/>
          <w:b/>
          <w:bCs/>
          <w:sz w:val="24"/>
          <w:szCs w:val="24"/>
        </w:rPr>
      </w:pPr>
      <w:proofErr w:type="spellStart"/>
      <w:r w:rsidRPr="00F2249F">
        <w:rPr>
          <w:rFonts w:ascii="Times New Roman" w:hAnsi="Times New Roman" w:cs="Times New Roman"/>
          <w:b/>
          <w:bCs/>
          <w:sz w:val="24"/>
          <w:szCs w:val="24"/>
        </w:rPr>
        <w:t>Spolugestor</w:t>
      </w:r>
      <w:proofErr w:type="spellEnd"/>
      <w:r w:rsidRPr="00F2249F">
        <w:rPr>
          <w:rFonts w:ascii="Times New Roman" w:hAnsi="Times New Roman" w:cs="Times New Roman"/>
          <w:b/>
          <w:bCs/>
          <w:sz w:val="24"/>
          <w:szCs w:val="24"/>
        </w:rPr>
        <w:t>/i</w:t>
      </w:r>
    </w:p>
    <w:p w14:paraId="25EF6119" w14:textId="7A4D5B15" w:rsidR="00FD75A2" w:rsidRPr="00F2249F" w:rsidRDefault="00FD75A2" w:rsidP="00A4796C">
      <w:pPr>
        <w:pStyle w:val="Vchodzie"/>
        <w:spacing w:after="0" w:line="240" w:lineRule="auto"/>
        <w:ind w:left="284"/>
        <w:jc w:val="both"/>
        <w:rPr>
          <w:rFonts w:ascii="Times New Roman" w:hAnsi="Times New Roman" w:cs="Times New Roman"/>
          <w:sz w:val="24"/>
          <w:szCs w:val="24"/>
        </w:rPr>
      </w:pPr>
      <w:r w:rsidRPr="00F2249F">
        <w:rPr>
          <w:rFonts w:ascii="Times New Roman" w:hAnsi="Times New Roman" w:cs="Times New Roman"/>
          <w:sz w:val="24"/>
          <w:szCs w:val="24"/>
        </w:rPr>
        <w:t>Ministerstvo financií SR</w:t>
      </w:r>
    </w:p>
    <w:p w14:paraId="02DB811A" w14:textId="77777777" w:rsidR="00F2249F" w:rsidRPr="00F2249F" w:rsidRDefault="00F2249F" w:rsidP="00F2249F">
      <w:pPr>
        <w:pStyle w:val="Vchodzie"/>
        <w:spacing w:after="0" w:line="240" w:lineRule="auto"/>
        <w:ind w:left="284"/>
        <w:jc w:val="both"/>
        <w:rPr>
          <w:rFonts w:ascii="Times New Roman" w:hAnsi="Times New Roman" w:cs="Times New Roman"/>
          <w:sz w:val="24"/>
          <w:szCs w:val="24"/>
        </w:rPr>
      </w:pPr>
      <w:r w:rsidRPr="00F2249F">
        <w:rPr>
          <w:rFonts w:ascii="Times New Roman" w:hAnsi="Times New Roman" w:cs="Times New Roman"/>
          <w:sz w:val="24"/>
          <w:szCs w:val="24"/>
        </w:rPr>
        <w:t>Ministerstvo hospodárstva SR</w:t>
      </w:r>
    </w:p>
    <w:p w14:paraId="662D24A0" w14:textId="6B6CD252" w:rsidR="00A4796C" w:rsidRPr="00F2249F" w:rsidRDefault="00FD75A2" w:rsidP="00A4796C">
      <w:pPr>
        <w:pStyle w:val="Vchodzie"/>
        <w:spacing w:after="0" w:line="240" w:lineRule="auto"/>
        <w:ind w:left="284"/>
        <w:jc w:val="both"/>
        <w:rPr>
          <w:rFonts w:ascii="Times New Roman" w:hAnsi="Times New Roman" w:cs="Times New Roman"/>
          <w:sz w:val="24"/>
          <w:szCs w:val="24"/>
        </w:rPr>
      </w:pPr>
      <w:r w:rsidRPr="00F2249F">
        <w:rPr>
          <w:rFonts w:ascii="Times New Roman" w:hAnsi="Times New Roman" w:cs="Times New Roman"/>
          <w:sz w:val="24"/>
          <w:szCs w:val="24"/>
        </w:rPr>
        <w:t>Ministerstvo práce a sociálnych vecí SR</w:t>
      </w:r>
    </w:p>
    <w:p w14:paraId="56C96E46" w14:textId="77777777" w:rsidR="009B1EC3" w:rsidRPr="00F2249F" w:rsidRDefault="009B1EC3" w:rsidP="00A4796C">
      <w:pPr>
        <w:pStyle w:val="Vchodzie"/>
        <w:spacing w:after="0" w:line="240" w:lineRule="auto"/>
        <w:ind w:left="284"/>
        <w:jc w:val="both"/>
        <w:rPr>
          <w:rFonts w:ascii="Times New Roman" w:hAnsi="Times New Roman" w:cs="Times New Roman"/>
          <w:b/>
          <w:bCs/>
          <w:sz w:val="24"/>
          <w:szCs w:val="24"/>
        </w:rPr>
      </w:pPr>
    </w:p>
    <w:p w14:paraId="25BB2825" w14:textId="77777777" w:rsidR="00B03E8D" w:rsidRPr="00F2249F" w:rsidRDefault="00A4796C" w:rsidP="004A471E">
      <w:pPr>
        <w:pStyle w:val="Vchodzie"/>
        <w:numPr>
          <w:ilvl w:val="0"/>
          <w:numId w:val="1"/>
        </w:numPr>
        <w:spacing w:line="240" w:lineRule="auto"/>
        <w:ind w:left="284"/>
        <w:jc w:val="both"/>
        <w:rPr>
          <w:rFonts w:ascii="Times New Roman" w:hAnsi="Times New Roman" w:cs="Times New Roman"/>
          <w:sz w:val="24"/>
          <w:szCs w:val="24"/>
        </w:rPr>
      </w:pPr>
      <w:r w:rsidRPr="00F2249F">
        <w:rPr>
          <w:rFonts w:ascii="Times New Roman" w:hAnsi="Times New Roman" w:cs="Times New Roman"/>
          <w:b/>
          <w:sz w:val="24"/>
          <w:szCs w:val="24"/>
          <w:lang w:eastAsia="sk-SK"/>
        </w:rPr>
        <w:t xml:space="preserve">Stupeň dôležitosti návrhu </w:t>
      </w:r>
    </w:p>
    <w:p w14:paraId="043EA7C2" w14:textId="2EB4EEE1" w:rsidR="00B03E8D" w:rsidRPr="00F2249F" w:rsidRDefault="000010D4" w:rsidP="00B03E8D">
      <w:pPr>
        <w:pStyle w:val="Vchodzie"/>
        <w:spacing w:after="0" w:line="240" w:lineRule="auto"/>
        <w:ind w:left="284"/>
        <w:jc w:val="both"/>
        <w:rPr>
          <w:rFonts w:ascii="Times New Roman" w:hAnsi="Times New Roman" w:cs="Times New Roman"/>
          <w:sz w:val="24"/>
          <w:szCs w:val="24"/>
        </w:rPr>
      </w:pPr>
      <w:r>
        <w:rPr>
          <w:rFonts w:ascii="Times New Roman" w:hAnsi="Times New Roman" w:cs="Times New Roman"/>
          <w:sz w:val="24"/>
          <w:szCs w:val="24"/>
        </w:rPr>
        <w:t>V</w:t>
      </w:r>
      <w:r w:rsidR="00FD75A2" w:rsidRPr="00F2249F">
        <w:rPr>
          <w:rFonts w:ascii="Times New Roman" w:hAnsi="Times New Roman" w:cs="Times New Roman"/>
          <w:sz w:val="24"/>
          <w:szCs w:val="24"/>
        </w:rPr>
        <w:t>ysoký</w:t>
      </w:r>
    </w:p>
    <w:p w14:paraId="5C882D44" w14:textId="77777777" w:rsidR="00B03E8D" w:rsidRPr="00F2249F" w:rsidRDefault="00B03E8D" w:rsidP="00B03E8D">
      <w:pPr>
        <w:pStyle w:val="Vchodzie"/>
        <w:spacing w:after="0" w:line="240" w:lineRule="auto"/>
        <w:ind w:left="284"/>
        <w:jc w:val="both"/>
        <w:rPr>
          <w:rFonts w:ascii="Times New Roman" w:hAnsi="Times New Roman" w:cs="Times New Roman"/>
          <w:sz w:val="24"/>
          <w:szCs w:val="24"/>
        </w:rPr>
      </w:pPr>
    </w:p>
    <w:p w14:paraId="02E8FE19" w14:textId="20451989" w:rsidR="00B03E8D" w:rsidRPr="00F2249F" w:rsidRDefault="00B03E8D" w:rsidP="004A471E">
      <w:pPr>
        <w:pStyle w:val="Vchodzie"/>
        <w:numPr>
          <w:ilvl w:val="0"/>
          <w:numId w:val="1"/>
        </w:numPr>
        <w:spacing w:line="240" w:lineRule="auto"/>
        <w:ind w:left="284"/>
        <w:jc w:val="both"/>
        <w:rPr>
          <w:rFonts w:ascii="Times New Roman" w:hAnsi="Times New Roman" w:cs="Times New Roman"/>
          <w:b/>
          <w:sz w:val="24"/>
          <w:szCs w:val="24"/>
        </w:rPr>
      </w:pPr>
      <w:r w:rsidRPr="00F2249F">
        <w:rPr>
          <w:rFonts w:ascii="Times New Roman" w:hAnsi="Times New Roman" w:cs="Times New Roman"/>
          <w:b/>
          <w:sz w:val="24"/>
          <w:szCs w:val="24"/>
        </w:rPr>
        <w:t>Stručné zhrnutie obsahu a cieľa návrhu</w:t>
      </w:r>
    </w:p>
    <w:p w14:paraId="422BD38C" w14:textId="66020CDA" w:rsidR="009B1EC3" w:rsidRPr="00F2249F" w:rsidRDefault="009B1EC3" w:rsidP="009B1EC3">
      <w:pPr>
        <w:pStyle w:val="Vchodzie"/>
        <w:ind w:left="284"/>
        <w:jc w:val="both"/>
        <w:rPr>
          <w:rFonts w:ascii="Times New Roman" w:hAnsi="Times New Roman" w:cs="Times New Roman"/>
          <w:sz w:val="24"/>
          <w:szCs w:val="24"/>
        </w:rPr>
      </w:pPr>
      <w:r w:rsidRPr="00F2249F">
        <w:rPr>
          <w:rFonts w:ascii="Times New Roman" w:hAnsi="Times New Roman" w:cs="Times New Roman"/>
          <w:sz w:val="24"/>
          <w:szCs w:val="24"/>
        </w:rPr>
        <w:t xml:space="preserve">Európska komisia dňa 18.3.2026 predložila legislatívny návrh týkajúci sa 28. režimu pre obchodné spoločnosti  s názvom „EU </w:t>
      </w:r>
      <w:proofErr w:type="spellStart"/>
      <w:r w:rsidRPr="00F2249F">
        <w:rPr>
          <w:rFonts w:ascii="Times New Roman" w:hAnsi="Times New Roman" w:cs="Times New Roman"/>
          <w:sz w:val="24"/>
          <w:szCs w:val="24"/>
        </w:rPr>
        <w:t>Inc</w:t>
      </w:r>
      <w:proofErr w:type="spellEnd"/>
      <w:r w:rsidRPr="00F2249F">
        <w:rPr>
          <w:rFonts w:ascii="Times New Roman" w:hAnsi="Times New Roman" w:cs="Times New Roman"/>
          <w:sz w:val="24"/>
          <w:szCs w:val="24"/>
        </w:rPr>
        <w:t xml:space="preserve">.“ spoločne s odporúčaním EK k definícií inovatívnych podnikov, inovatívnych </w:t>
      </w:r>
      <w:proofErr w:type="spellStart"/>
      <w:r w:rsidRPr="00F2249F">
        <w:rPr>
          <w:rFonts w:ascii="Times New Roman" w:hAnsi="Times New Roman" w:cs="Times New Roman"/>
          <w:sz w:val="24"/>
          <w:szCs w:val="24"/>
        </w:rPr>
        <w:t>startupov</w:t>
      </w:r>
      <w:proofErr w:type="spellEnd"/>
      <w:r w:rsidRPr="00F2249F">
        <w:rPr>
          <w:rFonts w:ascii="Times New Roman" w:hAnsi="Times New Roman" w:cs="Times New Roman"/>
          <w:sz w:val="24"/>
          <w:szCs w:val="24"/>
        </w:rPr>
        <w:t xml:space="preserve"> a inovatívnych </w:t>
      </w:r>
      <w:proofErr w:type="spellStart"/>
      <w:r w:rsidRPr="00F2249F">
        <w:rPr>
          <w:rFonts w:ascii="Times New Roman" w:hAnsi="Times New Roman" w:cs="Times New Roman"/>
          <w:sz w:val="24"/>
          <w:szCs w:val="24"/>
        </w:rPr>
        <w:t>scaleupov</w:t>
      </w:r>
      <w:proofErr w:type="spellEnd"/>
      <w:r w:rsidRPr="00F2249F">
        <w:rPr>
          <w:rFonts w:ascii="Times New Roman" w:hAnsi="Times New Roman" w:cs="Times New Roman"/>
          <w:sz w:val="24"/>
          <w:szCs w:val="24"/>
        </w:rPr>
        <w:t xml:space="preserve">. Predmetná iniciatíva je deklarovaná ako priorita pre konkurencieschopnosť EÚ. Cieľom návrhu je riešenie zaostávania EÚ za hlavnými konkurentmi v oblasti konkurencieschopnosti a inovácií, ktoré potvrdili </w:t>
      </w:r>
      <w:proofErr w:type="spellStart"/>
      <w:r w:rsidRPr="00F2249F">
        <w:rPr>
          <w:rFonts w:ascii="Times New Roman" w:hAnsi="Times New Roman" w:cs="Times New Roman"/>
          <w:sz w:val="24"/>
          <w:szCs w:val="24"/>
        </w:rPr>
        <w:t>Draghiho</w:t>
      </w:r>
      <w:proofErr w:type="spellEnd"/>
      <w:r w:rsidRPr="00F2249F">
        <w:rPr>
          <w:rFonts w:ascii="Times New Roman" w:hAnsi="Times New Roman" w:cs="Times New Roman"/>
          <w:sz w:val="24"/>
          <w:szCs w:val="24"/>
        </w:rPr>
        <w:t xml:space="preserve"> aj </w:t>
      </w:r>
      <w:proofErr w:type="spellStart"/>
      <w:r w:rsidRPr="00F2249F">
        <w:rPr>
          <w:rFonts w:ascii="Times New Roman" w:hAnsi="Times New Roman" w:cs="Times New Roman"/>
          <w:sz w:val="24"/>
          <w:szCs w:val="24"/>
        </w:rPr>
        <w:t>Lettova</w:t>
      </w:r>
      <w:proofErr w:type="spellEnd"/>
      <w:r w:rsidRPr="00F2249F">
        <w:rPr>
          <w:rFonts w:ascii="Times New Roman" w:hAnsi="Times New Roman" w:cs="Times New Roman"/>
          <w:sz w:val="24"/>
          <w:szCs w:val="24"/>
        </w:rPr>
        <w:t xml:space="preserve"> správa. Kľúčovou príčinou je právna fragmentácia – každý členský štát má vlastné právo upravujúce obchodné spoločnosti, čo </w:t>
      </w:r>
      <w:proofErr w:type="spellStart"/>
      <w:r w:rsidRPr="00F2249F">
        <w:rPr>
          <w:rFonts w:ascii="Times New Roman" w:hAnsi="Times New Roman" w:cs="Times New Roman"/>
          <w:sz w:val="24"/>
          <w:szCs w:val="24"/>
        </w:rPr>
        <w:t>startupy</w:t>
      </w:r>
      <w:proofErr w:type="spellEnd"/>
      <w:r w:rsidRPr="00F2249F">
        <w:rPr>
          <w:rFonts w:ascii="Times New Roman" w:hAnsi="Times New Roman" w:cs="Times New Roman"/>
          <w:sz w:val="24"/>
          <w:szCs w:val="24"/>
        </w:rPr>
        <w:t xml:space="preserve"> a </w:t>
      </w:r>
      <w:proofErr w:type="spellStart"/>
      <w:r w:rsidRPr="00F2249F">
        <w:rPr>
          <w:rFonts w:ascii="Times New Roman" w:hAnsi="Times New Roman" w:cs="Times New Roman"/>
          <w:sz w:val="24"/>
          <w:szCs w:val="24"/>
        </w:rPr>
        <w:t>scaleupy</w:t>
      </w:r>
      <w:proofErr w:type="spellEnd"/>
      <w:r w:rsidRPr="00F2249F">
        <w:rPr>
          <w:rFonts w:ascii="Times New Roman" w:hAnsi="Times New Roman" w:cs="Times New Roman"/>
          <w:sz w:val="24"/>
          <w:szCs w:val="24"/>
        </w:rPr>
        <w:t xml:space="preserve"> brzdí pri expanzii na jednotnom trhu.</w:t>
      </w:r>
    </w:p>
    <w:p w14:paraId="3907E8F7" w14:textId="77777777" w:rsidR="009B1EC3" w:rsidRPr="00F2249F" w:rsidRDefault="009B1EC3" w:rsidP="009B1EC3">
      <w:pPr>
        <w:pStyle w:val="Vchodzie"/>
        <w:ind w:left="284"/>
        <w:jc w:val="both"/>
        <w:rPr>
          <w:rFonts w:ascii="Times New Roman" w:hAnsi="Times New Roman" w:cs="Times New Roman"/>
          <w:sz w:val="24"/>
          <w:szCs w:val="24"/>
        </w:rPr>
      </w:pPr>
      <w:r w:rsidRPr="00F2249F">
        <w:rPr>
          <w:rFonts w:ascii="Times New Roman" w:hAnsi="Times New Roman" w:cs="Times New Roman"/>
          <w:sz w:val="24"/>
          <w:szCs w:val="24"/>
        </w:rPr>
        <w:t>Cieľom návrhu je poskytnúť lepšie podmienky na začatie podnikania a lepšie príležitosti na rast a rozširovanie v EÚ a podporiť viac investícií do spoločností v EÚ, najmä v počiatočných fázach ich rozvoja a rastu. Vďaka týmto lepším podmienkam a príležitostiam sa má posilniť konkurencieschopnosť spoločností a hospodárstva EÚ a zlepšiť fungovanie jednotného trhu.</w:t>
      </w:r>
    </w:p>
    <w:p w14:paraId="18F57EEE" w14:textId="77777777" w:rsidR="009B1EC3" w:rsidRPr="00F2249F" w:rsidRDefault="009B1EC3" w:rsidP="009B1EC3">
      <w:pPr>
        <w:pStyle w:val="Vchodzie"/>
        <w:ind w:left="284"/>
        <w:jc w:val="both"/>
        <w:rPr>
          <w:rFonts w:ascii="Times New Roman" w:hAnsi="Times New Roman" w:cs="Times New Roman"/>
          <w:sz w:val="24"/>
          <w:szCs w:val="24"/>
        </w:rPr>
      </w:pPr>
      <w:r w:rsidRPr="00F2249F">
        <w:rPr>
          <w:rFonts w:ascii="Times New Roman" w:hAnsi="Times New Roman" w:cs="Times New Roman"/>
          <w:sz w:val="24"/>
          <w:szCs w:val="24"/>
        </w:rPr>
        <w:t xml:space="preserve">Hlavnými </w:t>
      </w:r>
      <w:r w:rsidRPr="00F2249F">
        <w:rPr>
          <w:rFonts w:ascii="Times New Roman" w:hAnsi="Times New Roman" w:cs="Times New Roman"/>
          <w:b/>
          <w:sz w:val="24"/>
          <w:szCs w:val="24"/>
        </w:rPr>
        <w:t>cieľmi návrhu</w:t>
      </w:r>
      <w:r w:rsidRPr="00F2249F">
        <w:rPr>
          <w:rFonts w:ascii="Times New Roman" w:hAnsi="Times New Roman" w:cs="Times New Roman"/>
          <w:sz w:val="24"/>
          <w:szCs w:val="24"/>
        </w:rPr>
        <w:t xml:space="preserve"> tak sú:</w:t>
      </w:r>
    </w:p>
    <w:p w14:paraId="1D13248A" w14:textId="77777777" w:rsidR="009B1EC3" w:rsidRPr="00F2249F" w:rsidRDefault="009B1EC3" w:rsidP="009B1EC3">
      <w:pPr>
        <w:pStyle w:val="Vchodzie"/>
        <w:ind w:left="284"/>
        <w:jc w:val="both"/>
        <w:rPr>
          <w:rFonts w:ascii="Times New Roman" w:hAnsi="Times New Roman" w:cs="Times New Roman"/>
          <w:sz w:val="24"/>
          <w:szCs w:val="24"/>
        </w:rPr>
      </w:pPr>
      <w:r w:rsidRPr="00F2249F">
        <w:rPr>
          <w:rFonts w:ascii="Times New Roman" w:hAnsi="Times New Roman" w:cs="Times New Roman"/>
          <w:sz w:val="24"/>
          <w:szCs w:val="24"/>
        </w:rPr>
        <w:lastRenderedPageBreak/>
        <w:t>•</w:t>
      </w:r>
      <w:r w:rsidRPr="00F2249F">
        <w:rPr>
          <w:rFonts w:ascii="Times New Roman" w:hAnsi="Times New Roman" w:cs="Times New Roman"/>
          <w:sz w:val="24"/>
          <w:szCs w:val="24"/>
        </w:rPr>
        <w:tab/>
        <w:t>zabezpečiť harmonizované pravidlá pre celý životný cyklus spoločnosti – od vzniku cez fungovanie až po likvidáciu či konkurz,</w:t>
      </w:r>
    </w:p>
    <w:p w14:paraId="026D7ED4" w14:textId="77777777" w:rsidR="009B1EC3" w:rsidRPr="00F2249F" w:rsidRDefault="009B1EC3" w:rsidP="009B1EC3">
      <w:pPr>
        <w:pStyle w:val="Vchodzie"/>
        <w:ind w:left="284"/>
        <w:jc w:val="both"/>
        <w:rPr>
          <w:rFonts w:ascii="Times New Roman" w:hAnsi="Times New Roman" w:cs="Times New Roman"/>
          <w:sz w:val="24"/>
          <w:szCs w:val="24"/>
        </w:rPr>
      </w:pPr>
      <w:r w:rsidRPr="00F2249F">
        <w:rPr>
          <w:rFonts w:ascii="Times New Roman" w:hAnsi="Times New Roman" w:cs="Times New Roman"/>
          <w:sz w:val="24"/>
          <w:szCs w:val="24"/>
        </w:rPr>
        <w:t>•</w:t>
      </w:r>
      <w:r w:rsidRPr="00F2249F">
        <w:rPr>
          <w:rFonts w:ascii="Times New Roman" w:hAnsi="Times New Roman" w:cs="Times New Roman"/>
          <w:sz w:val="24"/>
          <w:szCs w:val="24"/>
        </w:rPr>
        <w:tab/>
        <w:t>dosiahnuť jednoduchšie a lacnejšie zakladanie spoločností vrátane plne digitálnych, cezhraničných postupov,</w:t>
      </w:r>
    </w:p>
    <w:p w14:paraId="3DA74370" w14:textId="77777777" w:rsidR="009B1EC3" w:rsidRPr="00F2249F" w:rsidRDefault="009B1EC3" w:rsidP="009B1EC3">
      <w:pPr>
        <w:pStyle w:val="Vchodzie"/>
        <w:ind w:left="284"/>
        <w:jc w:val="both"/>
        <w:rPr>
          <w:rFonts w:ascii="Times New Roman" w:hAnsi="Times New Roman" w:cs="Times New Roman"/>
          <w:sz w:val="24"/>
          <w:szCs w:val="24"/>
        </w:rPr>
      </w:pPr>
      <w:r w:rsidRPr="00F2249F">
        <w:rPr>
          <w:rFonts w:ascii="Times New Roman" w:hAnsi="Times New Roman" w:cs="Times New Roman"/>
          <w:sz w:val="24"/>
          <w:szCs w:val="24"/>
        </w:rPr>
        <w:t>•</w:t>
      </w:r>
      <w:r w:rsidRPr="00F2249F">
        <w:rPr>
          <w:rFonts w:ascii="Times New Roman" w:hAnsi="Times New Roman" w:cs="Times New Roman"/>
          <w:sz w:val="24"/>
          <w:szCs w:val="24"/>
        </w:rPr>
        <w:tab/>
        <w:t>pripraviť atraktívnejšie prostredie pre investorov (rýchle digitálne postupy pri vstupe kapitálu, zamestnanecké akcie).</w:t>
      </w:r>
    </w:p>
    <w:p w14:paraId="54D2F0E9" w14:textId="77777777" w:rsidR="009B1EC3" w:rsidRPr="00F2249F" w:rsidRDefault="009B1EC3" w:rsidP="009B1EC3">
      <w:pPr>
        <w:pStyle w:val="Vchodzie"/>
        <w:ind w:left="284"/>
        <w:jc w:val="both"/>
        <w:rPr>
          <w:rFonts w:ascii="Times New Roman" w:hAnsi="Times New Roman" w:cs="Times New Roman"/>
          <w:sz w:val="24"/>
          <w:szCs w:val="24"/>
        </w:rPr>
      </w:pPr>
      <w:r w:rsidRPr="00F2249F">
        <w:rPr>
          <w:rFonts w:ascii="Times New Roman" w:hAnsi="Times New Roman" w:cs="Times New Roman"/>
          <w:sz w:val="24"/>
          <w:szCs w:val="24"/>
        </w:rPr>
        <w:t xml:space="preserve">Za účelom dosiahnutia cieľov návrhu sa navrhuje zaviesť novú harmonizovanú právnu formu obchodnej spoločnosti – EU </w:t>
      </w:r>
      <w:proofErr w:type="spellStart"/>
      <w:r w:rsidRPr="00F2249F">
        <w:rPr>
          <w:rFonts w:ascii="Times New Roman" w:hAnsi="Times New Roman" w:cs="Times New Roman"/>
          <w:sz w:val="24"/>
          <w:szCs w:val="24"/>
        </w:rPr>
        <w:t>Inc</w:t>
      </w:r>
      <w:proofErr w:type="spellEnd"/>
      <w:r w:rsidRPr="00F2249F">
        <w:rPr>
          <w:rFonts w:ascii="Times New Roman" w:hAnsi="Times New Roman" w:cs="Times New Roman"/>
          <w:sz w:val="24"/>
          <w:szCs w:val="24"/>
        </w:rPr>
        <w:t xml:space="preserve">. Má ísť o vnútroštátnu právnu formu so zásadne harmonizovanými pravidlami. Návrh má pokrývať celý životný cyklus spoločnosti (založenie, fungovanie, ukončenie podnikania), pričom dôraz sa kladie na digitalizáciu všetkých postupov. </w:t>
      </w:r>
    </w:p>
    <w:p w14:paraId="7A3D09BD" w14:textId="77777777" w:rsidR="009B1EC3" w:rsidRPr="00F2249F" w:rsidRDefault="009B1EC3" w:rsidP="009B1EC3">
      <w:pPr>
        <w:pStyle w:val="Vchodzie"/>
        <w:ind w:left="284"/>
        <w:jc w:val="both"/>
        <w:rPr>
          <w:rFonts w:ascii="Times New Roman" w:hAnsi="Times New Roman" w:cs="Times New Roman"/>
          <w:sz w:val="24"/>
          <w:szCs w:val="24"/>
        </w:rPr>
      </w:pPr>
      <w:r w:rsidRPr="00F2249F">
        <w:rPr>
          <w:rFonts w:ascii="Times New Roman" w:hAnsi="Times New Roman" w:cs="Times New Roman"/>
          <w:sz w:val="24"/>
          <w:szCs w:val="24"/>
        </w:rPr>
        <w:t xml:space="preserve">Návrh obsahuje ustanovenia o založení spoločnosti EU </w:t>
      </w:r>
      <w:proofErr w:type="spellStart"/>
      <w:r w:rsidRPr="00F2249F">
        <w:rPr>
          <w:rFonts w:ascii="Times New Roman" w:hAnsi="Times New Roman" w:cs="Times New Roman"/>
          <w:sz w:val="24"/>
          <w:szCs w:val="24"/>
        </w:rPr>
        <w:t>Inc</w:t>
      </w:r>
      <w:proofErr w:type="spellEnd"/>
      <w:r w:rsidRPr="00F2249F">
        <w:rPr>
          <w:rFonts w:ascii="Times New Roman" w:hAnsi="Times New Roman" w:cs="Times New Roman"/>
          <w:sz w:val="24"/>
          <w:szCs w:val="24"/>
        </w:rPr>
        <w:t xml:space="preserve">., ktoré má prebiehať výlučne v digitálnej forme, pričom takúto spoločnosť by malo byť možné založiť bez potreby fyzickej prítomnosti v členskom štáte registrácie. Registrácia do obchodného registra ostáva ponechaná na členských štátoch, podanie návrhu však bude možné cez centrálne rozhranie EÚ, ktoré vyvinie Európska komisia. Pri založení takéhoto typu spoločnosti sa kladie dôraz na formulár stanov a návrhu na registráciu do obchodného registra, využitie Európskej podnikovej peňaženky a rýchlu a lacnú registráciu. </w:t>
      </w:r>
    </w:p>
    <w:p w14:paraId="599AC5BA" w14:textId="35B316A0" w:rsidR="009B1EC3" w:rsidRPr="00F2249F" w:rsidRDefault="009B1EC3" w:rsidP="009B1EC3">
      <w:pPr>
        <w:pStyle w:val="Vchodzie"/>
        <w:ind w:left="284"/>
        <w:jc w:val="both"/>
        <w:rPr>
          <w:rFonts w:ascii="Times New Roman" w:hAnsi="Times New Roman" w:cs="Times New Roman"/>
          <w:sz w:val="24"/>
          <w:szCs w:val="24"/>
        </w:rPr>
      </w:pPr>
      <w:r w:rsidRPr="00F2249F">
        <w:rPr>
          <w:rFonts w:ascii="Times New Roman" w:hAnsi="Times New Roman" w:cs="Times New Roman"/>
          <w:sz w:val="24"/>
          <w:szCs w:val="24"/>
        </w:rPr>
        <w:t xml:space="preserve">EU </w:t>
      </w:r>
      <w:proofErr w:type="spellStart"/>
      <w:r w:rsidRPr="00F2249F">
        <w:rPr>
          <w:rFonts w:ascii="Times New Roman" w:hAnsi="Times New Roman" w:cs="Times New Roman"/>
          <w:sz w:val="24"/>
          <w:szCs w:val="24"/>
        </w:rPr>
        <w:t>Inc</w:t>
      </w:r>
      <w:proofErr w:type="spellEnd"/>
      <w:r w:rsidRPr="00F2249F">
        <w:rPr>
          <w:rFonts w:ascii="Times New Roman" w:hAnsi="Times New Roman" w:cs="Times New Roman"/>
          <w:sz w:val="24"/>
          <w:szCs w:val="24"/>
        </w:rPr>
        <w:t xml:space="preserve">. má byť právnou formou ktorá </w:t>
      </w:r>
      <w:r w:rsidR="00FE6CDC" w:rsidRPr="00F2249F">
        <w:rPr>
          <w:rFonts w:ascii="Times New Roman" w:hAnsi="Times New Roman" w:cs="Times New Roman"/>
          <w:sz w:val="24"/>
          <w:szCs w:val="24"/>
        </w:rPr>
        <w:t xml:space="preserve">je svojou štruktúrou bližšia </w:t>
      </w:r>
      <w:r w:rsidRPr="00F2249F">
        <w:rPr>
          <w:rFonts w:ascii="Times New Roman" w:hAnsi="Times New Roman" w:cs="Times New Roman"/>
          <w:sz w:val="24"/>
          <w:szCs w:val="24"/>
        </w:rPr>
        <w:t>spoločnos</w:t>
      </w:r>
      <w:r w:rsidR="00FE6CDC" w:rsidRPr="00F2249F">
        <w:rPr>
          <w:rFonts w:ascii="Times New Roman" w:hAnsi="Times New Roman" w:cs="Times New Roman"/>
          <w:sz w:val="24"/>
          <w:szCs w:val="24"/>
        </w:rPr>
        <w:t>ti</w:t>
      </w:r>
      <w:r w:rsidRPr="00F2249F">
        <w:rPr>
          <w:rFonts w:ascii="Times New Roman" w:hAnsi="Times New Roman" w:cs="Times New Roman"/>
          <w:sz w:val="24"/>
          <w:szCs w:val="24"/>
        </w:rPr>
        <w:t xml:space="preserve"> s ručením obmedzeným, avšak podiely v nej sú </w:t>
      </w:r>
      <w:r w:rsidR="00FE6CDC" w:rsidRPr="00F2249F">
        <w:rPr>
          <w:rFonts w:ascii="Times New Roman" w:hAnsi="Times New Roman" w:cs="Times New Roman"/>
          <w:sz w:val="24"/>
          <w:szCs w:val="24"/>
        </w:rPr>
        <w:t>vyjadrené vo forme akcií</w:t>
      </w:r>
      <w:r w:rsidRPr="00F2249F">
        <w:rPr>
          <w:rFonts w:ascii="Times New Roman" w:hAnsi="Times New Roman" w:cs="Times New Roman"/>
          <w:sz w:val="24"/>
          <w:szCs w:val="24"/>
        </w:rPr>
        <w:t xml:space="preserve">. Obsiahla úprava </w:t>
      </w:r>
      <w:proofErr w:type="spellStart"/>
      <w:r w:rsidRPr="00F2249F">
        <w:rPr>
          <w:rFonts w:ascii="Times New Roman" w:hAnsi="Times New Roman" w:cs="Times New Roman"/>
          <w:sz w:val="24"/>
          <w:szCs w:val="24"/>
        </w:rPr>
        <w:t>korporátnych</w:t>
      </w:r>
      <w:proofErr w:type="spellEnd"/>
      <w:r w:rsidRPr="00F2249F">
        <w:rPr>
          <w:rFonts w:ascii="Times New Roman" w:hAnsi="Times New Roman" w:cs="Times New Roman"/>
          <w:sz w:val="24"/>
          <w:szCs w:val="24"/>
        </w:rPr>
        <w:t xml:space="preserve"> pravidiel EU </w:t>
      </w:r>
      <w:proofErr w:type="spellStart"/>
      <w:r w:rsidRPr="00F2249F">
        <w:rPr>
          <w:rFonts w:ascii="Times New Roman" w:hAnsi="Times New Roman" w:cs="Times New Roman"/>
          <w:sz w:val="24"/>
          <w:szCs w:val="24"/>
        </w:rPr>
        <w:t>Inc</w:t>
      </w:r>
      <w:proofErr w:type="spellEnd"/>
      <w:r w:rsidRPr="00F2249F">
        <w:rPr>
          <w:rFonts w:ascii="Times New Roman" w:hAnsi="Times New Roman" w:cs="Times New Roman"/>
          <w:sz w:val="24"/>
          <w:szCs w:val="24"/>
        </w:rPr>
        <w:t>. má zabezpečiť rovnaké pravidlá v členských štátoch s cieľom predvídateľnosti vo vzťahoch aj pri cezhraničnom pôsobení v takejto spoločnosti.</w:t>
      </w:r>
    </w:p>
    <w:p w14:paraId="1E9E00F2" w14:textId="77777777" w:rsidR="009B1EC3" w:rsidRPr="00F2249F" w:rsidRDefault="009B1EC3" w:rsidP="009B1EC3">
      <w:pPr>
        <w:pStyle w:val="Vchodzie"/>
        <w:ind w:left="284"/>
        <w:jc w:val="both"/>
        <w:rPr>
          <w:rFonts w:ascii="Times New Roman" w:hAnsi="Times New Roman" w:cs="Times New Roman"/>
          <w:sz w:val="24"/>
          <w:szCs w:val="24"/>
        </w:rPr>
      </w:pPr>
      <w:r w:rsidRPr="00F2249F">
        <w:rPr>
          <w:rFonts w:ascii="Times New Roman" w:hAnsi="Times New Roman" w:cs="Times New Roman"/>
          <w:sz w:val="24"/>
          <w:szCs w:val="24"/>
        </w:rPr>
        <w:t xml:space="preserve">Vo vzťahu k ukončeniu podnikania sa navrhujú pravidlá likvidácie solventnej EU </w:t>
      </w:r>
      <w:proofErr w:type="spellStart"/>
      <w:r w:rsidRPr="00F2249F">
        <w:rPr>
          <w:rFonts w:ascii="Times New Roman" w:hAnsi="Times New Roman" w:cs="Times New Roman"/>
          <w:sz w:val="24"/>
          <w:szCs w:val="24"/>
        </w:rPr>
        <w:t>Inc</w:t>
      </w:r>
      <w:proofErr w:type="spellEnd"/>
      <w:r w:rsidRPr="00F2249F">
        <w:rPr>
          <w:rFonts w:ascii="Times New Roman" w:hAnsi="Times New Roman" w:cs="Times New Roman"/>
          <w:sz w:val="24"/>
          <w:szCs w:val="24"/>
        </w:rPr>
        <w:t xml:space="preserve">., ako aj pravidlá </w:t>
      </w:r>
      <w:proofErr w:type="spellStart"/>
      <w:r w:rsidRPr="00F2249F">
        <w:rPr>
          <w:rFonts w:ascii="Times New Roman" w:hAnsi="Times New Roman" w:cs="Times New Roman"/>
          <w:sz w:val="24"/>
          <w:szCs w:val="24"/>
        </w:rPr>
        <w:t>insolvenčných</w:t>
      </w:r>
      <w:proofErr w:type="spellEnd"/>
      <w:r w:rsidRPr="00F2249F">
        <w:rPr>
          <w:rFonts w:ascii="Times New Roman" w:hAnsi="Times New Roman" w:cs="Times New Roman"/>
          <w:sz w:val="24"/>
          <w:szCs w:val="24"/>
        </w:rPr>
        <w:t xml:space="preserve"> postupov pre inovatívne </w:t>
      </w:r>
      <w:proofErr w:type="spellStart"/>
      <w:r w:rsidRPr="00F2249F">
        <w:rPr>
          <w:rFonts w:ascii="Times New Roman" w:hAnsi="Times New Roman" w:cs="Times New Roman"/>
          <w:sz w:val="24"/>
          <w:szCs w:val="24"/>
        </w:rPr>
        <w:t>startupy</w:t>
      </w:r>
      <w:proofErr w:type="spellEnd"/>
      <w:r w:rsidRPr="00F2249F">
        <w:rPr>
          <w:rFonts w:ascii="Times New Roman" w:hAnsi="Times New Roman" w:cs="Times New Roman"/>
          <w:sz w:val="24"/>
          <w:szCs w:val="24"/>
        </w:rPr>
        <w:t xml:space="preserve">. </w:t>
      </w:r>
    </w:p>
    <w:p w14:paraId="558C5854" w14:textId="77777777" w:rsidR="00B03E8D" w:rsidRPr="00F2249F" w:rsidRDefault="00B03E8D" w:rsidP="00B03E8D">
      <w:pPr>
        <w:pStyle w:val="Vchodzie"/>
        <w:spacing w:after="0" w:line="240" w:lineRule="auto"/>
        <w:ind w:left="284"/>
        <w:jc w:val="both"/>
        <w:rPr>
          <w:rFonts w:ascii="Times New Roman" w:hAnsi="Times New Roman" w:cs="Times New Roman"/>
          <w:sz w:val="24"/>
          <w:szCs w:val="24"/>
        </w:rPr>
      </w:pPr>
    </w:p>
    <w:p w14:paraId="6EB6E749" w14:textId="4375715E" w:rsidR="009E0888" w:rsidRPr="00F2249F" w:rsidRDefault="00B03E8D" w:rsidP="004A471E">
      <w:pPr>
        <w:pStyle w:val="Vchodzie"/>
        <w:numPr>
          <w:ilvl w:val="0"/>
          <w:numId w:val="1"/>
        </w:numPr>
        <w:spacing w:line="240" w:lineRule="auto"/>
        <w:ind w:left="284"/>
        <w:jc w:val="both"/>
        <w:rPr>
          <w:rFonts w:ascii="Times New Roman" w:hAnsi="Times New Roman" w:cs="Times New Roman"/>
          <w:b/>
          <w:sz w:val="24"/>
          <w:szCs w:val="24"/>
        </w:rPr>
      </w:pPr>
      <w:r w:rsidRPr="00F2249F">
        <w:rPr>
          <w:rFonts w:ascii="Times New Roman" w:hAnsi="Times New Roman" w:cs="Times New Roman"/>
          <w:b/>
          <w:sz w:val="24"/>
          <w:szCs w:val="24"/>
        </w:rPr>
        <w:t>Predbežná pozícia Slovenskej republiky</w:t>
      </w:r>
    </w:p>
    <w:p w14:paraId="4FE8F6A5" w14:textId="165E69B2" w:rsidR="009E0888" w:rsidRPr="00F2249F" w:rsidRDefault="009E0888" w:rsidP="00E64792">
      <w:pPr>
        <w:pStyle w:val="Vchodzie"/>
        <w:ind w:left="284"/>
        <w:jc w:val="both"/>
        <w:rPr>
          <w:rFonts w:ascii="Times New Roman" w:hAnsi="Times New Roman" w:cs="Times New Roman"/>
          <w:sz w:val="24"/>
          <w:szCs w:val="24"/>
        </w:rPr>
      </w:pPr>
      <w:r w:rsidRPr="00F2249F">
        <w:rPr>
          <w:rFonts w:ascii="Times New Roman" w:hAnsi="Times New Roman" w:cs="Times New Roman"/>
          <w:sz w:val="24"/>
          <w:szCs w:val="24"/>
        </w:rPr>
        <w:t xml:space="preserve">Slovenská republika podporuje ciele návrhu nariadenia. </w:t>
      </w:r>
    </w:p>
    <w:p w14:paraId="288E3A73" w14:textId="0EF2D2FC" w:rsidR="00943C55" w:rsidRPr="00F2249F" w:rsidRDefault="00943C55" w:rsidP="00E64792">
      <w:pPr>
        <w:pStyle w:val="Vchodzie"/>
        <w:ind w:left="284"/>
        <w:jc w:val="both"/>
        <w:rPr>
          <w:rFonts w:ascii="Times New Roman" w:hAnsi="Times New Roman" w:cs="Times New Roman"/>
          <w:sz w:val="24"/>
          <w:szCs w:val="24"/>
        </w:rPr>
      </w:pPr>
      <w:r w:rsidRPr="00F2249F">
        <w:rPr>
          <w:rFonts w:ascii="Times New Roman" w:hAnsi="Times New Roman" w:cs="Times New Roman"/>
          <w:sz w:val="24"/>
          <w:szCs w:val="24"/>
        </w:rPr>
        <w:t>Obsah návrhu je ambiciózny, pričom buduje na už existujúcich ha</w:t>
      </w:r>
      <w:r w:rsidR="004D235A" w:rsidRPr="00F2249F">
        <w:rPr>
          <w:rFonts w:ascii="Times New Roman" w:hAnsi="Times New Roman" w:cs="Times New Roman"/>
          <w:sz w:val="24"/>
          <w:szCs w:val="24"/>
        </w:rPr>
        <w:t>rmo</w:t>
      </w:r>
      <w:r w:rsidRPr="00F2249F">
        <w:rPr>
          <w:rFonts w:ascii="Times New Roman" w:hAnsi="Times New Roman" w:cs="Times New Roman"/>
          <w:sz w:val="24"/>
          <w:szCs w:val="24"/>
        </w:rPr>
        <w:t xml:space="preserve">nizovaných blokoch </w:t>
      </w:r>
      <w:proofErr w:type="spellStart"/>
      <w:r w:rsidRPr="00F2249F">
        <w:rPr>
          <w:rFonts w:ascii="Times New Roman" w:hAnsi="Times New Roman" w:cs="Times New Roman"/>
          <w:sz w:val="24"/>
          <w:szCs w:val="24"/>
        </w:rPr>
        <w:t>korporátneho</w:t>
      </w:r>
      <w:proofErr w:type="spellEnd"/>
      <w:r w:rsidRPr="00F2249F">
        <w:rPr>
          <w:rFonts w:ascii="Times New Roman" w:hAnsi="Times New Roman" w:cs="Times New Roman"/>
          <w:sz w:val="24"/>
          <w:szCs w:val="24"/>
        </w:rPr>
        <w:t xml:space="preserve"> práva. </w:t>
      </w:r>
    </w:p>
    <w:p w14:paraId="490ACE63" w14:textId="726828C2" w:rsidR="00943C55" w:rsidRPr="00F2249F" w:rsidRDefault="00943C55" w:rsidP="00E64792">
      <w:pPr>
        <w:pStyle w:val="Vchodzie"/>
        <w:ind w:left="284"/>
        <w:jc w:val="both"/>
        <w:rPr>
          <w:rFonts w:ascii="Times New Roman" w:hAnsi="Times New Roman" w:cs="Times New Roman"/>
          <w:sz w:val="24"/>
          <w:szCs w:val="24"/>
        </w:rPr>
      </w:pPr>
      <w:proofErr w:type="spellStart"/>
      <w:r w:rsidRPr="00F2249F">
        <w:rPr>
          <w:rFonts w:ascii="Times New Roman" w:hAnsi="Times New Roman" w:cs="Times New Roman"/>
          <w:sz w:val="24"/>
          <w:szCs w:val="24"/>
        </w:rPr>
        <w:t>Korporátne</w:t>
      </w:r>
      <w:proofErr w:type="spellEnd"/>
      <w:r w:rsidRPr="00F2249F">
        <w:rPr>
          <w:rFonts w:ascii="Times New Roman" w:hAnsi="Times New Roman" w:cs="Times New Roman"/>
          <w:sz w:val="24"/>
          <w:szCs w:val="24"/>
        </w:rPr>
        <w:t xml:space="preserve"> právo nie je liekom na všetky problémy v oblasti konkurencieschopnosti a preto nemožno očakávať, že nová právna forma sama o sebe zvýši konkurencieschopnosť EÚ. Môže však poskytnúť dobrý základ aj pre ďalšie opatrenia smerujúce k tomuto cieľu.</w:t>
      </w:r>
    </w:p>
    <w:p w14:paraId="18C29F1C" w14:textId="1CCE5B06" w:rsidR="00943C55" w:rsidRPr="00F2249F" w:rsidRDefault="00943C55" w:rsidP="00E64792">
      <w:pPr>
        <w:pStyle w:val="Vchodzie"/>
        <w:ind w:left="284"/>
        <w:jc w:val="both"/>
        <w:rPr>
          <w:rFonts w:ascii="Times New Roman" w:hAnsi="Times New Roman" w:cs="Times New Roman"/>
          <w:sz w:val="24"/>
          <w:szCs w:val="24"/>
        </w:rPr>
      </w:pPr>
      <w:r w:rsidRPr="00F2249F">
        <w:rPr>
          <w:rFonts w:ascii="Times New Roman" w:hAnsi="Times New Roman" w:cs="Times New Roman"/>
          <w:sz w:val="24"/>
          <w:szCs w:val="24"/>
        </w:rPr>
        <w:t xml:space="preserve">Slovenská republika za absolútne kľúčové však považuje využitie </w:t>
      </w:r>
      <w:r w:rsidRPr="00F2249F">
        <w:rPr>
          <w:rFonts w:ascii="Times New Roman" w:hAnsi="Times New Roman" w:cs="Times New Roman"/>
          <w:b/>
          <w:sz w:val="24"/>
          <w:szCs w:val="24"/>
        </w:rPr>
        <w:t>nespochybniteľného právneho základu</w:t>
      </w:r>
      <w:r w:rsidRPr="00F2249F">
        <w:rPr>
          <w:rFonts w:ascii="Times New Roman" w:hAnsi="Times New Roman" w:cs="Times New Roman"/>
          <w:sz w:val="24"/>
          <w:szCs w:val="24"/>
        </w:rPr>
        <w:t xml:space="preserve">. Zaistenie právnej istoty budúcich EU </w:t>
      </w:r>
      <w:proofErr w:type="spellStart"/>
      <w:r w:rsidRPr="00F2249F">
        <w:rPr>
          <w:rFonts w:ascii="Times New Roman" w:hAnsi="Times New Roman" w:cs="Times New Roman"/>
          <w:sz w:val="24"/>
          <w:szCs w:val="24"/>
        </w:rPr>
        <w:t>Inc</w:t>
      </w:r>
      <w:proofErr w:type="spellEnd"/>
      <w:r w:rsidRPr="00F2249F">
        <w:rPr>
          <w:rFonts w:ascii="Times New Roman" w:hAnsi="Times New Roman" w:cs="Times New Roman"/>
          <w:sz w:val="24"/>
          <w:szCs w:val="24"/>
        </w:rPr>
        <w:t>. spoločnosti je základnou podmienkou úspechu tejto novej právnej formy a teda aj posilnenia vnútorného trhu.</w:t>
      </w:r>
      <w:r w:rsidR="0052107B" w:rsidRPr="00F2249F">
        <w:rPr>
          <w:rFonts w:ascii="Times New Roman" w:hAnsi="Times New Roman" w:cs="Times New Roman"/>
          <w:sz w:val="24"/>
          <w:szCs w:val="24"/>
        </w:rPr>
        <w:t xml:space="preserve"> Preto Slovenská republika nesúhlasí s využitím navrhovaného čl. 114 ZFEÚ ako jediného právneho základu predkladaného nástroja a preferuje využitie článku 50 ZFEÚ (alternatívne </w:t>
      </w:r>
      <w:r w:rsidR="0052107B" w:rsidRPr="00F2249F">
        <w:rPr>
          <w:rFonts w:ascii="Times New Roman" w:hAnsi="Times New Roman" w:cs="Times New Roman"/>
          <w:sz w:val="24"/>
          <w:szCs w:val="24"/>
        </w:rPr>
        <w:lastRenderedPageBreak/>
        <w:t>kombináciu čl. 50 a 114 ZFEÚ), ktoré si vyžaduje prepracovanie nástroja do formy smernice.</w:t>
      </w:r>
      <w:r w:rsidR="0074466C" w:rsidRPr="00F2249F">
        <w:rPr>
          <w:rFonts w:ascii="Times New Roman" w:hAnsi="Times New Roman" w:cs="Times New Roman"/>
          <w:sz w:val="24"/>
          <w:szCs w:val="24"/>
        </w:rPr>
        <w:t xml:space="preserve"> (Viac informácií v bode 9, časť Právny základ). </w:t>
      </w:r>
    </w:p>
    <w:p w14:paraId="35DA1E8F" w14:textId="77777777" w:rsidR="00943C55" w:rsidRPr="00F2249F" w:rsidRDefault="00943C55" w:rsidP="003A23B7">
      <w:pPr>
        <w:pStyle w:val="Vchodzie"/>
        <w:ind w:left="284"/>
        <w:jc w:val="both"/>
        <w:rPr>
          <w:rFonts w:ascii="Times New Roman" w:hAnsi="Times New Roman" w:cs="Times New Roman"/>
          <w:sz w:val="24"/>
          <w:szCs w:val="24"/>
        </w:rPr>
      </w:pPr>
      <w:r w:rsidRPr="00F2249F">
        <w:rPr>
          <w:rFonts w:ascii="Times New Roman" w:hAnsi="Times New Roman" w:cs="Times New Roman"/>
          <w:sz w:val="24"/>
          <w:szCs w:val="24"/>
        </w:rPr>
        <w:t xml:space="preserve">Pozitívne vnímame navrhovaný dôraz na digitalizáciu. V tejto oblasti považujeme za zásadné, aby </w:t>
      </w:r>
      <w:r w:rsidRPr="00F2249F">
        <w:rPr>
          <w:rFonts w:ascii="Times New Roman" w:hAnsi="Times New Roman" w:cs="Times New Roman"/>
          <w:b/>
          <w:sz w:val="24"/>
          <w:szCs w:val="24"/>
        </w:rPr>
        <w:t>čo najviac nových digitálnych riešení bolo vyvinutých zo strany Európskej komisie</w:t>
      </w:r>
      <w:r w:rsidRPr="00F2249F">
        <w:rPr>
          <w:rFonts w:ascii="Times New Roman" w:hAnsi="Times New Roman" w:cs="Times New Roman"/>
          <w:sz w:val="24"/>
          <w:szCs w:val="24"/>
        </w:rPr>
        <w:t xml:space="preserve"> s cieľom ich jednoduchého a jednotného uplatňovania v praxi.</w:t>
      </w:r>
    </w:p>
    <w:p w14:paraId="40D26192" w14:textId="1C116DEA" w:rsidR="00943C55" w:rsidRPr="00F2249F" w:rsidRDefault="00943C55" w:rsidP="00E64792">
      <w:pPr>
        <w:pStyle w:val="Vchodzie"/>
        <w:ind w:left="284"/>
        <w:jc w:val="both"/>
        <w:rPr>
          <w:rFonts w:ascii="Times New Roman" w:hAnsi="Times New Roman" w:cs="Times New Roman"/>
          <w:sz w:val="24"/>
          <w:szCs w:val="24"/>
        </w:rPr>
      </w:pPr>
      <w:r w:rsidRPr="00F2249F">
        <w:rPr>
          <w:rFonts w:ascii="Times New Roman" w:hAnsi="Times New Roman" w:cs="Times New Roman"/>
          <w:sz w:val="24"/>
          <w:szCs w:val="24"/>
        </w:rPr>
        <w:t xml:space="preserve">Čo sa týka kľúčových prvkov návrhu sme presvedčení, že návrh musí obsahovať </w:t>
      </w:r>
      <w:r w:rsidRPr="00F2249F">
        <w:rPr>
          <w:rFonts w:ascii="Times New Roman" w:hAnsi="Times New Roman" w:cs="Times New Roman"/>
          <w:b/>
          <w:sz w:val="24"/>
          <w:szCs w:val="24"/>
        </w:rPr>
        <w:t>dostatočné a efektívne záruky pred zneužívaním</w:t>
      </w:r>
      <w:r w:rsidRPr="00F2249F">
        <w:rPr>
          <w:rFonts w:ascii="Times New Roman" w:hAnsi="Times New Roman" w:cs="Times New Roman"/>
          <w:sz w:val="24"/>
          <w:szCs w:val="24"/>
        </w:rPr>
        <w:t xml:space="preserve"> tejto právnej formy a taktiež musíme zabezpečiť jeho </w:t>
      </w:r>
      <w:r w:rsidRPr="00F2249F">
        <w:rPr>
          <w:rFonts w:ascii="Times New Roman" w:hAnsi="Times New Roman" w:cs="Times New Roman"/>
          <w:b/>
          <w:sz w:val="24"/>
          <w:szCs w:val="24"/>
        </w:rPr>
        <w:t>plný súlad s našimi záväzkami v oblasti boja proti praniu špinavých peňazí</w:t>
      </w:r>
      <w:r w:rsidRPr="00F2249F">
        <w:rPr>
          <w:rFonts w:ascii="Times New Roman" w:hAnsi="Times New Roman" w:cs="Times New Roman"/>
          <w:sz w:val="24"/>
          <w:szCs w:val="24"/>
        </w:rPr>
        <w:t>.</w:t>
      </w:r>
    </w:p>
    <w:p w14:paraId="33F40742" w14:textId="503A075E" w:rsidR="00943C55" w:rsidRPr="00F2249F" w:rsidRDefault="00943C55" w:rsidP="00E64792">
      <w:pPr>
        <w:pStyle w:val="Vchodzie"/>
        <w:ind w:left="284"/>
        <w:jc w:val="both"/>
        <w:rPr>
          <w:rFonts w:ascii="Times New Roman" w:hAnsi="Times New Roman" w:cs="Times New Roman"/>
          <w:sz w:val="24"/>
          <w:szCs w:val="24"/>
        </w:rPr>
      </w:pPr>
      <w:r w:rsidRPr="00F2249F">
        <w:rPr>
          <w:rFonts w:ascii="Times New Roman" w:hAnsi="Times New Roman" w:cs="Times New Roman"/>
          <w:sz w:val="24"/>
          <w:szCs w:val="24"/>
        </w:rPr>
        <w:t xml:space="preserve">Úpravu </w:t>
      </w:r>
      <w:proofErr w:type="spellStart"/>
      <w:r w:rsidRPr="00F2249F">
        <w:rPr>
          <w:rFonts w:ascii="Times New Roman" w:hAnsi="Times New Roman" w:cs="Times New Roman"/>
          <w:b/>
          <w:sz w:val="24"/>
          <w:szCs w:val="24"/>
        </w:rPr>
        <w:t>insolvenčných</w:t>
      </w:r>
      <w:proofErr w:type="spellEnd"/>
      <w:r w:rsidRPr="00F2249F">
        <w:rPr>
          <w:rFonts w:ascii="Times New Roman" w:hAnsi="Times New Roman" w:cs="Times New Roman"/>
          <w:b/>
          <w:sz w:val="24"/>
          <w:szCs w:val="24"/>
        </w:rPr>
        <w:t xml:space="preserve"> konaní</w:t>
      </w:r>
      <w:r w:rsidRPr="00F2249F">
        <w:rPr>
          <w:rFonts w:ascii="Times New Roman" w:hAnsi="Times New Roman" w:cs="Times New Roman"/>
          <w:sz w:val="24"/>
          <w:szCs w:val="24"/>
        </w:rPr>
        <w:t xml:space="preserve"> v predloženom návrhu </w:t>
      </w:r>
      <w:r w:rsidRPr="00F2249F">
        <w:rPr>
          <w:rFonts w:ascii="Times New Roman" w:hAnsi="Times New Roman" w:cs="Times New Roman"/>
          <w:b/>
          <w:sz w:val="24"/>
          <w:szCs w:val="24"/>
        </w:rPr>
        <w:t>nepovažujeme za realistickú</w:t>
      </w:r>
      <w:r w:rsidRPr="00F2249F">
        <w:rPr>
          <w:rFonts w:ascii="Times New Roman" w:hAnsi="Times New Roman" w:cs="Times New Roman"/>
          <w:sz w:val="24"/>
          <w:szCs w:val="24"/>
        </w:rPr>
        <w:t xml:space="preserve"> najmä z časového hľadiska. Jej zahrnutie môže zbytočne oddialiť dosiahnutie dohody na texte nariadenia.</w:t>
      </w:r>
    </w:p>
    <w:p w14:paraId="7B86F688" w14:textId="77777777" w:rsidR="00943C55" w:rsidRPr="00F2249F" w:rsidRDefault="00943C55" w:rsidP="00E64792">
      <w:pPr>
        <w:pStyle w:val="Vchodzie"/>
        <w:ind w:left="284"/>
        <w:jc w:val="both"/>
        <w:rPr>
          <w:rFonts w:ascii="Times New Roman" w:hAnsi="Times New Roman" w:cs="Times New Roman"/>
          <w:sz w:val="24"/>
          <w:szCs w:val="24"/>
        </w:rPr>
      </w:pPr>
      <w:r w:rsidRPr="00F2249F">
        <w:rPr>
          <w:rFonts w:ascii="Times New Roman" w:hAnsi="Times New Roman" w:cs="Times New Roman"/>
          <w:sz w:val="24"/>
          <w:szCs w:val="24"/>
        </w:rPr>
        <w:t xml:space="preserve">Sme taktiež presvedčení, že k celkovému úspechu tohto projektu je nevyhnutná detailná diskusia so zohľadnením všetkých potenciálnych dopadov v praxi, ako aj zabezpečenie </w:t>
      </w:r>
      <w:r w:rsidRPr="00F2249F">
        <w:rPr>
          <w:rFonts w:ascii="Times New Roman" w:hAnsi="Times New Roman" w:cs="Times New Roman"/>
          <w:b/>
          <w:sz w:val="24"/>
          <w:szCs w:val="24"/>
        </w:rPr>
        <w:t>dostatočného času na implementáciu</w:t>
      </w:r>
      <w:r w:rsidRPr="00F2249F">
        <w:rPr>
          <w:rFonts w:ascii="Times New Roman" w:hAnsi="Times New Roman" w:cs="Times New Roman"/>
          <w:sz w:val="24"/>
          <w:szCs w:val="24"/>
        </w:rPr>
        <w:t xml:space="preserve">. </w:t>
      </w:r>
    </w:p>
    <w:p w14:paraId="6F4E21FB" w14:textId="1A0E1FFF" w:rsidR="00943C55" w:rsidRPr="00F2249F" w:rsidRDefault="00E64792" w:rsidP="00E64792">
      <w:pPr>
        <w:pStyle w:val="Vchodzie"/>
        <w:spacing w:after="0"/>
        <w:ind w:left="284"/>
        <w:jc w:val="both"/>
        <w:rPr>
          <w:rFonts w:ascii="Times New Roman" w:hAnsi="Times New Roman" w:cs="Times New Roman"/>
          <w:sz w:val="24"/>
          <w:szCs w:val="24"/>
        </w:rPr>
      </w:pPr>
      <w:r w:rsidRPr="00F2249F">
        <w:rPr>
          <w:rFonts w:ascii="Times New Roman" w:hAnsi="Times New Roman" w:cs="Times New Roman"/>
          <w:sz w:val="24"/>
          <w:szCs w:val="24"/>
        </w:rPr>
        <w:t>Naší</w:t>
      </w:r>
      <w:r w:rsidR="00943C55" w:rsidRPr="00F2249F">
        <w:rPr>
          <w:rFonts w:ascii="Times New Roman" w:hAnsi="Times New Roman" w:cs="Times New Roman"/>
          <w:sz w:val="24"/>
          <w:szCs w:val="24"/>
        </w:rPr>
        <w:t xml:space="preserve">m cieľom musí byť vytvorenie právnej formy, ktorá bude vnútorne konzistentná a praxi využiteľná a to najmä vo vzťahu k digitálnym riešeniam. Iba tak môžeme zabezpečiť úspešnosť EU </w:t>
      </w:r>
      <w:proofErr w:type="spellStart"/>
      <w:r w:rsidR="00943C55" w:rsidRPr="00F2249F">
        <w:rPr>
          <w:rFonts w:ascii="Times New Roman" w:hAnsi="Times New Roman" w:cs="Times New Roman"/>
          <w:sz w:val="24"/>
          <w:szCs w:val="24"/>
        </w:rPr>
        <w:t>Inc</w:t>
      </w:r>
      <w:proofErr w:type="spellEnd"/>
      <w:r w:rsidR="00943C55" w:rsidRPr="00F2249F">
        <w:rPr>
          <w:rFonts w:ascii="Times New Roman" w:hAnsi="Times New Roman" w:cs="Times New Roman"/>
          <w:sz w:val="24"/>
          <w:szCs w:val="24"/>
        </w:rPr>
        <w:t>.</w:t>
      </w:r>
    </w:p>
    <w:p w14:paraId="6ABAE3B5" w14:textId="1B275431" w:rsidR="00A4796C" w:rsidRPr="00F2249F" w:rsidRDefault="00A4796C" w:rsidP="00943C55">
      <w:pPr>
        <w:pStyle w:val="Vchodzie"/>
        <w:spacing w:after="0" w:line="240" w:lineRule="auto"/>
        <w:ind w:left="284"/>
        <w:jc w:val="both"/>
        <w:rPr>
          <w:rFonts w:ascii="Times New Roman" w:hAnsi="Times New Roman" w:cs="Times New Roman"/>
          <w:sz w:val="24"/>
          <w:szCs w:val="24"/>
        </w:rPr>
      </w:pPr>
    </w:p>
    <w:p w14:paraId="4BBDBDD3" w14:textId="77777777" w:rsidR="00A4796C" w:rsidRPr="00F2249F" w:rsidRDefault="00A4796C" w:rsidP="004A471E">
      <w:pPr>
        <w:pStyle w:val="Vchodzie"/>
        <w:numPr>
          <w:ilvl w:val="0"/>
          <w:numId w:val="1"/>
        </w:numPr>
        <w:ind w:left="284"/>
        <w:jc w:val="both"/>
        <w:rPr>
          <w:rFonts w:ascii="Times New Roman" w:hAnsi="Times New Roman" w:cs="Times New Roman"/>
          <w:sz w:val="24"/>
          <w:szCs w:val="24"/>
        </w:rPr>
      </w:pPr>
      <w:r w:rsidRPr="00F2249F">
        <w:rPr>
          <w:rFonts w:ascii="Times New Roman" w:hAnsi="Times New Roman" w:cs="Times New Roman"/>
          <w:b/>
          <w:bCs/>
          <w:sz w:val="24"/>
          <w:szCs w:val="24"/>
        </w:rPr>
        <w:t>Súlad so zásadou subsidiarity</w:t>
      </w:r>
    </w:p>
    <w:p w14:paraId="38ED9E2C" w14:textId="77777777" w:rsidR="009B1EC3" w:rsidRPr="00F2249F" w:rsidRDefault="009B1EC3" w:rsidP="009B1EC3">
      <w:pPr>
        <w:pStyle w:val="Vchodzie"/>
        <w:ind w:left="284"/>
        <w:jc w:val="both"/>
        <w:rPr>
          <w:rFonts w:ascii="Times New Roman" w:hAnsi="Times New Roman" w:cs="Times New Roman"/>
          <w:sz w:val="24"/>
          <w:szCs w:val="24"/>
        </w:rPr>
      </w:pPr>
      <w:r w:rsidRPr="00F2249F">
        <w:rPr>
          <w:rFonts w:ascii="Times New Roman" w:hAnsi="Times New Roman" w:cs="Times New Roman"/>
          <w:sz w:val="24"/>
          <w:szCs w:val="24"/>
        </w:rPr>
        <w:t>Podľa zásady subsidiarity koná Únia v oblastiach, ktoré nepatria do jej výlučných právomocí, len v takom rozsahu a vtedy, ak ciele zamýšľané touto činnosťou nemôžu členské štáty uspokojivo dosiahnuť, ale z dôvodov rozsahu alebo účinkov navrhovanej činnosti ich možno lepšie dosiahnuť na úrovni Únie.</w:t>
      </w:r>
    </w:p>
    <w:p w14:paraId="5248A42E" w14:textId="77777777" w:rsidR="009B1EC3" w:rsidRPr="00F2249F" w:rsidRDefault="009B1EC3" w:rsidP="009B1EC3">
      <w:pPr>
        <w:pStyle w:val="Vchodzie"/>
        <w:ind w:left="284"/>
        <w:jc w:val="both"/>
        <w:rPr>
          <w:rFonts w:ascii="Times New Roman" w:hAnsi="Times New Roman" w:cs="Times New Roman"/>
          <w:sz w:val="24"/>
          <w:szCs w:val="24"/>
        </w:rPr>
      </w:pPr>
      <w:r w:rsidRPr="00F2249F">
        <w:rPr>
          <w:rFonts w:ascii="Times New Roman" w:hAnsi="Times New Roman" w:cs="Times New Roman"/>
          <w:sz w:val="24"/>
          <w:szCs w:val="24"/>
        </w:rPr>
        <w:t xml:space="preserve">Cieľom návrhu je riešiť právnu fragmentáciu práva obchodných spoločností v jednotlivých členských štátoch, ktorá vytvára štrukturálne prekážky pre spoločnosti – najmä, avšak nie výlučne </w:t>
      </w:r>
      <w:proofErr w:type="spellStart"/>
      <w:r w:rsidRPr="00F2249F">
        <w:rPr>
          <w:rFonts w:ascii="Times New Roman" w:hAnsi="Times New Roman" w:cs="Times New Roman"/>
          <w:sz w:val="24"/>
          <w:szCs w:val="24"/>
        </w:rPr>
        <w:t>startupy</w:t>
      </w:r>
      <w:proofErr w:type="spellEnd"/>
      <w:r w:rsidRPr="00F2249F">
        <w:rPr>
          <w:rFonts w:ascii="Times New Roman" w:hAnsi="Times New Roman" w:cs="Times New Roman"/>
          <w:sz w:val="24"/>
          <w:szCs w:val="24"/>
        </w:rPr>
        <w:t xml:space="preserve"> a </w:t>
      </w:r>
      <w:proofErr w:type="spellStart"/>
      <w:r w:rsidRPr="00F2249F">
        <w:rPr>
          <w:rFonts w:ascii="Times New Roman" w:hAnsi="Times New Roman" w:cs="Times New Roman"/>
          <w:sz w:val="24"/>
          <w:szCs w:val="24"/>
        </w:rPr>
        <w:t>scaleupy</w:t>
      </w:r>
      <w:proofErr w:type="spellEnd"/>
      <w:r w:rsidRPr="00F2249F">
        <w:rPr>
          <w:rFonts w:ascii="Times New Roman" w:hAnsi="Times New Roman" w:cs="Times New Roman"/>
          <w:sz w:val="24"/>
          <w:szCs w:val="24"/>
        </w:rPr>
        <w:t xml:space="preserve"> - pri ich cezhraničnej expanzii na jednotnom trhu. Táto fragmentácia má svojou povahou cezhraničný charakter a nemôže byť uspokojivo riešená opatreniami jednotlivých členských štátov konajúcich samostatne.</w:t>
      </w:r>
    </w:p>
    <w:p w14:paraId="47CF6522" w14:textId="77777777" w:rsidR="009B1EC3" w:rsidRPr="00F2249F" w:rsidRDefault="009B1EC3" w:rsidP="009B1EC3">
      <w:pPr>
        <w:pStyle w:val="Vchodzie"/>
        <w:ind w:left="284"/>
        <w:jc w:val="both"/>
        <w:rPr>
          <w:rFonts w:ascii="Times New Roman" w:hAnsi="Times New Roman" w:cs="Times New Roman"/>
          <w:sz w:val="24"/>
          <w:szCs w:val="24"/>
        </w:rPr>
      </w:pPr>
      <w:r w:rsidRPr="00F2249F">
        <w:rPr>
          <w:rFonts w:ascii="Times New Roman" w:hAnsi="Times New Roman" w:cs="Times New Roman"/>
          <w:sz w:val="24"/>
          <w:szCs w:val="24"/>
        </w:rPr>
        <w:t>Kľúčovým argumentom v prospech konania na úrovni EÚ je skutočnosť, že harmonizovanú právnu formu spoločnosti s celoeurópskou rozpoznateľnou obchodnou značkou, kompatibilnými postupmi a cezhraničnou právnou istotou pre investorov nemôže vytvoriť žiadny členský štát jednostranným aktom. Prípadná bilaterálna či multilaterálna spolupráca medzi členskými štátmi by nebola dostatočná na odstránenie existujúcej fragmentácie a mohla by naopak viesť k vzniku nových, nekompatibilných národných riešení.</w:t>
      </w:r>
    </w:p>
    <w:p w14:paraId="7A679CD2" w14:textId="77777777" w:rsidR="009B1EC3" w:rsidRPr="00F2249F" w:rsidRDefault="009B1EC3" w:rsidP="009B1EC3">
      <w:pPr>
        <w:pStyle w:val="Vchodzie"/>
        <w:ind w:left="284"/>
        <w:jc w:val="both"/>
        <w:rPr>
          <w:rFonts w:ascii="Times New Roman" w:hAnsi="Times New Roman" w:cs="Times New Roman"/>
          <w:sz w:val="24"/>
          <w:szCs w:val="24"/>
        </w:rPr>
      </w:pPr>
      <w:r w:rsidRPr="00F2249F">
        <w:rPr>
          <w:rFonts w:ascii="Times New Roman" w:hAnsi="Times New Roman" w:cs="Times New Roman"/>
          <w:sz w:val="24"/>
          <w:szCs w:val="24"/>
        </w:rPr>
        <w:t xml:space="preserve">Návrh sa okrem toho nadväzuje na existujúci systém prepojenia obchodných registrov (BRIS), ktorý je infraštruktúrou fungujúcou výhradne na úrovni EÚ. Len opatrenie na úrovni EÚ môže zabezpečiť, aby zásada jedenkrát a dosť platila vo všetkých členských štátoch a </w:t>
      </w:r>
      <w:r w:rsidRPr="00F2249F">
        <w:rPr>
          <w:rFonts w:ascii="Times New Roman" w:hAnsi="Times New Roman" w:cs="Times New Roman"/>
          <w:sz w:val="24"/>
          <w:szCs w:val="24"/>
        </w:rPr>
        <w:lastRenderedPageBreak/>
        <w:t xml:space="preserve">aby zápis spoločnosti EU </w:t>
      </w:r>
      <w:proofErr w:type="spellStart"/>
      <w:r w:rsidRPr="00F2249F">
        <w:rPr>
          <w:rFonts w:ascii="Times New Roman" w:hAnsi="Times New Roman" w:cs="Times New Roman"/>
          <w:sz w:val="24"/>
          <w:szCs w:val="24"/>
        </w:rPr>
        <w:t>Inc</w:t>
      </w:r>
      <w:proofErr w:type="spellEnd"/>
      <w:r w:rsidRPr="00F2249F">
        <w:rPr>
          <w:rFonts w:ascii="Times New Roman" w:hAnsi="Times New Roman" w:cs="Times New Roman"/>
          <w:sz w:val="24"/>
          <w:szCs w:val="24"/>
        </w:rPr>
        <w:t>. bol plne digitálny a uznávaný všetkými vnútroštátnymi orgánmi.</w:t>
      </w:r>
    </w:p>
    <w:p w14:paraId="64CBF905" w14:textId="033ACFB5" w:rsidR="00B03E8D" w:rsidRPr="00F2249F" w:rsidRDefault="009B1EC3" w:rsidP="00E64792">
      <w:pPr>
        <w:pStyle w:val="Vchodzie"/>
        <w:ind w:left="284"/>
        <w:jc w:val="both"/>
        <w:rPr>
          <w:rFonts w:ascii="Times New Roman" w:hAnsi="Times New Roman" w:cs="Times New Roman"/>
          <w:sz w:val="24"/>
          <w:szCs w:val="24"/>
        </w:rPr>
      </w:pPr>
      <w:r w:rsidRPr="00F2249F">
        <w:rPr>
          <w:rFonts w:ascii="Times New Roman" w:hAnsi="Times New Roman" w:cs="Times New Roman"/>
          <w:b/>
          <w:sz w:val="24"/>
          <w:szCs w:val="24"/>
        </w:rPr>
        <w:t>Posúdenie súladu so zásadou subsidiarity</w:t>
      </w:r>
      <w:r w:rsidRPr="00F2249F">
        <w:rPr>
          <w:rFonts w:ascii="Times New Roman" w:hAnsi="Times New Roman" w:cs="Times New Roman"/>
          <w:sz w:val="24"/>
          <w:szCs w:val="24"/>
        </w:rPr>
        <w:t>: Slovenská republika má za to, že návrh je v súlade so zásadou subsidiarity. Cezhraničná harmonizácia, jednotná značka EÚ a plne digitálne postupy v cezhraničných situáciách  nemôžu byť uspokojivo dosiahnuté na úrovni členských štátov a ich rozsah a účinky si vyžadujú opatrenie na úrovni Európskej Únie.</w:t>
      </w:r>
    </w:p>
    <w:p w14:paraId="6FB391A1" w14:textId="77777777" w:rsidR="006871D2" w:rsidRPr="00F2249F" w:rsidRDefault="006871D2" w:rsidP="006871D2">
      <w:pPr>
        <w:pStyle w:val="Normlnywebov"/>
        <w:spacing w:after="240" w:line="276" w:lineRule="auto"/>
        <w:ind w:left="425" w:hanging="425"/>
        <w:jc w:val="both"/>
        <w:rPr>
          <w:color w:val="000000"/>
        </w:rPr>
      </w:pPr>
      <w:r w:rsidRPr="00F2249F">
        <w:rPr>
          <w:b/>
          <w:bCs/>
          <w:color w:val="000000"/>
        </w:rPr>
        <w:t>II.</w:t>
      </w:r>
      <w:r w:rsidRPr="00F2249F">
        <w:rPr>
          <w:color w:val="000000"/>
        </w:rPr>
        <w:t xml:space="preserve"> </w:t>
      </w:r>
      <w:r w:rsidRPr="00F2249F">
        <w:rPr>
          <w:b/>
          <w:bCs/>
          <w:color w:val="000000"/>
          <w:u w:val="single"/>
        </w:rPr>
        <w:t>DOPLNENÉ PREDBEŽNÉ STANOVISKO</w:t>
      </w:r>
    </w:p>
    <w:p w14:paraId="56E6B38A" w14:textId="223F934A" w:rsidR="006871D2" w:rsidRPr="00F71BD6" w:rsidRDefault="006871D2" w:rsidP="00F71BD6">
      <w:pPr>
        <w:pStyle w:val="Vchodzie"/>
        <w:numPr>
          <w:ilvl w:val="0"/>
          <w:numId w:val="1"/>
        </w:numPr>
        <w:ind w:left="284"/>
        <w:jc w:val="both"/>
        <w:rPr>
          <w:rFonts w:ascii="Times New Roman" w:hAnsi="Times New Roman" w:cs="Times New Roman"/>
          <w:b/>
          <w:sz w:val="24"/>
          <w:szCs w:val="24"/>
        </w:rPr>
      </w:pPr>
      <w:r w:rsidRPr="00F71BD6">
        <w:rPr>
          <w:rFonts w:ascii="Times New Roman" w:hAnsi="Times New Roman" w:cs="Times New Roman"/>
          <w:b/>
          <w:bCs/>
          <w:sz w:val="24"/>
          <w:szCs w:val="24"/>
        </w:rPr>
        <w:t>Hodnotenie</w:t>
      </w:r>
      <w:r w:rsidRPr="00F71BD6">
        <w:rPr>
          <w:rFonts w:ascii="Times New Roman" w:hAnsi="Times New Roman" w:cs="Times New Roman"/>
          <w:b/>
          <w:sz w:val="24"/>
          <w:szCs w:val="24"/>
        </w:rPr>
        <w:t xml:space="preserve"> obsahu a cieľov návrhu z pohľadu priorít a záujmov Slovenskej republiky </w:t>
      </w:r>
    </w:p>
    <w:p w14:paraId="1C8CF5F1" w14:textId="4366CBF4" w:rsidR="003912D3" w:rsidRPr="00F2249F" w:rsidRDefault="003912D3" w:rsidP="003A23B7">
      <w:pPr>
        <w:pStyle w:val="Vchodzie"/>
        <w:ind w:left="284"/>
        <w:jc w:val="both"/>
        <w:rPr>
          <w:rFonts w:ascii="Times New Roman" w:hAnsi="Times New Roman" w:cs="Times New Roman"/>
          <w:b/>
          <w:sz w:val="24"/>
          <w:szCs w:val="24"/>
        </w:rPr>
      </w:pPr>
      <w:r w:rsidRPr="00F2249F">
        <w:rPr>
          <w:rFonts w:ascii="Times New Roman" w:hAnsi="Times New Roman" w:cs="Times New Roman"/>
          <w:b/>
          <w:sz w:val="24"/>
          <w:szCs w:val="24"/>
        </w:rPr>
        <w:t>Právny základ návrhu</w:t>
      </w:r>
    </w:p>
    <w:p w14:paraId="5109C270" w14:textId="77777777" w:rsidR="0074466C" w:rsidRPr="00F2249F" w:rsidRDefault="0074466C" w:rsidP="003A23B7">
      <w:pPr>
        <w:pStyle w:val="Vchodzie"/>
        <w:ind w:left="284"/>
        <w:jc w:val="both"/>
        <w:rPr>
          <w:rFonts w:ascii="Times New Roman" w:hAnsi="Times New Roman" w:cs="Times New Roman"/>
          <w:sz w:val="24"/>
          <w:szCs w:val="24"/>
        </w:rPr>
      </w:pPr>
      <w:r w:rsidRPr="00F2249F">
        <w:rPr>
          <w:rFonts w:ascii="Times New Roman" w:hAnsi="Times New Roman" w:cs="Times New Roman"/>
          <w:sz w:val="24"/>
          <w:szCs w:val="24"/>
        </w:rPr>
        <w:t xml:space="preserve">Pre návrh nariadenia bol zvolený ako právny základ článok 114 Zmluvy o fungovaní Európskej únie (ďalej aj ako „ZFEÚ“). Toto ustanovenie predstavuje právny základ pre harmonizáciu vnútroštátnych právnych predpisov, ktorá je nevyhnutná pre fungovanie vnútorného trhu. Vyžaduje si kvalifikovanú väčšinu v Rade. </w:t>
      </w:r>
    </w:p>
    <w:p w14:paraId="6D9D9B2B" w14:textId="77777777" w:rsidR="0074466C" w:rsidRPr="00F2249F" w:rsidRDefault="0074466C" w:rsidP="003A23B7">
      <w:pPr>
        <w:pStyle w:val="Vchodzie"/>
        <w:ind w:left="284"/>
        <w:jc w:val="both"/>
        <w:rPr>
          <w:rFonts w:ascii="Times New Roman" w:hAnsi="Times New Roman" w:cs="Times New Roman"/>
          <w:b/>
          <w:sz w:val="24"/>
          <w:szCs w:val="24"/>
          <w:u w:val="single"/>
        </w:rPr>
      </w:pPr>
      <w:r w:rsidRPr="00F2249F">
        <w:rPr>
          <w:rFonts w:ascii="Times New Roman" w:hAnsi="Times New Roman" w:cs="Times New Roman"/>
          <w:b/>
          <w:sz w:val="24"/>
          <w:szCs w:val="24"/>
          <w:u w:val="single"/>
        </w:rPr>
        <w:t>Pozícia SR:</w:t>
      </w:r>
    </w:p>
    <w:p w14:paraId="5256C205" w14:textId="3277CF0B" w:rsidR="0074466C" w:rsidRPr="00F2249F" w:rsidRDefault="0074466C" w:rsidP="003A23B7">
      <w:pPr>
        <w:pStyle w:val="Vchodzie"/>
        <w:ind w:left="284"/>
        <w:jc w:val="both"/>
        <w:rPr>
          <w:rFonts w:ascii="Times New Roman" w:hAnsi="Times New Roman" w:cs="Times New Roman"/>
          <w:i/>
          <w:sz w:val="24"/>
          <w:szCs w:val="24"/>
        </w:rPr>
      </w:pPr>
      <w:r w:rsidRPr="00F2249F">
        <w:rPr>
          <w:rFonts w:ascii="Times New Roman" w:hAnsi="Times New Roman" w:cs="Times New Roman"/>
          <w:i/>
          <w:sz w:val="24"/>
          <w:szCs w:val="24"/>
        </w:rPr>
        <w:t xml:space="preserve">Slovenská republika má k navrhovanému právnemu základu výhrady a nepovažuje ho za správny. Podľa názoru Slovenskej republiky je vhodným právnym základom pre vytvorenie novej európskej právnej formy obchodnej spoločnosti (čo bol pôvodný cieľ vytvorenia 28. režimu) článok </w:t>
      </w:r>
      <w:r w:rsidR="00B22868" w:rsidRPr="00F2249F">
        <w:rPr>
          <w:rFonts w:ascii="Times New Roman" w:hAnsi="Times New Roman" w:cs="Times New Roman"/>
          <w:i/>
          <w:sz w:val="24"/>
          <w:szCs w:val="24"/>
        </w:rPr>
        <w:t>50</w:t>
      </w:r>
      <w:r w:rsidRPr="00F2249F">
        <w:rPr>
          <w:rFonts w:ascii="Times New Roman" w:hAnsi="Times New Roman" w:cs="Times New Roman"/>
          <w:i/>
          <w:sz w:val="24"/>
          <w:szCs w:val="24"/>
        </w:rPr>
        <w:t xml:space="preserve"> ZFEÚ</w:t>
      </w:r>
      <w:r w:rsidR="00B22868" w:rsidRPr="00F2249F">
        <w:rPr>
          <w:rFonts w:ascii="Times New Roman" w:hAnsi="Times New Roman" w:cs="Times New Roman"/>
          <w:i/>
          <w:sz w:val="24"/>
          <w:szCs w:val="24"/>
        </w:rPr>
        <w:t>, prípadne kombinácia článkov 50 a 114 ZFEÚ</w:t>
      </w:r>
      <w:r w:rsidRPr="00F2249F">
        <w:rPr>
          <w:rFonts w:ascii="Times New Roman" w:hAnsi="Times New Roman" w:cs="Times New Roman"/>
          <w:i/>
          <w:sz w:val="24"/>
          <w:szCs w:val="24"/>
        </w:rPr>
        <w:t xml:space="preserve">.  </w:t>
      </w:r>
    </w:p>
    <w:p w14:paraId="2D7844DC" w14:textId="20D64761" w:rsidR="0074466C" w:rsidRPr="00F2249F" w:rsidRDefault="0074466C" w:rsidP="003A23B7">
      <w:pPr>
        <w:pStyle w:val="Vchodzie"/>
        <w:ind w:left="284"/>
        <w:jc w:val="both"/>
        <w:rPr>
          <w:rFonts w:ascii="Times New Roman" w:hAnsi="Times New Roman" w:cs="Times New Roman"/>
          <w:i/>
          <w:sz w:val="24"/>
          <w:szCs w:val="24"/>
        </w:rPr>
      </w:pPr>
      <w:r w:rsidRPr="00F2249F">
        <w:rPr>
          <w:rFonts w:ascii="Times New Roman" w:hAnsi="Times New Roman" w:cs="Times New Roman"/>
          <w:i/>
          <w:sz w:val="24"/>
          <w:szCs w:val="24"/>
        </w:rPr>
        <w:t xml:space="preserve">Použitie nesprávneho právneho základu by mohlo vytvoriť právnu neistotu pre budúce spoločnosti vo forme EU </w:t>
      </w:r>
      <w:proofErr w:type="spellStart"/>
      <w:r w:rsidRPr="00F2249F">
        <w:rPr>
          <w:rFonts w:ascii="Times New Roman" w:hAnsi="Times New Roman" w:cs="Times New Roman"/>
          <w:i/>
          <w:sz w:val="24"/>
          <w:szCs w:val="24"/>
        </w:rPr>
        <w:t>Inc</w:t>
      </w:r>
      <w:proofErr w:type="spellEnd"/>
      <w:r w:rsidRPr="00F2249F">
        <w:rPr>
          <w:rFonts w:ascii="Times New Roman" w:hAnsi="Times New Roman" w:cs="Times New Roman"/>
          <w:i/>
          <w:sz w:val="24"/>
          <w:szCs w:val="24"/>
        </w:rPr>
        <w:t xml:space="preserve"> a negatívne ovplyvniť dôveryhodnosť právneho rámca Európskej únie. Okrem toho vytvorí využitie právneho základu podľa čl. 114 v oblasti </w:t>
      </w:r>
      <w:proofErr w:type="spellStart"/>
      <w:r w:rsidRPr="00F2249F">
        <w:rPr>
          <w:rFonts w:ascii="Times New Roman" w:hAnsi="Times New Roman" w:cs="Times New Roman"/>
          <w:i/>
          <w:sz w:val="24"/>
          <w:szCs w:val="24"/>
        </w:rPr>
        <w:t>korporátneho</w:t>
      </w:r>
      <w:proofErr w:type="spellEnd"/>
      <w:r w:rsidRPr="00F2249F">
        <w:rPr>
          <w:rFonts w:ascii="Times New Roman" w:hAnsi="Times New Roman" w:cs="Times New Roman"/>
          <w:i/>
          <w:sz w:val="24"/>
          <w:szCs w:val="24"/>
        </w:rPr>
        <w:t xml:space="preserve"> práva nevhodný precedens, na základe ktorého bude Európska komisia predkladať budúce návrhy vo forme nariadenia. </w:t>
      </w:r>
    </w:p>
    <w:p w14:paraId="13B078A6" w14:textId="77777777" w:rsidR="00B22868" w:rsidRPr="00F2249F" w:rsidRDefault="00B22868" w:rsidP="003A23B7">
      <w:pPr>
        <w:pStyle w:val="Vchodzie"/>
        <w:ind w:left="284"/>
        <w:jc w:val="both"/>
        <w:rPr>
          <w:rFonts w:ascii="Times New Roman" w:hAnsi="Times New Roman" w:cs="Times New Roman"/>
          <w:i/>
          <w:sz w:val="24"/>
          <w:szCs w:val="24"/>
        </w:rPr>
      </w:pPr>
      <w:r w:rsidRPr="00F2249F">
        <w:rPr>
          <w:rFonts w:ascii="Times New Roman" w:hAnsi="Times New Roman" w:cs="Times New Roman"/>
          <w:i/>
          <w:sz w:val="24"/>
          <w:szCs w:val="24"/>
        </w:rPr>
        <w:t xml:space="preserve">Právo obchodných spoločností EÚ sa tradične opiera o článok 50 ZFEÚ, ktorý slúži na podporu slobody usadiť sa prostredníctvom koordinácie vnútroštátnych úprav, a doplnkovo o článok 114 ZFEÚ, ktorý umožňuje aproximáciu právnych predpisov na účely fungovania vnútorného trhu. Obe ustanovenia majú harmonizačný charakter a vyžadujú si kvalifikovanú väčšinu v Rade. Článok 50 ZFEÚ si vyžaduje formu smernice a čl. 114 ZFEÚ umožňuje formu nariadenia. Článok 50 ZFEÚ predstavuje osobitnú normu (lex </w:t>
      </w:r>
      <w:proofErr w:type="spellStart"/>
      <w:r w:rsidRPr="00F2249F">
        <w:rPr>
          <w:rFonts w:ascii="Times New Roman" w:hAnsi="Times New Roman" w:cs="Times New Roman"/>
          <w:i/>
          <w:sz w:val="24"/>
          <w:szCs w:val="24"/>
        </w:rPr>
        <w:t>specialis</w:t>
      </w:r>
      <w:proofErr w:type="spellEnd"/>
      <w:r w:rsidRPr="00F2249F">
        <w:rPr>
          <w:rFonts w:ascii="Times New Roman" w:hAnsi="Times New Roman" w:cs="Times New Roman"/>
          <w:i/>
          <w:sz w:val="24"/>
          <w:szCs w:val="24"/>
        </w:rPr>
        <w:t xml:space="preserve">) k čl. 114 ZFEÚ (lex </w:t>
      </w:r>
      <w:proofErr w:type="spellStart"/>
      <w:r w:rsidRPr="00F2249F">
        <w:rPr>
          <w:rFonts w:ascii="Times New Roman" w:hAnsi="Times New Roman" w:cs="Times New Roman"/>
          <w:i/>
          <w:sz w:val="24"/>
          <w:szCs w:val="24"/>
        </w:rPr>
        <w:t>generalis</w:t>
      </w:r>
      <w:proofErr w:type="spellEnd"/>
      <w:r w:rsidRPr="00F2249F">
        <w:rPr>
          <w:rFonts w:ascii="Times New Roman" w:hAnsi="Times New Roman" w:cs="Times New Roman"/>
          <w:i/>
          <w:sz w:val="24"/>
          <w:szCs w:val="24"/>
        </w:rPr>
        <w:t xml:space="preserve">). </w:t>
      </w:r>
    </w:p>
    <w:p w14:paraId="7411385E" w14:textId="53AC539A" w:rsidR="00B22868" w:rsidRPr="00F2249F" w:rsidRDefault="00B22868" w:rsidP="003A23B7">
      <w:pPr>
        <w:pStyle w:val="Vchodzie"/>
        <w:ind w:left="284"/>
        <w:jc w:val="both"/>
        <w:rPr>
          <w:rFonts w:ascii="Times New Roman" w:hAnsi="Times New Roman" w:cs="Times New Roman"/>
          <w:i/>
          <w:sz w:val="24"/>
          <w:szCs w:val="24"/>
        </w:rPr>
      </w:pPr>
      <w:r w:rsidRPr="00F2249F">
        <w:rPr>
          <w:rFonts w:ascii="Times New Roman" w:hAnsi="Times New Roman" w:cs="Times New Roman"/>
          <w:i/>
          <w:sz w:val="24"/>
          <w:szCs w:val="24"/>
        </w:rPr>
        <w:t>Článok 352 ZFEÚ, ktorý si vyžaduje jednomyseľnosť, slúži na prijatie opatrení, ktoré presahujú rámec harmonizácie a vytvárajú nové právne konštrukcie, na ktoré Zmluvy neposkytujú osobitný právny základ.</w:t>
      </w:r>
    </w:p>
    <w:p w14:paraId="7CB67237" w14:textId="197AA113" w:rsidR="0074466C" w:rsidRPr="00F2249F" w:rsidRDefault="0074466C" w:rsidP="003A23B7">
      <w:pPr>
        <w:pStyle w:val="Vchodzie"/>
        <w:ind w:left="284"/>
        <w:jc w:val="both"/>
        <w:rPr>
          <w:rFonts w:ascii="Times New Roman" w:hAnsi="Times New Roman" w:cs="Times New Roman"/>
          <w:i/>
          <w:sz w:val="24"/>
          <w:szCs w:val="24"/>
        </w:rPr>
      </w:pPr>
      <w:r w:rsidRPr="00F2249F">
        <w:rPr>
          <w:rFonts w:ascii="Times New Roman" w:hAnsi="Times New Roman" w:cs="Times New Roman"/>
          <w:i/>
          <w:sz w:val="24"/>
          <w:szCs w:val="24"/>
        </w:rPr>
        <w:t xml:space="preserve">Všetky doterajšie nástroje Únie, ktorými boli vytvorené nové európske formy subjektov v oblasti práva obchodných spoločností, vrátane Európskeho zoskupenia hospodárskych záujmov (EZHZ, Nariadenie Rady (EHS) č. 2137/85 z 25. júla 1985 o Európskom zoskupení hospodárskych záujmov), Európskej spoločnosti (SE, Nariadenie Rady (ES) č. 2157/2001 z </w:t>
      </w:r>
      <w:r w:rsidRPr="00F2249F">
        <w:rPr>
          <w:rFonts w:ascii="Times New Roman" w:hAnsi="Times New Roman" w:cs="Times New Roman"/>
          <w:i/>
          <w:sz w:val="24"/>
          <w:szCs w:val="24"/>
        </w:rPr>
        <w:lastRenderedPageBreak/>
        <w:t>8. októbra 2001 o stanovách európskej spoločnosti) a Európskeho družstva (SCE, Nariadenie Rady (ES) č. 1435/2003 z 22. júla 2003 o stanovách Európskeho družstva), boli prijaté na základe flexibilnej klauzuly podľa vtedajšieho článku 235 alebo 308 Zmluvy ES (dnes článok 352 ZFEÚ). Tento právny základ sa uplatňuje v prípadoch, keď sledovaný cieľ patrí medzi ciele Únie, avšak Zmluvy neposkytujú osobitnú právomoc potrebnú na jeho dosiahnutie.</w:t>
      </w:r>
    </w:p>
    <w:p w14:paraId="0EF80B13" w14:textId="77777777" w:rsidR="0074466C" w:rsidRPr="00F2249F" w:rsidRDefault="0074466C" w:rsidP="003A23B7">
      <w:pPr>
        <w:pStyle w:val="Vchodzie"/>
        <w:ind w:left="284"/>
        <w:jc w:val="both"/>
        <w:rPr>
          <w:rFonts w:ascii="Times New Roman" w:hAnsi="Times New Roman" w:cs="Times New Roman"/>
          <w:i/>
          <w:sz w:val="24"/>
          <w:szCs w:val="24"/>
        </w:rPr>
      </w:pPr>
      <w:r w:rsidRPr="00F2249F">
        <w:rPr>
          <w:rFonts w:ascii="Times New Roman" w:hAnsi="Times New Roman" w:cs="Times New Roman"/>
          <w:i/>
          <w:sz w:val="24"/>
          <w:szCs w:val="24"/>
        </w:rPr>
        <w:t xml:space="preserve">Aj v prípade Európskej spoločnosti a Európskeho družstva navrhovala Európska komisia pôvodne čl. 114 ako právny základ týchto nástrojov, Rada však nahradila tento právny základ článkom 352. Ďalšie rozpory medzi inštitúciami v tejto veci boli vyriešené rozsudkom C-436/03, ktorý sa týkal určenia právneho základu pre Európske družstvo. Súdny dvor v ňom zdôraznil, že právny základ aktu musí byť určený podľa jeho obsahu a hlavného cieľa. Zároveň konštatoval, že článok 114 ZFEÚ možno použiť len na opatrenia, ktoré skutočne smerujú k zlepšeniu podmienok fungovania vnútorného trhu prostredníctvom harmonizácie vnútroštátnych právnych úprav. </w:t>
      </w:r>
    </w:p>
    <w:p w14:paraId="565D0368" w14:textId="77777777" w:rsidR="0074466C" w:rsidRPr="00F2249F" w:rsidRDefault="0074466C" w:rsidP="003A23B7">
      <w:pPr>
        <w:pStyle w:val="Vchodzie"/>
        <w:ind w:left="284"/>
        <w:jc w:val="both"/>
        <w:rPr>
          <w:rFonts w:ascii="Times New Roman" w:hAnsi="Times New Roman" w:cs="Times New Roman"/>
          <w:i/>
          <w:sz w:val="24"/>
          <w:szCs w:val="24"/>
        </w:rPr>
      </w:pPr>
      <w:r w:rsidRPr="00F2249F">
        <w:rPr>
          <w:rFonts w:ascii="Times New Roman" w:hAnsi="Times New Roman" w:cs="Times New Roman"/>
          <w:i/>
          <w:sz w:val="24"/>
          <w:szCs w:val="24"/>
        </w:rPr>
        <w:t>Vo vzťahu k vzniknutému Európskemu družstvu Súd uzavrel, že „Nariadenie č. 1435/2003 o stanovách Európskeho družstva (SCE) však sleduje zavedenie novej právnej formy, ktorá je nadradená nad vnútroštátne formy družstiev, podľa ktorých sa má SCE považovať za európsku právnu formu družstiev s osobitným a komunitárnym charakterom. Právna forma SCE sa totiž spravuje prednostne týmto nariadením, podmienky jeho založenia sú špecifické pre túto právnu formu. Pre SCE je takisto špecifická možnosť, ktorá spočíva v premiestnení jeho štatutárneho sídla z jedného členského štátu do iného, bez toho, aby toto premiestnenie viedlo k jeho zrušeniu alebo k vzniku novej právnickej osoby. Preto forma európskeho družstva existuje paralelne popri forme družstiev založených podľa vnútroštátneho práva.“</w:t>
      </w:r>
    </w:p>
    <w:p w14:paraId="65E63FC6" w14:textId="10821585" w:rsidR="0074466C" w:rsidRPr="00F2249F" w:rsidRDefault="0074466C" w:rsidP="003A23B7">
      <w:pPr>
        <w:pStyle w:val="Vchodzie"/>
        <w:ind w:left="284"/>
        <w:jc w:val="both"/>
        <w:rPr>
          <w:rFonts w:ascii="Times New Roman" w:hAnsi="Times New Roman" w:cs="Times New Roman"/>
          <w:i/>
          <w:sz w:val="24"/>
          <w:szCs w:val="24"/>
        </w:rPr>
      </w:pPr>
      <w:r w:rsidRPr="00F2249F">
        <w:rPr>
          <w:rFonts w:ascii="Times New Roman" w:hAnsi="Times New Roman" w:cs="Times New Roman"/>
          <w:i/>
          <w:sz w:val="24"/>
          <w:szCs w:val="24"/>
        </w:rPr>
        <w:t xml:space="preserve">Podobné charakteristiky vykazuje aj navrhovaná forma EU </w:t>
      </w:r>
      <w:proofErr w:type="spellStart"/>
      <w:r w:rsidRPr="00F2249F">
        <w:rPr>
          <w:rFonts w:ascii="Times New Roman" w:hAnsi="Times New Roman" w:cs="Times New Roman"/>
          <w:i/>
          <w:sz w:val="24"/>
          <w:szCs w:val="24"/>
        </w:rPr>
        <w:t>Inc</w:t>
      </w:r>
      <w:proofErr w:type="spellEnd"/>
      <w:r w:rsidRPr="00F2249F">
        <w:rPr>
          <w:rFonts w:ascii="Times New Roman" w:hAnsi="Times New Roman" w:cs="Times New Roman"/>
          <w:i/>
          <w:sz w:val="24"/>
          <w:szCs w:val="24"/>
        </w:rPr>
        <w:t xml:space="preserve">. Hoci Európska komisia v návrhu nariadenia EU </w:t>
      </w:r>
      <w:proofErr w:type="spellStart"/>
      <w:r w:rsidRPr="00F2249F">
        <w:rPr>
          <w:rFonts w:ascii="Times New Roman" w:hAnsi="Times New Roman" w:cs="Times New Roman"/>
          <w:i/>
          <w:sz w:val="24"/>
          <w:szCs w:val="24"/>
        </w:rPr>
        <w:t>Inc</w:t>
      </w:r>
      <w:proofErr w:type="spellEnd"/>
      <w:r w:rsidRPr="00F2249F">
        <w:rPr>
          <w:rFonts w:ascii="Times New Roman" w:hAnsi="Times New Roman" w:cs="Times New Roman"/>
          <w:i/>
          <w:sz w:val="24"/>
          <w:szCs w:val="24"/>
        </w:rPr>
        <w:t xml:space="preserve">. charakterizuje ako harmonizáciu </w:t>
      </w:r>
      <w:proofErr w:type="spellStart"/>
      <w:r w:rsidRPr="00F2249F">
        <w:rPr>
          <w:rFonts w:ascii="Times New Roman" w:hAnsi="Times New Roman" w:cs="Times New Roman"/>
          <w:i/>
          <w:sz w:val="24"/>
          <w:szCs w:val="24"/>
        </w:rPr>
        <w:t>korporátneho</w:t>
      </w:r>
      <w:proofErr w:type="spellEnd"/>
      <w:r w:rsidRPr="00F2249F">
        <w:rPr>
          <w:rFonts w:ascii="Times New Roman" w:hAnsi="Times New Roman" w:cs="Times New Roman"/>
          <w:i/>
          <w:sz w:val="24"/>
          <w:szCs w:val="24"/>
        </w:rPr>
        <w:t xml:space="preserve"> rámca a novú harmonizovanú právnu formu kapitálovej spoločnosti, v texte sa tiež uvádza že EU </w:t>
      </w:r>
      <w:proofErr w:type="spellStart"/>
      <w:r w:rsidRPr="00F2249F">
        <w:rPr>
          <w:rFonts w:ascii="Times New Roman" w:hAnsi="Times New Roman" w:cs="Times New Roman"/>
          <w:i/>
          <w:sz w:val="24"/>
          <w:szCs w:val="24"/>
        </w:rPr>
        <w:t>Inc</w:t>
      </w:r>
      <w:proofErr w:type="spellEnd"/>
      <w:r w:rsidRPr="00F2249F">
        <w:rPr>
          <w:rFonts w:ascii="Times New Roman" w:hAnsi="Times New Roman" w:cs="Times New Roman"/>
          <w:i/>
          <w:sz w:val="24"/>
          <w:szCs w:val="24"/>
        </w:rPr>
        <w:t xml:space="preserve">. sa „spravuje návrhom nariadenia a svojimi stanovami, ktoré musia byť v súlade s nariadením.“ Vnútroštátnym právom sa spravujú „veci, ktoré nie sú pokryté týmto nariadením a stanovami“ (čl. 4 návrhu). Uvádza tiež, že „EU </w:t>
      </w:r>
      <w:proofErr w:type="spellStart"/>
      <w:r w:rsidRPr="00F2249F">
        <w:rPr>
          <w:rFonts w:ascii="Times New Roman" w:hAnsi="Times New Roman" w:cs="Times New Roman"/>
          <w:i/>
          <w:sz w:val="24"/>
          <w:szCs w:val="24"/>
        </w:rPr>
        <w:t>Inc</w:t>
      </w:r>
      <w:proofErr w:type="spellEnd"/>
      <w:r w:rsidRPr="00F2249F">
        <w:rPr>
          <w:rFonts w:ascii="Times New Roman" w:hAnsi="Times New Roman" w:cs="Times New Roman"/>
          <w:i/>
          <w:sz w:val="24"/>
          <w:szCs w:val="24"/>
        </w:rPr>
        <w:t xml:space="preserve">. sa spravujú spoločným a unifikovaným </w:t>
      </w:r>
      <w:proofErr w:type="spellStart"/>
      <w:r w:rsidRPr="00F2249F">
        <w:rPr>
          <w:rFonts w:ascii="Times New Roman" w:hAnsi="Times New Roman" w:cs="Times New Roman"/>
          <w:i/>
          <w:sz w:val="24"/>
          <w:szCs w:val="24"/>
        </w:rPr>
        <w:t>korporátnym</w:t>
      </w:r>
      <w:proofErr w:type="spellEnd"/>
      <w:r w:rsidRPr="00F2249F">
        <w:rPr>
          <w:rFonts w:ascii="Times New Roman" w:hAnsi="Times New Roman" w:cs="Times New Roman"/>
          <w:i/>
          <w:sz w:val="24"/>
          <w:szCs w:val="24"/>
        </w:rPr>
        <w:t xml:space="preserve"> právnym rámcom“ (bod preambuly 6). Je teda zrejmé, že aj EU </w:t>
      </w:r>
      <w:proofErr w:type="spellStart"/>
      <w:r w:rsidRPr="00F2249F">
        <w:rPr>
          <w:rFonts w:ascii="Times New Roman" w:hAnsi="Times New Roman" w:cs="Times New Roman"/>
          <w:i/>
          <w:sz w:val="24"/>
          <w:szCs w:val="24"/>
        </w:rPr>
        <w:t>Inc</w:t>
      </w:r>
      <w:proofErr w:type="spellEnd"/>
      <w:r w:rsidRPr="00F2249F">
        <w:rPr>
          <w:rFonts w:ascii="Times New Roman" w:hAnsi="Times New Roman" w:cs="Times New Roman"/>
          <w:i/>
          <w:sz w:val="24"/>
          <w:szCs w:val="24"/>
        </w:rPr>
        <w:t xml:space="preserve">. sa spravuje prednostne navrhovaným nariadením. Forma EU </w:t>
      </w:r>
      <w:proofErr w:type="spellStart"/>
      <w:r w:rsidRPr="00F2249F">
        <w:rPr>
          <w:rFonts w:ascii="Times New Roman" w:hAnsi="Times New Roman" w:cs="Times New Roman"/>
          <w:i/>
          <w:sz w:val="24"/>
          <w:szCs w:val="24"/>
        </w:rPr>
        <w:t>Inc</w:t>
      </w:r>
      <w:proofErr w:type="spellEnd"/>
      <w:r w:rsidRPr="00F2249F">
        <w:rPr>
          <w:rFonts w:ascii="Times New Roman" w:hAnsi="Times New Roman" w:cs="Times New Roman"/>
          <w:i/>
          <w:sz w:val="24"/>
          <w:szCs w:val="24"/>
        </w:rPr>
        <w:t xml:space="preserve">. bude existovať paralelne popri iných formách kapitálových spoločností založených podľa vnútroštátneho práva. </w:t>
      </w:r>
    </w:p>
    <w:p w14:paraId="4C70B387" w14:textId="77777777" w:rsidR="0074466C" w:rsidRPr="00F2249F" w:rsidRDefault="0074466C" w:rsidP="003A23B7">
      <w:pPr>
        <w:pStyle w:val="Vchodzie"/>
        <w:ind w:left="284"/>
        <w:jc w:val="both"/>
        <w:rPr>
          <w:rFonts w:ascii="Times New Roman" w:hAnsi="Times New Roman" w:cs="Times New Roman"/>
          <w:i/>
          <w:sz w:val="24"/>
          <w:szCs w:val="24"/>
        </w:rPr>
      </w:pPr>
      <w:r w:rsidRPr="00F2249F">
        <w:rPr>
          <w:rFonts w:ascii="Times New Roman" w:hAnsi="Times New Roman" w:cs="Times New Roman"/>
          <w:i/>
          <w:sz w:val="24"/>
          <w:szCs w:val="24"/>
        </w:rPr>
        <w:t xml:space="preserve">Podmienky založenia (a vzniku) EU </w:t>
      </w:r>
      <w:proofErr w:type="spellStart"/>
      <w:r w:rsidRPr="00F2249F">
        <w:rPr>
          <w:rFonts w:ascii="Times New Roman" w:hAnsi="Times New Roman" w:cs="Times New Roman"/>
          <w:i/>
          <w:sz w:val="24"/>
          <w:szCs w:val="24"/>
        </w:rPr>
        <w:t>Inc</w:t>
      </w:r>
      <w:proofErr w:type="spellEnd"/>
      <w:r w:rsidRPr="00F2249F">
        <w:rPr>
          <w:rFonts w:ascii="Times New Roman" w:hAnsi="Times New Roman" w:cs="Times New Roman"/>
          <w:i/>
          <w:sz w:val="24"/>
          <w:szCs w:val="24"/>
        </w:rPr>
        <w:t xml:space="preserve">. budú tiež špecifické pre jej právnu formu, keďže sa navrhuje unifikovaná úprava pre jej obchodné meno (čl. 6) a jeho kontrolu pri založení, strojovo čitateľné dvojjazyčné stanovy (čl. 7 a 8), či rýchly, digitálny a finančne dostupný postup založenia a registrácie  cez unifikované európske rozhranie (čl. 13, 14, 15, 16, 18). Návrh však ide ešte ďalej, presadzuje princíp „iba raz“ pri vzniku spoločnosti, podľa ktorého obchodný register po vzniku spoločnosti informuje vybrané registre o vzniku spoločnosti, aby s nimi nemusela osobitne komunikovať spoločnosť. </w:t>
      </w:r>
    </w:p>
    <w:p w14:paraId="22F713FC" w14:textId="6585A8F6" w:rsidR="0074466C" w:rsidRPr="00F2249F" w:rsidRDefault="0074466C" w:rsidP="003A23B7">
      <w:pPr>
        <w:pStyle w:val="Vchodzie"/>
        <w:ind w:left="284"/>
        <w:jc w:val="both"/>
        <w:rPr>
          <w:rFonts w:ascii="Times New Roman" w:hAnsi="Times New Roman" w:cs="Times New Roman"/>
          <w:i/>
          <w:sz w:val="24"/>
          <w:szCs w:val="24"/>
        </w:rPr>
      </w:pPr>
      <w:r w:rsidRPr="00F2249F">
        <w:rPr>
          <w:rFonts w:ascii="Times New Roman" w:hAnsi="Times New Roman" w:cs="Times New Roman"/>
          <w:i/>
          <w:sz w:val="24"/>
          <w:szCs w:val="24"/>
        </w:rPr>
        <w:lastRenderedPageBreak/>
        <w:t>Pokiaľ ide o premiestnenie sídla spoločnosti je situácia komplikovanejšia, pretože medzičasom bola prijatá harmonizovaná úniová úprava (ide o smernicu Európskeho parlamentu a Rady (EÚ) 2019/2121 z 27. novembra 2019, ktorou sa mení smernica (EÚ) 2017/1132, pokiaľ ide o cezhraničné premeny, zlúčenia alebo splynutia a rozdelenia), na ktorú návrh nariadenia odkazuje</w:t>
      </w:r>
      <w:r w:rsidR="00B22868" w:rsidRPr="00F2249F">
        <w:rPr>
          <w:rFonts w:ascii="Times New Roman" w:hAnsi="Times New Roman" w:cs="Times New Roman"/>
          <w:i/>
          <w:sz w:val="24"/>
          <w:szCs w:val="24"/>
        </w:rPr>
        <w:t xml:space="preserve">. Základom oboch smerníc je však výlučne čl. 50 ods. 1 a 2 ZFEÚ </w:t>
      </w:r>
      <w:r w:rsidRPr="00F2249F">
        <w:rPr>
          <w:rFonts w:ascii="Times New Roman" w:hAnsi="Times New Roman" w:cs="Times New Roman"/>
          <w:i/>
          <w:sz w:val="24"/>
          <w:szCs w:val="24"/>
        </w:rPr>
        <w:t xml:space="preserve">. </w:t>
      </w:r>
    </w:p>
    <w:p w14:paraId="078CF5C4" w14:textId="77777777" w:rsidR="0074466C" w:rsidRPr="00F2249F" w:rsidRDefault="0074466C" w:rsidP="003A23B7">
      <w:pPr>
        <w:pStyle w:val="Vchodzie"/>
        <w:ind w:left="284"/>
        <w:jc w:val="both"/>
        <w:rPr>
          <w:rFonts w:ascii="Times New Roman" w:hAnsi="Times New Roman" w:cs="Times New Roman"/>
          <w:i/>
          <w:sz w:val="24"/>
          <w:szCs w:val="24"/>
        </w:rPr>
      </w:pPr>
      <w:r w:rsidRPr="00F2249F">
        <w:rPr>
          <w:rFonts w:ascii="Times New Roman" w:hAnsi="Times New Roman" w:cs="Times New Roman"/>
          <w:i/>
          <w:sz w:val="24"/>
          <w:szCs w:val="24"/>
        </w:rPr>
        <w:t xml:space="preserve">Nariadenie EU </w:t>
      </w:r>
      <w:proofErr w:type="spellStart"/>
      <w:r w:rsidRPr="00F2249F">
        <w:rPr>
          <w:rFonts w:ascii="Times New Roman" w:hAnsi="Times New Roman" w:cs="Times New Roman"/>
          <w:i/>
          <w:sz w:val="24"/>
          <w:szCs w:val="24"/>
        </w:rPr>
        <w:t>Inc</w:t>
      </w:r>
      <w:proofErr w:type="spellEnd"/>
      <w:r w:rsidRPr="00F2249F">
        <w:rPr>
          <w:rFonts w:ascii="Times New Roman" w:hAnsi="Times New Roman" w:cs="Times New Roman"/>
          <w:i/>
          <w:sz w:val="24"/>
          <w:szCs w:val="24"/>
        </w:rPr>
        <w:t xml:space="preserve">. však zavádza ďalšiu osobitnú charakteristiku EU </w:t>
      </w:r>
      <w:proofErr w:type="spellStart"/>
      <w:r w:rsidRPr="00F2249F">
        <w:rPr>
          <w:rFonts w:ascii="Times New Roman" w:hAnsi="Times New Roman" w:cs="Times New Roman"/>
          <w:i/>
          <w:sz w:val="24"/>
          <w:szCs w:val="24"/>
        </w:rPr>
        <w:t>Inc</w:t>
      </w:r>
      <w:proofErr w:type="spellEnd"/>
      <w:r w:rsidRPr="00F2249F">
        <w:rPr>
          <w:rFonts w:ascii="Times New Roman" w:hAnsi="Times New Roman" w:cs="Times New Roman"/>
          <w:i/>
          <w:sz w:val="24"/>
          <w:szCs w:val="24"/>
        </w:rPr>
        <w:t xml:space="preserve">., ktorá ju oddeľuje od vnútroštátnych kapitálových spoločností a tým je princíp „iba digitálne“ (čl. 10), ktorý stanovuje povinne digitálnu formu všetkých procesov v rozsahu pôsobnosti nariadenia. Táto charakteristika sa nespomínala v rozsudku C-436/03 jednoducho preto, že ju priniesla modernizácia technológií v posledných rokoch. </w:t>
      </w:r>
    </w:p>
    <w:p w14:paraId="7FDCE092" w14:textId="77777777" w:rsidR="0074466C" w:rsidRPr="00F2249F" w:rsidRDefault="0074466C" w:rsidP="003A23B7">
      <w:pPr>
        <w:pStyle w:val="Vchodzie"/>
        <w:ind w:left="284"/>
        <w:jc w:val="both"/>
        <w:rPr>
          <w:rFonts w:ascii="Times New Roman" w:hAnsi="Times New Roman" w:cs="Times New Roman"/>
          <w:i/>
          <w:sz w:val="24"/>
          <w:szCs w:val="24"/>
        </w:rPr>
      </w:pPr>
      <w:r w:rsidRPr="00F2249F">
        <w:rPr>
          <w:rFonts w:ascii="Times New Roman" w:hAnsi="Times New Roman" w:cs="Times New Roman"/>
          <w:i/>
          <w:sz w:val="24"/>
          <w:szCs w:val="24"/>
        </w:rPr>
        <w:t xml:space="preserve">Všetky tieto prvky spolu vytvárajú samostatný a komplexný </w:t>
      </w:r>
      <w:proofErr w:type="spellStart"/>
      <w:r w:rsidRPr="00F2249F">
        <w:rPr>
          <w:rFonts w:ascii="Times New Roman" w:hAnsi="Times New Roman" w:cs="Times New Roman"/>
          <w:i/>
          <w:sz w:val="24"/>
          <w:szCs w:val="24"/>
        </w:rPr>
        <w:t>korporátny</w:t>
      </w:r>
      <w:proofErr w:type="spellEnd"/>
      <w:r w:rsidRPr="00F2249F">
        <w:rPr>
          <w:rFonts w:ascii="Times New Roman" w:hAnsi="Times New Roman" w:cs="Times New Roman"/>
          <w:i/>
          <w:sz w:val="24"/>
          <w:szCs w:val="24"/>
        </w:rPr>
        <w:t xml:space="preserve"> režim, ktorý sa kvalitatívne odlišuje od harmonizácie vnútroštátneho práva.</w:t>
      </w:r>
    </w:p>
    <w:p w14:paraId="3AF66DA2" w14:textId="4DFCF1A7" w:rsidR="0074466C" w:rsidRPr="00F2249F" w:rsidRDefault="0074466C" w:rsidP="003A23B7">
      <w:pPr>
        <w:pStyle w:val="Vchodzie"/>
        <w:ind w:left="284"/>
        <w:jc w:val="both"/>
        <w:rPr>
          <w:rFonts w:ascii="Times New Roman" w:hAnsi="Times New Roman" w:cs="Times New Roman"/>
          <w:i/>
          <w:sz w:val="24"/>
          <w:szCs w:val="24"/>
        </w:rPr>
      </w:pPr>
      <w:r w:rsidRPr="00F2249F">
        <w:rPr>
          <w:rFonts w:ascii="Times New Roman" w:hAnsi="Times New Roman" w:cs="Times New Roman"/>
          <w:i/>
          <w:sz w:val="24"/>
          <w:szCs w:val="24"/>
        </w:rPr>
        <w:t xml:space="preserve">Osobitnú pozornosť si zasluhujú aj ustanovenia návrhu týkajúce sa režimu zdaňovania zamestnaneckých opcií/akcií. Hoci návrh priamo neupravuje daňové sadzby ani daňové systémy členských štátov, jednotný </w:t>
      </w:r>
      <w:proofErr w:type="spellStart"/>
      <w:r w:rsidRPr="00F2249F">
        <w:rPr>
          <w:rFonts w:ascii="Times New Roman" w:hAnsi="Times New Roman" w:cs="Times New Roman"/>
          <w:i/>
          <w:sz w:val="24"/>
          <w:szCs w:val="24"/>
        </w:rPr>
        <w:t>korporátny</w:t>
      </w:r>
      <w:proofErr w:type="spellEnd"/>
      <w:r w:rsidRPr="00F2249F">
        <w:rPr>
          <w:rFonts w:ascii="Times New Roman" w:hAnsi="Times New Roman" w:cs="Times New Roman"/>
          <w:i/>
          <w:sz w:val="24"/>
          <w:szCs w:val="24"/>
        </w:rPr>
        <w:t xml:space="preserve"> rámec EU </w:t>
      </w:r>
      <w:proofErr w:type="spellStart"/>
      <w:r w:rsidRPr="00F2249F">
        <w:rPr>
          <w:rFonts w:ascii="Times New Roman" w:hAnsi="Times New Roman" w:cs="Times New Roman"/>
          <w:i/>
          <w:sz w:val="24"/>
          <w:szCs w:val="24"/>
        </w:rPr>
        <w:t>Inc</w:t>
      </w:r>
      <w:proofErr w:type="spellEnd"/>
      <w:r w:rsidRPr="00F2249F">
        <w:rPr>
          <w:rFonts w:ascii="Times New Roman" w:hAnsi="Times New Roman" w:cs="Times New Roman"/>
          <w:i/>
          <w:sz w:val="24"/>
          <w:szCs w:val="24"/>
        </w:rPr>
        <w:t xml:space="preserve">. stanovuje okamih vzniku zdaniteľného plnenia. Vzhľadom na významné rozdiely medzi členskými štátmi pri zdaňovaní zamestnaneckých benefitov môže mať takáto úprava nepriamy harmonizačný účinok aj v daňovej oblasti. Zároveň je potrebné pripomenúť, že podľa článku 114 ods. 2 ZFEÚ sa ustanovenia o aproximácii právnych predpisov nevzťahujú na daňové ustanovenia, čo vylučuje použitie tohto právneho základu na opatrenia, ktoré by mali aj nepriamy daňový harmonizačný účinok. Tento argument zvyšuje pochybnosti, či článok 114 ZFEÚ predstavuje dostatočný právny základ pre prijatie nariadenia o EU </w:t>
      </w:r>
      <w:proofErr w:type="spellStart"/>
      <w:r w:rsidRPr="00F2249F">
        <w:rPr>
          <w:rFonts w:ascii="Times New Roman" w:hAnsi="Times New Roman" w:cs="Times New Roman"/>
          <w:i/>
          <w:sz w:val="24"/>
          <w:szCs w:val="24"/>
        </w:rPr>
        <w:t>Inc</w:t>
      </w:r>
      <w:proofErr w:type="spellEnd"/>
      <w:r w:rsidRPr="00F2249F">
        <w:rPr>
          <w:rFonts w:ascii="Times New Roman" w:hAnsi="Times New Roman" w:cs="Times New Roman"/>
          <w:i/>
          <w:sz w:val="24"/>
          <w:szCs w:val="24"/>
        </w:rPr>
        <w:t>.</w:t>
      </w:r>
    </w:p>
    <w:p w14:paraId="736FAFAA" w14:textId="057DE5D0" w:rsidR="0074466C" w:rsidRPr="00F2249F" w:rsidRDefault="0074466C" w:rsidP="003A23B7">
      <w:pPr>
        <w:pStyle w:val="Vchodzie"/>
        <w:ind w:left="284"/>
        <w:jc w:val="both"/>
        <w:rPr>
          <w:rFonts w:ascii="Times New Roman" w:hAnsi="Times New Roman" w:cs="Times New Roman"/>
          <w:i/>
          <w:sz w:val="24"/>
          <w:szCs w:val="24"/>
        </w:rPr>
      </w:pPr>
      <w:r w:rsidRPr="00F2249F">
        <w:rPr>
          <w:rFonts w:ascii="Times New Roman" w:hAnsi="Times New Roman" w:cs="Times New Roman"/>
          <w:i/>
          <w:sz w:val="24"/>
          <w:szCs w:val="24"/>
        </w:rPr>
        <w:t>Pochybnosti o právnom základe</w:t>
      </w:r>
      <w:r w:rsidR="00B22868" w:rsidRPr="00F2249F">
        <w:rPr>
          <w:rFonts w:ascii="Times New Roman" w:hAnsi="Times New Roman" w:cs="Times New Roman"/>
          <w:i/>
          <w:sz w:val="24"/>
          <w:szCs w:val="24"/>
        </w:rPr>
        <w:t xml:space="preserve"> návrhu ako takého</w:t>
      </w:r>
      <w:r w:rsidRPr="00F2249F">
        <w:rPr>
          <w:rFonts w:ascii="Times New Roman" w:hAnsi="Times New Roman" w:cs="Times New Roman"/>
          <w:i/>
          <w:sz w:val="24"/>
          <w:szCs w:val="24"/>
        </w:rPr>
        <w:t xml:space="preserve"> sú podporené ústnym právnym názorom Právnej služby </w:t>
      </w:r>
      <w:r w:rsidR="00FC4C7B" w:rsidRPr="00F2249F">
        <w:rPr>
          <w:rFonts w:ascii="Times New Roman" w:hAnsi="Times New Roman" w:cs="Times New Roman"/>
          <w:i/>
          <w:sz w:val="24"/>
          <w:szCs w:val="24"/>
        </w:rPr>
        <w:t>R</w:t>
      </w:r>
      <w:r w:rsidRPr="00F2249F">
        <w:rPr>
          <w:rFonts w:ascii="Times New Roman" w:hAnsi="Times New Roman" w:cs="Times New Roman"/>
          <w:i/>
          <w:sz w:val="24"/>
          <w:szCs w:val="24"/>
        </w:rPr>
        <w:t xml:space="preserve">ady, ktorá na úvodných rokovaniach </w:t>
      </w:r>
      <w:r w:rsidR="00FC4C7B" w:rsidRPr="00F2249F">
        <w:rPr>
          <w:rFonts w:ascii="Times New Roman" w:hAnsi="Times New Roman" w:cs="Times New Roman"/>
          <w:i/>
          <w:sz w:val="24"/>
          <w:szCs w:val="24"/>
        </w:rPr>
        <w:t>potvrdila</w:t>
      </w:r>
      <w:r w:rsidRPr="00F2249F">
        <w:rPr>
          <w:rFonts w:ascii="Times New Roman" w:hAnsi="Times New Roman" w:cs="Times New Roman"/>
          <w:i/>
          <w:sz w:val="24"/>
          <w:szCs w:val="24"/>
        </w:rPr>
        <w:t xml:space="preserve">, že vhodným právnym základom nie je Komisiou navrhovaný čl. 114 ZFEÚ týkajúci s vnútorného trhu, ale čl. 50 ZFEÚ. Dôvodom je, že hlavným prvkom návrhu je jednoznačne sloboda usadiť sa. Oblasti spadajúce pod čl.114 označila </w:t>
      </w:r>
      <w:r w:rsidR="00FC4C7B" w:rsidRPr="00F2249F">
        <w:rPr>
          <w:rFonts w:ascii="Times New Roman" w:hAnsi="Times New Roman" w:cs="Times New Roman"/>
          <w:i/>
          <w:sz w:val="24"/>
          <w:szCs w:val="24"/>
        </w:rPr>
        <w:t xml:space="preserve">Právna služba </w:t>
      </w:r>
      <w:r w:rsidRPr="00F2249F">
        <w:rPr>
          <w:rFonts w:ascii="Times New Roman" w:hAnsi="Times New Roman" w:cs="Times New Roman"/>
          <w:i/>
          <w:sz w:val="24"/>
          <w:szCs w:val="24"/>
        </w:rPr>
        <w:t>len ako doplnkové (oblasť insolvencie a zoznam zakázaných praktík v zmysle čl. 103 návrhu). V prípade, ak by právnom základom zostal len čl. 114, Právna služba Rady vníma vysoké riziko možného anulovania nastroja zo strany SD EÚ v budúcnosti. Pokiaľ ide o ďalší postup, Právna služba Rady navrhla buď adaptovanie formy smernice pre celý návrh alebo rozdelenie návrhu na dva samostatné nástroje (podľa čl. 50 a čl. 114).</w:t>
      </w:r>
      <w:r w:rsidR="00FC4C7B" w:rsidRPr="00F2249F">
        <w:rPr>
          <w:rFonts w:ascii="Times New Roman" w:hAnsi="Times New Roman" w:cs="Times New Roman"/>
          <w:i/>
          <w:sz w:val="24"/>
          <w:szCs w:val="24"/>
        </w:rPr>
        <w:t xml:space="preserve"> K námietkam, že forma smernice nebude pre podnikateľský sektor tak prínosná ako nariadenie uviedla, že je možná maximálna harmonizácia, teda stanovenie úplného a záväzného rozsahu právnej úpravy, od ktorého sa členské štáty nebudú môcť odchýliť. </w:t>
      </w:r>
    </w:p>
    <w:p w14:paraId="5718FEB3" w14:textId="04606EEE" w:rsidR="0074466C" w:rsidRPr="00F2249F" w:rsidRDefault="0074466C" w:rsidP="003A23B7">
      <w:pPr>
        <w:pStyle w:val="Vchodzie"/>
        <w:ind w:left="284"/>
        <w:jc w:val="both"/>
        <w:rPr>
          <w:rFonts w:ascii="Times New Roman" w:hAnsi="Times New Roman" w:cs="Times New Roman"/>
          <w:i/>
          <w:sz w:val="24"/>
          <w:szCs w:val="24"/>
        </w:rPr>
      </w:pPr>
      <w:r w:rsidRPr="00F2249F">
        <w:rPr>
          <w:rFonts w:ascii="Times New Roman" w:hAnsi="Times New Roman" w:cs="Times New Roman"/>
          <w:i/>
          <w:sz w:val="24"/>
          <w:szCs w:val="24"/>
        </w:rPr>
        <w:t xml:space="preserve">V oblasti daní (čl. 79 návrhu) </w:t>
      </w:r>
      <w:r w:rsidR="00FC4C7B" w:rsidRPr="00F2249F">
        <w:rPr>
          <w:rFonts w:ascii="Times New Roman" w:hAnsi="Times New Roman" w:cs="Times New Roman"/>
          <w:i/>
          <w:sz w:val="24"/>
          <w:szCs w:val="24"/>
        </w:rPr>
        <w:t>Právna služba Rady</w:t>
      </w:r>
      <w:r w:rsidRPr="00F2249F">
        <w:rPr>
          <w:rFonts w:ascii="Times New Roman" w:hAnsi="Times New Roman" w:cs="Times New Roman"/>
          <w:i/>
          <w:sz w:val="24"/>
          <w:szCs w:val="24"/>
        </w:rPr>
        <w:t xml:space="preserve"> potvrdil</w:t>
      </w:r>
      <w:r w:rsidR="00FC4C7B" w:rsidRPr="00F2249F">
        <w:rPr>
          <w:rFonts w:ascii="Times New Roman" w:hAnsi="Times New Roman" w:cs="Times New Roman"/>
          <w:i/>
          <w:sz w:val="24"/>
          <w:szCs w:val="24"/>
        </w:rPr>
        <w:t>a</w:t>
      </w:r>
      <w:r w:rsidRPr="00F2249F">
        <w:rPr>
          <w:rFonts w:ascii="Times New Roman" w:hAnsi="Times New Roman" w:cs="Times New Roman"/>
          <w:i/>
          <w:sz w:val="24"/>
          <w:szCs w:val="24"/>
        </w:rPr>
        <w:t xml:space="preserve"> možnosť úpravy tejto oblasti aj na základe čl. 50 ZFEÚ, keďže ide iba o doplnkové ustanovenie. Vyjadrenie Právneho servisu Rady možno vnímať tak, že aj ak by zostal právny základ čl. 114, posúdenie tejto otázky by nebolo iné a pre túto oblasť by právny základ nebol problémom. </w:t>
      </w:r>
    </w:p>
    <w:p w14:paraId="047B8DF4" w14:textId="77777777" w:rsidR="0074466C" w:rsidRPr="00F2249F" w:rsidRDefault="0074466C" w:rsidP="003A23B7">
      <w:pPr>
        <w:pStyle w:val="Vchodzie"/>
        <w:ind w:left="284"/>
        <w:jc w:val="both"/>
        <w:rPr>
          <w:rFonts w:ascii="Times New Roman" w:hAnsi="Times New Roman" w:cs="Times New Roman"/>
          <w:i/>
          <w:sz w:val="24"/>
          <w:szCs w:val="24"/>
        </w:rPr>
      </w:pPr>
      <w:r w:rsidRPr="00F2249F">
        <w:rPr>
          <w:rFonts w:ascii="Times New Roman" w:hAnsi="Times New Roman" w:cs="Times New Roman"/>
          <w:b/>
          <w:i/>
          <w:sz w:val="24"/>
          <w:szCs w:val="24"/>
        </w:rPr>
        <w:lastRenderedPageBreak/>
        <w:t>Záver</w:t>
      </w:r>
      <w:r w:rsidRPr="00F2249F">
        <w:rPr>
          <w:rFonts w:ascii="Times New Roman" w:hAnsi="Times New Roman" w:cs="Times New Roman"/>
          <w:i/>
          <w:sz w:val="24"/>
          <w:szCs w:val="24"/>
        </w:rPr>
        <w:t xml:space="preserve">: </w:t>
      </w:r>
    </w:p>
    <w:p w14:paraId="43A7BF66" w14:textId="69804AF5" w:rsidR="00FC4C7B" w:rsidRPr="00F2249F" w:rsidRDefault="0074466C" w:rsidP="003A23B7">
      <w:pPr>
        <w:pStyle w:val="Vchodzie"/>
        <w:ind w:left="284"/>
        <w:jc w:val="both"/>
        <w:rPr>
          <w:rFonts w:ascii="Times New Roman" w:hAnsi="Times New Roman" w:cs="Times New Roman"/>
          <w:i/>
          <w:sz w:val="24"/>
          <w:szCs w:val="24"/>
        </w:rPr>
      </w:pPr>
      <w:r w:rsidRPr="00F2249F">
        <w:rPr>
          <w:rFonts w:ascii="Times New Roman" w:hAnsi="Times New Roman" w:cs="Times New Roman"/>
          <w:i/>
          <w:sz w:val="24"/>
          <w:szCs w:val="24"/>
        </w:rPr>
        <w:t xml:space="preserve">Z vyššie uvedených dôvodov sa Slovenská republika domnieva, že návrh nariadenia o EU </w:t>
      </w:r>
      <w:proofErr w:type="spellStart"/>
      <w:r w:rsidRPr="00F2249F">
        <w:rPr>
          <w:rFonts w:ascii="Times New Roman" w:hAnsi="Times New Roman" w:cs="Times New Roman"/>
          <w:i/>
          <w:sz w:val="24"/>
          <w:szCs w:val="24"/>
        </w:rPr>
        <w:t>Inc</w:t>
      </w:r>
      <w:proofErr w:type="spellEnd"/>
      <w:r w:rsidRPr="00F2249F">
        <w:rPr>
          <w:rFonts w:ascii="Times New Roman" w:hAnsi="Times New Roman" w:cs="Times New Roman"/>
          <w:i/>
          <w:sz w:val="24"/>
          <w:szCs w:val="24"/>
        </w:rPr>
        <w:t xml:space="preserve">. nepredstavuje iba aproximáciu právnych predpisov členských štátov podľa článku 114 ZFEÚ. Jeho skutočným cieľom a obsahom je vytvorenie novej paneurópskej právnej formy obchodnej spoločnosti </w:t>
      </w:r>
      <w:proofErr w:type="spellStart"/>
      <w:r w:rsidRPr="00F2249F">
        <w:rPr>
          <w:rFonts w:ascii="Times New Roman" w:hAnsi="Times New Roman" w:cs="Times New Roman"/>
          <w:i/>
          <w:sz w:val="24"/>
          <w:szCs w:val="24"/>
        </w:rPr>
        <w:t>sui</w:t>
      </w:r>
      <w:proofErr w:type="spellEnd"/>
      <w:r w:rsidRPr="00F2249F">
        <w:rPr>
          <w:rFonts w:ascii="Times New Roman" w:hAnsi="Times New Roman" w:cs="Times New Roman"/>
          <w:i/>
          <w:sz w:val="24"/>
          <w:szCs w:val="24"/>
        </w:rPr>
        <w:t xml:space="preserve"> </w:t>
      </w:r>
      <w:proofErr w:type="spellStart"/>
      <w:r w:rsidRPr="00F2249F">
        <w:rPr>
          <w:rFonts w:ascii="Times New Roman" w:hAnsi="Times New Roman" w:cs="Times New Roman"/>
          <w:i/>
          <w:sz w:val="24"/>
          <w:szCs w:val="24"/>
        </w:rPr>
        <w:t>generis</w:t>
      </w:r>
      <w:proofErr w:type="spellEnd"/>
      <w:r w:rsidRPr="00F2249F">
        <w:rPr>
          <w:rFonts w:ascii="Times New Roman" w:hAnsi="Times New Roman" w:cs="Times New Roman"/>
          <w:i/>
          <w:sz w:val="24"/>
          <w:szCs w:val="24"/>
        </w:rPr>
        <w:t>, ktorá existuje paralelne popri vnútroštátnych kapitálových spoločnostiach a spravuje sa prevažne vlastným unifikovaným právnym režimom. V súlade s doterajšou legislatívnou praxou Únie a judikatúrou Súdneho dvora EÚ a</w:t>
      </w:r>
      <w:r w:rsidR="0052107B" w:rsidRPr="00F2249F">
        <w:rPr>
          <w:rFonts w:ascii="Times New Roman" w:hAnsi="Times New Roman" w:cs="Times New Roman"/>
          <w:i/>
          <w:sz w:val="24"/>
          <w:szCs w:val="24"/>
        </w:rPr>
        <w:t> v súlade s</w:t>
      </w:r>
      <w:r w:rsidRPr="00F2249F">
        <w:rPr>
          <w:rFonts w:ascii="Times New Roman" w:hAnsi="Times New Roman" w:cs="Times New Roman"/>
          <w:i/>
          <w:sz w:val="24"/>
          <w:szCs w:val="24"/>
        </w:rPr>
        <w:t xml:space="preserve"> názorom Právneho servisu Rady Slovenská republika zastáva názor, že vhodným právnym základom pre prijatie návrhu je článok 50 ZFEÚ </w:t>
      </w:r>
      <w:r w:rsidR="00FC4C7B" w:rsidRPr="00F2249F">
        <w:rPr>
          <w:rFonts w:ascii="Times New Roman" w:hAnsi="Times New Roman" w:cs="Times New Roman"/>
          <w:i/>
          <w:sz w:val="24"/>
          <w:szCs w:val="24"/>
        </w:rPr>
        <w:t xml:space="preserve">(prípadne </w:t>
      </w:r>
      <w:r w:rsidRPr="00F2249F">
        <w:rPr>
          <w:rFonts w:ascii="Times New Roman" w:hAnsi="Times New Roman" w:cs="Times New Roman"/>
          <w:i/>
          <w:sz w:val="24"/>
          <w:szCs w:val="24"/>
        </w:rPr>
        <w:t>doplnený o článok 114</w:t>
      </w:r>
      <w:r w:rsidR="0052107B" w:rsidRPr="00F2249F">
        <w:rPr>
          <w:rFonts w:ascii="Times New Roman" w:hAnsi="Times New Roman" w:cs="Times New Roman"/>
          <w:i/>
          <w:sz w:val="24"/>
          <w:szCs w:val="24"/>
        </w:rPr>
        <w:t xml:space="preserve"> ZFEÚ</w:t>
      </w:r>
      <w:r w:rsidR="00FC4C7B" w:rsidRPr="00F2249F">
        <w:rPr>
          <w:rFonts w:ascii="Times New Roman" w:hAnsi="Times New Roman" w:cs="Times New Roman"/>
          <w:i/>
          <w:sz w:val="24"/>
          <w:szCs w:val="24"/>
        </w:rPr>
        <w:t>)</w:t>
      </w:r>
      <w:r w:rsidRPr="00F2249F">
        <w:rPr>
          <w:rFonts w:ascii="Times New Roman" w:hAnsi="Times New Roman" w:cs="Times New Roman"/>
          <w:i/>
          <w:sz w:val="24"/>
          <w:szCs w:val="24"/>
        </w:rPr>
        <w:t xml:space="preserve"> za podmienky prepracovania návrhu na formu smernice. </w:t>
      </w:r>
      <w:r w:rsidR="00FC4C7B" w:rsidRPr="00F2249F">
        <w:rPr>
          <w:rFonts w:ascii="Times New Roman" w:hAnsi="Times New Roman" w:cs="Times New Roman"/>
          <w:i/>
          <w:sz w:val="24"/>
          <w:szCs w:val="24"/>
        </w:rPr>
        <w:t>Tento právny základ je z právneho hľadiska nespochybniteľný a nevyvoláva právnu neistotu. Maximálna harmonizácia smernicou predstavuje porovnateľnú mieru jednotnosti s formou nariadenia a preto nevidíme pridanú hodnotu postupu, v ktorom sa na základe neistého právneho základu</w:t>
      </w:r>
      <w:r w:rsidR="0052107B" w:rsidRPr="00F2249F">
        <w:rPr>
          <w:rFonts w:ascii="Times New Roman" w:hAnsi="Times New Roman" w:cs="Times New Roman"/>
          <w:i/>
          <w:sz w:val="24"/>
          <w:szCs w:val="24"/>
        </w:rPr>
        <w:t xml:space="preserve"> podľa čl. 114 ZFEÚ</w:t>
      </w:r>
      <w:r w:rsidR="00FC4C7B" w:rsidRPr="00F2249F">
        <w:rPr>
          <w:rFonts w:ascii="Times New Roman" w:hAnsi="Times New Roman" w:cs="Times New Roman"/>
          <w:i/>
          <w:sz w:val="24"/>
          <w:szCs w:val="24"/>
        </w:rPr>
        <w:t xml:space="preserve"> vytvorí nesprávne a spochybniteľné právne riešenie, ktoré navyše vytvorí zlý precedens v </w:t>
      </w:r>
      <w:proofErr w:type="spellStart"/>
      <w:r w:rsidR="00FC4C7B" w:rsidRPr="00F2249F">
        <w:rPr>
          <w:rFonts w:ascii="Times New Roman" w:hAnsi="Times New Roman" w:cs="Times New Roman"/>
          <w:i/>
          <w:sz w:val="24"/>
          <w:szCs w:val="24"/>
        </w:rPr>
        <w:t>korporátnom</w:t>
      </w:r>
      <w:proofErr w:type="spellEnd"/>
      <w:r w:rsidR="00FC4C7B" w:rsidRPr="00F2249F">
        <w:rPr>
          <w:rFonts w:ascii="Times New Roman" w:hAnsi="Times New Roman" w:cs="Times New Roman"/>
          <w:i/>
          <w:sz w:val="24"/>
          <w:szCs w:val="24"/>
        </w:rPr>
        <w:t xml:space="preserve"> práve do budúcnosti. </w:t>
      </w:r>
    </w:p>
    <w:p w14:paraId="16EF6D9A" w14:textId="778593CF" w:rsidR="00FC4C7B" w:rsidRPr="00F2249F" w:rsidRDefault="00FC4C7B" w:rsidP="003A23B7">
      <w:pPr>
        <w:pStyle w:val="Vchodzie"/>
        <w:ind w:left="284"/>
        <w:jc w:val="both"/>
        <w:rPr>
          <w:rFonts w:ascii="Times New Roman" w:hAnsi="Times New Roman" w:cs="Times New Roman"/>
          <w:i/>
          <w:sz w:val="24"/>
          <w:szCs w:val="24"/>
        </w:rPr>
      </w:pPr>
      <w:r w:rsidRPr="00F2249F">
        <w:rPr>
          <w:rFonts w:ascii="Times New Roman" w:hAnsi="Times New Roman" w:cs="Times New Roman"/>
          <w:i/>
          <w:sz w:val="24"/>
          <w:szCs w:val="24"/>
        </w:rPr>
        <w:t xml:space="preserve">Využitie čl. 352 ZFEÚ, ktoré umožňuje formu nariadenia, </w:t>
      </w:r>
      <w:r w:rsidR="00FD75A2" w:rsidRPr="00F2249F">
        <w:rPr>
          <w:rFonts w:ascii="Times New Roman" w:hAnsi="Times New Roman" w:cs="Times New Roman"/>
          <w:i/>
          <w:sz w:val="24"/>
          <w:szCs w:val="24"/>
        </w:rPr>
        <w:t xml:space="preserve">je možné (ide o vhodný právny základ), avšak vzhľadom na potrebnú jednomyseľnosť na chválenie takéhoto nariadenia by mohlo byť dosiahnutie dohody na kľúčových aspektoch  značne sťažené, až </w:t>
      </w:r>
      <w:r w:rsidRPr="00F2249F">
        <w:rPr>
          <w:rFonts w:ascii="Times New Roman" w:hAnsi="Times New Roman" w:cs="Times New Roman"/>
          <w:i/>
          <w:sz w:val="24"/>
          <w:szCs w:val="24"/>
        </w:rPr>
        <w:t xml:space="preserve">nerealistické. </w:t>
      </w:r>
    </w:p>
    <w:p w14:paraId="21E7616D" w14:textId="650A1A86" w:rsidR="00FC4C7B" w:rsidRPr="00F2249F" w:rsidRDefault="00FC4C7B" w:rsidP="00BC2B2C">
      <w:pPr>
        <w:jc w:val="both"/>
        <w:rPr>
          <w:b/>
        </w:rPr>
      </w:pPr>
    </w:p>
    <w:p w14:paraId="0BC8053A" w14:textId="74BEB3E2" w:rsidR="006871D2" w:rsidRPr="00F2249F" w:rsidRDefault="006871D2" w:rsidP="00EB1051">
      <w:pPr>
        <w:autoSpaceDE w:val="0"/>
        <w:autoSpaceDN w:val="0"/>
        <w:adjustRightInd w:val="0"/>
        <w:rPr>
          <w:rFonts w:eastAsiaTheme="minorEastAsia"/>
          <w:highlight w:val="yellow"/>
          <w:lang w:eastAsia="zh-CN"/>
        </w:rPr>
      </w:pPr>
    </w:p>
    <w:p w14:paraId="577A5A8F" w14:textId="77777777" w:rsidR="00EB1051" w:rsidRPr="00F2249F" w:rsidRDefault="00EB1051" w:rsidP="00EB1051">
      <w:pPr>
        <w:pStyle w:val="Pta"/>
        <w:tabs>
          <w:tab w:val="clear" w:pos="4536"/>
          <w:tab w:val="clear" w:pos="9072"/>
        </w:tabs>
        <w:overflowPunct w:val="0"/>
        <w:autoSpaceDE w:val="0"/>
        <w:autoSpaceDN w:val="0"/>
        <w:adjustRightInd w:val="0"/>
        <w:textAlignment w:val="baseline"/>
        <w:rPr>
          <w:b/>
        </w:rPr>
      </w:pPr>
      <w:r w:rsidRPr="00F2249F">
        <w:rPr>
          <w:b/>
        </w:rPr>
        <w:t>KAPITOLA I – Všeobecné zásady</w:t>
      </w:r>
    </w:p>
    <w:p w14:paraId="0BF10362"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rPr>
          <w:b/>
        </w:rPr>
      </w:pPr>
    </w:p>
    <w:p w14:paraId="381B7B80"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rPr>
          <w:b/>
        </w:rPr>
      </w:pPr>
      <w:r w:rsidRPr="00F2249F">
        <w:rPr>
          <w:b/>
        </w:rPr>
        <w:t>Všeobecne o kapitole:</w:t>
      </w:r>
    </w:p>
    <w:p w14:paraId="115DC07C" w14:textId="0D10BB8A" w:rsidR="00EB1051" w:rsidRPr="00F2249F" w:rsidRDefault="00EB1051" w:rsidP="00EB1051">
      <w:pPr>
        <w:pStyle w:val="Pta"/>
        <w:tabs>
          <w:tab w:val="clear" w:pos="4536"/>
          <w:tab w:val="clear" w:pos="9072"/>
        </w:tabs>
        <w:overflowPunct w:val="0"/>
        <w:autoSpaceDE w:val="0"/>
        <w:autoSpaceDN w:val="0"/>
        <w:adjustRightInd w:val="0"/>
        <w:jc w:val="both"/>
        <w:textAlignment w:val="baseline"/>
      </w:pPr>
      <w:r w:rsidRPr="00F2249F">
        <w:t>Kapitola obsahuje úvodné, všeobecné ustanovenia relevantné pre celý rozsah návrhu. Naznačuje, že v celom návrhu je k</w:t>
      </w:r>
      <w:r w:rsidR="00AF6A29" w:rsidRPr="00F2249F">
        <w:t>ladený dôraz na digitalizáciu. Zavádza sa</w:t>
      </w:r>
      <w:r w:rsidRPr="00F2249F">
        <w:t xml:space="preserve"> EU </w:t>
      </w:r>
      <w:proofErr w:type="spellStart"/>
      <w:r w:rsidRPr="00F2249F">
        <w:t>Inc</w:t>
      </w:r>
      <w:proofErr w:type="spellEnd"/>
      <w:r w:rsidRPr="00F2249F">
        <w:t xml:space="preserve">. – novú harmonizovanú vnútroštátnu právnu formu, s právnou subjektivitou, elektronickými stanovami, v rámci ktorej sa aplikujú zásadne digitálne procesy. </w:t>
      </w:r>
    </w:p>
    <w:p w14:paraId="54AE0680"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rPr>
          <w:b/>
        </w:rPr>
      </w:pPr>
    </w:p>
    <w:p w14:paraId="333C31D8"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rPr>
          <w:b/>
          <w:u w:val="single"/>
        </w:rPr>
      </w:pPr>
      <w:r w:rsidRPr="00F2249F">
        <w:rPr>
          <w:b/>
          <w:u w:val="single"/>
        </w:rPr>
        <w:t>Článok 1 – Predmet úpravy</w:t>
      </w:r>
    </w:p>
    <w:p w14:paraId="2751010A" w14:textId="39F40878" w:rsidR="00EB1051" w:rsidRPr="00F2249F" w:rsidRDefault="00EB1051" w:rsidP="00EB1051">
      <w:pPr>
        <w:pStyle w:val="Pta"/>
        <w:tabs>
          <w:tab w:val="clear" w:pos="4536"/>
          <w:tab w:val="clear" w:pos="9072"/>
        </w:tabs>
        <w:overflowPunct w:val="0"/>
        <w:autoSpaceDE w:val="0"/>
        <w:autoSpaceDN w:val="0"/>
        <w:adjustRightInd w:val="0"/>
        <w:spacing w:after="240"/>
        <w:jc w:val="both"/>
        <w:textAlignment w:val="baseline"/>
        <w:rPr>
          <w:b/>
          <w:u w:val="single"/>
        </w:rPr>
      </w:pPr>
      <w:r w:rsidRPr="00F2249F">
        <w:t xml:space="preserve">Ustanovenie </w:t>
      </w:r>
      <w:r w:rsidR="00AF6A29" w:rsidRPr="00F2249F">
        <w:t>definuje</w:t>
      </w:r>
      <w:r w:rsidRPr="00F2249F">
        <w:t xml:space="preserve"> predmet úpravy návrhu, a to v rozsahu: </w:t>
      </w:r>
    </w:p>
    <w:p w14:paraId="69A1A0BE" w14:textId="77777777" w:rsidR="00EB1051" w:rsidRPr="00F2249F" w:rsidRDefault="00EB1051" w:rsidP="004A471E">
      <w:pPr>
        <w:pStyle w:val="Pta"/>
        <w:numPr>
          <w:ilvl w:val="0"/>
          <w:numId w:val="4"/>
        </w:numPr>
        <w:tabs>
          <w:tab w:val="clear" w:pos="4536"/>
          <w:tab w:val="clear" w:pos="9072"/>
        </w:tabs>
        <w:overflowPunct w:val="0"/>
        <w:autoSpaceDE w:val="0"/>
        <w:autoSpaceDN w:val="0"/>
        <w:adjustRightInd w:val="0"/>
        <w:jc w:val="both"/>
        <w:textAlignment w:val="baseline"/>
      </w:pPr>
      <w:r w:rsidRPr="00F2249F">
        <w:t xml:space="preserve">vytvorenia právnej formy EU </w:t>
      </w:r>
      <w:proofErr w:type="spellStart"/>
      <w:r w:rsidRPr="00F2249F">
        <w:t>Inc</w:t>
      </w:r>
      <w:proofErr w:type="spellEnd"/>
      <w:r w:rsidRPr="00F2249F">
        <w:t xml:space="preserve">., </w:t>
      </w:r>
    </w:p>
    <w:p w14:paraId="78A07721" w14:textId="77777777" w:rsidR="00EB1051" w:rsidRPr="00F2249F" w:rsidRDefault="00EB1051" w:rsidP="004A471E">
      <w:pPr>
        <w:pStyle w:val="Pta"/>
        <w:numPr>
          <w:ilvl w:val="0"/>
          <w:numId w:val="4"/>
        </w:numPr>
        <w:tabs>
          <w:tab w:val="clear" w:pos="4536"/>
          <w:tab w:val="clear" w:pos="9072"/>
        </w:tabs>
        <w:overflowPunct w:val="0"/>
        <w:autoSpaceDE w:val="0"/>
        <w:autoSpaceDN w:val="0"/>
        <w:adjustRightInd w:val="0"/>
        <w:jc w:val="both"/>
        <w:textAlignment w:val="baseline"/>
      </w:pPr>
      <w:r w:rsidRPr="00F2249F">
        <w:t xml:space="preserve">vytvorenia centrálnej platformy EÚ s cieľom registrácie EU </w:t>
      </w:r>
      <w:proofErr w:type="spellStart"/>
      <w:r w:rsidRPr="00F2249F">
        <w:t>Inc</w:t>
      </w:r>
      <w:proofErr w:type="spellEnd"/>
      <w:r w:rsidRPr="00F2249F">
        <w:t>. prostredníctvom systému BRIS,</w:t>
      </w:r>
    </w:p>
    <w:p w14:paraId="3F073296" w14:textId="77777777" w:rsidR="00EB1051" w:rsidRPr="00F2249F" w:rsidRDefault="00EB1051" w:rsidP="004A471E">
      <w:pPr>
        <w:pStyle w:val="Pta"/>
        <w:numPr>
          <w:ilvl w:val="0"/>
          <w:numId w:val="4"/>
        </w:numPr>
        <w:tabs>
          <w:tab w:val="clear" w:pos="4536"/>
          <w:tab w:val="clear" w:pos="9072"/>
        </w:tabs>
        <w:overflowPunct w:val="0"/>
        <w:autoSpaceDE w:val="0"/>
        <w:autoSpaceDN w:val="0"/>
        <w:adjustRightInd w:val="0"/>
        <w:jc w:val="both"/>
        <w:textAlignment w:val="baseline"/>
      </w:pPr>
      <w:r w:rsidRPr="00F2249F">
        <w:t xml:space="preserve">zabezpečenie aplikácie zásady </w:t>
      </w:r>
      <w:proofErr w:type="spellStart"/>
      <w:r w:rsidRPr="00F2249F">
        <w:t>once-only</w:t>
      </w:r>
      <w:proofErr w:type="spellEnd"/>
      <w:r w:rsidRPr="00F2249F">
        <w:t xml:space="preserve"> a zníženia administratívnej záťaže, </w:t>
      </w:r>
    </w:p>
    <w:p w14:paraId="122C793D" w14:textId="77777777" w:rsidR="00EB1051" w:rsidRPr="00F2249F" w:rsidRDefault="00EB1051" w:rsidP="004A471E">
      <w:pPr>
        <w:pStyle w:val="Pta"/>
        <w:numPr>
          <w:ilvl w:val="0"/>
          <w:numId w:val="4"/>
        </w:numPr>
        <w:tabs>
          <w:tab w:val="clear" w:pos="4536"/>
          <w:tab w:val="clear" w:pos="9072"/>
        </w:tabs>
        <w:overflowPunct w:val="0"/>
        <w:autoSpaceDE w:val="0"/>
        <w:autoSpaceDN w:val="0"/>
        <w:adjustRightInd w:val="0"/>
        <w:jc w:val="both"/>
        <w:textAlignment w:val="baseline"/>
      </w:pPr>
      <w:r w:rsidRPr="00F2249F">
        <w:t xml:space="preserve">odstránenia prekážok financovania EU </w:t>
      </w:r>
      <w:proofErr w:type="spellStart"/>
      <w:r w:rsidRPr="00F2249F">
        <w:t>Inc</w:t>
      </w:r>
      <w:proofErr w:type="spellEnd"/>
      <w:r w:rsidRPr="00F2249F">
        <w:t xml:space="preserve">. spoločností a investovania do nich, </w:t>
      </w:r>
    </w:p>
    <w:p w14:paraId="4F33DD58" w14:textId="77777777" w:rsidR="00EB1051" w:rsidRPr="00F2249F" w:rsidRDefault="00EB1051" w:rsidP="004A471E">
      <w:pPr>
        <w:pStyle w:val="Pta"/>
        <w:numPr>
          <w:ilvl w:val="0"/>
          <w:numId w:val="4"/>
        </w:numPr>
        <w:tabs>
          <w:tab w:val="clear" w:pos="4536"/>
          <w:tab w:val="clear" w:pos="9072"/>
        </w:tabs>
        <w:overflowPunct w:val="0"/>
        <w:autoSpaceDE w:val="0"/>
        <w:autoSpaceDN w:val="0"/>
        <w:adjustRightInd w:val="0"/>
        <w:jc w:val="both"/>
        <w:textAlignment w:val="baseline"/>
      </w:pPr>
      <w:r w:rsidRPr="00F2249F">
        <w:t xml:space="preserve">harmonizácie určitých aspektov </w:t>
      </w:r>
      <w:proofErr w:type="spellStart"/>
      <w:r w:rsidRPr="00F2249F">
        <w:t>insolvenčných</w:t>
      </w:r>
      <w:proofErr w:type="spellEnd"/>
      <w:r w:rsidRPr="00F2249F">
        <w:t xml:space="preserve"> konaní niektorých typov ,</w:t>
      </w:r>
    </w:p>
    <w:p w14:paraId="13BF5E0D" w14:textId="77777777" w:rsidR="00EB1051" w:rsidRPr="00F2249F" w:rsidRDefault="00EB1051" w:rsidP="004A471E">
      <w:pPr>
        <w:pStyle w:val="Pta"/>
        <w:numPr>
          <w:ilvl w:val="0"/>
          <w:numId w:val="4"/>
        </w:numPr>
        <w:tabs>
          <w:tab w:val="clear" w:pos="4536"/>
          <w:tab w:val="clear" w:pos="9072"/>
        </w:tabs>
        <w:overflowPunct w:val="0"/>
        <w:autoSpaceDE w:val="0"/>
        <w:autoSpaceDN w:val="0"/>
        <w:adjustRightInd w:val="0"/>
        <w:spacing w:after="240"/>
        <w:jc w:val="both"/>
        <w:textAlignment w:val="baseline"/>
      </w:pPr>
      <w:r w:rsidRPr="00F2249F">
        <w:t xml:space="preserve">zákazu diskriminačných opatrení vo vzťahu k EU </w:t>
      </w:r>
      <w:proofErr w:type="spellStart"/>
      <w:r w:rsidRPr="00F2249F">
        <w:t>Inc</w:t>
      </w:r>
      <w:proofErr w:type="spellEnd"/>
      <w:r w:rsidRPr="00F2249F">
        <w:t xml:space="preserve">. </w:t>
      </w:r>
    </w:p>
    <w:p w14:paraId="2F87CD79" w14:textId="77777777" w:rsidR="00EB1051" w:rsidRPr="00F2249F" w:rsidRDefault="00EB1051" w:rsidP="00EB1051">
      <w:pPr>
        <w:pStyle w:val="Pta"/>
        <w:tabs>
          <w:tab w:val="clear" w:pos="4536"/>
          <w:tab w:val="clear" w:pos="9072"/>
        </w:tabs>
        <w:overflowPunct w:val="0"/>
        <w:autoSpaceDE w:val="0"/>
        <w:autoSpaceDN w:val="0"/>
        <w:adjustRightInd w:val="0"/>
        <w:spacing w:after="240"/>
        <w:jc w:val="both"/>
        <w:textAlignment w:val="baseline"/>
        <w:rPr>
          <w:i/>
        </w:rPr>
      </w:pPr>
      <w:r w:rsidRPr="00F2249F">
        <w:rPr>
          <w:b/>
          <w:u w:val="single"/>
        </w:rPr>
        <w:t xml:space="preserve">Pozícia SR: </w:t>
      </w:r>
      <w:r w:rsidRPr="00F2249F">
        <w:rPr>
          <w:i/>
        </w:rPr>
        <w:t xml:space="preserve">Slovenská republika má k predmetu úpravy výhrady v rozsahu pozície k jednotlivým ustanoveniam návrhu. </w:t>
      </w:r>
    </w:p>
    <w:p w14:paraId="07E27001"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rPr>
          <w:b/>
          <w:u w:val="single"/>
        </w:rPr>
      </w:pPr>
      <w:r w:rsidRPr="00F2249F">
        <w:rPr>
          <w:b/>
          <w:u w:val="single"/>
        </w:rPr>
        <w:t>Článok 2 – Vymedzenie pojmov</w:t>
      </w:r>
    </w:p>
    <w:p w14:paraId="14EF9010"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pPr>
      <w:r w:rsidRPr="00F2249F">
        <w:t xml:space="preserve">Definícia pojmov používaných v návrhu do značnej miery vychádza z vymedzenia pojmov stanovených smernicou Európskeho parlamentu a Rady (EÚ) 2017/1132 o 14. júna 2017 </w:t>
      </w:r>
      <w:r w:rsidRPr="00F2249F">
        <w:lastRenderedPageBreak/>
        <w:t xml:space="preserve">týkajúca sa niektorých aspektov práva obchodných spoločností (kodifikované znenie) (Ú. v. EÚ L 169, 30.6.2017) (ďalej len „smernica (EÚ) 2017/1132“). </w:t>
      </w:r>
    </w:p>
    <w:p w14:paraId="4576640B" w14:textId="77777777" w:rsidR="00EB1051" w:rsidRPr="00F2249F" w:rsidRDefault="00EB1051" w:rsidP="00EB1051">
      <w:pPr>
        <w:pStyle w:val="Pta"/>
        <w:tabs>
          <w:tab w:val="clear" w:pos="4536"/>
          <w:tab w:val="clear" w:pos="9072"/>
        </w:tabs>
        <w:overflowPunct w:val="0"/>
        <w:autoSpaceDE w:val="0"/>
        <w:autoSpaceDN w:val="0"/>
        <w:adjustRightInd w:val="0"/>
        <w:spacing w:after="240"/>
        <w:jc w:val="both"/>
        <w:textAlignment w:val="baseline"/>
      </w:pPr>
      <w:r w:rsidRPr="00F2249F">
        <w:t xml:space="preserve">Relevantnými sú tiež ďalšie smernice, ktoré už v súčasnosti upravujú zodpovedajúcu právnu úpravu (napríklad regulovaný trh či participácia zamestnancov). </w:t>
      </w:r>
    </w:p>
    <w:p w14:paraId="69E8D69B" w14:textId="7A861FDC" w:rsidR="00EB1051" w:rsidRPr="00F2249F" w:rsidRDefault="00EB1051" w:rsidP="00EB1051">
      <w:pPr>
        <w:pStyle w:val="Pta"/>
        <w:tabs>
          <w:tab w:val="clear" w:pos="4536"/>
          <w:tab w:val="clear" w:pos="9072"/>
        </w:tabs>
        <w:overflowPunct w:val="0"/>
        <w:autoSpaceDE w:val="0"/>
        <w:autoSpaceDN w:val="0"/>
        <w:adjustRightInd w:val="0"/>
        <w:spacing w:after="240"/>
        <w:jc w:val="both"/>
        <w:textAlignment w:val="baseline"/>
        <w:rPr>
          <w:highlight w:val="yellow"/>
        </w:rPr>
      </w:pPr>
      <w:r w:rsidRPr="00F2249F">
        <w:t xml:space="preserve">V rozsahu návrhu sa však navrhujú definovať aj nové pojmy, ktoré v súčasnosti európske právo obchodných spoločností nepozná, a ktoré sú zásadné pre ciele návrhu. Ide najmä o centrálne rozhranie EÚ, akcionára, digitálny register akcií a digitálny akciový certifikát.  </w:t>
      </w:r>
    </w:p>
    <w:p w14:paraId="2C7F50D7" w14:textId="77777777" w:rsidR="00AF6A29" w:rsidRPr="00F2249F" w:rsidRDefault="00EB1051" w:rsidP="00EB1051">
      <w:pPr>
        <w:pStyle w:val="Pta"/>
        <w:tabs>
          <w:tab w:val="clear" w:pos="4536"/>
          <w:tab w:val="clear" w:pos="9072"/>
        </w:tabs>
        <w:overflowPunct w:val="0"/>
        <w:autoSpaceDE w:val="0"/>
        <w:autoSpaceDN w:val="0"/>
        <w:adjustRightInd w:val="0"/>
        <w:spacing w:after="240"/>
        <w:jc w:val="both"/>
        <w:textAlignment w:val="baseline"/>
        <w:rPr>
          <w:i/>
        </w:rPr>
      </w:pPr>
      <w:r w:rsidRPr="00F2249F">
        <w:rPr>
          <w:b/>
          <w:u w:val="single"/>
        </w:rPr>
        <w:t xml:space="preserve">Pozícia SR: </w:t>
      </w:r>
      <w:r w:rsidRPr="00F2249F">
        <w:rPr>
          <w:i/>
        </w:rPr>
        <w:t xml:space="preserve">Slovenská republika má k definíciám výhrady v rozsahu pozície k jednotlivým častiam návrhu. </w:t>
      </w:r>
    </w:p>
    <w:p w14:paraId="247DE5A2" w14:textId="359AB401" w:rsidR="00EB1051" w:rsidRPr="00F2249F" w:rsidRDefault="00EB1051" w:rsidP="00EB1051">
      <w:pPr>
        <w:pStyle w:val="Pta"/>
        <w:tabs>
          <w:tab w:val="clear" w:pos="4536"/>
          <w:tab w:val="clear" w:pos="9072"/>
        </w:tabs>
        <w:overflowPunct w:val="0"/>
        <w:autoSpaceDE w:val="0"/>
        <w:autoSpaceDN w:val="0"/>
        <w:adjustRightInd w:val="0"/>
        <w:spacing w:after="240"/>
        <w:jc w:val="both"/>
        <w:textAlignment w:val="baseline"/>
      </w:pPr>
      <w:r w:rsidRPr="00F2249F">
        <w:rPr>
          <w:i/>
        </w:rPr>
        <w:t>Vidíme priestor pre zlepšenie rozsahu definícií napríklad v oblasti likvidácií, členov orgánov spoločností, kapitálu, či využívania NACE kódov.</w:t>
      </w:r>
      <w:r w:rsidRPr="00F2249F">
        <w:t xml:space="preserve">  </w:t>
      </w:r>
    </w:p>
    <w:p w14:paraId="0CDF2BDB"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rPr>
          <w:b/>
          <w:u w:val="single"/>
        </w:rPr>
      </w:pPr>
      <w:r w:rsidRPr="00F2249F">
        <w:rPr>
          <w:b/>
          <w:u w:val="single"/>
        </w:rPr>
        <w:t>Článok 3 – Právna forma a všeobecné zásady</w:t>
      </w:r>
    </w:p>
    <w:p w14:paraId="68A22648"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pPr>
      <w:r w:rsidRPr="00F2249F">
        <w:t xml:space="preserve">Ustanovujú sa základné definičné princípy navrhovanej právnej formy EU </w:t>
      </w:r>
      <w:proofErr w:type="spellStart"/>
      <w:r w:rsidRPr="00F2249F">
        <w:t>Inc</w:t>
      </w:r>
      <w:proofErr w:type="spellEnd"/>
      <w:r w:rsidRPr="00F2249F">
        <w:t>. ako právnej formy stanovenej v právnom poriadku členského štátu:</w:t>
      </w:r>
    </w:p>
    <w:p w14:paraId="2FA37B10" w14:textId="77777777" w:rsidR="00EB1051" w:rsidRPr="00F2249F" w:rsidRDefault="00EB1051" w:rsidP="004A471E">
      <w:pPr>
        <w:pStyle w:val="Pta"/>
        <w:numPr>
          <w:ilvl w:val="0"/>
          <w:numId w:val="4"/>
        </w:numPr>
        <w:tabs>
          <w:tab w:val="clear" w:pos="4536"/>
          <w:tab w:val="clear" w:pos="9072"/>
        </w:tabs>
        <w:overflowPunct w:val="0"/>
        <w:autoSpaceDE w:val="0"/>
        <w:autoSpaceDN w:val="0"/>
        <w:adjustRightInd w:val="0"/>
        <w:jc w:val="both"/>
        <w:textAlignment w:val="baseline"/>
      </w:pPr>
      <w:r w:rsidRPr="00F2249F">
        <w:t>obmedzené ručenie spoločníka (akcionára),</w:t>
      </w:r>
    </w:p>
    <w:p w14:paraId="2DB4E5A9" w14:textId="77777777" w:rsidR="00EB1051" w:rsidRPr="00F2249F" w:rsidRDefault="00EB1051" w:rsidP="004A471E">
      <w:pPr>
        <w:pStyle w:val="Pta"/>
        <w:numPr>
          <w:ilvl w:val="0"/>
          <w:numId w:val="4"/>
        </w:numPr>
        <w:tabs>
          <w:tab w:val="clear" w:pos="4536"/>
          <w:tab w:val="clear" w:pos="9072"/>
        </w:tabs>
        <w:overflowPunct w:val="0"/>
        <w:autoSpaceDE w:val="0"/>
        <w:autoSpaceDN w:val="0"/>
        <w:adjustRightInd w:val="0"/>
        <w:jc w:val="both"/>
        <w:textAlignment w:val="baseline"/>
      </w:pPr>
      <w:r w:rsidRPr="00F2249F">
        <w:t>právna subjektivita podľa práva štátu registrácie, uznaná ostatnými členskými štátmi,</w:t>
      </w:r>
    </w:p>
    <w:p w14:paraId="0FDB5DDD" w14:textId="77777777" w:rsidR="00EB1051" w:rsidRPr="00F2249F" w:rsidRDefault="00EB1051" w:rsidP="004A471E">
      <w:pPr>
        <w:pStyle w:val="Pta"/>
        <w:numPr>
          <w:ilvl w:val="0"/>
          <w:numId w:val="4"/>
        </w:numPr>
        <w:tabs>
          <w:tab w:val="clear" w:pos="4536"/>
          <w:tab w:val="clear" w:pos="9072"/>
        </w:tabs>
        <w:overflowPunct w:val="0"/>
        <w:autoSpaceDE w:val="0"/>
        <w:autoSpaceDN w:val="0"/>
        <w:adjustRightInd w:val="0"/>
        <w:jc w:val="both"/>
        <w:textAlignment w:val="baseline"/>
      </w:pPr>
      <w:r w:rsidRPr="00F2249F">
        <w:t>spoločníkom môže byť jedna alebo viac fyzických alebo právnických osôb,</w:t>
      </w:r>
    </w:p>
    <w:p w14:paraId="6DAC961D" w14:textId="77777777" w:rsidR="00EB1051" w:rsidRPr="00F2249F" w:rsidRDefault="00EB1051" w:rsidP="004A471E">
      <w:pPr>
        <w:pStyle w:val="Pta"/>
        <w:numPr>
          <w:ilvl w:val="0"/>
          <w:numId w:val="4"/>
        </w:numPr>
        <w:tabs>
          <w:tab w:val="clear" w:pos="4536"/>
          <w:tab w:val="clear" w:pos="9072"/>
        </w:tabs>
        <w:overflowPunct w:val="0"/>
        <w:autoSpaceDE w:val="0"/>
        <w:autoSpaceDN w:val="0"/>
        <w:adjustRightInd w:val="0"/>
        <w:jc w:val="both"/>
        <w:textAlignment w:val="baseline"/>
      </w:pPr>
      <w:r w:rsidRPr="00F2249F">
        <w:t xml:space="preserve">môže byť založená </w:t>
      </w:r>
      <w:r w:rsidRPr="00F2249F">
        <w:rPr>
          <w:i/>
        </w:rPr>
        <w:t xml:space="preserve">ex </w:t>
      </w:r>
      <w:proofErr w:type="spellStart"/>
      <w:r w:rsidRPr="00F2249F">
        <w:rPr>
          <w:i/>
        </w:rPr>
        <w:t>nihilo</w:t>
      </w:r>
      <w:proofErr w:type="spellEnd"/>
      <w:r w:rsidRPr="00F2249F">
        <w:rPr>
          <w:i/>
        </w:rPr>
        <w:t xml:space="preserve"> </w:t>
      </w:r>
      <w:r w:rsidRPr="00F2249F">
        <w:t>alebo vzniknúť vnútroštátnou či cezhraničnou premenou alebo cezhraničnou zmenou právnej formy,</w:t>
      </w:r>
    </w:p>
    <w:p w14:paraId="1107C488" w14:textId="77777777" w:rsidR="00EB1051" w:rsidRPr="00F2249F" w:rsidRDefault="00EB1051" w:rsidP="004A471E">
      <w:pPr>
        <w:pStyle w:val="Pta"/>
        <w:numPr>
          <w:ilvl w:val="0"/>
          <w:numId w:val="4"/>
        </w:numPr>
        <w:tabs>
          <w:tab w:val="clear" w:pos="4536"/>
          <w:tab w:val="clear" w:pos="9072"/>
        </w:tabs>
        <w:overflowPunct w:val="0"/>
        <w:autoSpaceDE w:val="0"/>
        <w:autoSpaceDN w:val="0"/>
        <w:adjustRightInd w:val="0"/>
        <w:jc w:val="both"/>
        <w:textAlignment w:val="baseline"/>
      </w:pPr>
      <w:r w:rsidRPr="00F2249F">
        <w:t>pri založení je jej pridelené EUID,</w:t>
      </w:r>
    </w:p>
    <w:p w14:paraId="720B61C1" w14:textId="77777777" w:rsidR="00EB1051" w:rsidRPr="00F2249F" w:rsidRDefault="00EB1051" w:rsidP="004A471E">
      <w:pPr>
        <w:pStyle w:val="Pta"/>
        <w:numPr>
          <w:ilvl w:val="0"/>
          <w:numId w:val="4"/>
        </w:numPr>
        <w:tabs>
          <w:tab w:val="clear" w:pos="4536"/>
          <w:tab w:val="clear" w:pos="9072"/>
        </w:tabs>
        <w:overflowPunct w:val="0"/>
        <w:autoSpaceDE w:val="0"/>
        <w:autoSpaceDN w:val="0"/>
        <w:adjustRightInd w:val="0"/>
        <w:jc w:val="both"/>
        <w:textAlignment w:val="baseline"/>
      </w:pPr>
      <w:r w:rsidRPr="00F2249F">
        <w:t>spoločnosť je založená na dobu neurčitú, ak stanovy neurčia inak.</w:t>
      </w:r>
    </w:p>
    <w:p w14:paraId="5299FB13" w14:textId="356A2B3A" w:rsidR="00EB1051" w:rsidRPr="00F2249F" w:rsidRDefault="00EB1051" w:rsidP="00EB1051">
      <w:pPr>
        <w:pStyle w:val="Pta"/>
        <w:tabs>
          <w:tab w:val="clear" w:pos="4536"/>
          <w:tab w:val="clear" w:pos="9072"/>
        </w:tabs>
        <w:overflowPunct w:val="0"/>
        <w:autoSpaceDE w:val="0"/>
        <w:autoSpaceDN w:val="0"/>
        <w:adjustRightInd w:val="0"/>
        <w:jc w:val="both"/>
        <w:textAlignment w:val="baseline"/>
      </w:pPr>
    </w:p>
    <w:p w14:paraId="7841DF7E" w14:textId="45092903" w:rsidR="00EB1051" w:rsidRPr="00F2249F" w:rsidRDefault="00EB1051" w:rsidP="00EB1051">
      <w:pPr>
        <w:pStyle w:val="Pta"/>
        <w:tabs>
          <w:tab w:val="clear" w:pos="4536"/>
          <w:tab w:val="clear" w:pos="9072"/>
        </w:tabs>
        <w:overflowPunct w:val="0"/>
        <w:autoSpaceDE w:val="0"/>
        <w:autoSpaceDN w:val="0"/>
        <w:adjustRightInd w:val="0"/>
        <w:jc w:val="both"/>
        <w:textAlignment w:val="baseline"/>
        <w:rPr>
          <w:i/>
        </w:rPr>
      </w:pPr>
      <w:r w:rsidRPr="00F2249F">
        <w:rPr>
          <w:b/>
          <w:u w:val="single"/>
        </w:rPr>
        <w:t xml:space="preserve">Pozícia SR: </w:t>
      </w:r>
      <w:r w:rsidRPr="00F2249F">
        <w:rPr>
          <w:i/>
        </w:rPr>
        <w:t xml:space="preserve">Slovenská republika nemá k definičným znakom navrhovanej právnej formy EU </w:t>
      </w:r>
      <w:proofErr w:type="spellStart"/>
      <w:r w:rsidRPr="00F2249F">
        <w:rPr>
          <w:i/>
        </w:rPr>
        <w:t>Inc</w:t>
      </w:r>
      <w:proofErr w:type="spellEnd"/>
      <w:r w:rsidRPr="00F2249F">
        <w:rPr>
          <w:i/>
        </w:rPr>
        <w:t xml:space="preserve">. výhrady. V rozsahu pripomienok k právnemu základu je potrebné dôkladne diskutovať otázku, či má v skutočnosti návrh hovoriť, že EU </w:t>
      </w:r>
      <w:proofErr w:type="spellStart"/>
      <w:r w:rsidRPr="00F2249F">
        <w:rPr>
          <w:i/>
        </w:rPr>
        <w:t>Inc</w:t>
      </w:r>
      <w:proofErr w:type="spellEnd"/>
      <w:r w:rsidRPr="00F2249F">
        <w:rPr>
          <w:i/>
        </w:rPr>
        <w:t xml:space="preserve">. je právna forma ustanovená v právnom poriadku členského štátu, alebo v nariadení. Bude tiež potrebné zvážiť, na ktorú existujúcu právnu formu (alebo formy, nakoľko môže ísť aj o viacej druhov spoločností) bude EU </w:t>
      </w:r>
      <w:proofErr w:type="spellStart"/>
      <w:r w:rsidRPr="00F2249F">
        <w:rPr>
          <w:i/>
        </w:rPr>
        <w:t>Inc</w:t>
      </w:r>
      <w:proofErr w:type="spellEnd"/>
      <w:r w:rsidRPr="00F2249F">
        <w:rPr>
          <w:i/>
        </w:rPr>
        <w:t xml:space="preserve">. vhodné naviazať, prípadne či vytvoriť osobitné vnútroštátne predpisy pre EU </w:t>
      </w:r>
      <w:proofErr w:type="spellStart"/>
      <w:r w:rsidRPr="00F2249F">
        <w:rPr>
          <w:i/>
        </w:rPr>
        <w:t>Inc</w:t>
      </w:r>
      <w:proofErr w:type="spellEnd"/>
      <w:r w:rsidRPr="00F2249F">
        <w:rPr>
          <w:i/>
        </w:rPr>
        <w:t xml:space="preserve">. </w:t>
      </w:r>
    </w:p>
    <w:p w14:paraId="0B7722DF" w14:textId="74818320" w:rsidR="00615698" w:rsidRPr="00F2249F" w:rsidRDefault="00615698" w:rsidP="00EB1051">
      <w:pPr>
        <w:pStyle w:val="Pta"/>
        <w:tabs>
          <w:tab w:val="clear" w:pos="4536"/>
          <w:tab w:val="clear" w:pos="9072"/>
        </w:tabs>
        <w:overflowPunct w:val="0"/>
        <w:autoSpaceDE w:val="0"/>
        <w:autoSpaceDN w:val="0"/>
        <w:adjustRightInd w:val="0"/>
        <w:jc w:val="both"/>
        <w:textAlignment w:val="baseline"/>
        <w:rPr>
          <w:i/>
        </w:rPr>
      </w:pPr>
    </w:p>
    <w:p w14:paraId="66C22C7E" w14:textId="2F0413B8" w:rsidR="00615698" w:rsidRPr="00F2249F" w:rsidRDefault="00615698" w:rsidP="00615698">
      <w:pPr>
        <w:pStyle w:val="Pta"/>
        <w:tabs>
          <w:tab w:val="clear" w:pos="4536"/>
          <w:tab w:val="clear" w:pos="9072"/>
        </w:tabs>
        <w:overflowPunct w:val="0"/>
        <w:autoSpaceDE w:val="0"/>
        <w:autoSpaceDN w:val="0"/>
        <w:adjustRightInd w:val="0"/>
        <w:jc w:val="both"/>
        <w:textAlignment w:val="baseline"/>
        <w:rPr>
          <w:i/>
        </w:rPr>
      </w:pPr>
      <w:r w:rsidRPr="00F2249F">
        <w:rPr>
          <w:i/>
        </w:rPr>
        <w:t>Stanovené definičné znaky sú už v súčasnosti aplikovateľné na vnút</w:t>
      </w:r>
      <w:r w:rsidR="00AF6A29" w:rsidRPr="00F2249F">
        <w:rPr>
          <w:i/>
        </w:rPr>
        <w:t xml:space="preserve">roštátne právne formy, pričom </w:t>
      </w:r>
      <w:r w:rsidRPr="00F2249F">
        <w:rPr>
          <w:i/>
        </w:rPr>
        <w:t xml:space="preserve">obsahujú nóvum </w:t>
      </w:r>
      <w:r w:rsidR="00AF6A29" w:rsidRPr="00F2249F">
        <w:rPr>
          <w:i/>
        </w:rPr>
        <w:t>v oblastiach</w:t>
      </w:r>
      <w:r w:rsidRPr="00F2249F">
        <w:rPr>
          <w:i/>
        </w:rPr>
        <w:t xml:space="preserve"> rozvinutých v ďalších častiach návrhu.  </w:t>
      </w:r>
    </w:p>
    <w:p w14:paraId="1227CB94"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pPr>
    </w:p>
    <w:p w14:paraId="1BB9A856"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rPr>
          <w:b/>
          <w:u w:val="single"/>
        </w:rPr>
      </w:pPr>
      <w:r w:rsidRPr="00F2249F">
        <w:rPr>
          <w:b/>
          <w:u w:val="single"/>
        </w:rPr>
        <w:t xml:space="preserve">Článok 4 – Pravidlá uplatniteľné na spoločnosť EU </w:t>
      </w:r>
      <w:proofErr w:type="spellStart"/>
      <w:r w:rsidRPr="00F2249F">
        <w:rPr>
          <w:b/>
          <w:u w:val="single"/>
        </w:rPr>
        <w:t>Inc</w:t>
      </w:r>
      <w:proofErr w:type="spellEnd"/>
      <w:r w:rsidRPr="00F2249F">
        <w:rPr>
          <w:b/>
          <w:u w:val="single"/>
        </w:rPr>
        <w:t xml:space="preserve">. </w:t>
      </w:r>
    </w:p>
    <w:p w14:paraId="3C7BAE3B" w14:textId="77777777" w:rsidR="00EB1051" w:rsidRPr="00F2249F" w:rsidRDefault="00EB1051" w:rsidP="00EB1051">
      <w:pPr>
        <w:tabs>
          <w:tab w:val="left" w:pos="1786"/>
        </w:tabs>
        <w:jc w:val="both"/>
      </w:pPr>
      <w:r w:rsidRPr="00F2249F">
        <w:t xml:space="preserve">EU </w:t>
      </w:r>
      <w:proofErr w:type="spellStart"/>
      <w:r w:rsidRPr="00F2249F">
        <w:t>Inc</w:t>
      </w:r>
      <w:proofErr w:type="spellEnd"/>
      <w:r w:rsidRPr="00F2249F">
        <w:t xml:space="preserve">. sa má spravovať: </w:t>
      </w:r>
    </w:p>
    <w:p w14:paraId="6FD7CFBE" w14:textId="77777777" w:rsidR="00EB1051" w:rsidRPr="00F2249F" w:rsidRDefault="00EB1051" w:rsidP="004A471E">
      <w:pPr>
        <w:pStyle w:val="Odsekzoznamu"/>
        <w:numPr>
          <w:ilvl w:val="0"/>
          <w:numId w:val="4"/>
        </w:numPr>
        <w:tabs>
          <w:tab w:val="left" w:pos="1786"/>
        </w:tabs>
        <w:jc w:val="both"/>
      </w:pPr>
      <w:r w:rsidRPr="00F2249F">
        <w:t>nariadením,</w:t>
      </w:r>
    </w:p>
    <w:p w14:paraId="4549A2B6" w14:textId="77777777" w:rsidR="00EB1051" w:rsidRPr="00F2249F" w:rsidRDefault="00EB1051" w:rsidP="004A471E">
      <w:pPr>
        <w:pStyle w:val="Odsekzoznamu"/>
        <w:numPr>
          <w:ilvl w:val="0"/>
          <w:numId w:val="4"/>
        </w:numPr>
        <w:tabs>
          <w:tab w:val="left" w:pos="1786"/>
        </w:tabs>
        <w:jc w:val="both"/>
      </w:pPr>
      <w:r w:rsidRPr="00F2249F">
        <w:t>stanovami, ktoré musia byť v súlade s nariadením ,</w:t>
      </w:r>
    </w:p>
    <w:p w14:paraId="34F3EF2B" w14:textId="77777777" w:rsidR="00EB1051" w:rsidRPr="00F2249F" w:rsidRDefault="00EB1051" w:rsidP="004A471E">
      <w:pPr>
        <w:pStyle w:val="Odsekzoznamu"/>
        <w:numPr>
          <w:ilvl w:val="0"/>
          <w:numId w:val="4"/>
        </w:numPr>
        <w:tabs>
          <w:tab w:val="left" w:pos="1786"/>
        </w:tabs>
        <w:jc w:val="both"/>
      </w:pPr>
      <w:r w:rsidRPr="00F2249F">
        <w:t xml:space="preserve">právom členského štátu vo veciach neupravených nariadením alebo stanovami, a to podľa ustanovení o právnej forme, ktoré určí členský štát. </w:t>
      </w:r>
    </w:p>
    <w:p w14:paraId="0D2B104D" w14:textId="77777777" w:rsidR="00EB1051" w:rsidRPr="00F2249F" w:rsidRDefault="00EB1051" w:rsidP="00EB1051">
      <w:pPr>
        <w:tabs>
          <w:tab w:val="left" w:pos="1786"/>
        </w:tabs>
        <w:jc w:val="both"/>
      </w:pPr>
    </w:p>
    <w:p w14:paraId="481D1EFB" w14:textId="1D48F358" w:rsidR="00EB1051" w:rsidRPr="00F2249F" w:rsidRDefault="00EB1051" w:rsidP="00EB1051">
      <w:pPr>
        <w:tabs>
          <w:tab w:val="left" w:pos="1786"/>
        </w:tabs>
        <w:jc w:val="both"/>
      </w:pPr>
      <w:r w:rsidRPr="00F2249F">
        <w:rPr>
          <w:b/>
          <w:u w:val="single"/>
        </w:rPr>
        <w:t>Pozícia SR</w:t>
      </w:r>
      <w:r w:rsidRPr="00F2249F">
        <w:t xml:space="preserve">: </w:t>
      </w:r>
      <w:r w:rsidRPr="00F2249F">
        <w:rPr>
          <w:i/>
        </w:rPr>
        <w:t xml:space="preserve">Harmonizácia pravidiel nariadením má zabezpečiť flexibilitu pre EU </w:t>
      </w:r>
      <w:proofErr w:type="spellStart"/>
      <w:r w:rsidRPr="00F2249F">
        <w:rPr>
          <w:i/>
        </w:rPr>
        <w:t>Inc</w:t>
      </w:r>
      <w:proofErr w:type="spellEnd"/>
      <w:r w:rsidRPr="00F2249F">
        <w:rPr>
          <w:i/>
        </w:rPr>
        <w:t>, úprava stanov však musí rešpektovať kogentné ustanovenia vnútroštátneho práva, ktoré sa na ňu aplikuje. Je zásadné upraviť hierarchiu uplatniteľných noriem tak, aby bola zabezpečená rovnováha týchto pravidiel za súčasného zachovania cieľa návrhu.</w:t>
      </w:r>
      <w:r w:rsidRPr="00F2249F">
        <w:t xml:space="preserve"> </w:t>
      </w:r>
    </w:p>
    <w:p w14:paraId="203A6830" w14:textId="77777777" w:rsidR="00EB1051" w:rsidRPr="00F2249F" w:rsidRDefault="00EB1051" w:rsidP="00EB1051">
      <w:pPr>
        <w:tabs>
          <w:tab w:val="left" w:pos="1786"/>
        </w:tabs>
        <w:jc w:val="both"/>
        <w:rPr>
          <w:i/>
        </w:rPr>
      </w:pPr>
      <w:r w:rsidRPr="00F2249F">
        <w:rPr>
          <w:i/>
        </w:rPr>
        <w:t xml:space="preserve">Táto pozícia je horizontálna, pretože článok 4 má presah na celý návrh, od založenia spoločnosti, cez jej fungovanie až po jej likvidáciu a výmaz. </w:t>
      </w:r>
    </w:p>
    <w:p w14:paraId="7BBBCD94" w14:textId="77777777" w:rsidR="00EB1051" w:rsidRPr="00F2249F" w:rsidRDefault="00EB1051" w:rsidP="00EB1051">
      <w:pPr>
        <w:tabs>
          <w:tab w:val="left" w:pos="1786"/>
        </w:tabs>
        <w:jc w:val="both"/>
      </w:pPr>
    </w:p>
    <w:p w14:paraId="6ECAA64B" w14:textId="77777777" w:rsidR="00EB1051" w:rsidRPr="00F2249F" w:rsidRDefault="00EB1051" w:rsidP="00EB1051">
      <w:pPr>
        <w:tabs>
          <w:tab w:val="left" w:pos="1786"/>
        </w:tabs>
        <w:jc w:val="both"/>
        <w:rPr>
          <w:i/>
        </w:rPr>
      </w:pPr>
      <w:r w:rsidRPr="00F2249F">
        <w:rPr>
          <w:i/>
        </w:rPr>
        <w:lastRenderedPageBreak/>
        <w:t xml:space="preserve">Pre bezproblémové fungovanie EU </w:t>
      </w:r>
      <w:proofErr w:type="spellStart"/>
      <w:r w:rsidRPr="00F2249F">
        <w:rPr>
          <w:i/>
        </w:rPr>
        <w:t>Inc</w:t>
      </w:r>
      <w:proofErr w:type="spellEnd"/>
      <w:r w:rsidRPr="00F2249F">
        <w:rPr>
          <w:i/>
        </w:rPr>
        <w:t xml:space="preserve">. je nevyhnutné jednoznačne vymedziť vzťah medzi nariadením, stanovami spoločnosti a aplikovateľným vnútroštátnym právom, vrátane určenia, ktoré pravidlá majú v jednotlivých situáciách prednosť. Osobitne je potrebné zohľadniť, že EU </w:t>
      </w:r>
      <w:proofErr w:type="spellStart"/>
      <w:r w:rsidRPr="00F2249F">
        <w:rPr>
          <w:i/>
        </w:rPr>
        <w:t>Inc</w:t>
      </w:r>
      <w:proofErr w:type="spellEnd"/>
      <w:r w:rsidRPr="00F2249F">
        <w:rPr>
          <w:i/>
        </w:rPr>
        <w:t xml:space="preserve">. môže počas svojho životného cyklu podliehať odlišným regulačným režimom. Kým v počiatočnej fáze môže ísť o malý alebo stredný podnik s potrebou vysokej flexibility a nízkej administratívnej záťaže, v neskoršej fáze môže spoločnosť vstúpiť na kapitálové trhy a podliehať dodatočným regulačným požiadavkám, najmä v oblasti práva kapitálového trhu, </w:t>
      </w:r>
      <w:proofErr w:type="spellStart"/>
      <w:r w:rsidRPr="00F2249F">
        <w:rPr>
          <w:i/>
        </w:rPr>
        <w:t>corporate</w:t>
      </w:r>
      <w:proofErr w:type="spellEnd"/>
      <w:r w:rsidRPr="00F2249F">
        <w:rPr>
          <w:i/>
        </w:rPr>
        <w:t xml:space="preserve"> </w:t>
      </w:r>
      <w:proofErr w:type="spellStart"/>
      <w:r w:rsidRPr="00F2249F">
        <w:rPr>
          <w:i/>
        </w:rPr>
        <w:t>governance</w:t>
      </w:r>
      <w:proofErr w:type="spellEnd"/>
      <w:r w:rsidRPr="00F2249F">
        <w:rPr>
          <w:i/>
        </w:rPr>
        <w:t xml:space="preserve">, ochrany investorov či transparentnosti. Absencia jasných kolíznych pravidiel medzi nariadením, stanovami a vnútroštátnym právom povedie k právnej neistote a oslabeniu atraktivity EU </w:t>
      </w:r>
      <w:proofErr w:type="spellStart"/>
      <w:r w:rsidRPr="00F2249F">
        <w:rPr>
          <w:i/>
        </w:rPr>
        <w:t>Inc</w:t>
      </w:r>
      <w:proofErr w:type="spellEnd"/>
      <w:r w:rsidRPr="00F2249F">
        <w:rPr>
          <w:i/>
        </w:rPr>
        <w:t xml:space="preserve">. režimu. </w:t>
      </w:r>
    </w:p>
    <w:p w14:paraId="6F5A6B14"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pPr>
    </w:p>
    <w:p w14:paraId="7ACAC464"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rPr>
          <w:b/>
          <w:u w:val="single"/>
        </w:rPr>
      </w:pPr>
      <w:r w:rsidRPr="00F2249F">
        <w:rPr>
          <w:b/>
          <w:u w:val="single"/>
        </w:rPr>
        <w:t>Článok 5 – Právna subjektivita</w:t>
      </w:r>
    </w:p>
    <w:p w14:paraId="4FDD2058"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pPr>
      <w:r w:rsidRPr="00F2249F">
        <w:t xml:space="preserve">Navrhované ustanovenie o právnej subjektivite a vzniku spoločnosti zodpovedá právnej úprave Slovenskej republiky. </w:t>
      </w:r>
    </w:p>
    <w:p w14:paraId="39642C80" w14:textId="08D96E26" w:rsidR="00EB1051" w:rsidRPr="00F2249F" w:rsidRDefault="00EB1051" w:rsidP="00EB1051">
      <w:pPr>
        <w:pStyle w:val="Pta"/>
        <w:tabs>
          <w:tab w:val="clear" w:pos="4536"/>
          <w:tab w:val="clear" w:pos="9072"/>
        </w:tabs>
        <w:overflowPunct w:val="0"/>
        <w:autoSpaceDE w:val="0"/>
        <w:autoSpaceDN w:val="0"/>
        <w:adjustRightInd w:val="0"/>
        <w:jc w:val="both"/>
        <w:textAlignment w:val="baseline"/>
        <w:rPr>
          <w:b/>
          <w:u w:val="single"/>
        </w:rPr>
      </w:pPr>
    </w:p>
    <w:p w14:paraId="530BFDF8" w14:textId="18636972" w:rsidR="00EB1051" w:rsidRPr="00F2249F" w:rsidRDefault="00EB1051" w:rsidP="00EB1051">
      <w:pPr>
        <w:pStyle w:val="Pta"/>
        <w:tabs>
          <w:tab w:val="clear" w:pos="4536"/>
          <w:tab w:val="clear" w:pos="9072"/>
        </w:tabs>
        <w:overflowPunct w:val="0"/>
        <w:autoSpaceDE w:val="0"/>
        <w:autoSpaceDN w:val="0"/>
        <w:adjustRightInd w:val="0"/>
        <w:jc w:val="both"/>
        <w:textAlignment w:val="baseline"/>
        <w:rPr>
          <w:i/>
        </w:rPr>
      </w:pPr>
      <w:r w:rsidRPr="00F2249F">
        <w:rPr>
          <w:b/>
          <w:u w:val="single"/>
        </w:rPr>
        <w:t xml:space="preserve">Pozícia SR: </w:t>
      </w:r>
      <w:r w:rsidRPr="00F2249F">
        <w:rPr>
          <w:i/>
        </w:rPr>
        <w:t>Slovenská republika nemá k navrhovanému ustanoveniu výhrady. Úprava ustanovenia jednoznačne podporuje potrebu efektívneho a jasného vymedzenia vzťahu pravidiel v zmysle čl. 4.</w:t>
      </w:r>
    </w:p>
    <w:p w14:paraId="38D0F263" w14:textId="34EACD38" w:rsidR="00615698" w:rsidRPr="00F2249F" w:rsidRDefault="00615698" w:rsidP="00EB1051">
      <w:pPr>
        <w:pStyle w:val="Pta"/>
        <w:tabs>
          <w:tab w:val="clear" w:pos="4536"/>
          <w:tab w:val="clear" w:pos="9072"/>
        </w:tabs>
        <w:overflowPunct w:val="0"/>
        <w:autoSpaceDE w:val="0"/>
        <w:autoSpaceDN w:val="0"/>
        <w:adjustRightInd w:val="0"/>
        <w:jc w:val="both"/>
        <w:textAlignment w:val="baseline"/>
        <w:rPr>
          <w:i/>
        </w:rPr>
      </w:pPr>
    </w:p>
    <w:p w14:paraId="2ECFBBFB" w14:textId="0CED9D27" w:rsidR="00615698" w:rsidRPr="00F2249F" w:rsidRDefault="00615698" w:rsidP="00EB1051">
      <w:pPr>
        <w:pStyle w:val="Pta"/>
        <w:tabs>
          <w:tab w:val="clear" w:pos="4536"/>
          <w:tab w:val="clear" w:pos="9072"/>
        </w:tabs>
        <w:overflowPunct w:val="0"/>
        <w:autoSpaceDE w:val="0"/>
        <w:autoSpaceDN w:val="0"/>
        <w:adjustRightInd w:val="0"/>
        <w:jc w:val="both"/>
        <w:textAlignment w:val="baseline"/>
        <w:rPr>
          <w:i/>
        </w:rPr>
      </w:pPr>
      <w:r w:rsidRPr="00F2249F">
        <w:rPr>
          <w:i/>
        </w:rPr>
        <w:t>Ustanovenie týkajúce sa konania pred vznikom spoločnosti je oproti slovenskej právnej úprave [§ 64 zákona č. 513/1991 Zb. Obchodný zákonník (ďalej len „Obchodný zákonník“) alebo („ObZ“)] strohejšie. Ide však o prebratie úpravy čl. 7 ods. 2 smernice (EÚ) 2017/1132. Táto úprava je v jednotlivých členských štátoch prebratá a doplnená vnútroštátnou úpravou.</w:t>
      </w:r>
    </w:p>
    <w:p w14:paraId="0E1AFA46"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pPr>
    </w:p>
    <w:p w14:paraId="3C00077A"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rPr>
          <w:b/>
          <w:u w:val="single"/>
        </w:rPr>
      </w:pPr>
      <w:r w:rsidRPr="00F2249F">
        <w:rPr>
          <w:b/>
          <w:u w:val="single"/>
        </w:rPr>
        <w:t xml:space="preserve">Článok 6 – Názov spoločnosti </w:t>
      </w:r>
      <w:proofErr w:type="spellStart"/>
      <w:r w:rsidRPr="00F2249F">
        <w:rPr>
          <w:b/>
          <w:u w:val="single"/>
        </w:rPr>
        <w:t>Eu</w:t>
      </w:r>
      <w:proofErr w:type="spellEnd"/>
      <w:r w:rsidRPr="00F2249F">
        <w:rPr>
          <w:b/>
          <w:u w:val="single"/>
        </w:rPr>
        <w:t xml:space="preserve"> </w:t>
      </w:r>
      <w:proofErr w:type="spellStart"/>
      <w:r w:rsidRPr="00F2249F">
        <w:rPr>
          <w:b/>
          <w:u w:val="single"/>
        </w:rPr>
        <w:t>Inc</w:t>
      </w:r>
      <w:proofErr w:type="spellEnd"/>
      <w:r w:rsidRPr="00F2249F">
        <w:rPr>
          <w:b/>
          <w:u w:val="single"/>
        </w:rPr>
        <w:t xml:space="preserve">. a jej pobočky </w:t>
      </w:r>
    </w:p>
    <w:p w14:paraId="682BA810"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pPr>
      <w:r w:rsidRPr="00F2249F">
        <w:t xml:space="preserve">Navrhuje sa určiť pravidlá pre stanovenie obchodného mena spoločnosti. </w:t>
      </w:r>
    </w:p>
    <w:p w14:paraId="6DDB585C"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pPr>
    </w:p>
    <w:p w14:paraId="12D9A681" w14:textId="07773EAB" w:rsidR="00EB1051" w:rsidRPr="00F2249F" w:rsidRDefault="00AF6A29" w:rsidP="00EB1051">
      <w:pPr>
        <w:pStyle w:val="Pta"/>
        <w:tabs>
          <w:tab w:val="clear" w:pos="4536"/>
          <w:tab w:val="clear" w:pos="9072"/>
        </w:tabs>
        <w:overflowPunct w:val="0"/>
        <w:autoSpaceDE w:val="0"/>
        <w:autoSpaceDN w:val="0"/>
        <w:adjustRightInd w:val="0"/>
        <w:jc w:val="both"/>
        <w:textAlignment w:val="baseline"/>
      </w:pPr>
      <w:r w:rsidRPr="00F2249F">
        <w:t>Upravuje sa</w:t>
      </w:r>
      <w:r w:rsidR="00EB1051" w:rsidRPr="00F2249F">
        <w:t xml:space="preserve"> povinnosť obchodného mena spĺňať funkciu obchodného mena. Navrhuje sa tiež, aby sa obchodné meno muselo odlišovať od iných už registrovaných EU </w:t>
      </w:r>
      <w:proofErr w:type="spellStart"/>
      <w:r w:rsidR="00EB1051" w:rsidRPr="00F2249F">
        <w:t>Inc</w:t>
      </w:r>
      <w:proofErr w:type="spellEnd"/>
      <w:r w:rsidR="00EB1051" w:rsidRPr="00F2249F">
        <w:t xml:space="preserve">. v celej Európskej únii, rovnako aj všetkých iných právnych foriem dostupných cez BRIS. </w:t>
      </w:r>
    </w:p>
    <w:p w14:paraId="42D557B0"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rPr>
          <w:b/>
          <w:u w:val="single"/>
        </w:rPr>
      </w:pPr>
    </w:p>
    <w:p w14:paraId="0D91D6F4" w14:textId="39E49856" w:rsidR="00EB1051" w:rsidRPr="00F2249F" w:rsidRDefault="00EB1051" w:rsidP="00EB1051">
      <w:pPr>
        <w:pStyle w:val="Pta"/>
        <w:tabs>
          <w:tab w:val="clear" w:pos="4536"/>
          <w:tab w:val="clear" w:pos="9072"/>
        </w:tabs>
        <w:overflowPunct w:val="0"/>
        <w:autoSpaceDE w:val="0"/>
        <w:autoSpaceDN w:val="0"/>
        <w:adjustRightInd w:val="0"/>
        <w:jc w:val="both"/>
        <w:textAlignment w:val="baseline"/>
        <w:rPr>
          <w:i/>
        </w:rPr>
      </w:pPr>
      <w:r w:rsidRPr="00F2249F">
        <w:rPr>
          <w:b/>
          <w:u w:val="single"/>
        </w:rPr>
        <w:t xml:space="preserve">Pozícia SR: </w:t>
      </w:r>
      <w:r w:rsidRPr="00F2249F">
        <w:rPr>
          <w:i/>
        </w:rPr>
        <w:t xml:space="preserve">Slovenská republika víta stanovenie pravidiel pre určenie obchodného mena EU </w:t>
      </w:r>
      <w:proofErr w:type="spellStart"/>
      <w:r w:rsidRPr="00F2249F">
        <w:rPr>
          <w:i/>
        </w:rPr>
        <w:t>Inc</w:t>
      </w:r>
      <w:proofErr w:type="spellEnd"/>
      <w:r w:rsidRPr="00F2249F">
        <w:rPr>
          <w:i/>
        </w:rPr>
        <w:t xml:space="preserve">. Je potrebné dbať na jasnom a zrozumiteľnom znení pravidiel tak, aby kontroly vykonávané pri preventívnej kontrole či registrácii EU </w:t>
      </w:r>
      <w:proofErr w:type="spellStart"/>
      <w:r w:rsidRPr="00F2249F">
        <w:rPr>
          <w:i/>
        </w:rPr>
        <w:t>Inc</w:t>
      </w:r>
      <w:proofErr w:type="spellEnd"/>
      <w:r w:rsidRPr="00F2249F">
        <w:rPr>
          <w:i/>
        </w:rPr>
        <w:t>. mohli byť vykonávané efektívne a bez zdržania a aby bolo podmienky pre určenie obchodného mena možno efektívne preskúmať.</w:t>
      </w:r>
    </w:p>
    <w:p w14:paraId="11B4FDB3" w14:textId="6775896D" w:rsidR="00AF6A29" w:rsidRPr="00F2249F" w:rsidRDefault="00AF6A29" w:rsidP="00EB1051">
      <w:pPr>
        <w:pStyle w:val="Pta"/>
        <w:tabs>
          <w:tab w:val="clear" w:pos="4536"/>
          <w:tab w:val="clear" w:pos="9072"/>
        </w:tabs>
        <w:overflowPunct w:val="0"/>
        <w:autoSpaceDE w:val="0"/>
        <w:autoSpaceDN w:val="0"/>
        <w:adjustRightInd w:val="0"/>
        <w:jc w:val="both"/>
        <w:textAlignment w:val="baseline"/>
        <w:rPr>
          <w:i/>
        </w:rPr>
      </w:pPr>
    </w:p>
    <w:p w14:paraId="34448654" w14:textId="030C9748" w:rsidR="00EB1051" w:rsidRPr="00F2249F" w:rsidRDefault="00AF6A29" w:rsidP="00EB1051">
      <w:pPr>
        <w:pStyle w:val="Pta"/>
        <w:tabs>
          <w:tab w:val="clear" w:pos="4536"/>
          <w:tab w:val="clear" w:pos="9072"/>
        </w:tabs>
        <w:overflowPunct w:val="0"/>
        <w:autoSpaceDE w:val="0"/>
        <w:autoSpaceDN w:val="0"/>
        <w:adjustRightInd w:val="0"/>
        <w:jc w:val="both"/>
        <w:textAlignment w:val="baseline"/>
        <w:rPr>
          <w:i/>
        </w:rPr>
      </w:pPr>
      <w:r w:rsidRPr="00F2249F">
        <w:rPr>
          <w:i/>
        </w:rPr>
        <w:t>Návrh nariadenia používa pojem pobočka. V celom predbežnom stanovisku sa používa tento pojem v súlade s návrhom, avšak je potrebné vnímať, že ide o podnik zahraničnej právnej osoby alebo organizačnú zložku podniku zahraničnej právnickej osoby v zmysle § 21 Obchodného zákonníka.</w:t>
      </w:r>
    </w:p>
    <w:p w14:paraId="2EF00437"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pPr>
    </w:p>
    <w:p w14:paraId="48DE86F3"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rPr>
          <w:b/>
          <w:u w:val="single"/>
        </w:rPr>
      </w:pPr>
      <w:r w:rsidRPr="00F2249F">
        <w:rPr>
          <w:b/>
          <w:u w:val="single"/>
        </w:rPr>
        <w:t>Článok 7 – Stanovy</w:t>
      </w:r>
    </w:p>
    <w:p w14:paraId="1BEBF15F"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pPr>
      <w:r w:rsidRPr="00F2249F">
        <w:t xml:space="preserve">V zmysle definícií návrhu nariadenia stanovy predstavujú spoločenskú zmluvu (zakladateľský dokument) a stanovy v jednom dokumente. Pôjde teda o obdobu spoločenskej zmluvy v spoločnosti s ručením obmedzeným. </w:t>
      </w:r>
    </w:p>
    <w:p w14:paraId="45977BDD"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pPr>
    </w:p>
    <w:p w14:paraId="5F77A985"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pPr>
      <w:r w:rsidRPr="00F2249F">
        <w:t xml:space="preserve">Spoločenská zmluva má obsahovať aspoň údaje uvedené v Prílohe k návrhu nariadenia, pričom tieto údaje sa v zásade zhodujú s povinnými údajmi v spoločenskej zmluve v spoločnosti s ručením obmedzeným. </w:t>
      </w:r>
    </w:p>
    <w:p w14:paraId="0CAF4429"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pPr>
    </w:p>
    <w:p w14:paraId="3AD6A180" w14:textId="6DB99133" w:rsidR="00EB1051" w:rsidRPr="00F2249F" w:rsidRDefault="00EB1051" w:rsidP="00EB1051">
      <w:pPr>
        <w:pStyle w:val="Pta"/>
        <w:tabs>
          <w:tab w:val="clear" w:pos="4536"/>
          <w:tab w:val="clear" w:pos="9072"/>
        </w:tabs>
        <w:overflowPunct w:val="0"/>
        <w:autoSpaceDE w:val="0"/>
        <w:autoSpaceDN w:val="0"/>
        <w:adjustRightInd w:val="0"/>
        <w:jc w:val="both"/>
        <w:textAlignment w:val="baseline"/>
      </w:pPr>
      <w:r w:rsidRPr="00F2249F">
        <w:lastRenderedPageBreak/>
        <w:t>Stanovy sú vždy vyhotovené v elektronickej forme a v dvoch jazykoch. Jedným z jazykov je štátny jazyk v členskom štáte registrácie, druhým je angličtina, pričom návrh obsahuje na ňu bežný legislatívno-technický odkaz</w:t>
      </w:r>
      <w:r w:rsidR="00AF6A29" w:rsidRPr="00F2249F">
        <w:t xml:space="preserve"> používaný v európskej legislatíve.</w:t>
      </w:r>
    </w:p>
    <w:p w14:paraId="56FE85B6"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rPr>
          <w:b/>
          <w:u w:val="single"/>
        </w:rPr>
      </w:pPr>
    </w:p>
    <w:p w14:paraId="7D5C8BA1" w14:textId="756C78E3" w:rsidR="00EB1051" w:rsidRPr="00F2249F" w:rsidRDefault="00EB1051" w:rsidP="00EB1051">
      <w:pPr>
        <w:pStyle w:val="Pta"/>
        <w:tabs>
          <w:tab w:val="clear" w:pos="4536"/>
          <w:tab w:val="clear" w:pos="9072"/>
        </w:tabs>
        <w:overflowPunct w:val="0"/>
        <w:autoSpaceDE w:val="0"/>
        <w:autoSpaceDN w:val="0"/>
        <w:adjustRightInd w:val="0"/>
        <w:jc w:val="both"/>
        <w:textAlignment w:val="baseline"/>
      </w:pPr>
      <w:r w:rsidRPr="00F2249F">
        <w:rPr>
          <w:b/>
          <w:u w:val="single"/>
        </w:rPr>
        <w:t xml:space="preserve">Pozícia SR: </w:t>
      </w:r>
      <w:r w:rsidRPr="00F2249F">
        <w:rPr>
          <w:i/>
        </w:rPr>
        <w:t xml:space="preserve">Ustanovenie sleduje cieľ návrhu – EU </w:t>
      </w:r>
      <w:proofErr w:type="spellStart"/>
      <w:r w:rsidRPr="00F2249F">
        <w:rPr>
          <w:i/>
        </w:rPr>
        <w:t>Inc</w:t>
      </w:r>
      <w:proofErr w:type="spellEnd"/>
      <w:r w:rsidRPr="00F2249F">
        <w:rPr>
          <w:i/>
        </w:rPr>
        <w:t xml:space="preserve">. má byť zásadne digitálna právna forma. Aj v tejto oblasti považujeme za nevyhnutné smerovať znenie textu tak, aby boli ustanovenia v praxi aplikovateľné a aby nedošlo k vytváraniu nesplniteľných riešení. Je možné súhlasiť s dvojjazyčnosťou stanov, ako aj zodpovednosťou EU </w:t>
      </w:r>
      <w:proofErr w:type="spellStart"/>
      <w:r w:rsidRPr="00F2249F">
        <w:rPr>
          <w:i/>
        </w:rPr>
        <w:t>Inc</w:t>
      </w:r>
      <w:proofErr w:type="spellEnd"/>
      <w:r w:rsidRPr="00F2249F">
        <w:rPr>
          <w:i/>
        </w:rPr>
        <w:t xml:space="preserve">. za nesprávne uvedené údaje. </w:t>
      </w:r>
    </w:p>
    <w:p w14:paraId="62658AA2"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pPr>
    </w:p>
    <w:p w14:paraId="6C845F76"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rPr>
          <w:b/>
          <w:u w:val="single"/>
        </w:rPr>
      </w:pPr>
      <w:r w:rsidRPr="00F2249F">
        <w:rPr>
          <w:b/>
          <w:u w:val="single"/>
        </w:rPr>
        <w:t>Článok 8 – Vzor EÚ pre štandardné stanovy</w:t>
      </w:r>
    </w:p>
    <w:p w14:paraId="2D4F2050" w14:textId="308BE8DA" w:rsidR="00EB1051" w:rsidRPr="00F2249F" w:rsidRDefault="00EB1051" w:rsidP="00EB1051">
      <w:pPr>
        <w:pStyle w:val="Pta"/>
        <w:tabs>
          <w:tab w:val="clear" w:pos="4536"/>
          <w:tab w:val="clear" w:pos="9072"/>
        </w:tabs>
        <w:overflowPunct w:val="0"/>
        <w:autoSpaceDE w:val="0"/>
        <w:autoSpaceDN w:val="0"/>
        <w:adjustRightInd w:val="0"/>
        <w:jc w:val="both"/>
        <w:textAlignment w:val="baseline"/>
      </w:pPr>
      <w:r w:rsidRPr="00F2249F">
        <w:t xml:space="preserve">EU </w:t>
      </w:r>
      <w:proofErr w:type="spellStart"/>
      <w:r w:rsidRPr="00F2249F">
        <w:t>Inc</w:t>
      </w:r>
      <w:proofErr w:type="spellEnd"/>
      <w:r w:rsidRPr="00F2249F">
        <w:t xml:space="preserve">. je možné založiť aj spoločenskou zmluvou vo forme elektronického štandardizovaného formulára, ktorého vzor stanoví Európska komisia vo forme </w:t>
      </w:r>
      <w:r w:rsidR="00A94973" w:rsidRPr="00F2249F">
        <w:t>implementačného</w:t>
      </w:r>
      <w:r w:rsidRPr="00F2249F">
        <w:t xml:space="preserve"> aktu. </w:t>
      </w:r>
    </w:p>
    <w:p w14:paraId="0393D9AE" w14:textId="533535A1" w:rsidR="00EB1051" w:rsidRPr="00F2249F" w:rsidRDefault="00EB1051" w:rsidP="00EB1051">
      <w:pPr>
        <w:pStyle w:val="Pta"/>
        <w:tabs>
          <w:tab w:val="clear" w:pos="4536"/>
          <w:tab w:val="clear" w:pos="9072"/>
        </w:tabs>
        <w:overflowPunct w:val="0"/>
        <w:autoSpaceDE w:val="0"/>
        <w:autoSpaceDN w:val="0"/>
        <w:adjustRightInd w:val="0"/>
        <w:jc w:val="both"/>
        <w:textAlignment w:val="baseline"/>
        <w:rPr>
          <w:b/>
          <w:highlight w:val="yellow"/>
          <w:u w:val="single"/>
        </w:rPr>
      </w:pPr>
    </w:p>
    <w:p w14:paraId="5A12AB6C" w14:textId="3B574CB6" w:rsidR="00EB1051" w:rsidRPr="00F2249F" w:rsidRDefault="00EB1051" w:rsidP="00EB1051">
      <w:pPr>
        <w:pStyle w:val="Pta"/>
        <w:tabs>
          <w:tab w:val="clear" w:pos="4536"/>
          <w:tab w:val="clear" w:pos="9072"/>
        </w:tabs>
        <w:overflowPunct w:val="0"/>
        <w:autoSpaceDE w:val="0"/>
        <w:autoSpaceDN w:val="0"/>
        <w:adjustRightInd w:val="0"/>
        <w:jc w:val="both"/>
        <w:textAlignment w:val="baseline"/>
        <w:rPr>
          <w:i/>
        </w:rPr>
      </w:pPr>
      <w:r w:rsidRPr="00F2249F">
        <w:rPr>
          <w:b/>
          <w:u w:val="single"/>
        </w:rPr>
        <w:t xml:space="preserve">Pozícia SR: </w:t>
      </w:r>
      <w:r w:rsidRPr="00F2249F">
        <w:rPr>
          <w:i/>
        </w:rPr>
        <w:t xml:space="preserve">Ustanovenie sleduje cieľ návrhu – EU </w:t>
      </w:r>
      <w:proofErr w:type="spellStart"/>
      <w:r w:rsidRPr="00F2249F">
        <w:rPr>
          <w:i/>
        </w:rPr>
        <w:t>Inc</w:t>
      </w:r>
      <w:proofErr w:type="spellEnd"/>
      <w:r w:rsidRPr="00F2249F">
        <w:rPr>
          <w:i/>
        </w:rPr>
        <w:t xml:space="preserve">. má byť zásadne digitálna právna forma. Aj v tejto oblasti považujeme za nevyhnutné smerovať znenie textu tak, aby boli ustanovenia v praxi aplikovateľné a aby nedošlo k vytváraniu nesplniteľných riešení. Je zásadné, aby formulár spoločenskej zmluvy obsahoval všetky údaje, ktoré sú relevantné pre založenie spoločnosti a následnú registráciu.   </w:t>
      </w:r>
    </w:p>
    <w:p w14:paraId="1F26B930" w14:textId="2B9B1C76" w:rsidR="00615698" w:rsidRPr="00F2249F" w:rsidRDefault="00615698" w:rsidP="00EB1051">
      <w:pPr>
        <w:pStyle w:val="Pta"/>
        <w:tabs>
          <w:tab w:val="clear" w:pos="4536"/>
          <w:tab w:val="clear" w:pos="9072"/>
        </w:tabs>
        <w:overflowPunct w:val="0"/>
        <w:autoSpaceDE w:val="0"/>
        <w:autoSpaceDN w:val="0"/>
        <w:adjustRightInd w:val="0"/>
        <w:jc w:val="both"/>
        <w:textAlignment w:val="baseline"/>
        <w:rPr>
          <w:i/>
        </w:rPr>
      </w:pPr>
    </w:p>
    <w:p w14:paraId="789FB348" w14:textId="7BD3B04F" w:rsidR="00615698" w:rsidRPr="00F2249F" w:rsidRDefault="00615698" w:rsidP="00EB1051">
      <w:pPr>
        <w:pStyle w:val="Pta"/>
        <w:tabs>
          <w:tab w:val="clear" w:pos="4536"/>
          <w:tab w:val="clear" w:pos="9072"/>
        </w:tabs>
        <w:overflowPunct w:val="0"/>
        <w:autoSpaceDE w:val="0"/>
        <w:autoSpaceDN w:val="0"/>
        <w:adjustRightInd w:val="0"/>
        <w:jc w:val="both"/>
        <w:textAlignment w:val="baseline"/>
        <w:rPr>
          <w:i/>
        </w:rPr>
      </w:pPr>
      <w:r w:rsidRPr="00F2249F">
        <w:rPr>
          <w:i/>
        </w:rPr>
        <w:t>V súčasnosti v Slovenskej republike je obdobným spôsobom možné založiť spoločnosť s ručením obmedzeným (zjednodušené založenie - § 110a Obchodného zákonníka).</w:t>
      </w:r>
    </w:p>
    <w:p w14:paraId="19472574"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pPr>
    </w:p>
    <w:p w14:paraId="59749719"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rPr>
          <w:b/>
          <w:u w:val="single"/>
        </w:rPr>
      </w:pPr>
      <w:r w:rsidRPr="00F2249F">
        <w:rPr>
          <w:b/>
          <w:u w:val="single"/>
        </w:rPr>
        <w:t>Článok 9 – Sídlo, ústredie a hlavné miesto podnikateľskej činnosti</w:t>
      </w:r>
    </w:p>
    <w:p w14:paraId="68D5909E"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pPr>
      <w:r w:rsidRPr="00F2249F">
        <w:t xml:space="preserve">Sídlo spoločnosti (v rozsahu návrhu vnímame uvedené ako registrové sídlo) musí byť v každom prípade umiestnené v EÚ, rovnako aj miesto ústredia a hlavného miesta podnikania. V danom prípade ide o kategórie </w:t>
      </w:r>
      <w:proofErr w:type="spellStart"/>
      <w:r w:rsidRPr="00F2249F">
        <w:t>korporátneho</w:t>
      </w:r>
      <w:proofErr w:type="spellEnd"/>
      <w:r w:rsidRPr="00F2249F">
        <w:t xml:space="preserve"> práva. Návrh sa nevenuje teritoriálnemu vymedzeniu na účely zamestnávania či daňové účely. </w:t>
      </w:r>
    </w:p>
    <w:p w14:paraId="6419E4DF"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rPr>
          <w:b/>
          <w:u w:val="single"/>
        </w:rPr>
      </w:pPr>
    </w:p>
    <w:p w14:paraId="506E394B" w14:textId="7A6F3CBD" w:rsidR="00EB1051" w:rsidRPr="00F2249F" w:rsidRDefault="00EB1051" w:rsidP="00EB1051">
      <w:pPr>
        <w:pStyle w:val="Pta"/>
        <w:tabs>
          <w:tab w:val="clear" w:pos="4536"/>
          <w:tab w:val="clear" w:pos="9072"/>
        </w:tabs>
        <w:overflowPunct w:val="0"/>
        <w:autoSpaceDE w:val="0"/>
        <w:autoSpaceDN w:val="0"/>
        <w:adjustRightInd w:val="0"/>
        <w:jc w:val="both"/>
        <w:textAlignment w:val="baseline"/>
        <w:rPr>
          <w:i/>
        </w:rPr>
      </w:pPr>
      <w:r w:rsidRPr="00F2249F">
        <w:rPr>
          <w:b/>
          <w:u w:val="single"/>
        </w:rPr>
        <w:t xml:space="preserve">Pozícia SR: </w:t>
      </w:r>
      <w:r w:rsidRPr="00F2249F">
        <w:rPr>
          <w:i/>
        </w:rPr>
        <w:t xml:space="preserve">Slovenská republika rešpektuje, že návrh poníma teórie sídla podľa právnych úprav jednotlivých členských štátov, ktoré nie sú harmonizované. Z nášho pohľadu sa bude, v prípade prijatia návrhu nariadenia, aj na EU </w:t>
      </w:r>
      <w:proofErr w:type="spellStart"/>
      <w:r w:rsidRPr="00F2249F">
        <w:rPr>
          <w:i/>
        </w:rPr>
        <w:t>Inc</w:t>
      </w:r>
      <w:proofErr w:type="spellEnd"/>
      <w:r w:rsidRPr="00F2249F">
        <w:rPr>
          <w:i/>
        </w:rPr>
        <w:t xml:space="preserve">. aplikovať doposiaľ uznávaná doktrína registrového sídla. </w:t>
      </w:r>
    </w:p>
    <w:p w14:paraId="2F98DCDF"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pPr>
    </w:p>
    <w:p w14:paraId="165E1CB3"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rPr>
          <w:b/>
          <w:u w:val="single"/>
        </w:rPr>
      </w:pPr>
      <w:r w:rsidRPr="00F2249F">
        <w:rPr>
          <w:b/>
          <w:u w:val="single"/>
        </w:rPr>
        <w:t>Článok 10 – Zásada výlučne digitálnych postupov</w:t>
      </w:r>
    </w:p>
    <w:p w14:paraId="337FAFA8"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pPr>
      <w:r w:rsidRPr="00F2249F">
        <w:t xml:space="preserve">Navrhuje sa, aby všetky procesy v súvislosti s nariadením (nielen registrácia, ale aj preventívna kontrola, likvidácia či </w:t>
      </w:r>
      <w:proofErr w:type="spellStart"/>
      <w:r w:rsidRPr="00F2249F">
        <w:t>insolvenčné</w:t>
      </w:r>
      <w:proofErr w:type="spellEnd"/>
      <w:r w:rsidRPr="00F2249F">
        <w:t xml:space="preserve"> konanie) boli len digitálne, pričom sa v odôvodnených jednotlivých prípadoch môže vyžadovať fyzická prítomnosť osoby. Návrh vyžaduje výlučne elektronickú komunikáciu aj medzi spoločnosťami a ich akcionármi. Výlučne elektronická má byť aj komunikácia medzi EU </w:t>
      </w:r>
      <w:proofErr w:type="spellStart"/>
      <w:r w:rsidRPr="00F2249F">
        <w:t>Inc</w:t>
      </w:r>
      <w:proofErr w:type="spellEnd"/>
      <w:r w:rsidRPr="00F2249F">
        <w:t xml:space="preserve">. spoločnosťou a jej akcionármi. </w:t>
      </w:r>
    </w:p>
    <w:p w14:paraId="44829573"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rPr>
          <w:b/>
          <w:u w:val="single"/>
        </w:rPr>
      </w:pPr>
    </w:p>
    <w:p w14:paraId="60AC3950"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pPr>
      <w:r w:rsidRPr="00F2249F">
        <w:rPr>
          <w:b/>
          <w:u w:val="single"/>
        </w:rPr>
        <w:t xml:space="preserve">Pozícia SR: </w:t>
      </w:r>
      <w:r w:rsidRPr="00F2249F">
        <w:rPr>
          <w:i/>
        </w:rPr>
        <w:t xml:space="preserve">Slovenská republika podporuje </w:t>
      </w:r>
      <w:proofErr w:type="spellStart"/>
      <w:r w:rsidRPr="00F2249F">
        <w:rPr>
          <w:i/>
        </w:rPr>
        <w:t>digitalizačné</w:t>
      </w:r>
      <w:proofErr w:type="spellEnd"/>
      <w:r w:rsidRPr="00F2249F">
        <w:rPr>
          <w:i/>
        </w:rPr>
        <w:t xml:space="preserve"> snahy, pričom ich preferenciu v návrhu je možné vnímať pozitívne. Úprava návrhu by mala byť dostatočne jasná a zrejmá tak, aby znenie nespôsobovalo praktické výkladové otázky, napr. v tom smere, o ktoré postupy v rozsahu nariadenia sa pri digitalizácii jedná. Rovnako považujeme za vhodnú zachovať možnosť fyzickej prítomnosti v odôvodnených prípadoch. </w:t>
      </w:r>
    </w:p>
    <w:p w14:paraId="4A1F986A"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pPr>
    </w:p>
    <w:p w14:paraId="3926F8FE"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rPr>
          <w:b/>
          <w:u w:val="single"/>
        </w:rPr>
      </w:pPr>
      <w:r w:rsidRPr="00F2249F">
        <w:rPr>
          <w:b/>
          <w:u w:val="single"/>
        </w:rPr>
        <w:t xml:space="preserve">Článok 11 – Platby </w:t>
      </w:r>
    </w:p>
    <w:p w14:paraId="272B03FD"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pPr>
      <w:r w:rsidRPr="00F2249F">
        <w:t xml:space="preserve">Všetky platby v rozsahu nariadenia musí byť možné vykonať online, a to prostredníctvom široko dostupnej online platobnej služby alebo online na bankový účet. </w:t>
      </w:r>
    </w:p>
    <w:p w14:paraId="3844C0FA"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rPr>
          <w:b/>
          <w:u w:val="single"/>
        </w:rPr>
      </w:pPr>
    </w:p>
    <w:p w14:paraId="40ABF5E9"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pPr>
      <w:r w:rsidRPr="00F2249F">
        <w:rPr>
          <w:b/>
          <w:u w:val="single"/>
        </w:rPr>
        <w:lastRenderedPageBreak/>
        <w:t xml:space="preserve">Pozícia SR: </w:t>
      </w:r>
      <w:r w:rsidRPr="00F2249F">
        <w:rPr>
          <w:i/>
        </w:rPr>
        <w:t>Predmetné ustanovenie plne rešpektuje cieľ návrhu nariadenia, ktorým je digitalizácia. Aj v tejto oblasti považujeme za nevyhnutné smerovať znenie textu tak, aby boli ustanovenia v praxi aplikovateľné a aby nedošlo k vytváraniu nesplniteľných riešení. Je potrebné hľadať efektívne riešenia tak, aby členské štáty nemali v danej oblasti zvýšené náklady, aby sa rešpektovali už využívané spôsoby platieb a aby si ideálne členské štáty mohli samy určiť, aké platobné služby budú akceptovať a aké nie.</w:t>
      </w:r>
      <w:r w:rsidRPr="00F2249F">
        <w:t xml:space="preserve">      </w:t>
      </w:r>
    </w:p>
    <w:p w14:paraId="2005C33D"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pPr>
    </w:p>
    <w:p w14:paraId="181FBB9A"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rPr>
          <w:b/>
          <w:u w:val="single"/>
        </w:rPr>
      </w:pPr>
      <w:r w:rsidRPr="00F2249F">
        <w:rPr>
          <w:b/>
          <w:u w:val="single"/>
        </w:rPr>
        <w:t xml:space="preserve">Článok 12 – Účasť zamestnancov na spolurozhodovaní  </w:t>
      </w:r>
    </w:p>
    <w:p w14:paraId="146CBE84"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pPr>
      <w:r w:rsidRPr="00F2249F">
        <w:t xml:space="preserve">Participácia zamestnancov pri založení spoločnosti sa má spravovať právom toho členského štátu, v ktorom je spoločnosť registrovaná. </w:t>
      </w:r>
    </w:p>
    <w:p w14:paraId="2AD590F1"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pPr>
    </w:p>
    <w:p w14:paraId="5E262FDC"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pPr>
      <w:r w:rsidRPr="00F2249F">
        <w:t xml:space="preserve">V prípade cezhraničných premien a cezhraničnej zmeny právnej formy sa vzťahuje relevantnými ustanoveniami pre tieto transakcie. </w:t>
      </w:r>
    </w:p>
    <w:p w14:paraId="7A07019B"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rPr>
          <w:b/>
          <w:u w:val="single"/>
        </w:rPr>
      </w:pPr>
    </w:p>
    <w:p w14:paraId="79D58CB8"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pPr>
      <w:r w:rsidRPr="00F2249F">
        <w:rPr>
          <w:b/>
          <w:u w:val="single"/>
        </w:rPr>
        <w:t xml:space="preserve">Pozícia SR: </w:t>
      </w:r>
      <w:r w:rsidRPr="00F2249F">
        <w:rPr>
          <w:i/>
        </w:rPr>
        <w:t>Slovenská republika nemá k navrhovanému ustanoveniu pripomienky.</w:t>
      </w:r>
      <w:r w:rsidRPr="00F2249F">
        <w:t xml:space="preserve">  </w:t>
      </w:r>
    </w:p>
    <w:p w14:paraId="108460F6"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pPr>
    </w:p>
    <w:p w14:paraId="4188896B"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pPr>
    </w:p>
    <w:p w14:paraId="2E0CB5B9" w14:textId="77777777" w:rsidR="00EB1051" w:rsidRPr="00F2249F" w:rsidRDefault="00EB1051" w:rsidP="00EB1051">
      <w:pPr>
        <w:tabs>
          <w:tab w:val="left" w:pos="1786"/>
        </w:tabs>
        <w:jc w:val="center"/>
        <w:rPr>
          <w:b/>
        </w:rPr>
      </w:pPr>
      <w:r w:rsidRPr="00F2249F">
        <w:rPr>
          <w:b/>
        </w:rPr>
        <w:t>KAPITOLA II – Centrálne rozhranie EÚ, založenie a podanie</w:t>
      </w:r>
    </w:p>
    <w:p w14:paraId="38A44A9B" w14:textId="77777777" w:rsidR="00EB1051" w:rsidRPr="00F2249F" w:rsidRDefault="00EB1051" w:rsidP="00EB1051">
      <w:pPr>
        <w:tabs>
          <w:tab w:val="left" w:pos="1786"/>
        </w:tabs>
        <w:jc w:val="center"/>
        <w:rPr>
          <w:b/>
        </w:rPr>
      </w:pPr>
    </w:p>
    <w:p w14:paraId="11CEF254"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rPr>
          <w:b/>
        </w:rPr>
      </w:pPr>
      <w:r w:rsidRPr="00F2249F">
        <w:rPr>
          <w:b/>
        </w:rPr>
        <w:t>Všeobecne o kapitole:</w:t>
      </w:r>
    </w:p>
    <w:p w14:paraId="4B334812"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pPr>
      <w:r w:rsidRPr="00F2249F">
        <w:t xml:space="preserve">Kapitola obsahuje základné ustanovenie o založení, registrácii spoločnosti a s nimi spojenými digitálnymi procesmi relevantnými pre celý rozsah návrhu. Rýchle digitálne založenie EU </w:t>
      </w:r>
      <w:proofErr w:type="spellStart"/>
      <w:r w:rsidRPr="00F2249F">
        <w:t>Inc</w:t>
      </w:r>
      <w:proofErr w:type="spellEnd"/>
      <w:r w:rsidRPr="00F2249F">
        <w:t xml:space="preserve">. a jej registrácia má byť pridanou hodnotou, ktorá podporí zakladanie takéhoto typu spoločnosti ako aj ekonomiku vnútorného trhu. </w:t>
      </w:r>
    </w:p>
    <w:p w14:paraId="0960C64A" w14:textId="77777777" w:rsidR="00EB1051" w:rsidRPr="00F2249F" w:rsidRDefault="00EB1051" w:rsidP="00EB1051">
      <w:pPr>
        <w:tabs>
          <w:tab w:val="left" w:pos="1786"/>
        </w:tabs>
        <w:jc w:val="both"/>
      </w:pPr>
    </w:p>
    <w:p w14:paraId="60A3C000" w14:textId="77777777" w:rsidR="00EB1051" w:rsidRPr="00F2249F" w:rsidRDefault="00EB1051" w:rsidP="00EB1051">
      <w:pPr>
        <w:tabs>
          <w:tab w:val="left" w:pos="1786"/>
        </w:tabs>
        <w:jc w:val="both"/>
        <w:rPr>
          <w:b/>
          <w:u w:val="single"/>
        </w:rPr>
      </w:pPr>
      <w:r w:rsidRPr="00F2249F">
        <w:rPr>
          <w:b/>
          <w:u w:val="single"/>
        </w:rPr>
        <w:t>Článok 13 - Online formulár žiadosti pre spoločnosti</w:t>
      </w:r>
    </w:p>
    <w:p w14:paraId="0509A5E8" w14:textId="77777777" w:rsidR="00EB1051" w:rsidRPr="00F2249F" w:rsidRDefault="00EB1051" w:rsidP="00EB1051">
      <w:pPr>
        <w:tabs>
          <w:tab w:val="left" w:pos="1786"/>
        </w:tabs>
        <w:jc w:val="both"/>
      </w:pPr>
      <w:r w:rsidRPr="00F2249F">
        <w:t xml:space="preserve">Navrhuje sa definovať návrh na registráciu pri vzniku spoločnosti ex </w:t>
      </w:r>
      <w:proofErr w:type="spellStart"/>
      <w:r w:rsidRPr="00F2249F">
        <w:t>nihilo</w:t>
      </w:r>
      <w:proofErr w:type="spellEnd"/>
      <w:r w:rsidRPr="00F2249F">
        <w:t xml:space="preserve">, ktorý by mal byť rovnaký pri všetkých spôsoboch registrácie EU </w:t>
      </w:r>
      <w:proofErr w:type="spellStart"/>
      <w:r w:rsidRPr="00F2249F">
        <w:t>Inc</w:t>
      </w:r>
      <w:proofErr w:type="spellEnd"/>
      <w:r w:rsidRPr="00F2249F">
        <w:t>., ktorý:</w:t>
      </w:r>
    </w:p>
    <w:p w14:paraId="5E2E69F4" w14:textId="77777777" w:rsidR="00EB1051" w:rsidRPr="00F2249F" w:rsidRDefault="00EB1051" w:rsidP="00EB1051">
      <w:pPr>
        <w:ind w:firstLine="708"/>
        <w:jc w:val="both"/>
      </w:pPr>
      <w:r w:rsidRPr="00F2249F">
        <w:t>- má byť výlučne elektronický, strojovo čitateľný a vo forme štruktúrovaných dát,</w:t>
      </w:r>
    </w:p>
    <w:p w14:paraId="35A3AA15" w14:textId="12B80CF5" w:rsidR="00EB1051" w:rsidRPr="00F2249F" w:rsidRDefault="00EB1051" w:rsidP="00EB1051">
      <w:pPr>
        <w:jc w:val="both"/>
      </w:pPr>
      <w:r w:rsidRPr="00F2249F">
        <w:tab/>
        <w:t>- má obsahovať údaje v zmysle vykonávacieho predpisu, ktorý vydá Európska komisia.</w:t>
      </w:r>
    </w:p>
    <w:p w14:paraId="39D5C189" w14:textId="264827B8" w:rsidR="00C70A3E" w:rsidRPr="00F2249F" w:rsidRDefault="00C70A3E" w:rsidP="00EB1051">
      <w:pPr>
        <w:jc w:val="both"/>
      </w:pPr>
      <w:r w:rsidRPr="00F2249F">
        <w:t>Formulár sa môže líšiť v závislosti od požiadaviek právnych poriadkov jednotlivých členských štátov, bude teda popri sebe existovať 27 registračných formulárov.</w:t>
      </w:r>
    </w:p>
    <w:p w14:paraId="62C0A571" w14:textId="77777777" w:rsidR="00EB1051" w:rsidRPr="00F2249F" w:rsidRDefault="00EB1051" w:rsidP="00EB1051">
      <w:pPr>
        <w:jc w:val="both"/>
      </w:pPr>
    </w:p>
    <w:p w14:paraId="1397DAA3" w14:textId="77777777" w:rsidR="00EB1051" w:rsidRPr="00F2249F" w:rsidRDefault="00EB1051" w:rsidP="00EB1051">
      <w:pPr>
        <w:jc w:val="both"/>
      </w:pPr>
      <w:r w:rsidRPr="00F2249F">
        <w:t>Na základe tohto jednotného formulára sa má zabezpečiť:</w:t>
      </w:r>
    </w:p>
    <w:p w14:paraId="43AB58FC" w14:textId="77777777" w:rsidR="00EB1051" w:rsidRPr="00F2249F" w:rsidRDefault="00EB1051" w:rsidP="00EB1051">
      <w:pPr>
        <w:jc w:val="both"/>
      </w:pPr>
      <w:r w:rsidRPr="00F2249F">
        <w:t>•</w:t>
      </w:r>
      <w:r w:rsidRPr="00F2249F">
        <w:tab/>
        <w:t xml:space="preserve">registrácia v obchodnom registri (vznik EU </w:t>
      </w:r>
      <w:proofErr w:type="spellStart"/>
      <w:r w:rsidRPr="00F2249F">
        <w:t>Inc</w:t>
      </w:r>
      <w:proofErr w:type="spellEnd"/>
      <w:r w:rsidRPr="00F2249F">
        <w:t>.),</w:t>
      </w:r>
    </w:p>
    <w:p w14:paraId="1F81971D" w14:textId="77777777" w:rsidR="00EB1051" w:rsidRPr="00F2249F" w:rsidRDefault="00EB1051" w:rsidP="00EB1051">
      <w:pPr>
        <w:jc w:val="both"/>
      </w:pPr>
      <w:r w:rsidRPr="00F2249F">
        <w:t>•</w:t>
      </w:r>
      <w:r w:rsidRPr="00F2249F">
        <w:tab/>
        <w:t>vydanie daňového identifikačného čísla,</w:t>
      </w:r>
    </w:p>
    <w:p w14:paraId="498EE5A9" w14:textId="77777777" w:rsidR="00EB1051" w:rsidRPr="00F2249F" w:rsidRDefault="00EB1051" w:rsidP="00EB1051">
      <w:pPr>
        <w:jc w:val="both"/>
      </w:pPr>
      <w:r w:rsidRPr="00F2249F">
        <w:t>•</w:t>
      </w:r>
      <w:r w:rsidRPr="00F2249F">
        <w:tab/>
        <w:t>vydanie identifikačného čísla pre DPH,</w:t>
      </w:r>
    </w:p>
    <w:p w14:paraId="0A0D7218" w14:textId="77777777" w:rsidR="00EB1051" w:rsidRPr="00F2249F" w:rsidRDefault="00EB1051" w:rsidP="00EB1051">
      <w:pPr>
        <w:jc w:val="both"/>
      </w:pPr>
      <w:r w:rsidRPr="00F2249F">
        <w:t>•</w:t>
      </w:r>
      <w:r w:rsidRPr="00F2249F">
        <w:tab/>
        <w:t>registrácia konečného užívateľa výhod v registri KÚV.</w:t>
      </w:r>
    </w:p>
    <w:p w14:paraId="40DEB333" w14:textId="77777777" w:rsidR="00EB1051" w:rsidRPr="00F2249F" w:rsidRDefault="00EB1051" w:rsidP="00EB1051">
      <w:pPr>
        <w:jc w:val="both"/>
      </w:pPr>
    </w:p>
    <w:p w14:paraId="3A8D7302" w14:textId="2BDCDC20" w:rsidR="00EB1051" w:rsidRPr="00F2249F" w:rsidRDefault="00EB1051" w:rsidP="00EB1051">
      <w:pPr>
        <w:jc w:val="both"/>
      </w:pPr>
      <w:r w:rsidRPr="00F2249F">
        <w:t xml:space="preserve">Online formulár má byť podpísaný navrhovanými členmi </w:t>
      </w:r>
      <w:r w:rsidR="007F64D1" w:rsidRPr="00F2249F">
        <w:t>správnej rady</w:t>
      </w:r>
      <w:r w:rsidRPr="00F2249F">
        <w:t xml:space="preserve">, pričom podpisy a identifikácia majú byť zabezpečené v zmysle </w:t>
      </w:r>
      <w:r w:rsidRPr="00F2249F">
        <w:rPr>
          <w:i/>
        </w:rPr>
        <w:t xml:space="preserve">nariadenia Európskeho parlamentu a Rady (EÚ) č. 910/2014 z 23. júla 2014 o elektronickej identifikácii a dôveryhodných službách pre elektronické transakcie na vnútornom trhu a o zrušení smernice 1999/93/ES (Ú. v. EÚ L 257, 28.8.2014) </w:t>
      </w:r>
      <w:r w:rsidR="00E14F02" w:rsidRPr="00F2249F">
        <w:rPr>
          <w:i/>
        </w:rPr>
        <w:t>(</w:t>
      </w:r>
      <w:r w:rsidRPr="00F2249F">
        <w:rPr>
          <w:i/>
        </w:rPr>
        <w:t xml:space="preserve">ďalej len </w:t>
      </w:r>
      <w:r w:rsidR="00E14F02" w:rsidRPr="00F2249F">
        <w:rPr>
          <w:i/>
        </w:rPr>
        <w:t>„</w:t>
      </w:r>
      <w:r w:rsidRPr="00F2249F">
        <w:rPr>
          <w:i/>
        </w:rPr>
        <w:t>nariadenie (EÚ) 910/2014“)</w:t>
      </w:r>
      <w:r w:rsidRPr="00F2249F">
        <w:t xml:space="preserve"> </w:t>
      </w:r>
      <w:r w:rsidR="003912D3" w:rsidRPr="00F2249F">
        <w:t xml:space="preserve">a </w:t>
      </w:r>
      <w:r w:rsidRPr="00F2249F">
        <w:t xml:space="preserve">navrhovaní členovia </w:t>
      </w:r>
      <w:r w:rsidR="007F64D1" w:rsidRPr="00F2249F">
        <w:t>správnej rady</w:t>
      </w:r>
      <w:r w:rsidRPr="00F2249F">
        <w:t xml:space="preserve"> v ňom vyhlásia súhlas s ustanovením do funkcie, prijmú svoje povinnosti a</w:t>
      </w:r>
      <w:r w:rsidR="003912D3" w:rsidRPr="00F2249F">
        <w:t xml:space="preserve"> tiež </w:t>
      </w:r>
      <w:r w:rsidRPr="00F2249F">
        <w:t>vyhlásia, či sú si vedomí skutočností, ktoré by mohli viesť k ich diskvalifikácii.</w:t>
      </w:r>
    </w:p>
    <w:p w14:paraId="5F81F881" w14:textId="77777777" w:rsidR="00EB1051" w:rsidRPr="00F2249F" w:rsidRDefault="00EB1051" w:rsidP="00EB1051">
      <w:pPr>
        <w:jc w:val="both"/>
      </w:pPr>
    </w:p>
    <w:p w14:paraId="18275278" w14:textId="6E6D9C2F" w:rsidR="00EB1051" w:rsidRPr="00F2249F" w:rsidRDefault="00EB1051" w:rsidP="00EB1051">
      <w:pPr>
        <w:jc w:val="both"/>
      </w:pPr>
      <w:r w:rsidRPr="00F2249F">
        <w:t xml:space="preserve">Prílohou formulára má byť výlučne spoločenská zmluva, ktorá má byť elektronicky podpísaná zakladateľmi podľa nariadenia EÚ 910/2014. Zatiaľ čo zakladatelia len podpisujú spoločenskú </w:t>
      </w:r>
      <w:r w:rsidRPr="00F2249F">
        <w:lastRenderedPageBreak/>
        <w:t xml:space="preserve">zmluvu, členovia </w:t>
      </w:r>
      <w:r w:rsidR="007F64D1" w:rsidRPr="00F2249F">
        <w:t>správnej rady</w:t>
      </w:r>
      <w:r w:rsidRPr="00F2249F">
        <w:t xml:space="preserve"> sa musia aj identifikovať</w:t>
      </w:r>
      <w:r w:rsidR="00E14F02" w:rsidRPr="00F2249F">
        <w:t>, a to v rozsahu procesu podľa nariadenia (EÚ) 910/2014</w:t>
      </w:r>
      <w:r w:rsidRPr="00F2249F">
        <w:t xml:space="preserve">. </w:t>
      </w:r>
    </w:p>
    <w:p w14:paraId="379384C2" w14:textId="77777777" w:rsidR="00EB1051" w:rsidRPr="00F2249F" w:rsidRDefault="00EB1051" w:rsidP="00EB1051">
      <w:pPr>
        <w:tabs>
          <w:tab w:val="left" w:pos="1786"/>
        </w:tabs>
        <w:jc w:val="both"/>
      </w:pPr>
    </w:p>
    <w:p w14:paraId="3158E50A" w14:textId="05943561" w:rsidR="00EB1051" w:rsidRPr="00F2249F" w:rsidRDefault="00EB1051" w:rsidP="00EB1051">
      <w:pPr>
        <w:tabs>
          <w:tab w:val="left" w:pos="1786"/>
        </w:tabs>
        <w:jc w:val="both"/>
      </w:pPr>
      <w:r w:rsidRPr="00F2249F">
        <w:t>Ustanovenie tiež definuje, že v prípade podania návrhu na registráci</w:t>
      </w:r>
      <w:r w:rsidR="00E14F02" w:rsidRPr="00F2249F">
        <w:t>u cez EU centrálne rozhranie bude zabezpečená verifikácia</w:t>
      </w:r>
      <w:r w:rsidRPr="00F2249F">
        <w:t xml:space="preserve"> obchodného mena a registrovanej ochrannej známky spoločenstva alebo vnútroštátnej ochrannej známky. Na účely takéhoto preskúmania v prípade podania návrhu na registráciu prostredníctvom registrov členských štátov EK zabezpečí cez BRIS bezplatné prepojenie so systémom EUIPO.</w:t>
      </w:r>
    </w:p>
    <w:p w14:paraId="3A576CF3" w14:textId="77777777" w:rsidR="00EB1051" w:rsidRPr="00F2249F" w:rsidRDefault="00EB1051" w:rsidP="00EB1051">
      <w:pPr>
        <w:tabs>
          <w:tab w:val="left" w:pos="1786"/>
        </w:tabs>
        <w:jc w:val="both"/>
        <w:rPr>
          <w:b/>
          <w:u w:val="single"/>
        </w:rPr>
      </w:pPr>
    </w:p>
    <w:p w14:paraId="46FB8895" w14:textId="6D48C70A" w:rsidR="00EB1051" w:rsidRPr="00F2249F" w:rsidRDefault="00EB1051" w:rsidP="00EB1051">
      <w:pPr>
        <w:tabs>
          <w:tab w:val="left" w:pos="1786"/>
        </w:tabs>
        <w:jc w:val="both"/>
        <w:rPr>
          <w:i/>
        </w:rPr>
      </w:pPr>
      <w:r w:rsidRPr="00F2249F">
        <w:rPr>
          <w:b/>
          <w:u w:val="single"/>
        </w:rPr>
        <w:t>Pozícia SR:</w:t>
      </w:r>
      <w:r w:rsidRPr="00F2249F">
        <w:t xml:space="preserve"> </w:t>
      </w:r>
      <w:r w:rsidRPr="00F2249F">
        <w:rPr>
          <w:i/>
        </w:rPr>
        <w:t xml:space="preserve">Slovenská republika dlhodobo podporuje digitalizáciu obchodného registra a založenie prostredníctvom formulárov je jeho integrálnou </w:t>
      </w:r>
      <w:r w:rsidR="00E14F02" w:rsidRPr="00F2249F">
        <w:rPr>
          <w:i/>
        </w:rPr>
        <w:t>súčasťou. Návrhy na registráciu</w:t>
      </w:r>
      <w:r w:rsidRPr="00F2249F">
        <w:rPr>
          <w:i/>
        </w:rPr>
        <w:t xml:space="preserve"> podávané do obchodného registra vo forme formulára zabezpečujú efektívny spôsob zápisu údajov do obchodného registra a podporujú kvalitu údajov zapísaných do obchodného registra. Podporujeme vytvorenie harmonizovaného formulára na prvozápis EU </w:t>
      </w:r>
      <w:proofErr w:type="spellStart"/>
      <w:r w:rsidRPr="00F2249F">
        <w:rPr>
          <w:i/>
        </w:rPr>
        <w:t>Inc</w:t>
      </w:r>
      <w:proofErr w:type="spellEnd"/>
      <w:r w:rsidRPr="00F2249F">
        <w:rPr>
          <w:i/>
        </w:rPr>
        <w:t xml:space="preserve">., pričom je nevyhnutné zabezpečiť, aby obsahoval všetky zapisované údaje o EU </w:t>
      </w:r>
      <w:proofErr w:type="spellStart"/>
      <w:r w:rsidRPr="00F2249F">
        <w:rPr>
          <w:i/>
        </w:rPr>
        <w:t>Inc</w:t>
      </w:r>
      <w:proofErr w:type="spellEnd"/>
      <w:r w:rsidRPr="00F2249F">
        <w:rPr>
          <w:i/>
        </w:rPr>
        <w:t xml:space="preserve">. tak, aby zápis mohol prebehnúť efektívne a s čo najnižšou potrebou manuálneho spracovania registrátorom. </w:t>
      </w:r>
    </w:p>
    <w:p w14:paraId="3AB3A1F5" w14:textId="77777777" w:rsidR="00EB1051" w:rsidRPr="00F2249F" w:rsidRDefault="00EB1051" w:rsidP="00EB1051">
      <w:pPr>
        <w:tabs>
          <w:tab w:val="left" w:pos="1786"/>
        </w:tabs>
        <w:jc w:val="both"/>
        <w:rPr>
          <w:i/>
        </w:rPr>
      </w:pPr>
    </w:p>
    <w:p w14:paraId="18590814" w14:textId="77777777" w:rsidR="00EB1051" w:rsidRPr="00F2249F" w:rsidRDefault="00EB1051" w:rsidP="00EB1051">
      <w:pPr>
        <w:tabs>
          <w:tab w:val="left" w:pos="1786"/>
        </w:tabs>
        <w:jc w:val="both"/>
        <w:rPr>
          <w:i/>
        </w:rPr>
      </w:pPr>
      <w:r w:rsidRPr="00F2249F">
        <w:rPr>
          <w:i/>
        </w:rPr>
        <w:t xml:space="preserve">Zavedenie takéhoto formulára bude mať vplyv na informačný systém obchodného registra, ktorý bude potrebné relevantným spôsobom upraviť. </w:t>
      </w:r>
    </w:p>
    <w:p w14:paraId="2A97931A" w14:textId="77777777" w:rsidR="00EB1051" w:rsidRPr="00F2249F" w:rsidRDefault="00EB1051" w:rsidP="00EB1051">
      <w:pPr>
        <w:tabs>
          <w:tab w:val="left" w:pos="1786"/>
        </w:tabs>
        <w:jc w:val="both"/>
        <w:rPr>
          <w:i/>
        </w:rPr>
      </w:pPr>
    </w:p>
    <w:p w14:paraId="13F309E4" w14:textId="32E7B86C" w:rsidR="00EB1051" w:rsidRPr="00F2249F" w:rsidRDefault="00EB1051" w:rsidP="00EB1051">
      <w:pPr>
        <w:tabs>
          <w:tab w:val="left" w:pos="1786"/>
        </w:tabs>
        <w:jc w:val="both"/>
        <w:rPr>
          <w:i/>
        </w:rPr>
      </w:pPr>
      <w:r w:rsidRPr="00F2249F">
        <w:rPr>
          <w:i/>
        </w:rPr>
        <w:t xml:space="preserve">Registrácia do obchodného registra v Slovenskej republike v súčasnosti vyžaduje, okrem preventívnej kontroly, aj isté kontroly vykonávané pri registrácii (napr. oprávnenie na využívanie sídla spoločnosti). Považujeme za potrebné v priebehu rokovaní vyjasniť, ako sa postaviť k takýmto kontrolám. Napriek rešpektu k cieľom návrhu považujeme za vhodné ďalšie vysvetlenia, prečo sa s EU </w:t>
      </w:r>
      <w:proofErr w:type="spellStart"/>
      <w:r w:rsidRPr="00F2249F">
        <w:rPr>
          <w:i/>
        </w:rPr>
        <w:t>Inc</w:t>
      </w:r>
      <w:proofErr w:type="spellEnd"/>
      <w:r w:rsidR="00E14F02" w:rsidRPr="00F2249F">
        <w:rPr>
          <w:i/>
        </w:rPr>
        <w:t xml:space="preserve">. </w:t>
      </w:r>
      <w:r w:rsidRPr="00F2249F">
        <w:rPr>
          <w:i/>
        </w:rPr>
        <w:t xml:space="preserve"> má zaobchádzať v tomto ohľade inak, ako s ostatnými právnymi formami obchodných spoločností podľa práva členských štátov.  </w:t>
      </w:r>
    </w:p>
    <w:p w14:paraId="6DCF2134" w14:textId="77777777" w:rsidR="00EB1051" w:rsidRPr="00F2249F" w:rsidRDefault="00EB1051" w:rsidP="00EB1051">
      <w:pPr>
        <w:tabs>
          <w:tab w:val="left" w:pos="1786"/>
        </w:tabs>
        <w:jc w:val="both"/>
        <w:rPr>
          <w:i/>
        </w:rPr>
      </w:pPr>
    </w:p>
    <w:p w14:paraId="3E39BCA1" w14:textId="77777777" w:rsidR="00EB1051" w:rsidRPr="00F2249F" w:rsidRDefault="00EB1051" w:rsidP="00EB1051">
      <w:pPr>
        <w:tabs>
          <w:tab w:val="left" w:pos="1786"/>
        </w:tabs>
        <w:jc w:val="both"/>
        <w:rPr>
          <w:i/>
        </w:rPr>
      </w:pPr>
      <w:r w:rsidRPr="00F2249F">
        <w:rPr>
          <w:i/>
        </w:rPr>
        <w:t>Je potrebné dbať na obsiahnutie takých údajov v návrhu na registráciu, ktoré sú nevyhnutné pre ďalšie registrácie v zmysle odseku 3 daného ustanovenia, pričom je potrebné dbať na to, že vnútroštátne registre v rozsahu e-</w:t>
      </w:r>
      <w:proofErr w:type="spellStart"/>
      <w:r w:rsidRPr="00F2249F">
        <w:rPr>
          <w:i/>
        </w:rPr>
        <w:t>governmentu</w:t>
      </w:r>
      <w:proofErr w:type="spellEnd"/>
      <w:r w:rsidRPr="00F2249F">
        <w:rPr>
          <w:i/>
        </w:rPr>
        <w:t xml:space="preserve"> pracujú s určitou </w:t>
      </w:r>
      <w:proofErr w:type="spellStart"/>
      <w:r w:rsidRPr="00F2249F">
        <w:rPr>
          <w:i/>
        </w:rPr>
        <w:t>sadou</w:t>
      </w:r>
      <w:proofErr w:type="spellEnd"/>
      <w:r w:rsidRPr="00F2249F">
        <w:rPr>
          <w:i/>
        </w:rPr>
        <w:t xml:space="preserve"> údajov, ktoré je nevyhnutné rešpektovať pre ďalšie efektívne prepojenie týchto registrov. </w:t>
      </w:r>
    </w:p>
    <w:p w14:paraId="48064654" w14:textId="77777777" w:rsidR="00EB1051" w:rsidRPr="00F2249F" w:rsidRDefault="00EB1051" w:rsidP="00EB1051">
      <w:pPr>
        <w:tabs>
          <w:tab w:val="left" w:pos="1786"/>
        </w:tabs>
        <w:jc w:val="both"/>
        <w:rPr>
          <w:i/>
        </w:rPr>
      </w:pPr>
    </w:p>
    <w:p w14:paraId="33C4D630" w14:textId="60C1DCAC" w:rsidR="00EB1051" w:rsidRPr="00F2249F" w:rsidRDefault="00EB1051" w:rsidP="00EB1051">
      <w:pPr>
        <w:tabs>
          <w:tab w:val="left" w:pos="1786"/>
        </w:tabs>
        <w:jc w:val="both"/>
        <w:rPr>
          <w:i/>
        </w:rPr>
      </w:pPr>
      <w:r w:rsidRPr="00F2249F">
        <w:rPr>
          <w:i/>
        </w:rPr>
        <w:t xml:space="preserve">Vo vzťahu k vydaniu identifikačného čísla pre DPH na základe registrácie v obchodnom registri považujeme za zásadné, aby znenie ustanovenia rešpektovalo právnu úpravu na európskej úrovni, ktorá vyžaduje štandardné preverenia informácií poskytnutých v žiadosti o registráciu pre DPH. Právna úprava EU </w:t>
      </w:r>
      <w:proofErr w:type="spellStart"/>
      <w:r w:rsidRPr="00F2249F">
        <w:rPr>
          <w:i/>
        </w:rPr>
        <w:t>Inc</w:t>
      </w:r>
      <w:proofErr w:type="spellEnd"/>
      <w:r w:rsidRPr="00F2249F">
        <w:rPr>
          <w:i/>
        </w:rPr>
        <w:t>. má byť konštruovaná</w:t>
      </w:r>
      <w:r w:rsidR="004160BF" w:rsidRPr="00F2249F">
        <w:rPr>
          <w:i/>
        </w:rPr>
        <w:t xml:space="preserve"> tak</w:t>
      </w:r>
      <w:r w:rsidRPr="00F2249F">
        <w:rPr>
          <w:i/>
        </w:rPr>
        <w:t xml:space="preserve">, aby zodpovedala záväzkom Slovenskej republiky v oblasti boja proti </w:t>
      </w:r>
      <w:r w:rsidR="00A94973" w:rsidRPr="00F2249F">
        <w:rPr>
          <w:i/>
        </w:rPr>
        <w:t>praniu špinavých peňazí</w:t>
      </w:r>
      <w:r w:rsidRPr="00F2249F">
        <w:rPr>
          <w:i/>
        </w:rPr>
        <w:t xml:space="preserve">. </w:t>
      </w:r>
    </w:p>
    <w:p w14:paraId="2159C8D4" w14:textId="77777777" w:rsidR="00EB1051" w:rsidRPr="00F2249F" w:rsidRDefault="00EB1051" w:rsidP="00EB1051">
      <w:pPr>
        <w:tabs>
          <w:tab w:val="left" w:pos="1786"/>
        </w:tabs>
        <w:jc w:val="both"/>
        <w:rPr>
          <w:i/>
        </w:rPr>
      </w:pPr>
    </w:p>
    <w:p w14:paraId="0C7A3B3F" w14:textId="162F6DC9" w:rsidR="00EB1051" w:rsidRPr="00F2249F" w:rsidRDefault="00EB1051" w:rsidP="00EB1051">
      <w:pPr>
        <w:tabs>
          <w:tab w:val="left" w:pos="1786"/>
        </w:tabs>
        <w:jc w:val="both"/>
        <w:rPr>
          <w:i/>
        </w:rPr>
      </w:pPr>
      <w:r w:rsidRPr="00F2249F">
        <w:rPr>
          <w:i/>
        </w:rPr>
        <w:t>Vo všeobecnosti možno pozitívne hodnotiť zavedenie overovania zhodnosti alebo podobnosti navrhovan</w:t>
      </w:r>
      <w:r w:rsidR="00E14F02" w:rsidRPr="00F2249F">
        <w:rPr>
          <w:i/>
        </w:rPr>
        <w:t xml:space="preserve">ého názvu spoločnosti </w:t>
      </w:r>
      <w:r w:rsidRPr="00F2249F">
        <w:rPr>
          <w:i/>
        </w:rPr>
        <w:t xml:space="preserve">EU </w:t>
      </w:r>
      <w:proofErr w:type="spellStart"/>
      <w:r w:rsidRPr="00F2249F">
        <w:rPr>
          <w:i/>
        </w:rPr>
        <w:t>Inc</w:t>
      </w:r>
      <w:proofErr w:type="spellEnd"/>
      <w:r w:rsidRPr="00F2249F">
        <w:rPr>
          <w:i/>
        </w:rPr>
        <w:t xml:space="preserve">. s ochrannou známkou EÚ alebo národnou ochrannou známkou členského štátu EÚ, a to ako nástroj, ktorý uľahčí budovanie podnikateľskej identity. Takéto riešenie má potenciál prispieť k zníženiu následných konfliktov medzi kolidujúcimi právami na označenie. </w:t>
      </w:r>
    </w:p>
    <w:p w14:paraId="483F8547" w14:textId="77777777" w:rsidR="00EB1051" w:rsidRPr="00F2249F" w:rsidRDefault="00EB1051" w:rsidP="00EB1051">
      <w:pPr>
        <w:tabs>
          <w:tab w:val="left" w:pos="1786"/>
        </w:tabs>
        <w:jc w:val="both"/>
        <w:rPr>
          <w:i/>
        </w:rPr>
      </w:pPr>
    </w:p>
    <w:p w14:paraId="47E8C0C5" w14:textId="22EF765A" w:rsidR="00EB1051" w:rsidRDefault="00EB1051" w:rsidP="00EB1051">
      <w:pPr>
        <w:tabs>
          <w:tab w:val="left" w:pos="1786"/>
        </w:tabs>
        <w:jc w:val="both"/>
        <w:rPr>
          <w:i/>
        </w:rPr>
      </w:pPr>
      <w:r w:rsidRPr="00F2249F">
        <w:rPr>
          <w:i/>
        </w:rPr>
        <w:t>Vo vzťahu k uvedenému, ako aj k návrhu vo všeobecnosti, je potrebné trvať na tom, aby Európska komisia vyvinula čo najviac technických riešení a tak umožnila členským štátom využiť harmonizované procesné štandardy. Osobitne je potrebné doriešiť nemožnosť identifikácie osôb z tretích krajín do systému e-IDAS.</w:t>
      </w:r>
    </w:p>
    <w:p w14:paraId="579C25C6" w14:textId="77777777" w:rsidR="00031EB4" w:rsidRPr="00F2249F" w:rsidRDefault="00031EB4" w:rsidP="00EB1051">
      <w:pPr>
        <w:tabs>
          <w:tab w:val="left" w:pos="1786"/>
        </w:tabs>
        <w:jc w:val="both"/>
        <w:rPr>
          <w:i/>
        </w:rPr>
      </w:pPr>
    </w:p>
    <w:p w14:paraId="47382673" w14:textId="77777777" w:rsidR="00EB1051" w:rsidRPr="00F2249F" w:rsidRDefault="00EB1051" w:rsidP="00EB1051">
      <w:pPr>
        <w:tabs>
          <w:tab w:val="left" w:pos="1786"/>
        </w:tabs>
        <w:jc w:val="both"/>
      </w:pPr>
    </w:p>
    <w:p w14:paraId="5027DE4C" w14:textId="77777777" w:rsidR="00EB1051" w:rsidRPr="00F2249F" w:rsidRDefault="00EB1051" w:rsidP="00EB1051">
      <w:pPr>
        <w:tabs>
          <w:tab w:val="left" w:pos="1786"/>
        </w:tabs>
        <w:jc w:val="both"/>
        <w:rPr>
          <w:b/>
          <w:u w:val="single"/>
        </w:rPr>
      </w:pPr>
      <w:r w:rsidRPr="00F2249F">
        <w:rPr>
          <w:b/>
          <w:u w:val="single"/>
        </w:rPr>
        <w:lastRenderedPageBreak/>
        <w:t>Článok 14 – Preventívna kontrola</w:t>
      </w:r>
    </w:p>
    <w:p w14:paraId="2487DF41" w14:textId="182305F7" w:rsidR="00EB1051" w:rsidRPr="00F2249F" w:rsidRDefault="00EB1051" w:rsidP="00EB1051">
      <w:pPr>
        <w:pStyle w:val="Pta"/>
        <w:tabs>
          <w:tab w:val="clear" w:pos="4536"/>
          <w:tab w:val="clear" w:pos="9072"/>
        </w:tabs>
        <w:overflowPunct w:val="0"/>
        <w:autoSpaceDE w:val="0"/>
        <w:autoSpaceDN w:val="0"/>
        <w:adjustRightInd w:val="0"/>
        <w:jc w:val="both"/>
        <w:textAlignment w:val="baseline"/>
      </w:pPr>
      <w:r w:rsidRPr="00F2249F">
        <w:t xml:space="preserve">Návrh nariadenia stanovuje, že stanovy majú byť pri založení spoločnosti alebo </w:t>
      </w:r>
      <w:r w:rsidR="004160BF" w:rsidRPr="00F2249F">
        <w:t xml:space="preserve">ich </w:t>
      </w:r>
      <w:r w:rsidRPr="00F2249F">
        <w:t>zmene podrobené preventívnej kontrole, ktorá spočíva v </w:t>
      </w:r>
      <w:r w:rsidR="004C2717" w:rsidRPr="00F2249F">
        <w:t xml:space="preserve">preverení </w:t>
      </w:r>
      <w:r w:rsidR="00176DD9" w:rsidRPr="00F2249F">
        <w:t>nasledujúcich</w:t>
      </w:r>
      <w:r w:rsidRPr="00F2249F">
        <w:t xml:space="preserve"> skutočností: </w:t>
      </w:r>
    </w:p>
    <w:p w14:paraId="0B8C8BB2" w14:textId="77777777" w:rsidR="00EB1051" w:rsidRPr="00F2249F" w:rsidRDefault="00EB1051" w:rsidP="004A471E">
      <w:pPr>
        <w:pStyle w:val="Pta"/>
        <w:numPr>
          <w:ilvl w:val="0"/>
          <w:numId w:val="4"/>
        </w:numPr>
        <w:tabs>
          <w:tab w:val="clear" w:pos="4536"/>
          <w:tab w:val="clear" w:pos="9072"/>
        </w:tabs>
        <w:overflowPunct w:val="0"/>
        <w:autoSpaceDE w:val="0"/>
        <w:autoSpaceDN w:val="0"/>
        <w:adjustRightInd w:val="0"/>
        <w:jc w:val="both"/>
        <w:textAlignment w:val="baseline"/>
      </w:pPr>
      <w:r w:rsidRPr="00F2249F">
        <w:t>formálne požiadavky na stanovy (v prípade formulárového založenia správne použitie formulára)</w:t>
      </w:r>
    </w:p>
    <w:p w14:paraId="29D7DF4B" w14:textId="77777777" w:rsidR="00EB1051" w:rsidRPr="00F2249F" w:rsidRDefault="00EB1051" w:rsidP="004A471E">
      <w:pPr>
        <w:pStyle w:val="Pta"/>
        <w:numPr>
          <w:ilvl w:val="0"/>
          <w:numId w:val="4"/>
        </w:numPr>
        <w:tabs>
          <w:tab w:val="clear" w:pos="4536"/>
          <w:tab w:val="clear" w:pos="9072"/>
        </w:tabs>
        <w:overflowPunct w:val="0"/>
        <w:autoSpaceDE w:val="0"/>
        <w:autoSpaceDN w:val="0"/>
        <w:adjustRightInd w:val="0"/>
        <w:jc w:val="both"/>
        <w:textAlignment w:val="baseline"/>
      </w:pPr>
      <w:r w:rsidRPr="00F2249F">
        <w:t>splnenie povinného minimálneho obsahu stanov podľa Prílohy k návrhu nariadenia</w:t>
      </w:r>
    </w:p>
    <w:p w14:paraId="599DF97D" w14:textId="77777777" w:rsidR="00EB1051" w:rsidRPr="00F2249F" w:rsidRDefault="00EB1051" w:rsidP="004A471E">
      <w:pPr>
        <w:pStyle w:val="Pta"/>
        <w:numPr>
          <w:ilvl w:val="0"/>
          <w:numId w:val="4"/>
        </w:numPr>
        <w:tabs>
          <w:tab w:val="clear" w:pos="4536"/>
          <w:tab w:val="clear" w:pos="9072"/>
        </w:tabs>
        <w:overflowPunct w:val="0"/>
        <w:autoSpaceDE w:val="0"/>
        <w:autoSpaceDN w:val="0"/>
        <w:adjustRightInd w:val="0"/>
        <w:jc w:val="both"/>
        <w:textAlignment w:val="baseline"/>
      </w:pPr>
      <w:r w:rsidRPr="00F2249F">
        <w:t xml:space="preserve">obchodné meno EU </w:t>
      </w:r>
      <w:proofErr w:type="spellStart"/>
      <w:r w:rsidRPr="00F2249F">
        <w:t>Inc</w:t>
      </w:r>
      <w:proofErr w:type="spellEnd"/>
      <w:r w:rsidRPr="00F2249F">
        <w:t>. je v súlade s požiadavkami stanovenými v nariadení</w:t>
      </w:r>
    </w:p>
    <w:p w14:paraId="1C7927EC" w14:textId="12A88703" w:rsidR="00EB1051" w:rsidRPr="00F2249F" w:rsidRDefault="00EB1051" w:rsidP="004A471E">
      <w:pPr>
        <w:pStyle w:val="Pta"/>
        <w:numPr>
          <w:ilvl w:val="0"/>
          <w:numId w:val="4"/>
        </w:numPr>
        <w:tabs>
          <w:tab w:val="clear" w:pos="4536"/>
          <w:tab w:val="clear" w:pos="9072"/>
        </w:tabs>
        <w:overflowPunct w:val="0"/>
        <w:autoSpaceDE w:val="0"/>
        <w:autoSpaceDN w:val="0"/>
        <w:adjustRightInd w:val="0"/>
        <w:jc w:val="both"/>
        <w:textAlignment w:val="baseline"/>
      </w:pPr>
      <w:r w:rsidRPr="00F2249F">
        <w:t xml:space="preserve">navrhovaní členovia </w:t>
      </w:r>
      <w:r w:rsidR="00225542" w:rsidRPr="00F2249F">
        <w:t xml:space="preserve">správnej rady </w:t>
      </w:r>
      <w:r w:rsidRPr="00F2249F">
        <w:t>majú právnu spôsobilosť a oprávnenie zastupovať spoločnosť</w:t>
      </w:r>
    </w:p>
    <w:p w14:paraId="6EFD57B5" w14:textId="77777777" w:rsidR="00EB1051" w:rsidRPr="00F2249F" w:rsidRDefault="00EB1051" w:rsidP="004A471E">
      <w:pPr>
        <w:pStyle w:val="Pta"/>
        <w:numPr>
          <w:ilvl w:val="0"/>
          <w:numId w:val="4"/>
        </w:numPr>
        <w:tabs>
          <w:tab w:val="clear" w:pos="4536"/>
          <w:tab w:val="clear" w:pos="9072"/>
        </w:tabs>
        <w:overflowPunct w:val="0"/>
        <w:autoSpaceDE w:val="0"/>
        <w:autoSpaceDN w:val="0"/>
        <w:adjustRightInd w:val="0"/>
        <w:jc w:val="both"/>
        <w:textAlignment w:val="baseline"/>
      </w:pPr>
      <w:r w:rsidRPr="00F2249F">
        <w:t xml:space="preserve">splnenie požiadaviek na imanie podľa stanov. </w:t>
      </w:r>
    </w:p>
    <w:p w14:paraId="081AA5D5"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rPr>
          <w:b/>
          <w:u w:val="single"/>
        </w:rPr>
      </w:pPr>
    </w:p>
    <w:p w14:paraId="01587F3A"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rPr>
          <w:i/>
        </w:rPr>
      </w:pPr>
      <w:r w:rsidRPr="00F2249F">
        <w:rPr>
          <w:b/>
          <w:u w:val="single"/>
        </w:rPr>
        <w:t xml:space="preserve">Pozícia SR: </w:t>
      </w:r>
      <w:r w:rsidRPr="00F2249F">
        <w:rPr>
          <w:i/>
        </w:rPr>
        <w:t xml:space="preserve">Slovenská republika považuje otázku preventívnych kontrol za mimoriadne významnú. Z textu návrhu nie je jasné, či má preventívna kontrola prebehnúť (v prípade, že sa stanovy nevyhotovujú na formulári) pred zápisom do registra, prípadne, či lehota a poplatok stanovený v čl. 16 návrhu nariadenia je relevantný aj na preventívnu kontrolu. Považujeme za nevyhnutné, aby ustanovenie a postup z neho vyplývajúci  bolí jasné a zrejmé, aby bola zabezpečená právna istota ako aj cieľ, ktorý sa má preventívnymi kontrolami dosiahnuť. </w:t>
      </w:r>
    </w:p>
    <w:p w14:paraId="3B1572F1"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rPr>
          <w:i/>
        </w:rPr>
      </w:pPr>
      <w:r w:rsidRPr="00F2249F">
        <w:rPr>
          <w:i/>
        </w:rPr>
        <w:t>Rovnako považujeme za nevyhnutné, aby rozsah preventívnych kontrol bol v rovnováhe so skutočnosťou, že pri registrácii nie je registrujúci orgán oprávnený vyžadovať žiadne iné prílohy k návrhu, okrem stanov a formulára na registráciu. Ak má preventívna kontrola zabezpečiť odhalenie možných rizík a súlad s právnym poriadkom, na vykonanie týchto kontrol musí byť stanovený dostatočný rozsah kontrol ako aj časový rámec.</w:t>
      </w:r>
    </w:p>
    <w:p w14:paraId="40E75B19" w14:textId="7E8A9E8A" w:rsidR="00EB1051" w:rsidRPr="00F2249F" w:rsidRDefault="00EB1051" w:rsidP="00EB1051">
      <w:pPr>
        <w:pStyle w:val="Pta"/>
        <w:tabs>
          <w:tab w:val="clear" w:pos="4536"/>
          <w:tab w:val="clear" w:pos="9072"/>
        </w:tabs>
        <w:overflowPunct w:val="0"/>
        <w:autoSpaceDE w:val="0"/>
        <w:autoSpaceDN w:val="0"/>
        <w:adjustRightInd w:val="0"/>
        <w:jc w:val="both"/>
        <w:textAlignment w:val="baseline"/>
        <w:rPr>
          <w:i/>
        </w:rPr>
      </w:pPr>
      <w:r w:rsidRPr="00F2249F">
        <w:rPr>
          <w:i/>
        </w:rPr>
        <w:t xml:space="preserve">Zároveň je potrebné zohľadniť, že otázka preventívnych kontrol sa netýka výlučne založenia spoločnosti, ale musí sa uplatňovať aj pri zmenách stanov počas celého života EU </w:t>
      </w:r>
      <w:proofErr w:type="spellStart"/>
      <w:r w:rsidRPr="00F2249F">
        <w:rPr>
          <w:i/>
        </w:rPr>
        <w:t>Inc</w:t>
      </w:r>
      <w:proofErr w:type="spellEnd"/>
      <w:r w:rsidRPr="00F2249F">
        <w:rPr>
          <w:i/>
        </w:rPr>
        <w:t xml:space="preserve">. Z tohto dôvodu považujeme za nevyhnutné vyjasniť aj vzťah preventívnej kontroly  k ďalším častiam návrhu, najmä ku kapitolám 5, 6, 7 či 8 a upraviť ich spôsob vykonávania pri jednotlivých </w:t>
      </w:r>
      <w:proofErr w:type="spellStart"/>
      <w:r w:rsidRPr="00F2249F">
        <w:rPr>
          <w:i/>
        </w:rPr>
        <w:t>korporátnych</w:t>
      </w:r>
      <w:proofErr w:type="spellEnd"/>
      <w:r w:rsidRPr="00F2249F">
        <w:rPr>
          <w:i/>
        </w:rPr>
        <w:t xml:space="preserve"> zmenách a úkonoch spoločnosti v súlade s vyššie uvedeným dostatočným rozsahom a časovým rámcom). </w:t>
      </w:r>
    </w:p>
    <w:p w14:paraId="26F10461" w14:textId="4173F04F" w:rsidR="00273F56" w:rsidRPr="00F2249F" w:rsidRDefault="00273F56" w:rsidP="00EB1051">
      <w:pPr>
        <w:pStyle w:val="Pta"/>
        <w:tabs>
          <w:tab w:val="clear" w:pos="4536"/>
          <w:tab w:val="clear" w:pos="9072"/>
        </w:tabs>
        <w:overflowPunct w:val="0"/>
        <w:autoSpaceDE w:val="0"/>
        <w:autoSpaceDN w:val="0"/>
        <w:adjustRightInd w:val="0"/>
        <w:jc w:val="both"/>
        <w:textAlignment w:val="baseline"/>
      </w:pPr>
      <w:r w:rsidRPr="00F2249F">
        <w:rPr>
          <w:i/>
        </w:rPr>
        <w:t>Ustanovenia o preventívnej kontrole súvisia i s diskvalifikáciou riaditeľov (viď pozíciu k čl. 22 návrhu).</w:t>
      </w:r>
    </w:p>
    <w:p w14:paraId="069EA155" w14:textId="77777777" w:rsidR="00EB1051" w:rsidRPr="00F2249F" w:rsidRDefault="00EB1051" w:rsidP="00EB1051">
      <w:pPr>
        <w:tabs>
          <w:tab w:val="left" w:pos="1786"/>
        </w:tabs>
        <w:jc w:val="both"/>
        <w:rPr>
          <w:b/>
          <w:u w:val="single"/>
        </w:rPr>
      </w:pPr>
    </w:p>
    <w:p w14:paraId="0E9FE5CA" w14:textId="77777777" w:rsidR="00EB1051" w:rsidRPr="00F2249F" w:rsidRDefault="00EB1051" w:rsidP="00EB1051">
      <w:pPr>
        <w:tabs>
          <w:tab w:val="left" w:pos="1786"/>
        </w:tabs>
        <w:jc w:val="both"/>
        <w:rPr>
          <w:b/>
          <w:u w:val="single"/>
        </w:rPr>
      </w:pPr>
      <w:r w:rsidRPr="00F2249F">
        <w:rPr>
          <w:b/>
          <w:u w:val="single"/>
        </w:rPr>
        <w:t>Článok 15 – Centrálne rozhranie EÚ</w:t>
      </w:r>
    </w:p>
    <w:p w14:paraId="273F3ACB" w14:textId="77777777" w:rsidR="00EB1051" w:rsidRPr="00F2249F" w:rsidRDefault="00EB1051" w:rsidP="00EB1051">
      <w:pPr>
        <w:tabs>
          <w:tab w:val="left" w:pos="1786"/>
        </w:tabs>
        <w:jc w:val="both"/>
      </w:pPr>
    </w:p>
    <w:p w14:paraId="3FBF515E" w14:textId="66502CFE" w:rsidR="00EB1051" w:rsidRPr="00F2249F" w:rsidRDefault="00EB1051" w:rsidP="00EB1051">
      <w:pPr>
        <w:tabs>
          <w:tab w:val="left" w:pos="1786"/>
        </w:tabs>
        <w:jc w:val="both"/>
      </w:pPr>
      <w:r w:rsidRPr="00F2249F">
        <w:t>Ustanovenie zakladá povinnosť Európskej komisie vytvoriť centrálne rozhranie EÚ (ďalej len „centrálne rozhranie“) ako súčasť európskeho elektronické</w:t>
      </w:r>
      <w:r w:rsidR="00F80330" w:rsidRPr="00F2249F">
        <w:t>ho</w:t>
      </w:r>
      <w:r w:rsidRPr="00F2249F">
        <w:t xml:space="preserve"> </w:t>
      </w:r>
      <w:r w:rsidR="00F80330" w:rsidRPr="00F2249F">
        <w:t xml:space="preserve">miesta </w:t>
      </w:r>
      <w:r w:rsidRPr="00F2249F">
        <w:t xml:space="preserve">prístupu k systému prepojenia registrov BRIS v zmysle smernice (EÚ) 2017/1132. </w:t>
      </w:r>
    </w:p>
    <w:p w14:paraId="29A151E6" w14:textId="77777777" w:rsidR="00EB1051" w:rsidRPr="00F2249F" w:rsidRDefault="00EB1051" w:rsidP="00EB1051">
      <w:pPr>
        <w:tabs>
          <w:tab w:val="left" w:pos="1786"/>
        </w:tabs>
        <w:jc w:val="both"/>
      </w:pPr>
    </w:p>
    <w:p w14:paraId="2CCFBAB9" w14:textId="77777777" w:rsidR="00EB1051" w:rsidRPr="00F2249F" w:rsidRDefault="00EB1051" w:rsidP="00EB1051">
      <w:pPr>
        <w:jc w:val="both"/>
      </w:pPr>
      <w:r w:rsidRPr="00F2249F">
        <w:t xml:space="preserve">Účelom centrálneho rozhrania je: </w:t>
      </w:r>
    </w:p>
    <w:p w14:paraId="383B20B3" w14:textId="77777777" w:rsidR="00EB1051" w:rsidRPr="00F2249F" w:rsidRDefault="00EB1051" w:rsidP="00EB1051">
      <w:pPr>
        <w:ind w:firstLine="708"/>
        <w:jc w:val="both"/>
      </w:pPr>
      <w:r w:rsidRPr="00F2249F">
        <w:t xml:space="preserve">- zverejnenie formulárov spoločenskej zmluvy EU </w:t>
      </w:r>
      <w:proofErr w:type="spellStart"/>
      <w:r w:rsidRPr="00F2249F">
        <w:t>Inc</w:t>
      </w:r>
      <w:proofErr w:type="spellEnd"/>
      <w:r w:rsidRPr="00F2249F">
        <w:t>. vo všetkých jazykoch EÚ</w:t>
      </w:r>
    </w:p>
    <w:p w14:paraId="4F625688" w14:textId="49746676" w:rsidR="00EB1051" w:rsidRPr="00F2249F" w:rsidRDefault="00EB1051" w:rsidP="00EB1051">
      <w:pPr>
        <w:ind w:firstLine="708"/>
        <w:jc w:val="both"/>
      </w:pPr>
      <w:r w:rsidRPr="00F2249F">
        <w:t xml:space="preserve">- zverejnenie </w:t>
      </w:r>
      <w:r w:rsidR="00F80330" w:rsidRPr="00F2249F">
        <w:t xml:space="preserve">formulárov </w:t>
      </w:r>
      <w:r w:rsidRPr="00F2249F">
        <w:t xml:space="preserve">návrhu na registráciu EU </w:t>
      </w:r>
      <w:proofErr w:type="spellStart"/>
      <w:r w:rsidRPr="00F2249F">
        <w:t>Inc</w:t>
      </w:r>
      <w:proofErr w:type="spellEnd"/>
      <w:r w:rsidRPr="00F2249F">
        <w:t xml:space="preserve">. vo všetkých jazykoch EÚ </w:t>
      </w:r>
    </w:p>
    <w:p w14:paraId="0A9E81A4" w14:textId="77777777" w:rsidR="00EB1051" w:rsidRPr="00F2249F" w:rsidRDefault="00EB1051" w:rsidP="00EB1051">
      <w:pPr>
        <w:ind w:firstLine="708"/>
        <w:jc w:val="both"/>
      </w:pPr>
      <w:r w:rsidRPr="00F2249F">
        <w:t>- informovanie o možnostiach podávania návrhov na registráciu cez toto rozhranie</w:t>
      </w:r>
    </w:p>
    <w:p w14:paraId="7DE02912" w14:textId="77777777" w:rsidR="00EB1051" w:rsidRPr="00F2249F" w:rsidRDefault="00EB1051" w:rsidP="00EB1051">
      <w:pPr>
        <w:ind w:firstLine="708"/>
        <w:jc w:val="both"/>
      </w:pPr>
      <w:r w:rsidRPr="00F2249F">
        <w:t xml:space="preserve">- umožnenie </w:t>
      </w:r>
      <w:proofErr w:type="spellStart"/>
      <w:r w:rsidRPr="00F2249F">
        <w:t>real-time</w:t>
      </w:r>
      <w:proofErr w:type="spellEnd"/>
      <w:r w:rsidRPr="00F2249F">
        <w:t xml:space="preserve"> sledovania registračného procesu</w:t>
      </w:r>
    </w:p>
    <w:p w14:paraId="1B949618" w14:textId="77777777" w:rsidR="00EB1051" w:rsidRPr="00F2249F" w:rsidRDefault="00EB1051" w:rsidP="00EB1051">
      <w:pPr>
        <w:ind w:left="708"/>
        <w:jc w:val="both"/>
      </w:pPr>
      <w:r w:rsidRPr="00F2249F">
        <w:t>- poskytovanie informácií o registrácií práv duševného vlastníctva vrátane dizajnov a ochranných známok</w:t>
      </w:r>
    </w:p>
    <w:p w14:paraId="2E4EE89E" w14:textId="77777777" w:rsidR="00EB1051" w:rsidRPr="00F2249F" w:rsidRDefault="00EB1051" w:rsidP="00EB1051">
      <w:pPr>
        <w:ind w:left="708"/>
        <w:jc w:val="both"/>
      </w:pPr>
      <w:r w:rsidRPr="00F2249F">
        <w:t>- umožnenie podávania dokumentov a informácií v zmysle čl. 25 ods. 1 a čl. 27 ods. 1 návrhu.</w:t>
      </w:r>
    </w:p>
    <w:p w14:paraId="243EBD55" w14:textId="77777777" w:rsidR="00EB1051" w:rsidRPr="00F2249F" w:rsidRDefault="00EB1051" w:rsidP="00EB1051">
      <w:pPr>
        <w:jc w:val="both"/>
      </w:pPr>
    </w:p>
    <w:p w14:paraId="15F227BE" w14:textId="77777777" w:rsidR="00EB1051" w:rsidRPr="00F2249F" w:rsidRDefault="00EB1051" w:rsidP="00EB1051">
      <w:pPr>
        <w:jc w:val="both"/>
      </w:pPr>
      <w:r w:rsidRPr="00F2249F">
        <w:t xml:space="preserve">Rozhranie umožní podanie návrhu prostredníctvom elektronického sprievodcu, ktorý zakladateľov prevedie jednotlivými krokmi založenia spoločnosti. Komunikačným kanálom bude systém BRIS, cez ktorý sa vyplnené podanie zašle registru relevantného členského štátu, </w:t>
      </w:r>
      <w:r w:rsidRPr="00F2249F">
        <w:lastRenderedPageBreak/>
        <w:t xml:space="preserve">pričom návrh vyslovene špecifikuje, že rozhodnutie o registrácii či odmietnutí registrácie je vo výlučnej právomoci členského štátu, v ktorom sa EU </w:t>
      </w:r>
      <w:proofErr w:type="spellStart"/>
      <w:r w:rsidRPr="00F2249F">
        <w:t>Inc</w:t>
      </w:r>
      <w:proofErr w:type="spellEnd"/>
      <w:r w:rsidRPr="00F2249F">
        <w:t>. navrhuje registrovať. Na účely úhrady poplatku bude žiadateľ, ktorý postupuje cez EU rozhranie prepojený cez BRIS priamo s platobným systémom príslušného členského štátu a platba bude smerovať priamo tomuto členskému štátu.</w:t>
      </w:r>
    </w:p>
    <w:p w14:paraId="05EB70E7" w14:textId="77777777" w:rsidR="00EB1051" w:rsidRPr="00F2249F" w:rsidRDefault="00EB1051" w:rsidP="00EB1051">
      <w:pPr>
        <w:jc w:val="both"/>
      </w:pPr>
    </w:p>
    <w:p w14:paraId="34570F55"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pPr>
      <w:r w:rsidRPr="00F2249F">
        <w:rPr>
          <w:b/>
          <w:u w:val="single"/>
        </w:rPr>
        <w:t xml:space="preserve">Pozícia SR: </w:t>
      </w:r>
      <w:r w:rsidRPr="00F2249F">
        <w:rPr>
          <w:i/>
        </w:rPr>
        <w:t>Centrálne rozhranie predstavuje logickú nadstavbu systému prepojenia obchodných registrov, ak sa má dosiahnuť cieľ návrhu nariadenia. Je možné pozitívne hodnotiť zriadenie takéhoto jednotného miesta prístupu.</w:t>
      </w:r>
      <w:r w:rsidRPr="00F2249F">
        <w:t xml:space="preserve"> </w:t>
      </w:r>
    </w:p>
    <w:p w14:paraId="0AF3F950" w14:textId="77777777" w:rsidR="00EB1051" w:rsidRPr="00F2249F" w:rsidRDefault="00EB1051" w:rsidP="00EB1051">
      <w:pPr>
        <w:jc w:val="both"/>
      </w:pPr>
    </w:p>
    <w:p w14:paraId="4CB025D6" w14:textId="77777777" w:rsidR="00EB1051" w:rsidRPr="00F2249F" w:rsidRDefault="00EB1051" w:rsidP="00EB1051">
      <w:pPr>
        <w:tabs>
          <w:tab w:val="left" w:pos="1786"/>
        </w:tabs>
        <w:jc w:val="both"/>
        <w:rPr>
          <w:b/>
          <w:u w:val="single"/>
        </w:rPr>
      </w:pPr>
      <w:r w:rsidRPr="00F2249F">
        <w:rPr>
          <w:b/>
          <w:u w:val="single"/>
        </w:rPr>
        <w:t>Článok 16 - Zrýchlené založenie prostredníctvom centrálneho rozhrania EÚ</w:t>
      </w:r>
    </w:p>
    <w:p w14:paraId="1CA8704A" w14:textId="77777777" w:rsidR="00EB1051" w:rsidRPr="00F2249F" w:rsidRDefault="00EB1051" w:rsidP="00EB1051">
      <w:pPr>
        <w:tabs>
          <w:tab w:val="left" w:pos="1786"/>
        </w:tabs>
        <w:jc w:val="both"/>
      </w:pPr>
    </w:p>
    <w:p w14:paraId="04E88FCB" w14:textId="2CDB013D" w:rsidR="00EB1051" w:rsidRPr="00F2249F" w:rsidRDefault="00EB1051" w:rsidP="00EB1051">
      <w:pPr>
        <w:tabs>
          <w:tab w:val="left" w:pos="1786"/>
        </w:tabs>
        <w:jc w:val="both"/>
      </w:pPr>
      <w:r w:rsidRPr="00F2249F">
        <w:t xml:space="preserve">Definuje sa postup pri zrýchlenej registrácii pri podaní návrhu na registráciu prostredníctvom centrálneho rozhrania. Návrh na registráciu podávajú navrhovaní </w:t>
      </w:r>
      <w:r w:rsidR="007F64D1" w:rsidRPr="00F2249F">
        <w:t>členovia správnej rady</w:t>
      </w:r>
      <w:r w:rsidRPr="00F2249F">
        <w:t>, pričom návrh obsahuje ako prílohu vzor spoločenskej zmluvy v zmysle čl. 8. Cena za registráciu nesmie prekročiť 100 eur, pričom preventívna kontrola a registrácia sa musí uskutočniť do 48 hodín od podania návrhu na registráciu. Preventívna kontrola v rozsahu čl. 14 má byť zabezpečená využitím formulára stanov.</w:t>
      </w:r>
    </w:p>
    <w:p w14:paraId="68E1081B" w14:textId="77777777" w:rsidR="00EB1051" w:rsidRPr="00F2249F" w:rsidRDefault="00EB1051" w:rsidP="00EB1051">
      <w:pPr>
        <w:tabs>
          <w:tab w:val="left" w:pos="1786"/>
        </w:tabs>
        <w:jc w:val="both"/>
      </w:pPr>
    </w:p>
    <w:p w14:paraId="2C8BD357" w14:textId="0A6081A7" w:rsidR="00EB1051" w:rsidRPr="00F2249F" w:rsidRDefault="00EB1051" w:rsidP="00EB1051">
      <w:pPr>
        <w:tabs>
          <w:tab w:val="left" w:pos="1786"/>
        </w:tabs>
        <w:jc w:val="both"/>
      </w:pPr>
      <w:r w:rsidRPr="00F2249F">
        <w:rPr>
          <w:b/>
          <w:u w:val="single"/>
        </w:rPr>
        <w:t>Pozícia SR:</w:t>
      </w:r>
      <w:r w:rsidRPr="00D26E48">
        <w:t xml:space="preserve"> </w:t>
      </w:r>
      <w:r w:rsidRPr="00F2249F">
        <w:rPr>
          <w:i/>
        </w:rPr>
        <w:t xml:space="preserve">Ustanovenie predstavuje „srdce“ návrhu, ide o jeden z bodov, ktorý má zabezpečiť pre EU </w:t>
      </w:r>
      <w:proofErr w:type="spellStart"/>
      <w:r w:rsidRPr="00F2249F">
        <w:rPr>
          <w:i/>
        </w:rPr>
        <w:t>Inc</w:t>
      </w:r>
      <w:proofErr w:type="spellEnd"/>
      <w:r w:rsidRPr="00F2249F">
        <w:rPr>
          <w:i/>
        </w:rPr>
        <w:t>. pridanú hodnotu vo vzťahu k registrácii takejto právnej formy. Lacná a rýchla registrácia má zabezpečiť konkurencieschopnosť takejto právnej formy.</w:t>
      </w:r>
    </w:p>
    <w:p w14:paraId="0B378B6C" w14:textId="77777777" w:rsidR="00EB1051" w:rsidRPr="00F2249F" w:rsidRDefault="00EB1051" w:rsidP="00EB1051">
      <w:pPr>
        <w:tabs>
          <w:tab w:val="left" w:pos="1786"/>
        </w:tabs>
        <w:jc w:val="both"/>
        <w:rPr>
          <w:i/>
        </w:rPr>
      </w:pPr>
    </w:p>
    <w:p w14:paraId="6CEC6767" w14:textId="3B3062F3" w:rsidR="00EB1051" w:rsidRPr="00F2249F" w:rsidRDefault="00EB1051" w:rsidP="00EB1051">
      <w:pPr>
        <w:tabs>
          <w:tab w:val="left" w:pos="1786"/>
        </w:tabs>
        <w:jc w:val="both"/>
        <w:rPr>
          <w:i/>
        </w:rPr>
      </w:pPr>
      <w:r w:rsidRPr="00F2249F">
        <w:rPr>
          <w:i/>
        </w:rPr>
        <w:t xml:space="preserve">Lehota nezodpovedá lehote, ktorú upravuje slovenský právny poriadok (2 pracovné dni). Je potrebné trvať na takom určení lehoty, ktoré zabezpečí pre registrujúce orgány dostatočný čas na preverenie návrhu, za súčasného rešpektovania času, v ktoré orgány svoje služby poskytujú. Rovnako je potrebné dbať na takom určení začiatku plynutia lehoty, aby nebola prenesená zodpovednosť registračných orgánov za konanie navrhovateľa (napríklad identifikácia zaplatenia poplatku za registráciu). Slovenská republika </w:t>
      </w:r>
      <w:r w:rsidR="007E481E" w:rsidRPr="00F2249F">
        <w:rPr>
          <w:i/>
        </w:rPr>
        <w:t xml:space="preserve">preferuje </w:t>
      </w:r>
      <w:r w:rsidRPr="00F2249F">
        <w:rPr>
          <w:i/>
        </w:rPr>
        <w:t>určen</w:t>
      </w:r>
      <w:r w:rsidR="007E481E" w:rsidRPr="00F2249F">
        <w:rPr>
          <w:i/>
        </w:rPr>
        <w:t>ie</w:t>
      </w:r>
      <w:r w:rsidRPr="00F2249F">
        <w:rPr>
          <w:i/>
        </w:rPr>
        <w:t xml:space="preserve"> lehoty v</w:t>
      </w:r>
      <w:r w:rsidR="007E481E" w:rsidRPr="00F2249F">
        <w:rPr>
          <w:i/>
        </w:rPr>
        <w:t> </w:t>
      </w:r>
      <w:r w:rsidRPr="00F2249F">
        <w:rPr>
          <w:i/>
        </w:rPr>
        <w:t>dňoch.</w:t>
      </w:r>
    </w:p>
    <w:p w14:paraId="4447CAF6" w14:textId="77777777" w:rsidR="00EB1051" w:rsidRPr="00F2249F" w:rsidRDefault="00EB1051" w:rsidP="00EB1051">
      <w:pPr>
        <w:tabs>
          <w:tab w:val="left" w:pos="1786"/>
        </w:tabs>
        <w:jc w:val="both"/>
        <w:rPr>
          <w:i/>
        </w:rPr>
      </w:pPr>
      <w:r w:rsidRPr="00F2249F">
        <w:rPr>
          <w:i/>
        </w:rPr>
        <w:t xml:space="preserve"> </w:t>
      </w:r>
    </w:p>
    <w:p w14:paraId="1142129E" w14:textId="77777777" w:rsidR="00EB1051" w:rsidRPr="00F2249F" w:rsidRDefault="00EB1051" w:rsidP="00EB1051">
      <w:pPr>
        <w:tabs>
          <w:tab w:val="left" w:pos="1786"/>
        </w:tabs>
        <w:jc w:val="both"/>
        <w:rPr>
          <w:i/>
        </w:rPr>
      </w:pPr>
      <w:r w:rsidRPr="00F2249F">
        <w:rPr>
          <w:i/>
        </w:rPr>
        <w:t xml:space="preserve">Stanovenie maximálnej hodnoty ceny za registráciu v návrhu je určite lákadlom, z pohľadu orgánov verejnej moci však v takomto prípade bude zasiahnutý rozpočet verejnej správy. Považujeme za potrebné v texte návrhu vyjasniť, či sa táto suma týka len registrácie, alebo aj nákladov spojených s vykonaním preventívnych kontrol. Uvedené nie je v zmysle doterajších diskusií zrejmé a ide o dôležitý bod návrhu. Považujeme za problematické v stanovenej sume vykonať preventívnu kontrolu aj registráciu. </w:t>
      </w:r>
    </w:p>
    <w:p w14:paraId="2ED0E34F" w14:textId="77777777" w:rsidR="00EB1051" w:rsidRPr="00F2249F" w:rsidRDefault="00EB1051" w:rsidP="00EB1051">
      <w:pPr>
        <w:tabs>
          <w:tab w:val="left" w:pos="1786"/>
        </w:tabs>
        <w:jc w:val="both"/>
        <w:rPr>
          <w:i/>
        </w:rPr>
      </w:pPr>
    </w:p>
    <w:p w14:paraId="1EAD121C" w14:textId="77777777" w:rsidR="00EB1051" w:rsidRPr="00F2249F" w:rsidRDefault="00EB1051" w:rsidP="00EB1051">
      <w:pPr>
        <w:tabs>
          <w:tab w:val="left" w:pos="1786"/>
        </w:tabs>
        <w:jc w:val="both"/>
        <w:rPr>
          <w:i/>
        </w:rPr>
      </w:pPr>
      <w:r w:rsidRPr="00F2249F">
        <w:rPr>
          <w:i/>
        </w:rPr>
        <w:t>Slovenská republika považuje vo vzťahu k článkom 16 až 18 potrebné vyjasnenie, akým spôsobom sa budú realizovať opravné prostriedky proti odmietnutiu vykonania zápisu. Nakoľko návrh na uvedené nereflektuje a z praxe je toto zásadný element pri procese registrácie.</w:t>
      </w:r>
    </w:p>
    <w:p w14:paraId="709C8FCA" w14:textId="77777777" w:rsidR="00EB1051" w:rsidRPr="00F2249F" w:rsidRDefault="00EB1051" w:rsidP="00EB1051">
      <w:pPr>
        <w:tabs>
          <w:tab w:val="left" w:pos="1786"/>
        </w:tabs>
        <w:jc w:val="both"/>
      </w:pPr>
    </w:p>
    <w:p w14:paraId="41452D7F" w14:textId="77777777" w:rsidR="00EB1051" w:rsidRPr="00F2249F" w:rsidRDefault="00EB1051" w:rsidP="00EB1051">
      <w:pPr>
        <w:tabs>
          <w:tab w:val="left" w:pos="1786"/>
        </w:tabs>
        <w:jc w:val="both"/>
        <w:rPr>
          <w:b/>
          <w:u w:val="single"/>
        </w:rPr>
      </w:pPr>
      <w:r w:rsidRPr="00F2249F">
        <w:rPr>
          <w:b/>
          <w:u w:val="single"/>
        </w:rPr>
        <w:t>Článok 17 - Založenie prostredníctvom centrálneho rozhrania EÚ bez použitia vzorov EÚ</w:t>
      </w:r>
    </w:p>
    <w:p w14:paraId="15EF3762" w14:textId="77777777" w:rsidR="00EB1051" w:rsidRPr="00F2249F" w:rsidRDefault="00EB1051" w:rsidP="00EB1051">
      <w:pPr>
        <w:tabs>
          <w:tab w:val="left" w:pos="1786"/>
        </w:tabs>
        <w:jc w:val="both"/>
      </w:pPr>
    </w:p>
    <w:p w14:paraId="152C60B4" w14:textId="4A50E5FC" w:rsidR="00EB1051" w:rsidRPr="00F2249F" w:rsidRDefault="00EB1051" w:rsidP="00EB1051">
      <w:pPr>
        <w:tabs>
          <w:tab w:val="left" w:pos="1786"/>
        </w:tabs>
        <w:jc w:val="both"/>
      </w:pPr>
      <w:r w:rsidRPr="00F2249F">
        <w:t xml:space="preserve">Okrem zrýchleného postupu založenia pri podaní návrhu na registráciu prostredníctvom centrálnej platformy sa navrhuje aj možnosť založenia bez použitia formulára spoločenskej zmluvy podľa čl. 8. Návrh na registráciu podávajú navrhovaní </w:t>
      </w:r>
      <w:r w:rsidR="007F64D1" w:rsidRPr="00F2249F">
        <w:t>členovia správnej rady</w:t>
      </w:r>
      <w:r w:rsidRPr="00F2249F">
        <w:t xml:space="preserve">, pričom návrh obsahuje ako prílohu spoločenskú zmluvu. Registrácia sa musí uskutočniť do piatich pracovných dní od podania návrhu na registráciu. Takýto spôsob registrácie je vhodný pre EU </w:t>
      </w:r>
      <w:proofErr w:type="spellStart"/>
      <w:r w:rsidRPr="00F2249F">
        <w:t>Inc</w:t>
      </w:r>
      <w:proofErr w:type="spellEnd"/>
      <w:r w:rsidRPr="00F2249F">
        <w:t xml:space="preserve">., ktorej nevyhovujú štandardné stanovy a pripraví si ich vo vlastnej forme. </w:t>
      </w:r>
    </w:p>
    <w:p w14:paraId="62869269" w14:textId="77777777" w:rsidR="00EB1051" w:rsidRPr="00F2249F" w:rsidRDefault="00EB1051" w:rsidP="00EB1051">
      <w:pPr>
        <w:tabs>
          <w:tab w:val="left" w:pos="1786"/>
        </w:tabs>
        <w:jc w:val="both"/>
      </w:pPr>
    </w:p>
    <w:p w14:paraId="5FABA8C0" w14:textId="77777777" w:rsidR="00EB1051" w:rsidRPr="00F2249F" w:rsidRDefault="00EB1051" w:rsidP="00EB1051">
      <w:pPr>
        <w:tabs>
          <w:tab w:val="left" w:pos="1786"/>
        </w:tabs>
        <w:jc w:val="both"/>
      </w:pPr>
      <w:r w:rsidRPr="00F2249F">
        <w:rPr>
          <w:b/>
          <w:u w:val="single"/>
        </w:rPr>
        <w:lastRenderedPageBreak/>
        <w:t>Pozícia SR:</w:t>
      </w:r>
      <w:r w:rsidRPr="00D26E48">
        <w:t xml:space="preserve"> </w:t>
      </w:r>
      <w:r w:rsidRPr="00F2249F">
        <w:rPr>
          <w:i/>
        </w:rPr>
        <w:t>Pozícia je rovnaká ako k čl. 16 návrhu.</w:t>
      </w:r>
      <w:r w:rsidRPr="00F2249F">
        <w:t xml:space="preserve">   </w:t>
      </w:r>
    </w:p>
    <w:p w14:paraId="5775A916" w14:textId="77777777" w:rsidR="00EB1051" w:rsidRPr="00F2249F" w:rsidRDefault="00EB1051" w:rsidP="00EB1051">
      <w:pPr>
        <w:tabs>
          <w:tab w:val="left" w:pos="1786"/>
        </w:tabs>
        <w:jc w:val="both"/>
      </w:pPr>
    </w:p>
    <w:p w14:paraId="57E49AF1" w14:textId="77777777" w:rsidR="00EB1051" w:rsidRPr="00F2249F" w:rsidRDefault="00EB1051" w:rsidP="00EB1051">
      <w:pPr>
        <w:tabs>
          <w:tab w:val="left" w:pos="1786"/>
        </w:tabs>
        <w:jc w:val="both"/>
        <w:rPr>
          <w:b/>
          <w:u w:val="single"/>
        </w:rPr>
      </w:pPr>
      <w:r w:rsidRPr="00F2249F">
        <w:rPr>
          <w:b/>
          <w:u w:val="single"/>
        </w:rPr>
        <w:t xml:space="preserve">Článok 18 - Založenie spoločnosti EU </w:t>
      </w:r>
      <w:proofErr w:type="spellStart"/>
      <w:r w:rsidRPr="00F2249F">
        <w:rPr>
          <w:b/>
          <w:u w:val="single"/>
        </w:rPr>
        <w:t>Inc</w:t>
      </w:r>
      <w:proofErr w:type="spellEnd"/>
      <w:r w:rsidRPr="00F2249F">
        <w:rPr>
          <w:b/>
          <w:u w:val="single"/>
        </w:rPr>
        <w:t>. prostredníctvom obchodného registra plne online</w:t>
      </w:r>
    </w:p>
    <w:p w14:paraId="7818E33E" w14:textId="77777777" w:rsidR="00EB1051" w:rsidRPr="00F2249F" w:rsidRDefault="00EB1051" w:rsidP="00EB1051">
      <w:pPr>
        <w:tabs>
          <w:tab w:val="left" w:pos="1786"/>
        </w:tabs>
        <w:jc w:val="both"/>
      </w:pPr>
    </w:p>
    <w:p w14:paraId="6DD2BD9A" w14:textId="77777777" w:rsidR="00EB1051" w:rsidRPr="00F2249F" w:rsidRDefault="00EB1051" w:rsidP="00EB1051">
      <w:pPr>
        <w:tabs>
          <w:tab w:val="left" w:pos="1786"/>
        </w:tabs>
        <w:jc w:val="both"/>
      </w:pPr>
      <w:r w:rsidRPr="00F2249F">
        <w:t xml:space="preserve">Umožňuje sa registrácia aj podaním návrhu na registráciu prostredníctvom registra členského štátu. V tomto prípade sa podáva návrh na formulári návrhu na registráciu, pričom na vykonanie preventívnej kontroly sa ďalej použije ustanovenie čl. 14. </w:t>
      </w:r>
    </w:p>
    <w:p w14:paraId="48C0B55B" w14:textId="77777777" w:rsidR="00EB1051" w:rsidRPr="00F2249F" w:rsidRDefault="00EB1051" w:rsidP="00EB1051">
      <w:pPr>
        <w:jc w:val="both"/>
      </w:pPr>
      <w:r w:rsidRPr="00F2249F">
        <w:t>Návrh stanovuje alternatívy, ktoré v zásade kopírujú spôsoby registrácie v prípade podania cez centrálne rozhranie:</w:t>
      </w:r>
    </w:p>
    <w:p w14:paraId="23FA3A01" w14:textId="77777777" w:rsidR="00EB1051" w:rsidRPr="00F2249F" w:rsidRDefault="00EB1051" w:rsidP="00EB1051">
      <w:pPr>
        <w:ind w:firstLine="708"/>
        <w:jc w:val="both"/>
      </w:pPr>
      <w:r w:rsidRPr="00F2249F">
        <w:t>- v prípade použitia formulára spoločenskej zmluvy cena za registráciu nesmie prekročiť 100 eur a registrácia sa musí uskutočniť do 48 hodín od podania návrhu na registráciu,</w:t>
      </w:r>
    </w:p>
    <w:p w14:paraId="518FF8F3" w14:textId="77777777" w:rsidR="00EB1051" w:rsidRPr="00F2249F" w:rsidRDefault="00EB1051" w:rsidP="00EB1051">
      <w:pPr>
        <w:ind w:firstLine="708"/>
        <w:jc w:val="both"/>
      </w:pPr>
      <w:r w:rsidRPr="00F2249F">
        <w:t>- v prípade, ak sa formulár nepoužije, registrácia musí byť uskutočniť do piatich pracovných dní od podania návrhu na registráciu.</w:t>
      </w:r>
    </w:p>
    <w:p w14:paraId="1B4E7226" w14:textId="77777777" w:rsidR="00EB1051" w:rsidRPr="00F2249F" w:rsidRDefault="00EB1051" w:rsidP="00EB1051">
      <w:pPr>
        <w:tabs>
          <w:tab w:val="left" w:pos="1786"/>
        </w:tabs>
        <w:jc w:val="both"/>
      </w:pPr>
    </w:p>
    <w:p w14:paraId="2B7DD68D" w14:textId="0F7C34F3" w:rsidR="00EB1051" w:rsidRPr="00F2249F" w:rsidRDefault="00D26E48" w:rsidP="00EB1051">
      <w:pPr>
        <w:tabs>
          <w:tab w:val="left" w:pos="1786"/>
        </w:tabs>
        <w:jc w:val="both"/>
        <w:rPr>
          <w:i/>
        </w:rPr>
      </w:pPr>
      <w:r w:rsidRPr="00F2249F">
        <w:rPr>
          <w:b/>
          <w:u w:val="single"/>
        </w:rPr>
        <w:t>Pozícia SR:</w:t>
      </w:r>
      <w:r w:rsidRPr="00D26E48">
        <w:t xml:space="preserve"> </w:t>
      </w:r>
      <w:r w:rsidR="00EB1051" w:rsidRPr="00F2249F">
        <w:rPr>
          <w:i/>
        </w:rPr>
        <w:t xml:space="preserve">Pozícia je rovnaká ako k čl. 16 návrhu.   </w:t>
      </w:r>
    </w:p>
    <w:p w14:paraId="159CA249" w14:textId="77777777" w:rsidR="00EB1051" w:rsidRPr="00F2249F" w:rsidRDefault="00EB1051" w:rsidP="00EB1051">
      <w:pPr>
        <w:tabs>
          <w:tab w:val="left" w:pos="1786"/>
        </w:tabs>
        <w:jc w:val="both"/>
        <w:rPr>
          <w:b/>
        </w:rPr>
      </w:pPr>
    </w:p>
    <w:p w14:paraId="350A93CD" w14:textId="77777777" w:rsidR="00EB1051" w:rsidRPr="00F2249F" w:rsidRDefault="00EB1051" w:rsidP="00EB1051">
      <w:pPr>
        <w:tabs>
          <w:tab w:val="left" w:pos="1786"/>
        </w:tabs>
        <w:jc w:val="both"/>
        <w:rPr>
          <w:b/>
          <w:u w:val="single"/>
        </w:rPr>
      </w:pPr>
      <w:r w:rsidRPr="00F2249F">
        <w:rPr>
          <w:b/>
          <w:u w:val="single"/>
        </w:rPr>
        <w:t xml:space="preserve">Článok 19 – Založenie dcérskych spoločností spoločnosti EU </w:t>
      </w:r>
      <w:proofErr w:type="spellStart"/>
      <w:r w:rsidRPr="00F2249F">
        <w:rPr>
          <w:b/>
          <w:u w:val="single"/>
        </w:rPr>
        <w:t>Inc</w:t>
      </w:r>
      <w:proofErr w:type="spellEnd"/>
      <w:r w:rsidRPr="00F2249F">
        <w:rPr>
          <w:b/>
          <w:u w:val="single"/>
        </w:rPr>
        <w:t>.</w:t>
      </w:r>
    </w:p>
    <w:p w14:paraId="71D4EBAC" w14:textId="77777777" w:rsidR="00EB1051" w:rsidRPr="00F2249F" w:rsidRDefault="00EB1051" w:rsidP="00EB1051">
      <w:pPr>
        <w:tabs>
          <w:tab w:val="left" w:pos="1786"/>
        </w:tabs>
        <w:jc w:val="both"/>
      </w:pPr>
    </w:p>
    <w:p w14:paraId="10621B46" w14:textId="77777777" w:rsidR="00EB1051" w:rsidRPr="00F2249F" w:rsidRDefault="00EB1051" w:rsidP="00EB1051">
      <w:pPr>
        <w:tabs>
          <w:tab w:val="left" w:pos="1786"/>
        </w:tabs>
        <w:jc w:val="both"/>
      </w:pPr>
      <w:r w:rsidRPr="00F2249F">
        <w:t xml:space="preserve">Definuje sa možnosť právnickej osoby byť spoločníkom EU </w:t>
      </w:r>
      <w:proofErr w:type="spellStart"/>
      <w:r w:rsidRPr="00F2249F">
        <w:t>Inc</w:t>
      </w:r>
      <w:proofErr w:type="spellEnd"/>
      <w:r w:rsidRPr="00F2249F">
        <w:t xml:space="preserve">. Založiť si EU </w:t>
      </w:r>
      <w:proofErr w:type="spellStart"/>
      <w:r w:rsidRPr="00F2249F">
        <w:t>Inc</w:t>
      </w:r>
      <w:proofErr w:type="spellEnd"/>
      <w:r w:rsidRPr="00F2249F">
        <w:t xml:space="preserve">. ako dcérsku spoločnosť môže EU </w:t>
      </w:r>
      <w:proofErr w:type="spellStart"/>
      <w:r w:rsidRPr="00F2249F">
        <w:t>Inc</w:t>
      </w:r>
      <w:proofErr w:type="spellEnd"/>
      <w:r w:rsidRPr="00F2249F">
        <w:t>., verejná obchodná spoločnosť, komanditná spoločnosť, akciová spoločnosť a spoločnosť s ručením obmedzeným.</w:t>
      </w:r>
    </w:p>
    <w:p w14:paraId="1EBD1497" w14:textId="77777777" w:rsidR="00EB1051" w:rsidRPr="00F2249F" w:rsidRDefault="00EB1051" w:rsidP="00EB1051">
      <w:pPr>
        <w:tabs>
          <w:tab w:val="left" w:pos="1786"/>
        </w:tabs>
        <w:jc w:val="both"/>
      </w:pPr>
    </w:p>
    <w:p w14:paraId="56CB9542" w14:textId="77777777" w:rsidR="00EB1051" w:rsidRPr="00F2249F" w:rsidRDefault="00EB1051" w:rsidP="00EB1051">
      <w:pPr>
        <w:tabs>
          <w:tab w:val="left" w:pos="1786"/>
        </w:tabs>
        <w:jc w:val="both"/>
      </w:pPr>
      <w:r w:rsidRPr="00F2249F">
        <w:t>Takto môže dcérska spoločnosť vzniknúť registráciou na základe podania návrhu na registráciu prostredníctvom rozhrania, alebo prostredníctvom registra členského štátu. Aplikujú sa pritom pravidlá „</w:t>
      </w:r>
      <w:proofErr w:type="spellStart"/>
      <w:r w:rsidRPr="00F2249F">
        <w:t>once</w:t>
      </w:r>
      <w:proofErr w:type="spellEnd"/>
      <w:r w:rsidRPr="00F2249F">
        <w:t xml:space="preserve"> </w:t>
      </w:r>
      <w:proofErr w:type="spellStart"/>
      <w:r w:rsidRPr="00F2249F">
        <w:t>only</w:t>
      </w:r>
      <w:proofErr w:type="spellEnd"/>
      <w:r w:rsidRPr="00F2249F">
        <w:t xml:space="preserve">“ vo vzťahu k údajom a dokumentom materskej spoločnosti. </w:t>
      </w:r>
    </w:p>
    <w:p w14:paraId="5B29EBDA" w14:textId="77777777" w:rsidR="00EB1051" w:rsidRPr="00F2249F" w:rsidRDefault="00EB1051" w:rsidP="00EB1051">
      <w:pPr>
        <w:tabs>
          <w:tab w:val="left" w:pos="1786"/>
        </w:tabs>
        <w:jc w:val="both"/>
      </w:pPr>
    </w:p>
    <w:p w14:paraId="7249F318" w14:textId="6EB389B6" w:rsidR="00EB1051" w:rsidRPr="00F2249F" w:rsidRDefault="00D26E48" w:rsidP="00EB1051">
      <w:pPr>
        <w:tabs>
          <w:tab w:val="left" w:pos="1786"/>
        </w:tabs>
        <w:jc w:val="both"/>
      </w:pPr>
      <w:r w:rsidRPr="00F2249F">
        <w:rPr>
          <w:b/>
          <w:u w:val="single"/>
        </w:rPr>
        <w:t>Pozícia SR:</w:t>
      </w:r>
      <w:r w:rsidRPr="00D26E48">
        <w:t xml:space="preserve"> </w:t>
      </w:r>
      <w:r w:rsidR="00EB1051" w:rsidRPr="00F2249F">
        <w:rPr>
          <w:i/>
        </w:rPr>
        <w:t xml:space="preserve">K ustanoveniu nemáme pripomienky. </w:t>
      </w:r>
    </w:p>
    <w:p w14:paraId="19FFC4F3" w14:textId="77777777" w:rsidR="00EB1051" w:rsidRPr="00F2249F" w:rsidRDefault="00EB1051" w:rsidP="00EB1051">
      <w:pPr>
        <w:tabs>
          <w:tab w:val="left" w:pos="1786"/>
        </w:tabs>
        <w:jc w:val="both"/>
        <w:rPr>
          <w:b/>
        </w:rPr>
      </w:pPr>
    </w:p>
    <w:p w14:paraId="0433610B" w14:textId="77777777" w:rsidR="00EB1051" w:rsidRPr="00F2249F" w:rsidRDefault="00EB1051" w:rsidP="00EB1051">
      <w:pPr>
        <w:tabs>
          <w:tab w:val="left" w:pos="1786"/>
        </w:tabs>
        <w:jc w:val="both"/>
        <w:rPr>
          <w:b/>
          <w:u w:val="single"/>
        </w:rPr>
      </w:pPr>
      <w:r w:rsidRPr="00F2249F">
        <w:rPr>
          <w:b/>
          <w:u w:val="single"/>
        </w:rPr>
        <w:t>Článok 20 - Jednorazové predloženie orgánom</w:t>
      </w:r>
    </w:p>
    <w:p w14:paraId="421E9067" w14:textId="77777777" w:rsidR="00EB1051" w:rsidRPr="00F2249F" w:rsidRDefault="00EB1051" w:rsidP="00EB1051">
      <w:pPr>
        <w:tabs>
          <w:tab w:val="left" w:pos="1786"/>
        </w:tabs>
        <w:jc w:val="both"/>
      </w:pPr>
      <w:r w:rsidRPr="00F2249F">
        <w:t xml:space="preserve">Navrhuje sa upraviť povinnosť vnútroštátnych registrov informovať relevantné orgány po registrácii EU </w:t>
      </w:r>
      <w:proofErr w:type="spellStart"/>
      <w:r w:rsidRPr="00F2249F">
        <w:t>Inc</w:t>
      </w:r>
      <w:proofErr w:type="spellEnd"/>
      <w:r w:rsidRPr="00F2249F">
        <w:t xml:space="preserve">. s cieľom zabezpečenia jej ďalšej registrácie (dane, DPH, sociálne veci, konečný užívateľ výhod). Ide o zhmotnenie </w:t>
      </w:r>
      <w:proofErr w:type="spellStart"/>
      <w:r w:rsidRPr="00F2249F">
        <w:t>once-only</w:t>
      </w:r>
      <w:proofErr w:type="spellEnd"/>
      <w:r w:rsidRPr="00F2249F">
        <w:t xml:space="preserve"> princípu tak, aby sa znížila administratívna záťaž podnikateľa. </w:t>
      </w:r>
    </w:p>
    <w:p w14:paraId="29969C1B" w14:textId="77777777" w:rsidR="00EB1051" w:rsidRPr="00F2249F" w:rsidRDefault="00EB1051" w:rsidP="00EB1051">
      <w:pPr>
        <w:tabs>
          <w:tab w:val="left" w:pos="1786"/>
        </w:tabs>
        <w:jc w:val="both"/>
      </w:pPr>
    </w:p>
    <w:p w14:paraId="11EF85BD" w14:textId="1C61F6EC" w:rsidR="00EB1051" w:rsidRDefault="00EB1051" w:rsidP="00EB1051">
      <w:pPr>
        <w:tabs>
          <w:tab w:val="left" w:pos="1786"/>
        </w:tabs>
        <w:jc w:val="both"/>
      </w:pPr>
      <w:r w:rsidRPr="00F2249F">
        <w:rPr>
          <w:b/>
          <w:u w:val="single"/>
        </w:rPr>
        <w:t>Pozícia SR:</w:t>
      </w:r>
      <w:r w:rsidRPr="00F2249F">
        <w:t xml:space="preserve"> </w:t>
      </w:r>
      <w:r w:rsidRPr="00F2249F">
        <w:rPr>
          <w:i/>
        </w:rPr>
        <w:t xml:space="preserve">Slovenská republika podporuje aplikáciu </w:t>
      </w:r>
      <w:proofErr w:type="spellStart"/>
      <w:r w:rsidRPr="00F2249F">
        <w:rPr>
          <w:i/>
        </w:rPr>
        <w:t>once-only</w:t>
      </w:r>
      <w:proofErr w:type="spellEnd"/>
      <w:r w:rsidRPr="00F2249F">
        <w:rPr>
          <w:i/>
        </w:rPr>
        <w:t xml:space="preserve"> princípu. V našej právnej úprave sa k takémuto znižovaniu administratívnej záťaže so zavádzanou digitalizáciou pristupuje kontinuálne. Už v súčasnosti obchodný register po zápise spoločnosti informuje Register právnických osôb, ktorý vedie údaje o konečných užívateľoch výhod. Rovnako je zabezpečené automatické pridelenie daňového identifikačného čísla po registrácii. Považujeme za nevyhnutné vyjasniť, ako budú tieto úrady komunikovať s navrhovateľom – kam mu odošlú odpoveď. V SR takýto systém funguje, prostredníctvom elektronickej schránky spoločnosti sa komunikuje avšak v rozsahu návrhu si uvedené nateraz nevieme predstaviť. Vo vzťahu k registrácii na účely DPH je relevantná pozícia vo vzťahu k článku 13 návrhu.</w:t>
      </w:r>
      <w:r w:rsidRPr="00F2249F">
        <w:t xml:space="preserve"> </w:t>
      </w:r>
    </w:p>
    <w:p w14:paraId="754A74FA" w14:textId="77777777" w:rsidR="00031EB4" w:rsidRPr="00F2249F" w:rsidRDefault="00031EB4" w:rsidP="00EB1051">
      <w:pPr>
        <w:tabs>
          <w:tab w:val="left" w:pos="1786"/>
        </w:tabs>
        <w:jc w:val="both"/>
        <w:rPr>
          <w:b/>
        </w:rPr>
      </w:pPr>
    </w:p>
    <w:p w14:paraId="2CEA538A" w14:textId="78B703F9" w:rsidR="00EB1051" w:rsidRDefault="00EB1051" w:rsidP="00EB1051">
      <w:pPr>
        <w:tabs>
          <w:tab w:val="left" w:pos="1786"/>
        </w:tabs>
        <w:jc w:val="both"/>
        <w:rPr>
          <w:b/>
        </w:rPr>
      </w:pPr>
    </w:p>
    <w:p w14:paraId="20206736" w14:textId="162450EC" w:rsidR="00D26E48" w:rsidRDefault="00D26E48" w:rsidP="00EB1051">
      <w:pPr>
        <w:tabs>
          <w:tab w:val="left" w:pos="1786"/>
        </w:tabs>
        <w:jc w:val="both"/>
        <w:rPr>
          <w:b/>
        </w:rPr>
      </w:pPr>
    </w:p>
    <w:p w14:paraId="0A411A18" w14:textId="7E92D292" w:rsidR="00D26E48" w:rsidRDefault="00D26E48" w:rsidP="00EB1051">
      <w:pPr>
        <w:tabs>
          <w:tab w:val="left" w:pos="1786"/>
        </w:tabs>
        <w:jc w:val="both"/>
        <w:rPr>
          <w:b/>
        </w:rPr>
      </w:pPr>
    </w:p>
    <w:p w14:paraId="61A532A8" w14:textId="19954E8B" w:rsidR="00D26E48" w:rsidRDefault="00D26E48" w:rsidP="00EB1051">
      <w:pPr>
        <w:tabs>
          <w:tab w:val="left" w:pos="1786"/>
        </w:tabs>
        <w:jc w:val="both"/>
        <w:rPr>
          <w:b/>
        </w:rPr>
      </w:pPr>
    </w:p>
    <w:p w14:paraId="0FF2F979" w14:textId="77777777" w:rsidR="00D26E48" w:rsidRPr="00F2249F" w:rsidRDefault="00D26E48" w:rsidP="00EB1051">
      <w:pPr>
        <w:tabs>
          <w:tab w:val="left" w:pos="1786"/>
        </w:tabs>
        <w:jc w:val="both"/>
        <w:rPr>
          <w:b/>
        </w:rPr>
      </w:pPr>
    </w:p>
    <w:p w14:paraId="3493B198" w14:textId="77777777" w:rsidR="00EB1051" w:rsidRPr="00F2249F" w:rsidRDefault="00EB1051" w:rsidP="00EB1051">
      <w:pPr>
        <w:tabs>
          <w:tab w:val="left" w:pos="1786"/>
        </w:tabs>
        <w:jc w:val="both"/>
        <w:rPr>
          <w:u w:val="single"/>
        </w:rPr>
      </w:pPr>
      <w:r w:rsidRPr="00F2249F">
        <w:rPr>
          <w:b/>
          <w:u w:val="single"/>
        </w:rPr>
        <w:lastRenderedPageBreak/>
        <w:t>Článok 21 - Vytvorenie prostredníctvom vnútroštátnych a cezhraničných premien, zlúčení, splynutí alebo rozdelení</w:t>
      </w:r>
    </w:p>
    <w:p w14:paraId="2110F39B" w14:textId="77777777" w:rsidR="00EB1051" w:rsidRPr="00F2249F" w:rsidRDefault="00EB1051" w:rsidP="00EB1051">
      <w:pPr>
        <w:tabs>
          <w:tab w:val="left" w:pos="1786"/>
        </w:tabs>
        <w:jc w:val="both"/>
      </w:pPr>
    </w:p>
    <w:p w14:paraId="225E3D8E" w14:textId="77777777" w:rsidR="00EB1051" w:rsidRPr="00F2249F" w:rsidRDefault="00EB1051" w:rsidP="00EB1051">
      <w:pPr>
        <w:tabs>
          <w:tab w:val="left" w:pos="1786"/>
        </w:tabs>
        <w:jc w:val="both"/>
      </w:pPr>
      <w:r w:rsidRPr="00F2249F">
        <w:t xml:space="preserve">Umožňuje sa vytvorenie EU </w:t>
      </w:r>
      <w:proofErr w:type="spellStart"/>
      <w:r w:rsidRPr="00F2249F">
        <w:t>Inc</w:t>
      </w:r>
      <w:proofErr w:type="spellEnd"/>
      <w:r w:rsidRPr="00F2249F">
        <w:t xml:space="preserve">. okrem založenia ex </w:t>
      </w:r>
      <w:proofErr w:type="spellStart"/>
      <w:r w:rsidRPr="00F2249F">
        <w:t>nihilo</w:t>
      </w:r>
      <w:proofErr w:type="spellEnd"/>
      <w:r w:rsidRPr="00F2249F">
        <w:t xml:space="preserve"> aj prostredníctvom zmeny právnej formy, premeny, cezhraničnej premeny či cezhraničnej zmeny právnej formy. Tieto transakcie môže EU </w:t>
      </w:r>
      <w:proofErr w:type="spellStart"/>
      <w:r w:rsidRPr="00F2249F">
        <w:t>Inc</w:t>
      </w:r>
      <w:proofErr w:type="spellEnd"/>
      <w:r w:rsidRPr="00F2249F">
        <w:t xml:space="preserve">. uskutočniť len s inou zúčastnenou spoločnosťou, ktorá musí mať formu kapitálovej spoločnosti. </w:t>
      </w:r>
    </w:p>
    <w:p w14:paraId="146C2590" w14:textId="77777777" w:rsidR="00EB1051" w:rsidRPr="00F2249F" w:rsidRDefault="00EB1051" w:rsidP="00EB1051">
      <w:pPr>
        <w:jc w:val="both"/>
      </w:pPr>
      <w:r w:rsidRPr="00F2249F">
        <w:t>Návrh nariadenia v prípade vnútroštátnych operácií upravuje aplikáciu ustanovenia týchto právnych poriadkov, pričom stanovuje obmedzenie, kedy sa operácia nemôže uskutočniť:</w:t>
      </w:r>
    </w:p>
    <w:p w14:paraId="13E9C8E7" w14:textId="77777777" w:rsidR="00EB1051" w:rsidRPr="00F2249F" w:rsidRDefault="00EB1051" w:rsidP="00EB1051">
      <w:pPr>
        <w:ind w:firstLine="708"/>
        <w:jc w:val="both"/>
      </w:pPr>
      <w:r w:rsidRPr="00F2249F">
        <w:t xml:space="preserve">- ak neprešli dva roky od prvej registrácie EU </w:t>
      </w:r>
      <w:proofErr w:type="spellStart"/>
      <w:r w:rsidRPr="00F2249F">
        <w:t>Inc</w:t>
      </w:r>
      <w:proofErr w:type="spellEnd"/>
      <w:r w:rsidRPr="00F2249F">
        <w:t>.</w:t>
      </w:r>
    </w:p>
    <w:p w14:paraId="0ACCF341" w14:textId="77777777" w:rsidR="00EB1051" w:rsidRPr="00F2249F" w:rsidRDefault="00EB1051" w:rsidP="00EB1051">
      <w:pPr>
        <w:ind w:firstLine="708"/>
        <w:jc w:val="both"/>
      </w:pPr>
      <w:r w:rsidRPr="00F2249F">
        <w:t xml:space="preserve">- alebo neboli schválené dve riadne účtovné závierky. </w:t>
      </w:r>
    </w:p>
    <w:p w14:paraId="739CB3F7" w14:textId="77777777" w:rsidR="00EB1051" w:rsidRPr="00F2249F" w:rsidRDefault="00EB1051" w:rsidP="00EB1051">
      <w:pPr>
        <w:tabs>
          <w:tab w:val="left" w:pos="1786"/>
        </w:tabs>
        <w:jc w:val="both"/>
      </w:pPr>
    </w:p>
    <w:p w14:paraId="5DB10324" w14:textId="3A1E7840" w:rsidR="00EB1051" w:rsidRPr="00F2249F" w:rsidRDefault="00D26E48" w:rsidP="00EB1051">
      <w:pPr>
        <w:tabs>
          <w:tab w:val="left" w:pos="1786"/>
        </w:tabs>
        <w:jc w:val="both"/>
        <w:rPr>
          <w:i/>
        </w:rPr>
      </w:pPr>
      <w:r w:rsidRPr="00F2249F">
        <w:rPr>
          <w:b/>
          <w:u w:val="single"/>
        </w:rPr>
        <w:t>Pozícia SR:</w:t>
      </w:r>
      <w:r w:rsidRPr="00D26E48">
        <w:t xml:space="preserve"> </w:t>
      </w:r>
      <w:r w:rsidR="00EB1051" w:rsidRPr="00F2249F">
        <w:rPr>
          <w:i/>
        </w:rPr>
        <w:t xml:space="preserve">Vítame vyjasnenie možných procesov, ktorých sa EU </w:t>
      </w:r>
      <w:proofErr w:type="spellStart"/>
      <w:r w:rsidR="00EB1051" w:rsidRPr="00F2249F">
        <w:rPr>
          <w:i/>
        </w:rPr>
        <w:t>Inc</w:t>
      </w:r>
      <w:proofErr w:type="spellEnd"/>
      <w:r w:rsidR="00EB1051" w:rsidRPr="00F2249F">
        <w:rPr>
          <w:i/>
        </w:rPr>
        <w:t xml:space="preserve">. môže zúčastniť, ku ktorému ustanovenie smeruje. Hoci z úpravy implicitne vyplýva, že podávanie návrhov v takýchto prípadoch sa spravuje vnútroštátnym právom a podávanie návrhov na formulári podľa článku 13 návrhu nie je umožnené, z dôvodu právnej istoty by bolo efektívne túto otázku v návrhu vyjasniť. </w:t>
      </w:r>
    </w:p>
    <w:p w14:paraId="6AD25205" w14:textId="77777777" w:rsidR="00EB1051" w:rsidRPr="00F2249F" w:rsidRDefault="00EB1051" w:rsidP="00EB1051">
      <w:pPr>
        <w:tabs>
          <w:tab w:val="left" w:pos="1786"/>
        </w:tabs>
        <w:jc w:val="both"/>
        <w:rPr>
          <w:i/>
        </w:rPr>
      </w:pPr>
      <w:r w:rsidRPr="00F2249F">
        <w:rPr>
          <w:i/>
        </w:rPr>
        <w:t xml:space="preserve">Vnímame, že návrh obsahuje dvojročnú lehotu obmedzujúcu vykonanie premeny či cezhraničnej premeny po vzore Európskej spoločnosti. Nepovažujeme takéto obmedzenie za účinné ani vhodné a preferovali by sme znenie ustanovenia bez obmedzenia tak, ako je tomu v smernici EÚ 2017/1132 pri ostatných vnútroštátnych právnych formách obchodných spoločností. Ide však len o preferenciu, nie o zásadnú pozíciu. </w:t>
      </w:r>
    </w:p>
    <w:p w14:paraId="21A170C5" w14:textId="77777777" w:rsidR="00EB1051" w:rsidRPr="00F2249F" w:rsidRDefault="00EB1051" w:rsidP="00EB1051">
      <w:pPr>
        <w:tabs>
          <w:tab w:val="left" w:pos="1786"/>
        </w:tabs>
        <w:jc w:val="both"/>
        <w:rPr>
          <w:b/>
        </w:rPr>
      </w:pPr>
    </w:p>
    <w:p w14:paraId="496FFF38" w14:textId="6C9286F2" w:rsidR="00EB1051" w:rsidRPr="00F2249F" w:rsidRDefault="00EB1051" w:rsidP="00EB1051">
      <w:pPr>
        <w:tabs>
          <w:tab w:val="left" w:pos="1786"/>
        </w:tabs>
        <w:jc w:val="both"/>
        <w:rPr>
          <w:u w:val="single"/>
        </w:rPr>
      </w:pPr>
      <w:r w:rsidRPr="00F2249F">
        <w:rPr>
          <w:b/>
          <w:u w:val="single"/>
        </w:rPr>
        <w:t xml:space="preserve">Článok 22 - </w:t>
      </w:r>
      <w:r w:rsidR="00225542" w:rsidRPr="00F2249F">
        <w:rPr>
          <w:b/>
          <w:u w:val="single"/>
        </w:rPr>
        <w:t> Diskvalifikovaní riaditelia</w:t>
      </w:r>
    </w:p>
    <w:p w14:paraId="689EF663" w14:textId="77777777" w:rsidR="00EB1051" w:rsidRPr="00F2249F" w:rsidRDefault="00EB1051" w:rsidP="00EB1051">
      <w:pPr>
        <w:tabs>
          <w:tab w:val="left" w:pos="1786"/>
        </w:tabs>
        <w:jc w:val="both"/>
      </w:pPr>
    </w:p>
    <w:p w14:paraId="355F1526" w14:textId="30700D03" w:rsidR="00EB1051" w:rsidRPr="00F2249F" w:rsidRDefault="00EB1051" w:rsidP="00EB1051">
      <w:pPr>
        <w:tabs>
          <w:tab w:val="left" w:pos="1786"/>
        </w:tabs>
        <w:jc w:val="both"/>
      </w:pPr>
      <w:r w:rsidRPr="00F2249F">
        <w:t xml:space="preserve">Zavádza sa povinnosť, v zmysle ktorej navrhovaní členovia </w:t>
      </w:r>
      <w:r w:rsidR="00A94973" w:rsidRPr="00F2249F">
        <w:t>orgánov spoločnosti</w:t>
      </w:r>
      <w:r w:rsidRPr="00F2249F">
        <w:t xml:space="preserve"> v návrhu na registráciu vyhlásia či sú si vedomí skutočností, ktoré by mohli viesť k ich diskvalifikácii – a to tak v prípade návrhu na prvý zápis (duplicita s čl. 13 ods. 6 návrhu) ako aj zápis zmeny </w:t>
      </w:r>
      <w:r w:rsidR="007F64D1" w:rsidRPr="00F2249F">
        <w:t>člena orgánu</w:t>
      </w:r>
      <w:r w:rsidRPr="00F2249F">
        <w:t xml:space="preserve">. Stanovuje sa, že osoba, ktorá je vylúčená, nemôže byť </w:t>
      </w:r>
      <w:r w:rsidR="00225542" w:rsidRPr="00F2249F">
        <w:t xml:space="preserve">členom orgánov </w:t>
      </w:r>
      <w:r w:rsidRPr="00F2249F">
        <w:t xml:space="preserve">EU </w:t>
      </w:r>
      <w:proofErr w:type="spellStart"/>
      <w:r w:rsidRPr="00F2249F">
        <w:t>Inc</w:t>
      </w:r>
      <w:proofErr w:type="spellEnd"/>
      <w:r w:rsidRPr="00F2249F">
        <w:t>., pričom ČŠ musia vziať do úvahy aj možnosť vylúčenia v prípade, ak je osoba vylúčená v inom členskom štáte. Relevantná má byť výmena informácií o diskvalifikovaných riaditeľov, a to v rozsahu smernice (EÚ) 2017/1132.</w:t>
      </w:r>
    </w:p>
    <w:p w14:paraId="1BBB1CD6" w14:textId="77777777" w:rsidR="00EB1051" w:rsidRPr="00F2249F" w:rsidRDefault="00EB1051" w:rsidP="00EB1051">
      <w:pPr>
        <w:tabs>
          <w:tab w:val="left" w:pos="1786"/>
        </w:tabs>
        <w:jc w:val="both"/>
      </w:pPr>
    </w:p>
    <w:p w14:paraId="775FD01B" w14:textId="3E73847C" w:rsidR="006141AD" w:rsidRPr="00F2249F" w:rsidRDefault="00EB1051" w:rsidP="00EB1051">
      <w:pPr>
        <w:tabs>
          <w:tab w:val="left" w:pos="1786"/>
        </w:tabs>
        <w:jc w:val="both"/>
        <w:rPr>
          <w:b/>
        </w:rPr>
      </w:pPr>
      <w:r w:rsidRPr="00F2249F">
        <w:rPr>
          <w:b/>
          <w:u w:val="single"/>
        </w:rPr>
        <w:t>Pozícia SR</w:t>
      </w:r>
      <w:r w:rsidRPr="00F2249F">
        <w:t xml:space="preserve">: </w:t>
      </w:r>
      <w:r w:rsidRPr="00F2249F">
        <w:rPr>
          <w:i/>
        </w:rPr>
        <w:t xml:space="preserve">Vítame, že návrh sa venuje aj otázke diskvalifikácie </w:t>
      </w:r>
      <w:r w:rsidR="007F64D1" w:rsidRPr="00F2249F">
        <w:rPr>
          <w:i/>
        </w:rPr>
        <w:t>riaditeľov</w:t>
      </w:r>
      <w:r w:rsidRPr="00F2249F">
        <w:rPr>
          <w:i/>
        </w:rPr>
        <w:t xml:space="preserve">. Táto problematika je zásadná, a to najmä v rozsahu návrhu, kedy je ochrana veriteľov EU </w:t>
      </w:r>
      <w:proofErr w:type="spellStart"/>
      <w:r w:rsidRPr="00F2249F">
        <w:rPr>
          <w:i/>
        </w:rPr>
        <w:t>Inc</w:t>
      </w:r>
      <w:proofErr w:type="spellEnd"/>
      <w:r w:rsidRPr="00F2249F">
        <w:rPr>
          <w:i/>
        </w:rPr>
        <w:t xml:space="preserve">. viazaná na zodpovednosť riaditeľov. K otázke vyhlásenia členov </w:t>
      </w:r>
      <w:r w:rsidR="00225542" w:rsidRPr="00F2249F">
        <w:rPr>
          <w:i/>
        </w:rPr>
        <w:t xml:space="preserve">správnej rady </w:t>
      </w:r>
      <w:r w:rsidRPr="00F2249F">
        <w:rPr>
          <w:i/>
        </w:rPr>
        <w:t>(</w:t>
      </w:r>
      <w:r w:rsidR="00225542" w:rsidRPr="00F2249F">
        <w:rPr>
          <w:i/>
        </w:rPr>
        <w:t xml:space="preserve"> resp. iných </w:t>
      </w:r>
      <w:r w:rsidRPr="00F2249F">
        <w:rPr>
          <w:i/>
        </w:rPr>
        <w:t>orgánov) máme skôr rezervovanú pozíciu. V otázke cezhraničného uznávania diskvalifikácie máme v súčasnom znení návrhu pochybnosti o </w:t>
      </w:r>
      <w:proofErr w:type="spellStart"/>
      <w:r w:rsidRPr="00F2249F">
        <w:rPr>
          <w:i/>
        </w:rPr>
        <w:t>implementovateľnosti</w:t>
      </w:r>
      <w:proofErr w:type="spellEnd"/>
      <w:r w:rsidRPr="00F2249F">
        <w:rPr>
          <w:i/>
        </w:rPr>
        <w:t>, najmä s prihliadnutím na prísny časový rámec registrácie spoločnosti. Uvedené je potrebné dôkladne a do dôsledkov diskutovať s cieľom dosiahnutia efektívneho nástroja, ktorý bude sledovať ciele návrhu.</w:t>
      </w:r>
      <w:r w:rsidRPr="00F2249F">
        <w:t xml:space="preserve"> </w:t>
      </w:r>
      <w:r w:rsidR="002D4B95" w:rsidRPr="00F2249F">
        <w:rPr>
          <w:i/>
        </w:rPr>
        <w:t xml:space="preserve">Všetky </w:t>
      </w:r>
      <w:r w:rsidRPr="00F2249F">
        <w:rPr>
          <w:i/>
        </w:rPr>
        <w:t>osoby by mali byť</w:t>
      </w:r>
      <w:r w:rsidR="002D4B95" w:rsidRPr="00F2249F">
        <w:rPr>
          <w:i/>
        </w:rPr>
        <w:t xml:space="preserve"> pred zápisom</w:t>
      </w:r>
      <w:r w:rsidRPr="00F2249F">
        <w:rPr>
          <w:i/>
        </w:rPr>
        <w:t xml:space="preserve"> preverované vo vš</w:t>
      </w:r>
      <w:r w:rsidR="00A94973" w:rsidRPr="00F2249F">
        <w:rPr>
          <w:i/>
        </w:rPr>
        <w:t>etkých vnútroštátnych registroch, ktoré evidujú zákaz činnosti s presahom na výkon funkcie člena orgánu spoločnosti</w:t>
      </w:r>
      <w:r w:rsidRPr="00F2249F">
        <w:rPr>
          <w:i/>
        </w:rPr>
        <w:t>, aby sa zabezpečila účinná kontrola a zabránilo sa obchádzaniu zákazov uložených v jednotlivých členských štátoch.</w:t>
      </w:r>
      <w:r w:rsidRPr="00F2249F">
        <w:t xml:space="preserve"> </w:t>
      </w:r>
      <w:r w:rsidR="00B34525" w:rsidRPr="00F2249F">
        <w:rPr>
          <w:i/>
        </w:rPr>
        <w:t>Bude potrebné vyjasniť</w:t>
      </w:r>
      <w:r w:rsidR="006141AD" w:rsidRPr="00F2249F">
        <w:rPr>
          <w:i/>
        </w:rPr>
        <w:t xml:space="preserve">, ako a či sa bude aplikovať na EU </w:t>
      </w:r>
      <w:proofErr w:type="spellStart"/>
      <w:r w:rsidR="006141AD" w:rsidRPr="00F2249F">
        <w:rPr>
          <w:i/>
        </w:rPr>
        <w:t>Inc</w:t>
      </w:r>
      <w:proofErr w:type="spellEnd"/>
      <w:r w:rsidR="006141AD" w:rsidRPr="00F2249F">
        <w:rPr>
          <w:i/>
        </w:rPr>
        <w:t xml:space="preserve">. § 13a ods. 3 a 5 ObZ vo vzťahu k slovenským i zahraničným EU </w:t>
      </w:r>
      <w:proofErr w:type="spellStart"/>
      <w:r w:rsidR="006141AD" w:rsidRPr="00F2249F">
        <w:rPr>
          <w:i/>
        </w:rPr>
        <w:t>Inc</w:t>
      </w:r>
      <w:proofErr w:type="spellEnd"/>
      <w:r w:rsidR="006141AD" w:rsidRPr="00F2249F">
        <w:rPr>
          <w:i/>
        </w:rPr>
        <w:t>.</w:t>
      </w:r>
      <w:r w:rsidR="006141AD" w:rsidRPr="00F2249F">
        <w:rPr>
          <w:b/>
        </w:rPr>
        <w:t xml:space="preserve"> </w:t>
      </w:r>
    </w:p>
    <w:p w14:paraId="2EB5C1F5" w14:textId="77777777" w:rsidR="006141AD" w:rsidRPr="00F2249F" w:rsidRDefault="006141AD" w:rsidP="00EB1051">
      <w:pPr>
        <w:tabs>
          <w:tab w:val="left" w:pos="1786"/>
        </w:tabs>
        <w:jc w:val="both"/>
        <w:rPr>
          <w:b/>
        </w:rPr>
      </w:pPr>
    </w:p>
    <w:p w14:paraId="6BCEE830" w14:textId="77777777" w:rsidR="00EB1051" w:rsidRPr="00F2249F" w:rsidRDefault="00EB1051" w:rsidP="00EB1051">
      <w:pPr>
        <w:tabs>
          <w:tab w:val="left" w:pos="1786"/>
        </w:tabs>
        <w:jc w:val="both"/>
        <w:rPr>
          <w:u w:val="single"/>
        </w:rPr>
      </w:pPr>
      <w:r w:rsidRPr="00F2249F">
        <w:rPr>
          <w:b/>
          <w:u w:val="single"/>
        </w:rPr>
        <w:t>Článok 23 -</w:t>
      </w:r>
      <w:r w:rsidRPr="00F2249F">
        <w:rPr>
          <w:u w:val="single"/>
        </w:rPr>
        <w:t xml:space="preserve"> </w:t>
      </w:r>
      <w:r w:rsidRPr="00F2249F">
        <w:rPr>
          <w:b/>
          <w:u w:val="single"/>
        </w:rPr>
        <w:t>Podpis digitálneho podania prostredníctvom centrálneho rozhrania EÚ</w:t>
      </w:r>
    </w:p>
    <w:p w14:paraId="7BAE615C" w14:textId="77777777" w:rsidR="00EB1051" w:rsidRPr="00F2249F" w:rsidRDefault="00EB1051" w:rsidP="00EB1051">
      <w:pPr>
        <w:tabs>
          <w:tab w:val="left" w:pos="1786"/>
        </w:tabs>
        <w:jc w:val="both"/>
      </w:pPr>
      <w:r w:rsidRPr="00F2249F">
        <w:t>Definuje povinnosť podpisovania dokumentov predkladaných v zmysle návrhu nariadenia prostredníctvom dôveryhodných služieb z nariadenia (EÚ) 910/2014.</w:t>
      </w:r>
    </w:p>
    <w:p w14:paraId="6BDA0439" w14:textId="77777777" w:rsidR="00EB1051" w:rsidRPr="00F2249F" w:rsidRDefault="00EB1051" w:rsidP="00EB1051">
      <w:pPr>
        <w:tabs>
          <w:tab w:val="left" w:pos="1786"/>
        </w:tabs>
        <w:jc w:val="both"/>
      </w:pPr>
    </w:p>
    <w:p w14:paraId="25E0FE03" w14:textId="77777777" w:rsidR="00EB1051" w:rsidRPr="00F2249F" w:rsidRDefault="00EB1051" w:rsidP="00EB1051">
      <w:pPr>
        <w:tabs>
          <w:tab w:val="left" w:pos="1786"/>
        </w:tabs>
        <w:jc w:val="both"/>
      </w:pPr>
      <w:r w:rsidRPr="00F2249F">
        <w:rPr>
          <w:b/>
          <w:u w:val="single"/>
        </w:rPr>
        <w:lastRenderedPageBreak/>
        <w:t>Pozícia SR:</w:t>
      </w:r>
      <w:r w:rsidRPr="00F2249F">
        <w:t xml:space="preserve"> </w:t>
      </w:r>
      <w:r w:rsidRPr="00F2249F">
        <w:rPr>
          <w:i/>
        </w:rPr>
        <w:t>K ustanoveniu nemáme pripomienky.</w:t>
      </w:r>
    </w:p>
    <w:p w14:paraId="437D83F1" w14:textId="77777777" w:rsidR="00EB1051" w:rsidRPr="00F2249F" w:rsidRDefault="00EB1051" w:rsidP="00EB1051">
      <w:pPr>
        <w:tabs>
          <w:tab w:val="left" w:pos="1786"/>
        </w:tabs>
        <w:jc w:val="both"/>
        <w:rPr>
          <w:b/>
        </w:rPr>
      </w:pPr>
    </w:p>
    <w:p w14:paraId="413BA000" w14:textId="77777777" w:rsidR="00EB1051" w:rsidRPr="00F2249F" w:rsidRDefault="00EB1051" w:rsidP="00EB1051">
      <w:pPr>
        <w:tabs>
          <w:tab w:val="left" w:pos="1786"/>
        </w:tabs>
        <w:jc w:val="both"/>
        <w:rPr>
          <w:b/>
          <w:u w:val="single"/>
        </w:rPr>
      </w:pPr>
      <w:r w:rsidRPr="00F2249F">
        <w:rPr>
          <w:b/>
          <w:u w:val="single"/>
        </w:rPr>
        <w:t>Článok 24 - Splnomocnenec pre elektronické podania</w:t>
      </w:r>
    </w:p>
    <w:p w14:paraId="2775E59C" w14:textId="77777777" w:rsidR="00EB1051" w:rsidRPr="00F2249F" w:rsidRDefault="00EB1051" w:rsidP="00EB1051">
      <w:pPr>
        <w:tabs>
          <w:tab w:val="left" w:pos="1786"/>
        </w:tabs>
        <w:jc w:val="both"/>
      </w:pPr>
      <w:r w:rsidRPr="00F2249F">
        <w:t>Stanovuje sa možnosť zastúpenia pri podpise dokumentov a podávaní návrhov prostredníctvom rozhrania. Splnomocnenie musí byť vo forme elektronickej plnej moci EÚ.</w:t>
      </w:r>
    </w:p>
    <w:p w14:paraId="70F661B1" w14:textId="77777777" w:rsidR="00EB1051" w:rsidRPr="00F2249F" w:rsidRDefault="00EB1051" w:rsidP="00EB1051">
      <w:pPr>
        <w:tabs>
          <w:tab w:val="left" w:pos="1786"/>
        </w:tabs>
        <w:jc w:val="both"/>
      </w:pPr>
    </w:p>
    <w:p w14:paraId="370EC334" w14:textId="77777777" w:rsidR="00EB1051" w:rsidRPr="00F2249F" w:rsidRDefault="00EB1051" w:rsidP="00EB1051">
      <w:pPr>
        <w:tabs>
          <w:tab w:val="left" w:pos="1786"/>
        </w:tabs>
        <w:jc w:val="both"/>
        <w:rPr>
          <w:i/>
        </w:rPr>
      </w:pPr>
      <w:r w:rsidRPr="00F2249F">
        <w:rPr>
          <w:b/>
          <w:u w:val="single"/>
        </w:rPr>
        <w:t>Pozícia SR:</w:t>
      </w:r>
      <w:r w:rsidRPr="00F2249F">
        <w:t xml:space="preserve"> </w:t>
      </w:r>
      <w:r w:rsidRPr="00F2249F">
        <w:rPr>
          <w:i/>
        </w:rPr>
        <w:t xml:space="preserve">K ustanoveniu nemáme pripomienky. V záujme právnej istoty považujeme za efektívne vyjasniť v texte návrhu, na aké dokumenty sa podpisovanie splnomocnencom vzťahuje. </w:t>
      </w:r>
    </w:p>
    <w:p w14:paraId="4C637E20" w14:textId="77777777" w:rsidR="00EB1051" w:rsidRPr="00F2249F" w:rsidRDefault="00EB1051" w:rsidP="00EB1051">
      <w:pPr>
        <w:tabs>
          <w:tab w:val="left" w:pos="1786"/>
        </w:tabs>
        <w:jc w:val="both"/>
      </w:pPr>
    </w:p>
    <w:p w14:paraId="1FEA8278" w14:textId="77777777" w:rsidR="00EB1051" w:rsidRPr="00F2249F" w:rsidRDefault="00EB1051" w:rsidP="00EB1051">
      <w:pPr>
        <w:tabs>
          <w:tab w:val="left" w:pos="1786"/>
        </w:tabs>
        <w:jc w:val="both"/>
      </w:pPr>
    </w:p>
    <w:p w14:paraId="029BFE34" w14:textId="77777777" w:rsidR="00EB1051" w:rsidRPr="00F2249F" w:rsidRDefault="00EB1051" w:rsidP="00EB1051">
      <w:pPr>
        <w:tabs>
          <w:tab w:val="left" w:pos="1786"/>
        </w:tabs>
        <w:jc w:val="center"/>
        <w:rPr>
          <w:b/>
        </w:rPr>
      </w:pPr>
      <w:r w:rsidRPr="00F2249F">
        <w:rPr>
          <w:b/>
        </w:rPr>
        <w:t xml:space="preserve">KAPITOLA III – Prístupnosť a cezhraničné využívanie informácií týkajúcich sa spoločnosti EU </w:t>
      </w:r>
      <w:proofErr w:type="spellStart"/>
      <w:r w:rsidRPr="00F2249F">
        <w:rPr>
          <w:b/>
        </w:rPr>
        <w:t>Inc</w:t>
      </w:r>
      <w:proofErr w:type="spellEnd"/>
      <w:r w:rsidRPr="00F2249F">
        <w:rPr>
          <w:b/>
        </w:rPr>
        <w:t>.</w:t>
      </w:r>
    </w:p>
    <w:p w14:paraId="3573C4BE" w14:textId="77777777" w:rsidR="00EB1051" w:rsidRPr="00F2249F" w:rsidRDefault="00EB1051" w:rsidP="00EB1051">
      <w:pPr>
        <w:tabs>
          <w:tab w:val="left" w:pos="1786"/>
        </w:tabs>
        <w:jc w:val="center"/>
        <w:rPr>
          <w:b/>
        </w:rPr>
      </w:pPr>
    </w:p>
    <w:p w14:paraId="354F7B2D" w14:textId="77777777" w:rsidR="00EB1051" w:rsidRPr="00F2249F" w:rsidRDefault="00EB1051" w:rsidP="00EB1051">
      <w:pPr>
        <w:tabs>
          <w:tab w:val="left" w:pos="1786"/>
        </w:tabs>
        <w:jc w:val="both"/>
        <w:rPr>
          <w:b/>
        </w:rPr>
      </w:pPr>
      <w:r w:rsidRPr="00F2249F">
        <w:rPr>
          <w:b/>
        </w:rPr>
        <w:t>Všeobecne o kapitole</w:t>
      </w:r>
    </w:p>
    <w:p w14:paraId="45354923" w14:textId="77777777" w:rsidR="00EB1051" w:rsidRPr="00F2249F" w:rsidRDefault="00EB1051" w:rsidP="00EB1051">
      <w:pPr>
        <w:tabs>
          <w:tab w:val="left" w:pos="1786"/>
        </w:tabs>
        <w:jc w:val="both"/>
      </w:pPr>
      <w:r w:rsidRPr="00F2249F">
        <w:t xml:space="preserve">Navrhuje sa harmonizovať dokumenty a informácie o EU </w:t>
      </w:r>
      <w:proofErr w:type="spellStart"/>
      <w:r w:rsidRPr="00F2249F">
        <w:t>Inc</w:t>
      </w:r>
      <w:proofErr w:type="spellEnd"/>
      <w:r w:rsidRPr="00F2249F">
        <w:t xml:space="preserve">. spoločnosti, pričom tieto údaje a dokumenty majú byť dostupné v obchodnom registri členského štátu registrácie, ako aj prostredníctvom systému prepojenia registrov BRIS. EU </w:t>
      </w:r>
      <w:proofErr w:type="spellStart"/>
      <w:r w:rsidRPr="00F2249F">
        <w:t>Inc</w:t>
      </w:r>
      <w:proofErr w:type="spellEnd"/>
      <w:r w:rsidRPr="00F2249F">
        <w:t xml:space="preserve">. má mať možnosť, tak ako aj iné obchodné spoločnosti, využívať osvedčenie spoločnosti EÚ, digitálnu plnú moc EÚ, či </w:t>
      </w:r>
      <w:proofErr w:type="spellStart"/>
      <w:r w:rsidRPr="00F2249F">
        <w:t>benefitovať</w:t>
      </w:r>
      <w:proofErr w:type="spellEnd"/>
      <w:r w:rsidRPr="00F2249F">
        <w:t xml:space="preserve"> zo zákazu vyžadovania vyššieho overenia listín či prekladov.  </w:t>
      </w:r>
    </w:p>
    <w:p w14:paraId="28438AC0" w14:textId="77777777" w:rsidR="00EB1051" w:rsidRPr="00F2249F" w:rsidRDefault="00EB1051" w:rsidP="00EB1051">
      <w:pPr>
        <w:tabs>
          <w:tab w:val="left" w:pos="1786"/>
        </w:tabs>
        <w:jc w:val="both"/>
        <w:rPr>
          <w:b/>
        </w:rPr>
      </w:pPr>
    </w:p>
    <w:p w14:paraId="422EA2B8" w14:textId="77777777" w:rsidR="00EB1051" w:rsidRPr="00F2249F" w:rsidRDefault="00EB1051" w:rsidP="00EB1051">
      <w:pPr>
        <w:tabs>
          <w:tab w:val="left" w:pos="1786"/>
        </w:tabs>
        <w:jc w:val="both"/>
        <w:rPr>
          <w:b/>
          <w:u w:val="single"/>
        </w:rPr>
      </w:pPr>
      <w:r w:rsidRPr="00F2249F">
        <w:rPr>
          <w:b/>
          <w:u w:val="single"/>
        </w:rPr>
        <w:t>Článok 25 - Dokumenty a údaje, ktoré sa majú sprístupniť v obchodnom registri</w:t>
      </w:r>
    </w:p>
    <w:p w14:paraId="122544D0" w14:textId="77777777" w:rsidR="00EB1051" w:rsidRPr="00F2249F" w:rsidRDefault="00EB1051" w:rsidP="00EB1051">
      <w:pPr>
        <w:tabs>
          <w:tab w:val="left" w:pos="1786"/>
        </w:tabs>
        <w:jc w:val="both"/>
      </w:pPr>
      <w:r w:rsidRPr="00F2249F">
        <w:t xml:space="preserve">Návrh definuje, ktoré informácie o spoločnosti a dokumenty musia byť zverejnené v súlade s článkom 27. V zásade ide o zapisované údaje o spoločnosti a o dokumenty, ktoré sa pri nej majú ukladať do zbierky dokumentov. </w:t>
      </w:r>
    </w:p>
    <w:p w14:paraId="3ACD9C7B" w14:textId="77777777" w:rsidR="00EB1051" w:rsidRPr="00F2249F" w:rsidRDefault="00EB1051" w:rsidP="00EB1051">
      <w:pPr>
        <w:tabs>
          <w:tab w:val="left" w:pos="1786"/>
        </w:tabs>
        <w:jc w:val="both"/>
      </w:pPr>
    </w:p>
    <w:p w14:paraId="7CF8E802" w14:textId="77777777" w:rsidR="00EB1051" w:rsidRPr="00F2249F" w:rsidRDefault="00EB1051" w:rsidP="00EB1051">
      <w:pPr>
        <w:tabs>
          <w:tab w:val="left" w:pos="1786"/>
        </w:tabs>
        <w:jc w:val="both"/>
      </w:pPr>
      <w:r w:rsidRPr="00F2249F">
        <w:rPr>
          <w:b/>
          <w:u w:val="single"/>
        </w:rPr>
        <w:t>Pozícia SR:</w:t>
      </w:r>
      <w:r w:rsidRPr="00F2249F">
        <w:t xml:space="preserve"> </w:t>
      </w:r>
      <w:r w:rsidRPr="00F2249F">
        <w:rPr>
          <w:i/>
        </w:rPr>
        <w:t>Slovenská republika nemá k ustanoveniu výhrady.</w:t>
      </w:r>
      <w:r w:rsidRPr="00F2249F">
        <w:t xml:space="preserve"> </w:t>
      </w:r>
    </w:p>
    <w:p w14:paraId="73E97FF2" w14:textId="77777777" w:rsidR="00EB1051" w:rsidRPr="00F2249F" w:rsidRDefault="00EB1051" w:rsidP="00EB1051">
      <w:pPr>
        <w:tabs>
          <w:tab w:val="left" w:pos="1786"/>
        </w:tabs>
        <w:jc w:val="both"/>
        <w:rPr>
          <w:b/>
        </w:rPr>
      </w:pPr>
    </w:p>
    <w:p w14:paraId="5FDE646B" w14:textId="77777777" w:rsidR="00EB1051" w:rsidRPr="00F2249F" w:rsidRDefault="00EB1051" w:rsidP="00EB1051">
      <w:pPr>
        <w:tabs>
          <w:tab w:val="left" w:pos="1786"/>
        </w:tabs>
        <w:jc w:val="both"/>
        <w:rPr>
          <w:b/>
          <w:u w:val="single"/>
        </w:rPr>
      </w:pPr>
      <w:r w:rsidRPr="00F2249F">
        <w:rPr>
          <w:b/>
          <w:u w:val="single"/>
        </w:rPr>
        <w:t>Článok 26 - Dokumenty a údaje, ktoré sa majú sprístupniť prostredníctvom systému BRIS</w:t>
      </w:r>
    </w:p>
    <w:p w14:paraId="71BF404C" w14:textId="77777777" w:rsidR="00EB1051" w:rsidRPr="00F2249F" w:rsidRDefault="00EB1051" w:rsidP="00EB1051">
      <w:pPr>
        <w:tabs>
          <w:tab w:val="left" w:pos="1786"/>
        </w:tabs>
        <w:jc w:val="both"/>
      </w:pPr>
      <w:r w:rsidRPr="00F2249F">
        <w:t xml:space="preserve">Obdobne ako v prípade smernice (EÚ) 2017/1132 v znení smernice (EÚ) 2025/25, návrh stanovuje výmenu informácií a dokumentov prostredníctvom systému BRIS pre registre bezodplatne, pričom sa stanovuje zoznam údajov a dokumentov, ktoré majú byť prostredníctvom systému BRIS poskytnuté verejnosti bezodplatne. </w:t>
      </w:r>
    </w:p>
    <w:p w14:paraId="5112A53C" w14:textId="77777777" w:rsidR="00EB1051" w:rsidRPr="00F2249F" w:rsidRDefault="00EB1051" w:rsidP="00EB1051">
      <w:pPr>
        <w:tabs>
          <w:tab w:val="left" w:pos="1786"/>
        </w:tabs>
        <w:jc w:val="both"/>
      </w:pPr>
    </w:p>
    <w:p w14:paraId="5359D1ED" w14:textId="0F174FB8" w:rsidR="00EB1051" w:rsidRPr="00F2249F" w:rsidRDefault="00D26E48" w:rsidP="00EB1051">
      <w:pPr>
        <w:tabs>
          <w:tab w:val="left" w:pos="1786"/>
        </w:tabs>
        <w:jc w:val="both"/>
      </w:pPr>
      <w:r w:rsidRPr="00F2249F">
        <w:rPr>
          <w:b/>
          <w:u w:val="single"/>
        </w:rPr>
        <w:t>Pozícia SR:</w:t>
      </w:r>
      <w:r w:rsidRPr="00D26E48">
        <w:t xml:space="preserve"> </w:t>
      </w:r>
      <w:r w:rsidRPr="00F2249F">
        <w:rPr>
          <w:i/>
        </w:rPr>
        <w:t>Slovenská republika nemá k ustanoveniu výhrady.</w:t>
      </w:r>
    </w:p>
    <w:p w14:paraId="37D756DA" w14:textId="77777777" w:rsidR="00EB1051" w:rsidRPr="00F2249F" w:rsidRDefault="00EB1051" w:rsidP="00EB1051">
      <w:pPr>
        <w:tabs>
          <w:tab w:val="left" w:pos="1786"/>
        </w:tabs>
        <w:jc w:val="both"/>
      </w:pPr>
    </w:p>
    <w:p w14:paraId="5B2BB64C" w14:textId="77777777" w:rsidR="00EB1051" w:rsidRPr="00F2249F" w:rsidRDefault="00EB1051" w:rsidP="00EB1051">
      <w:pPr>
        <w:tabs>
          <w:tab w:val="left" w:pos="1786"/>
        </w:tabs>
        <w:jc w:val="both"/>
        <w:rPr>
          <w:b/>
          <w:u w:val="single"/>
        </w:rPr>
      </w:pPr>
      <w:r w:rsidRPr="00F2249F">
        <w:rPr>
          <w:b/>
          <w:u w:val="single"/>
        </w:rPr>
        <w:t>Článok 27 - Podávanie a aktualizácia dokumentov a údajov v registri</w:t>
      </w:r>
    </w:p>
    <w:p w14:paraId="36FD57ED" w14:textId="77777777" w:rsidR="00EB1051" w:rsidRPr="00F2249F" w:rsidRDefault="00EB1051" w:rsidP="00EB1051">
      <w:pPr>
        <w:tabs>
          <w:tab w:val="left" w:pos="1786"/>
        </w:tabs>
        <w:jc w:val="both"/>
      </w:pPr>
      <w:r w:rsidRPr="00F2249F">
        <w:t>Návrhom nariadenia sa stanovuje, že</w:t>
      </w:r>
      <w:r w:rsidRPr="00F2249F">
        <w:rPr>
          <w:b/>
        </w:rPr>
        <w:t xml:space="preserve"> </w:t>
      </w:r>
      <w:r w:rsidRPr="00F2249F">
        <w:t xml:space="preserve">všetky dokumenty a informácie v zmysle čl. 25 ods. 1 a čl. 40 ods. 1 písm. a) návrhu sa podávajú cez centrálne rozhranie alebo prostredníctvom vnútroštátneho registra, pričom pre aktualizované registre sa použijú ustanovenie čl. 15 smernice (EÚ) 2017/1132. Odchylne sa upravuje povinnosť pri zmene spoločenskej zmluvy, kedy je potrebné predložiť zmeny registru do 5 dní od ich prijatia. Odkazom na čl. 15 smernice (EÚ) 2017/1132 sa stanovuje lehota pre súdy a iné orgány, ktoré by mali do 15 dní od vydania rozhodnutia informovať obchodný register o rozhodnutí, ktorým sa menia zapísané údaje o spoločnosti alebo o neplatnosti spoločnosti, pričom sa takto zavádza aj povinnosť registra vykonať tieto zmeny do 10 pracovných dní.  </w:t>
      </w:r>
    </w:p>
    <w:p w14:paraId="30230287" w14:textId="77777777" w:rsidR="00EB1051" w:rsidRPr="00F2249F" w:rsidRDefault="00EB1051" w:rsidP="00EB1051">
      <w:pPr>
        <w:tabs>
          <w:tab w:val="left" w:pos="1786"/>
        </w:tabs>
        <w:jc w:val="both"/>
      </w:pPr>
    </w:p>
    <w:p w14:paraId="4A24D04E" w14:textId="77777777" w:rsidR="00EB1051" w:rsidRPr="00F2249F" w:rsidRDefault="00EB1051" w:rsidP="00EB1051">
      <w:pPr>
        <w:tabs>
          <w:tab w:val="left" w:pos="1786"/>
        </w:tabs>
        <w:jc w:val="both"/>
        <w:rPr>
          <w:i/>
        </w:rPr>
      </w:pPr>
      <w:r w:rsidRPr="00F2249F">
        <w:rPr>
          <w:b/>
          <w:u w:val="single"/>
        </w:rPr>
        <w:t>Pozícia SR</w:t>
      </w:r>
      <w:r w:rsidRPr="00F2249F">
        <w:rPr>
          <w:b/>
        </w:rPr>
        <w:t>:</w:t>
      </w:r>
      <w:r w:rsidRPr="00F2249F">
        <w:t xml:space="preserve"> V</w:t>
      </w:r>
      <w:r w:rsidRPr="00F2249F">
        <w:rPr>
          <w:i/>
        </w:rPr>
        <w:t xml:space="preserve"> otázke podávania dokumentov a informácií o spoločnosti prostredníctvom EU rozhrania je pozícia skôr skeptická. Vnímame pridanú hodnotu registrácie prostredníctvom EU </w:t>
      </w:r>
      <w:r w:rsidRPr="00F2249F">
        <w:rPr>
          <w:i/>
        </w:rPr>
        <w:lastRenderedPageBreak/>
        <w:t xml:space="preserve">rozhrania a táto idea dáva v rozsahu cieľov návrhu zmysel. Vo vzťahu k podávaniu dokumentov a informácií je však návrh vágny a javí sa, akoby dôsledky, prípadne praktická stránka veci neboli brané v dostatočnej miere do úvahy. Návrhom sa nestanovuje žiadny jednotný formulár na podávanie, čo v prípade podávania návrhov na registráciu do slovenského obchodného registra, postaveného na formulárovom vstupe údajov, nie je ideálne. </w:t>
      </w:r>
    </w:p>
    <w:p w14:paraId="01582352" w14:textId="77777777" w:rsidR="00EB1051" w:rsidRPr="00F2249F" w:rsidRDefault="00EB1051" w:rsidP="00EB1051">
      <w:pPr>
        <w:tabs>
          <w:tab w:val="left" w:pos="1786"/>
        </w:tabs>
        <w:jc w:val="both"/>
        <w:rPr>
          <w:i/>
        </w:rPr>
      </w:pPr>
      <w:r w:rsidRPr="00F2249F">
        <w:rPr>
          <w:i/>
        </w:rPr>
        <w:t xml:space="preserve">Ak spoločnosť mení svoje údaje, do obchodného registra sa podáva návrh na zápis zmeny týchto údajov, ktorý sa preukazuje relevantnými dokladmi. Pre jednotlivé údaje ide o rôzne doklady a aj formulár sa môže líšiť vo vzťahu jednotlivým údajom. Preferencia pre podávanie návrhov zmien len prostredníctvom vnútroštátnych registrov môže byť vyvážená len takou dikciou ustanovenia, ktorá bude rešpektovať postupy nevyhnutné pre zápis zmeny vo vnútroštátnych registroch. </w:t>
      </w:r>
    </w:p>
    <w:p w14:paraId="2D4FB23E" w14:textId="77777777" w:rsidR="00EB1051" w:rsidRPr="00F2249F" w:rsidRDefault="00EB1051" w:rsidP="00EB1051">
      <w:pPr>
        <w:tabs>
          <w:tab w:val="left" w:pos="1786"/>
        </w:tabs>
        <w:jc w:val="both"/>
        <w:rPr>
          <w:i/>
        </w:rPr>
      </w:pPr>
      <w:r w:rsidRPr="00F2249F">
        <w:rPr>
          <w:i/>
        </w:rPr>
        <w:t xml:space="preserve">Vo vzťahu k ukladaniu účtovných dokumentov sa v Slovenskej republike aplikuje zásada </w:t>
      </w:r>
      <w:proofErr w:type="spellStart"/>
      <w:r w:rsidRPr="00F2249F">
        <w:rPr>
          <w:i/>
        </w:rPr>
        <w:t>once-only</w:t>
      </w:r>
      <w:proofErr w:type="spellEnd"/>
      <w:r w:rsidRPr="00F2249F">
        <w:rPr>
          <w:i/>
        </w:rPr>
        <w:t xml:space="preserve"> – po uložení dokumentu do registra účtovných závierok sa tento automaticky uloží do zbierky dokumentov v obchodnom registri. Uvedené považujeme za efektívny a vyvážený proces, ktorý by mal byť rešpektovaný aj v prípade podávania účtovných závierok EU </w:t>
      </w:r>
      <w:proofErr w:type="spellStart"/>
      <w:r w:rsidRPr="00F2249F">
        <w:rPr>
          <w:i/>
        </w:rPr>
        <w:t>Inc</w:t>
      </w:r>
      <w:proofErr w:type="spellEnd"/>
      <w:r w:rsidRPr="00F2249F">
        <w:rPr>
          <w:i/>
        </w:rPr>
        <w:t xml:space="preserve">. </w:t>
      </w:r>
    </w:p>
    <w:p w14:paraId="6575C9DE" w14:textId="77777777" w:rsidR="00EB1051" w:rsidRPr="00F2249F" w:rsidRDefault="00EB1051" w:rsidP="00EB1051">
      <w:pPr>
        <w:tabs>
          <w:tab w:val="left" w:pos="1786"/>
        </w:tabs>
        <w:jc w:val="both"/>
      </w:pPr>
    </w:p>
    <w:p w14:paraId="72CE2AB7" w14:textId="77777777" w:rsidR="00EB1051" w:rsidRPr="00F2249F" w:rsidRDefault="00EB1051" w:rsidP="00EB1051">
      <w:pPr>
        <w:tabs>
          <w:tab w:val="left" w:pos="1786"/>
        </w:tabs>
        <w:jc w:val="both"/>
        <w:rPr>
          <w:b/>
          <w:u w:val="single"/>
        </w:rPr>
      </w:pPr>
      <w:r w:rsidRPr="00F2249F">
        <w:rPr>
          <w:b/>
          <w:u w:val="single"/>
        </w:rPr>
        <w:t xml:space="preserve">Článok 28 - Zásada „jedenkrát a dosť“ v prípade údajov týkajúcich sa spoločnosti EU </w:t>
      </w:r>
      <w:proofErr w:type="spellStart"/>
      <w:r w:rsidRPr="00F2249F">
        <w:rPr>
          <w:b/>
          <w:u w:val="single"/>
        </w:rPr>
        <w:t>Inc</w:t>
      </w:r>
      <w:proofErr w:type="spellEnd"/>
      <w:r w:rsidRPr="00F2249F">
        <w:rPr>
          <w:b/>
          <w:u w:val="single"/>
        </w:rPr>
        <w:t xml:space="preserve">. počas jej životného cyklu </w:t>
      </w:r>
    </w:p>
    <w:p w14:paraId="6A49A790" w14:textId="77777777" w:rsidR="00EB1051" w:rsidRPr="00F2249F" w:rsidRDefault="00EB1051" w:rsidP="00EB1051">
      <w:pPr>
        <w:tabs>
          <w:tab w:val="left" w:pos="1786"/>
        </w:tabs>
        <w:jc w:val="both"/>
      </w:pPr>
      <w:r w:rsidRPr="00F2249F">
        <w:t xml:space="preserve">Navrhované ustanovenie definuje pravidlo “iba raz“ o údajoch obchodnej spoločnosti počas jej trvania. Údaje, ktoré sú dostupné v obchodnom registri alebo prostredníctvom BRIS by sa nemali od spoločností vyžadovať. </w:t>
      </w:r>
    </w:p>
    <w:p w14:paraId="26AE2D89" w14:textId="77777777" w:rsidR="00EB1051" w:rsidRPr="00F2249F" w:rsidRDefault="00EB1051" w:rsidP="00EB1051">
      <w:pPr>
        <w:tabs>
          <w:tab w:val="left" w:pos="1786"/>
        </w:tabs>
        <w:jc w:val="both"/>
      </w:pPr>
    </w:p>
    <w:p w14:paraId="03159BAB" w14:textId="77777777" w:rsidR="00EB1051" w:rsidRPr="00F2249F" w:rsidRDefault="00EB1051" w:rsidP="00EB1051">
      <w:pPr>
        <w:tabs>
          <w:tab w:val="left" w:pos="1786"/>
        </w:tabs>
        <w:jc w:val="both"/>
      </w:pPr>
      <w:r w:rsidRPr="00F2249F">
        <w:rPr>
          <w:b/>
          <w:u w:val="single"/>
        </w:rPr>
        <w:t>Pozícia SR:</w:t>
      </w:r>
      <w:r w:rsidRPr="00F2249F">
        <w:t xml:space="preserve"> </w:t>
      </w:r>
      <w:r w:rsidRPr="00F2249F">
        <w:rPr>
          <w:i/>
        </w:rPr>
        <w:t>K ustanoveniu nemáme pripomienky.</w:t>
      </w:r>
    </w:p>
    <w:p w14:paraId="6F0199C1" w14:textId="77777777" w:rsidR="00EB1051" w:rsidRPr="00F2249F" w:rsidRDefault="00EB1051" w:rsidP="00EB1051">
      <w:pPr>
        <w:tabs>
          <w:tab w:val="left" w:pos="1786"/>
        </w:tabs>
        <w:jc w:val="both"/>
        <w:rPr>
          <w:highlight w:val="red"/>
        </w:rPr>
      </w:pPr>
    </w:p>
    <w:p w14:paraId="2B746885" w14:textId="77777777" w:rsidR="00EB1051" w:rsidRPr="00F2249F" w:rsidRDefault="00EB1051" w:rsidP="00EB1051">
      <w:pPr>
        <w:tabs>
          <w:tab w:val="left" w:pos="1786"/>
        </w:tabs>
        <w:jc w:val="both"/>
        <w:rPr>
          <w:b/>
          <w:u w:val="single"/>
        </w:rPr>
      </w:pPr>
      <w:r w:rsidRPr="00F2249F">
        <w:rPr>
          <w:b/>
          <w:u w:val="single"/>
        </w:rPr>
        <w:t>Článok 29 - Povinnosť zverejniť identitu spoločností a pobočiek</w:t>
      </w:r>
    </w:p>
    <w:p w14:paraId="2BDA73FC" w14:textId="77777777" w:rsidR="00EB1051" w:rsidRPr="00F2249F" w:rsidRDefault="00EB1051" w:rsidP="00EB1051">
      <w:pPr>
        <w:tabs>
          <w:tab w:val="left" w:pos="1786"/>
        </w:tabs>
        <w:jc w:val="both"/>
      </w:pPr>
      <w:r w:rsidRPr="00F2249F">
        <w:t xml:space="preserve">Definuje sa, ktoré údaje o EU </w:t>
      </w:r>
      <w:proofErr w:type="spellStart"/>
      <w:r w:rsidRPr="00F2249F">
        <w:t>Inc</w:t>
      </w:r>
      <w:proofErr w:type="spellEnd"/>
      <w:r w:rsidRPr="00F2249F">
        <w:t xml:space="preserve">. musia byť použité v jej obchodnej komunikácii, či už papierovej alebo elektronickej. Oproti čl. 26 smernice (EÚ) 2017/1132 sú pridané údaje ako EUID, digitálna adresa či webové sídlo. Naopak, nie je obsiahnuté označenie registra, v ktorom je EU </w:t>
      </w:r>
      <w:proofErr w:type="spellStart"/>
      <w:r w:rsidRPr="00F2249F">
        <w:t>Inc</w:t>
      </w:r>
      <w:proofErr w:type="spellEnd"/>
      <w:r w:rsidRPr="00F2249F">
        <w:t xml:space="preserve">. registrovaná. </w:t>
      </w:r>
    </w:p>
    <w:p w14:paraId="76A050D4" w14:textId="77777777" w:rsidR="00EB1051" w:rsidRPr="00F2249F" w:rsidRDefault="00EB1051" w:rsidP="00EB1051">
      <w:pPr>
        <w:tabs>
          <w:tab w:val="left" w:pos="1786"/>
        </w:tabs>
        <w:jc w:val="both"/>
      </w:pPr>
    </w:p>
    <w:p w14:paraId="7F49BD63" w14:textId="1D5A69AF" w:rsidR="00EB1051" w:rsidRPr="00F2249F" w:rsidRDefault="00EB1051" w:rsidP="00EB1051">
      <w:pPr>
        <w:tabs>
          <w:tab w:val="left" w:pos="1786"/>
        </w:tabs>
        <w:jc w:val="both"/>
        <w:rPr>
          <w:b/>
        </w:rPr>
      </w:pPr>
      <w:r w:rsidRPr="00D26E48">
        <w:rPr>
          <w:b/>
          <w:u w:val="single"/>
        </w:rPr>
        <w:t>Pozícia SR</w:t>
      </w:r>
      <w:r w:rsidR="00D26E48">
        <w:rPr>
          <w:u w:val="single"/>
        </w:rPr>
        <w:t>:</w:t>
      </w:r>
      <w:r w:rsidR="00D26E48">
        <w:t xml:space="preserve"> </w:t>
      </w:r>
      <w:r w:rsidRPr="00F2249F">
        <w:rPr>
          <w:i/>
        </w:rPr>
        <w:t xml:space="preserve">K ustanoveniu nemáme pripomienky. </w:t>
      </w:r>
    </w:p>
    <w:p w14:paraId="4AF38037" w14:textId="77777777" w:rsidR="00EB1051" w:rsidRPr="00F2249F" w:rsidRDefault="00EB1051" w:rsidP="00EB1051">
      <w:pPr>
        <w:tabs>
          <w:tab w:val="left" w:pos="1786"/>
        </w:tabs>
        <w:jc w:val="both"/>
      </w:pPr>
    </w:p>
    <w:p w14:paraId="7A8AA48E" w14:textId="77777777" w:rsidR="00EB1051" w:rsidRPr="00F2249F" w:rsidRDefault="00EB1051" w:rsidP="00EB1051">
      <w:pPr>
        <w:tabs>
          <w:tab w:val="left" w:pos="1786"/>
        </w:tabs>
        <w:jc w:val="both"/>
        <w:rPr>
          <w:b/>
          <w:u w:val="single"/>
        </w:rPr>
      </w:pPr>
      <w:r w:rsidRPr="00F2249F">
        <w:rPr>
          <w:b/>
          <w:u w:val="single"/>
        </w:rPr>
        <w:t>Článok 30 - Osvedčenie spoločnosti EÚ</w:t>
      </w:r>
    </w:p>
    <w:p w14:paraId="33D7CEFA" w14:textId="00BE2822" w:rsidR="00EB1051" w:rsidRPr="00F2249F" w:rsidRDefault="00EB1051" w:rsidP="00EB1051">
      <w:pPr>
        <w:tabs>
          <w:tab w:val="left" w:pos="1786"/>
        </w:tabs>
        <w:jc w:val="both"/>
      </w:pPr>
      <w:r w:rsidRPr="00F2249F">
        <w:t>Svojou úpravou návrh nariadenia nadväzuje na úpravu osvedčenia spoločnosti EÚ v </w:t>
      </w:r>
      <w:r w:rsidRPr="00F2249F">
        <w:rPr>
          <w:i/>
        </w:rPr>
        <w:t>smernici Európskeho parlamentu a Rady (EÚ) 2025/25 z 19. decembra 2024, ktorou sa menia smernice 2009/102/ES a (EÚ) 2017/1132, pokiaľ ide o ďalšie rozšírenie a zdokonalenie využívania digitálnych nástrojov a postupov v oblasti práva obchodných spoločností (Ú. v. EÚ L, 2025/25, 10.1.2025</w:t>
      </w:r>
      <w:r w:rsidRPr="00F2249F">
        <w:t>) (ďalej len „</w:t>
      </w:r>
      <w:r w:rsidR="008C28DB" w:rsidRPr="00F2249F">
        <w:t xml:space="preserve">smernica </w:t>
      </w:r>
      <w:r w:rsidRPr="00F2249F">
        <w:t xml:space="preserve">(EÚ) 2025/25“). Táto úprava má byť pre osobné a kapitálové spoločnosti transponovaná do 31. júla 2027 a má sa uplatňovať od 31. júla 2028. Návrh nariadenia na osvedčenie EU </w:t>
      </w:r>
      <w:proofErr w:type="spellStart"/>
      <w:r w:rsidRPr="00F2249F">
        <w:t>Inc</w:t>
      </w:r>
      <w:proofErr w:type="spellEnd"/>
      <w:r w:rsidRPr="00F2249F">
        <w:t xml:space="preserve">. aplikuje všetky ustanovenia smernice (EÚ) 2025/25, okrem ustanovenia o viacjazyčnom vzore osvedčenia, ktoré sa pre osobné a kapitálové spoločnosti má zverejniť na Európskom portáli elektronickej justície. </w:t>
      </w:r>
    </w:p>
    <w:p w14:paraId="792C1C2B" w14:textId="77777777" w:rsidR="00EB1051" w:rsidRPr="00F2249F" w:rsidRDefault="00EB1051" w:rsidP="00EB1051">
      <w:pPr>
        <w:tabs>
          <w:tab w:val="left" w:pos="1786"/>
        </w:tabs>
        <w:jc w:val="both"/>
      </w:pPr>
    </w:p>
    <w:p w14:paraId="2C41852C" w14:textId="44769255" w:rsidR="00EB1051" w:rsidRDefault="00EB1051" w:rsidP="00EB1051">
      <w:pPr>
        <w:tabs>
          <w:tab w:val="left" w:pos="1786"/>
        </w:tabs>
        <w:jc w:val="both"/>
      </w:pPr>
      <w:r w:rsidRPr="00F2249F">
        <w:rPr>
          <w:b/>
          <w:u w:val="single"/>
        </w:rPr>
        <w:t>Pozícia SR:</w:t>
      </w:r>
      <w:r w:rsidRPr="00F2249F">
        <w:t xml:space="preserve"> </w:t>
      </w:r>
      <w:r w:rsidRPr="00F2249F">
        <w:rPr>
          <w:i/>
        </w:rPr>
        <w:t xml:space="preserve">Vítame, že sa v tejto otázke nadväzuje na už prijaté </w:t>
      </w:r>
      <w:proofErr w:type="spellStart"/>
      <w:r w:rsidRPr="00F2249F">
        <w:rPr>
          <w:i/>
        </w:rPr>
        <w:t>digitalizačné</w:t>
      </w:r>
      <w:proofErr w:type="spellEnd"/>
      <w:r w:rsidRPr="00F2249F">
        <w:rPr>
          <w:i/>
        </w:rPr>
        <w:t xml:space="preserve"> opatrenia. Slovenská republika by privítala, keby návrh obsahoval ustanovenia o viacjazyčnom vzore osvedčenia, ktoré sa pre osobné a kapitálové spoločnosti má zverejniť na Európskom portáli elektronickej justície v zmysle smernice (EÚ) 2025/25, čl. 16b ods. 8. Pri tomto dokumente vidíme jednoznačnú pridanú hodnotu viacjazyčného vzoru.</w:t>
      </w:r>
      <w:r w:rsidRPr="00F2249F">
        <w:t xml:space="preserve"> </w:t>
      </w:r>
    </w:p>
    <w:p w14:paraId="13D895EE" w14:textId="77777777" w:rsidR="00031EB4" w:rsidRPr="00F2249F" w:rsidRDefault="00031EB4" w:rsidP="00EB1051">
      <w:pPr>
        <w:tabs>
          <w:tab w:val="left" w:pos="1786"/>
        </w:tabs>
        <w:jc w:val="both"/>
        <w:rPr>
          <w:b/>
        </w:rPr>
      </w:pPr>
    </w:p>
    <w:p w14:paraId="689EC405" w14:textId="77777777" w:rsidR="00EB1051" w:rsidRPr="00F2249F" w:rsidRDefault="00EB1051" w:rsidP="00EB1051">
      <w:pPr>
        <w:tabs>
          <w:tab w:val="left" w:pos="1786"/>
        </w:tabs>
        <w:jc w:val="both"/>
      </w:pPr>
    </w:p>
    <w:p w14:paraId="2DD2E842" w14:textId="77777777" w:rsidR="00EB1051" w:rsidRPr="00F2249F" w:rsidRDefault="00EB1051" w:rsidP="00EB1051">
      <w:pPr>
        <w:tabs>
          <w:tab w:val="left" w:pos="1786"/>
        </w:tabs>
        <w:jc w:val="both"/>
        <w:rPr>
          <w:b/>
          <w:u w:val="single"/>
        </w:rPr>
      </w:pPr>
      <w:r w:rsidRPr="00F2249F">
        <w:rPr>
          <w:b/>
          <w:u w:val="single"/>
        </w:rPr>
        <w:lastRenderedPageBreak/>
        <w:t>Článok 31 - Digitálna plná moc EÚ</w:t>
      </w:r>
    </w:p>
    <w:p w14:paraId="0F24E9CC" w14:textId="77777777" w:rsidR="00EB1051" w:rsidRPr="00F2249F" w:rsidRDefault="00EB1051" w:rsidP="00EB1051">
      <w:pPr>
        <w:tabs>
          <w:tab w:val="left" w:pos="1786"/>
        </w:tabs>
        <w:jc w:val="both"/>
      </w:pPr>
      <w:r w:rsidRPr="00F2249F">
        <w:t xml:space="preserve">Návrh nariadenia umožňuje EU </w:t>
      </w:r>
      <w:proofErr w:type="spellStart"/>
      <w:r w:rsidRPr="00F2249F">
        <w:t>Inc</w:t>
      </w:r>
      <w:proofErr w:type="spellEnd"/>
      <w:r w:rsidRPr="00F2249F">
        <w:t xml:space="preserve">. využívanie Digitálnej plnej moci EÚ s cieľom preukazovania oprávnenia na zastúpenie. </w:t>
      </w:r>
    </w:p>
    <w:p w14:paraId="1629E4F8" w14:textId="77777777" w:rsidR="00EB1051" w:rsidRPr="00F2249F" w:rsidRDefault="00EB1051" w:rsidP="00EB1051">
      <w:pPr>
        <w:tabs>
          <w:tab w:val="left" w:pos="1786"/>
        </w:tabs>
        <w:jc w:val="both"/>
      </w:pPr>
    </w:p>
    <w:p w14:paraId="6041B7DD" w14:textId="77777777" w:rsidR="00EB1051" w:rsidRPr="00F2249F" w:rsidRDefault="00EB1051" w:rsidP="00EB1051">
      <w:pPr>
        <w:tabs>
          <w:tab w:val="left" w:pos="1786"/>
        </w:tabs>
        <w:jc w:val="both"/>
      </w:pPr>
      <w:r w:rsidRPr="00F2249F">
        <w:rPr>
          <w:b/>
          <w:u w:val="single"/>
        </w:rPr>
        <w:t>Pozícia SR:</w:t>
      </w:r>
      <w:r w:rsidRPr="00F2249F">
        <w:t xml:space="preserve"> </w:t>
      </w:r>
      <w:r w:rsidRPr="00F2249F">
        <w:rPr>
          <w:i/>
        </w:rPr>
        <w:t>K ustanoveniu nemáme pripomienky.</w:t>
      </w:r>
      <w:r w:rsidRPr="00F2249F">
        <w:t xml:space="preserve"> </w:t>
      </w:r>
    </w:p>
    <w:p w14:paraId="543774D9" w14:textId="77777777" w:rsidR="00EB1051" w:rsidRPr="00F2249F" w:rsidRDefault="00EB1051" w:rsidP="00EB1051">
      <w:pPr>
        <w:tabs>
          <w:tab w:val="left" w:pos="1786"/>
        </w:tabs>
        <w:jc w:val="both"/>
      </w:pPr>
      <w:r w:rsidRPr="00F2249F">
        <w:t xml:space="preserve">  </w:t>
      </w:r>
    </w:p>
    <w:p w14:paraId="6E8A8152" w14:textId="77777777" w:rsidR="00EB1051" w:rsidRPr="00F2249F" w:rsidRDefault="00EB1051" w:rsidP="00EB1051">
      <w:pPr>
        <w:tabs>
          <w:tab w:val="left" w:pos="1786"/>
        </w:tabs>
        <w:jc w:val="both"/>
        <w:rPr>
          <w:b/>
          <w:u w:val="single"/>
        </w:rPr>
      </w:pPr>
      <w:r w:rsidRPr="00F2249F">
        <w:rPr>
          <w:b/>
          <w:u w:val="single"/>
        </w:rPr>
        <w:t>Článok 32 - Oslobodenie od vyššieho overenia a akýchkoľvek podobných formálnych náležitostí a súvisiace záruky</w:t>
      </w:r>
    </w:p>
    <w:p w14:paraId="5290147C" w14:textId="77777777" w:rsidR="00EB1051" w:rsidRPr="00F2249F" w:rsidRDefault="00EB1051" w:rsidP="00EB1051">
      <w:pPr>
        <w:tabs>
          <w:tab w:val="left" w:pos="1786"/>
        </w:tabs>
        <w:jc w:val="both"/>
        <w:rPr>
          <w:b/>
        </w:rPr>
      </w:pPr>
      <w:r w:rsidRPr="00F2249F">
        <w:t>Návrh nariadenia definuje oslobodenie od vyššieho overenia a akýchkoľvek podobných formálnych náležitostí, pričom vychádza zo smernice (EÚ) 2025/25.</w:t>
      </w:r>
    </w:p>
    <w:p w14:paraId="7C6EAFE3" w14:textId="77777777" w:rsidR="00EB1051" w:rsidRPr="00F2249F" w:rsidRDefault="00EB1051" w:rsidP="00EB1051">
      <w:pPr>
        <w:tabs>
          <w:tab w:val="left" w:pos="1786"/>
        </w:tabs>
        <w:jc w:val="both"/>
        <w:rPr>
          <w:b/>
        </w:rPr>
      </w:pPr>
    </w:p>
    <w:p w14:paraId="3D5E854F" w14:textId="77777777" w:rsidR="00EB1051" w:rsidRPr="00F2249F" w:rsidRDefault="00EB1051" w:rsidP="00EB1051">
      <w:pPr>
        <w:tabs>
          <w:tab w:val="left" w:pos="1786"/>
        </w:tabs>
        <w:jc w:val="both"/>
        <w:rPr>
          <w:b/>
        </w:rPr>
      </w:pPr>
      <w:r w:rsidRPr="00F2249F">
        <w:rPr>
          <w:b/>
          <w:u w:val="single"/>
        </w:rPr>
        <w:t>Pozícia SR</w:t>
      </w:r>
      <w:r w:rsidRPr="00F2249F">
        <w:rPr>
          <w:u w:val="single"/>
        </w:rPr>
        <w:t>:</w:t>
      </w:r>
      <w:r w:rsidRPr="00D26E48">
        <w:rPr>
          <w:b/>
        </w:rPr>
        <w:t xml:space="preserve"> </w:t>
      </w:r>
      <w:r w:rsidRPr="00F2249F">
        <w:rPr>
          <w:i/>
        </w:rPr>
        <w:t>K ustanoveniu nemáme výhrady.</w:t>
      </w:r>
    </w:p>
    <w:p w14:paraId="6E2D0CA0" w14:textId="77777777" w:rsidR="00EB1051" w:rsidRPr="00F2249F" w:rsidRDefault="00EB1051" w:rsidP="00EB1051">
      <w:pPr>
        <w:tabs>
          <w:tab w:val="left" w:pos="1786"/>
        </w:tabs>
        <w:jc w:val="both"/>
      </w:pPr>
    </w:p>
    <w:p w14:paraId="514A49AA" w14:textId="77777777" w:rsidR="00EB1051" w:rsidRPr="00F2249F" w:rsidRDefault="00EB1051" w:rsidP="00EB1051">
      <w:pPr>
        <w:tabs>
          <w:tab w:val="left" w:pos="1786"/>
        </w:tabs>
        <w:jc w:val="both"/>
        <w:rPr>
          <w:b/>
          <w:u w:val="single"/>
        </w:rPr>
      </w:pPr>
      <w:r w:rsidRPr="00F2249F">
        <w:rPr>
          <w:b/>
          <w:u w:val="single"/>
        </w:rPr>
        <w:t>Článok 33 - Oslobodenie od povinnosti prekladu</w:t>
      </w:r>
    </w:p>
    <w:p w14:paraId="29F8DC32" w14:textId="4578DD6F" w:rsidR="00EB1051" w:rsidRPr="00F2249F" w:rsidRDefault="00EB1051" w:rsidP="00EB1051">
      <w:pPr>
        <w:tabs>
          <w:tab w:val="left" w:pos="1786"/>
        </w:tabs>
        <w:jc w:val="both"/>
      </w:pPr>
      <w:r w:rsidRPr="00F2249F">
        <w:t xml:space="preserve">Návrh nariadenia pokračuje v smere nastavenom smernicou (EÚ) 2025/25 s cieľom čo najnižšieho rozsahu vyžadovania prekladov dokumentov, ktoré sú vydané na viacjazyčných formulároch alebo vedia byť cez BRIS vysvetľujúce </w:t>
      </w:r>
      <w:r w:rsidR="008C28DB" w:rsidRPr="00F2249F">
        <w:t xml:space="preserve">označenia polí </w:t>
      </w:r>
      <w:r w:rsidRPr="00F2249F">
        <w:t xml:space="preserve">dostatočne identifikované. Zároveň sa umožňuje akceptácia strojových prekladov, uskutočnených nástrojom, ktorý schváli členský štát. </w:t>
      </w:r>
    </w:p>
    <w:p w14:paraId="4B24310C" w14:textId="77777777" w:rsidR="00EB1051" w:rsidRPr="00F2249F" w:rsidRDefault="00EB1051" w:rsidP="00EB1051">
      <w:pPr>
        <w:tabs>
          <w:tab w:val="left" w:pos="1786"/>
        </w:tabs>
        <w:jc w:val="both"/>
      </w:pPr>
    </w:p>
    <w:p w14:paraId="467A6CC1" w14:textId="77777777" w:rsidR="00EB1051" w:rsidRPr="00F2249F" w:rsidRDefault="00EB1051" w:rsidP="00EB1051">
      <w:pPr>
        <w:tabs>
          <w:tab w:val="left" w:pos="1786"/>
        </w:tabs>
        <w:jc w:val="both"/>
      </w:pPr>
      <w:r w:rsidRPr="00F2249F">
        <w:rPr>
          <w:b/>
          <w:u w:val="single"/>
        </w:rPr>
        <w:t>Pozícia SR:</w:t>
      </w:r>
      <w:r w:rsidRPr="00D26E48">
        <w:rPr>
          <w:b/>
        </w:rPr>
        <w:t xml:space="preserve"> </w:t>
      </w:r>
      <w:r w:rsidRPr="00F2249F">
        <w:rPr>
          <w:i/>
        </w:rPr>
        <w:t>K ustanoveniu nemáme pripomienky.</w:t>
      </w:r>
    </w:p>
    <w:p w14:paraId="61AB0852" w14:textId="77777777" w:rsidR="00EB1051" w:rsidRPr="00F2249F" w:rsidRDefault="00EB1051" w:rsidP="00EB1051">
      <w:pPr>
        <w:tabs>
          <w:tab w:val="left" w:pos="1786"/>
        </w:tabs>
        <w:jc w:val="both"/>
      </w:pPr>
    </w:p>
    <w:p w14:paraId="796B1451" w14:textId="77777777" w:rsidR="00EB1051" w:rsidRPr="00F2249F" w:rsidRDefault="00EB1051" w:rsidP="00EB1051">
      <w:pPr>
        <w:tabs>
          <w:tab w:val="left" w:pos="1786"/>
        </w:tabs>
        <w:jc w:val="both"/>
        <w:rPr>
          <w:b/>
          <w:highlight w:val="red"/>
          <w:u w:val="single"/>
        </w:rPr>
      </w:pPr>
      <w:r w:rsidRPr="00F2249F">
        <w:rPr>
          <w:b/>
          <w:u w:val="single"/>
        </w:rPr>
        <w:t>Článok 34 - Centrálny digitálny register</w:t>
      </w:r>
    </w:p>
    <w:p w14:paraId="1BF76229" w14:textId="77777777" w:rsidR="00EB1051" w:rsidRPr="00F2249F" w:rsidRDefault="00EB1051" w:rsidP="00EB1051">
      <w:pPr>
        <w:tabs>
          <w:tab w:val="left" w:pos="1786"/>
        </w:tabs>
        <w:jc w:val="both"/>
      </w:pPr>
      <w:r w:rsidRPr="00F2249F">
        <w:t xml:space="preserve">Stanovuje sa ďalší vývoj centrálneho rozhrania s cieľom vytvorenia centrálneho digitalizovaného registra pre EU </w:t>
      </w:r>
      <w:proofErr w:type="spellStart"/>
      <w:r w:rsidRPr="00F2249F">
        <w:t>Inc</w:t>
      </w:r>
      <w:proofErr w:type="spellEnd"/>
      <w:r w:rsidRPr="00F2249F">
        <w:t xml:space="preserve">. spoločnosti. Za týmto účelom EK vydá vykonávacie akty. </w:t>
      </w:r>
    </w:p>
    <w:p w14:paraId="7C7D86BF" w14:textId="77777777" w:rsidR="00EB1051" w:rsidRPr="00F2249F" w:rsidRDefault="00EB1051" w:rsidP="00EB1051">
      <w:pPr>
        <w:tabs>
          <w:tab w:val="left" w:pos="1786"/>
        </w:tabs>
        <w:jc w:val="both"/>
      </w:pPr>
    </w:p>
    <w:p w14:paraId="76A75501" w14:textId="076145BA" w:rsidR="00EB1051" w:rsidRPr="00F2249F" w:rsidRDefault="00EB1051" w:rsidP="00EB1051">
      <w:pPr>
        <w:tabs>
          <w:tab w:val="left" w:pos="1786"/>
        </w:tabs>
        <w:jc w:val="both"/>
      </w:pPr>
      <w:r w:rsidRPr="00F2249F">
        <w:rPr>
          <w:b/>
          <w:u w:val="single"/>
        </w:rPr>
        <w:t>Pozícia SR:</w:t>
      </w:r>
      <w:r w:rsidRPr="00D26E48">
        <w:t xml:space="preserve"> </w:t>
      </w:r>
      <w:r w:rsidRPr="00F2249F">
        <w:rPr>
          <w:i/>
        </w:rPr>
        <w:t xml:space="preserve">Slovenská republika vníma potrebu ďalších vysvetlení cieľov daného ustanovenia, bez ktorých zastávame rezervovanú pozíciu k danému ustanoveniu. Znenie ustanovenia ani sprievodné dokumenty nevyjasňujú, čo má byť </w:t>
      </w:r>
      <w:r w:rsidR="00E14F02" w:rsidRPr="00F2249F">
        <w:rPr>
          <w:i/>
        </w:rPr>
        <w:t>účelom</w:t>
      </w:r>
      <w:r w:rsidRPr="00F2249F">
        <w:rPr>
          <w:i/>
        </w:rPr>
        <w:t xml:space="preserve"> registra a nepovažujeme za vhodné do priamo aplikovateľného právneho aktu vložiť vágne ustanovenie bez zjavného cieľa.</w:t>
      </w:r>
      <w:r w:rsidRPr="00F2249F">
        <w:t xml:space="preserve"> </w:t>
      </w:r>
    </w:p>
    <w:p w14:paraId="0C74FEE1" w14:textId="77777777" w:rsidR="00EB1051" w:rsidRPr="00F2249F" w:rsidRDefault="00EB1051" w:rsidP="00EB1051">
      <w:pPr>
        <w:tabs>
          <w:tab w:val="left" w:pos="1786"/>
        </w:tabs>
        <w:jc w:val="both"/>
      </w:pPr>
    </w:p>
    <w:p w14:paraId="7F62A66C" w14:textId="77777777" w:rsidR="00EB1051" w:rsidRPr="00F2249F" w:rsidRDefault="00EB1051" w:rsidP="00EB1051">
      <w:pPr>
        <w:tabs>
          <w:tab w:val="left" w:pos="1786"/>
        </w:tabs>
        <w:jc w:val="both"/>
        <w:rPr>
          <w:b/>
          <w:highlight w:val="red"/>
          <w:u w:val="single"/>
        </w:rPr>
      </w:pPr>
      <w:r w:rsidRPr="00F2249F">
        <w:rPr>
          <w:b/>
          <w:u w:val="single"/>
        </w:rPr>
        <w:t>Článok 35 - Ustanovenia súvisiace so systémom BRIS</w:t>
      </w:r>
    </w:p>
    <w:p w14:paraId="06976F47" w14:textId="48D3BA26" w:rsidR="00EB1051" w:rsidRPr="00F2249F" w:rsidRDefault="00EB1051" w:rsidP="00EB1051">
      <w:pPr>
        <w:tabs>
          <w:tab w:val="left" w:pos="1786"/>
        </w:tabs>
        <w:jc w:val="both"/>
      </w:pPr>
      <w:r w:rsidRPr="00F2249F">
        <w:t xml:space="preserve">Návrh nariadenia stanovuje, že informácie a dokumenty o EU </w:t>
      </w:r>
      <w:proofErr w:type="spellStart"/>
      <w:r w:rsidRPr="00F2249F">
        <w:t>Inc</w:t>
      </w:r>
      <w:proofErr w:type="spellEnd"/>
      <w:r w:rsidRPr="00F2249F">
        <w:t xml:space="preserve">. v zmysle čl. 25 a informácie a dokumenty o organizačných zložkách v zmysle čl. 40 majú byť dostupné prostredníctvom systému BRIS, pričom bude využitá služba vyhľadávania spoločností zapísaných do registra v členských štátoch vo všetkých úradných jazykoch Únie, sprístupnená prostredníctvom Európskeho portálu elektronickej justície v zmysle smernice (EÚ) 2017/1132. </w:t>
      </w:r>
      <w:r w:rsidR="008C28DB" w:rsidRPr="00F2249F">
        <w:t>Z</w:t>
      </w:r>
      <w:r w:rsidRPr="00F2249F">
        <w:t xml:space="preserve">a týmto účelom bude upravené </w:t>
      </w:r>
      <w:r w:rsidRPr="00F2249F">
        <w:rPr>
          <w:i/>
        </w:rPr>
        <w:t>Vykonávacie nariadenie Komisie (EÚ) 2021/1042 z 18. júna 2021, ktorým sa stanovujú pravidlá uplatňovania smernice Európskeho parlamentu a Rady (EÚ) 2017/1132, pokiaľ ide o technické špecifikácie a postupy pre systém prepojenia registrov, a ktorým sa zrušuje vykonávacie nariadenie Komisie (EÚ) 2020/2244 (Ú. v. EÚ L 225, 25.6.2021).</w:t>
      </w:r>
      <w:r w:rsidRPr="00F2249F">
        <w:t xml:space="preserve"> Rovnako má EK prijať vykonávacie akty v zmysle relevantných ustanovení návrhu, a to do 9 mesiacov po nadobudnutí účinnosti nariadenia.</w:t>
      </w:r>
    </w:p>
    <w:p w14:paraId="7A94BBF3" w14:textId="77777777" w:rsidR="00EB1051" w:rsidRPr="00F2249F" w:rsidRDefault="00EB1051" w:rsidP="00EB1051">
      <w:pPr>
        <w:tabs>
          <w:tab w:val="left" w:pos="1786"/>
        </w:tabs>
        <w:jc w:val="both"/>
      </w:pPr>
    </w:p>
    <w:p w14:paraId="36FB4C38" w14:textId="76918EEB" w:rsidR="00EB1051" w:rsidRPr="00F2249F" w:rsidRDefault="00EB1051" w:rsidP="00EB1051">
      <w:pPr>
        <w:tabs>
          <w:tab w:val="left" w:pos="1786"/>
        </w:tabs>
        <w:jc w:val="both"/>
        <w:rPr>
          <w:i/>
        </w:rPr>
      </w:pPr>
      <w:r w:rsidRPr="00F2249F">
        <w:rPr>
          <w:b/>
          <w:u w:val="single"/>
        </w:rPr>
        <w:t>Pozícia SR:</w:t>
      </w:r>
      <w:r w:rsidRPr="00F2249F">
        <w:t xml:space="preserve"> </w:t>
      </w:r>
      <w:r w:rsidRPr="00F2249F">
        <w:rPr>
          <w:i/>
        </w:rPr>
        <w:t xml:space="preserve">Slovenská republika podporuje využívanie existujúceho prepojenia registrov BRIS a jeho nadstavbu. Považujeme za zásadné, aby Európska komisia vyvíjala v čo možno najväčšej miere technické riešenia pre členské štáty tak, aby bola zabezpečená ich jednotná aplikácia a bola znížená záťaž kladená na rozpočty členských štátov. Považujeme rovnako za zásadné, aby členské štáty mali zabezpečený dostatočný časový rámec na implementáciu nariadenia ako </w:t>
      </w:r>
      <w:r w:rsidRPr="00F2249F">
        <w:rPr>
          <w:i/>
        </w:rPr>
        <w:lastRenderedPageBreak/>
        <w:t xml:space="preserve">aj technických riešení. Len zabezpečenie fungujúceho systému v čase nadobudnutia účinnosti návrhu nariadenia </w:t>
      </w:r>
      <w:r w:rsidR="008C28DB" w:rsidRPr="00F2249F">
        <w:rPr>
          <w:i/>
        </w:rPr>
        <w:t>umožní dosiahnuť</w:t>
      </w:r>
      <w:r w:rsidRPr="00F2249F">
        <w:rPr>
          <w:i/>
        </w:rPr>
        <w:t xml:space="preserve"> cieľ</w:t>
      </w:r>
      <w:r w:rsidR="008C28DB" w:rsidRPr="00F2249F">
        <w:rPr>
          <w:i/>
        </w:rPr>
        <w:t>, ktorý návrh sleduje</w:t>
      </w:r>
      <w:r w:rsidRPr="00F2249F">
        <w:rPr>
          <w:i/>
        </w:rPr>
        <w:t>.</w:t>
      </w:r>
    </w:p>
    <w:p w14:paraId="7D59268A" w14:textId="77777777" w:rsidR="00EB1051" w:rsidRPr="00F2249F" w:rsidRDefault="00EB1051" w:rsidP="00EB1051">
      <w:pPr>
        <w:tabs>
          <w:tab w:val="left" w:pos="1786"/>
        </w:tabs>
        <w:jc w:val="both"/>
        <w:rPr>
          <w:b/>
        </w:rPr>
      </w:pPr>
    </w:p>
    <w:p w14:paraId="602872E4" w14:textId="77777777" w:rsidR="00EB1051" w:rsidRPr="00F2249F" w:rsidRDefault="00EB1051" w:rsidP="00EB1051">
      <w:pPr>
        <w:tabs>
          <w:tab w:val="left" w:pos="1786"/>
        </w:tabs>
        <w:jc w:val="center"/>
        <w:rPr>
          <w:b/>
        </w:rPr>
      </w:pPr>
      <w:r w:rsidRPr="00F2249F">
        <w:rPr>
          <w:b/>
        </w:rPr>
        <w:t>Kapitola IV – Cezhraničné pobočky</w:t>
      </w:r>
    </w:p>
    <w:p w14:paraId="0ACC914A" w14:textId="77777777" w:rsidR="00EB1051" w:rsidRPr="00F2249F" w:rsidRDefault="00EB1051" w:rsidP="00EB1051">
      <w:pPr>
        <w:tabs>
          <w:tab w:val="left" w:pos="1786"/>
        </w:tabs>
        <w:jc w:val="both"/>
        <w:rPr>
          <w:b/>
        </w:rPr>
      </w:pPr>
    </w:p>
    <w:p w14:paraId="64EE6C0B"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rPr>
          <w:b/>
        </w:rPr>
      </w:pPr>
      <w:r w:rsidRPr="00F2249F">
        <w:rPr>
          <w:b/>
        </w:rPr>
        <w:t>Všeobecne o kapitole:</w:t>
      </w:r>
    </w:p>
    <w:p w14:paraId="29B3C9A0"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pPr>
      <w:r w:rsidRPr="00F2249F">
        <w:t xml:space="preserve">Kapitola obsahuje pravidlá o zriaďovaní pobočiek EU </w:t>
      </w:r>
      <w:proofErr w:type="spellStart"/>
      <w:r w:rsidRPr="00F2249F">
        <w:t>Inc</w:t>
      </w:r>
      <w:proofErr w:type="spellEnd"/>
      <w:r w:rsidRPr="00F2249F">
        <w:t>. v iných členských štátoch. Ustanovenia kapitoly do značnej miery vychádzajú z už existujúcej úpravy smernice (EÚ) 2017/1132, kde sa zriaďovanie pobočiek a posielania informácií o pobočkách a ich zriaďovateľoch prostredníctvom systému BRIS stalo prakticky využívaným spôsobom cezhraničného pôsobenia spoločností a EÚ.</w:t>
      </w:r>
    </w:p>
    <w:p w14:paraId="714ABA9E" w14:textId="77777777" w:rsidR="00EB1051" w:rsidRPr="00F2249F" w:rsidRDefault="00EB1051" w:rsidP="00EB1051">
      <w:pPr>
        <w:tabs>
          <w:tab w:val="left" w:pos="1786"/>
        </w:tabs>
        <w:jc w:val="both"/>
        <w:rPr>
          <w:b/>
        </w:rPr>
      </w:pPr>
    </w:p>
    <w:p w14:paraId="5AE621C7" w14:textId="77777777" w:rsidR="00EB1051" w:rsidRPr="00F2249F" w:rsidRDefault="00EB1051" w:rsidP="00EB1051">
      <w:pPr>
        <w:tabs>
          <w:tab w:val="left" w:pos="1786"/>
        </w:tabs>
        <w:jc w:val="both"/>
        <w:rPr>
          <w:b/>
          <w:u w:val="single"/>
        </w:rPr>
      </w:pPr>
      <w:r w:rsidRPr="00F2249F">
        <w:rPr>
          <w:b/>
          <w:u w:val="single"/>
        </w:rPr>
        <w:t>Článok 36 – Všeobecné zásady</w:t>
      </w:r>
    </w:p>
    <w:p w14:paraId="49AABC2A" w14:textId="77777777" w:rsidR="00EB1051" w:rsidRPr="00F2249F" w:rsidRDefault="00EB1051" w:rsidP="00EB1051">
      <w:pPr>
        <w:tabs>
          <w:tab w:val="left" w:pos="1786"/>
        </w:tabs>
        <w:jc w:val="both"/>
      </w:pPr>
      <w:r w:rsidRPr="00F2249F">
        <w:t xml:space="preserve">Stanovuje sa, že EU </w:t>
      </w:r>
      <w:proofErr w:type="spellStart"/>
      <w:r w:rsidRPr="00F2249F">
        <w:t>Inc</w:t>
      </w:r>
      <w:proofErr w:type="spellEnd"/>
      <w:r w:rsidRPr="00F2249F">
        <w:t>. môže zriadiť pobočku v inom členskom štáte, pričom táto má byť zapísaná v obchodnom registri štátu, v ktorom je zriadená.</w:t>
      </w:r>
    </w:p>
    <w:p w14:paraId="36016E2D" w14:textId="77777777" w:rsidR="00EB1051" w:rsidRPr="00F2249F" w:rsidRDefault="00EB1051" w:rsidP="00EB1051">
      <w:pPr>
        <w:tabs>
          <w:tab w:val="left" w:pos="1786"/>
        </w:tabs>
        <w:jc w:val="both"/>
      </w:pPr>
    </w:p>
    <w:p w14:paraId="6FEC82CC" w14:textId="77777777" w:rsidR="00EB1051" w:rsidRPr="00F2249F" w:rsidRDefault="00EB1051" w:rsidP="00EB1051">
      <w:pPr>
        <w:tabs>
          <w:tab w:val="left" w:pos="1786"/>
        </w:tabs>
        <w:jc w:val="both"/>
      </w:pPr>
      <w:r w:rsidRPr="00F2249F">
        <w:rPr>
          <w:b/>
          <w:u w:val="single"/>
        </w:rPr>
        <w:t>Pozícia SR:</w:t>
      </w:r>
      <w:r w:rsidRPr="00F2249F">
        <w:t xml:space="preserve"> </w:t>
      </w:r>
      <w:r w:rsidRPr="00F2249F">
        <w:rPr>
          <w:i/>
        </w:rPr>
        <w:t xml:space="preserve">Slovenská republika považuje za logickú možnosť EU </w:t>
      </w:r>
      <w:proofErr w:type="spellStart"/>
      <w:r w:rsidRPr="00F2249F">
        <w:rPr>
          <w:i/>
        </w:rPr>
        <w:t>Inc</w:t>
      </w:r>
      <w:proofErr w:type="spellEnd"/>
      <w:r w:rsidRPr="00F2249F">
        <w:rPr>
          <w:i/>
        </w:rPr>
        <w:t>. zriaďovať takéto pobočky, ak ostatné vnútroštátne právne formy túto možnosť majú. Je možné pozitívne hodnotiť nadväzovanie na už vybudovanú infraštruktúru systému BRIS.</w:t>
      </w:r>
    </w:p>
    <w:p w14:paraId="5F62ACC4" w14:textId="77777777" w:rsidR="00EB1051" w:rsidRPr="00F2249F" w:rsidRDefault="00EB1051" w:rsidP="00EB1051">
      <w:pPr>
        <w:tabs>
          <w:tab w:val="left" w:pos="1786"/>
        </w:tabs>
        <w:jc w:val="both"/>
      </w:pPr>
    </w:p>
    <w:p w14:paraId="678AC154" w14:textId="77777777" w:rsidR="00EB1051" w:rsidRPr="00F2249F" w:rsidRDefault="00EB1051" w:rsidP="00EB1051">
      <w:pPr>
        <w:tabs>
          <w:tab w:val="left" w:pos="1786"/>
        </w:tabs>
        <w:jc w:val="both"/>
        <w:rPr>
          <w:b/>
          <w:u w:val="single"/>
        </w:rPr>
      </w:pPr>
      <w:r w:rsidRPr="00F2249F">
        <w:rPr>
          <w:b/>
          <w:u w:val="single"/>
        </w:rPr>
        <w:t>Článok 37 – Zápis pobočky do registra</w:t>
      </w:r>
    </w:p>
    <w:p w14:paraId="5127A375" w14:textId="77777777" w:rsidR="00EB1051" w:rsidRPr="00F2249F" w:rsidRDefault="00EB1051" w:rsidP="00EB1051">
      <w:pPr>
        <w:jc w:val="both"/>
      </w:pPr>
      <w:r w:rsidRPr="00F2249F">
        <w:t xml:space="preserve">Ustanovenie zakladá možnosť registrácie pobočky v inom členskom štáte, pričom na takúto registráciu má byť využité centrálne rozhranie, a to za podmienok </w:t>
      </w:r>
    </w:p>
    <w:p w14:paraId="78B6A793" w14:textId="77777777" w:rsidR="00EB1051" w:rsidRPr="00F2249F" w:rsidRDefault="00EB1051" w:rsidP="00EB1051">
      <w:pPr>
        <w:ind w:firstLine="708"/>
        <w:jc w:val="both"/>
      </w:pPr>
      <w:r w:rsidRPr="00F2249F">
        <w:t>- použitia formulára v zmysle čl. 38,</w:t>
      </w:r>
    </w:p>
    <w:p w14:paraId="1247BE12" w14:textId="77777777" w:rsidR="00EB1051" w:rsidRPr="00F2249F" w:rsidRDefault="00EB1051" w:rsidP="00EB1051">
      <w:pPr>
        <w:ind w:firstLine="708"/>
        <w:jc w:val="both"/>
      </w:pPr>
      <w:r w:rsidRPr="00F2249F">
        <w:t>- neprekročenia registračnej lehoty 48 hodín,</w:t>
      </w:r>
    </w:p>
    <w:p w14:paraId="65538231" w14:textId="77777777" w:rsidR="00EB1051" w:rsidRPr="00F2249F" w:rsidRDefault="00EB1051" w:rsidP="00EB1051">
      <w:pPr>
        <w:ind w:firstLine="708"/>
        <w:jc w:val="both"/>
      </w:pPr>
      <w:r w:rsidRPr="00F2249F">
        <w:t>- neprekročenia sumy za registráciu vo výške 100 EUR.</w:t>
      </w:r>
    </w:p>
    <w:p w14:paraId="4FB680D8" w14:textId="77777777" w:rsidR="00EB1051" w:rsidRPr="00F2249F" w:rsidRDefault="00EB1051" w:rsidP="00EB1051">
      <w:pPr>
        <w:jc w:val="both"/>
      </w:pPr>
    </w:p>
    <w:p w14:paraId="2779BFA7" w14:textId="77777777" w:rsidR="00EB1051" w:rsidRPr="00F2249F" w:rsidRDefault="00EB1051" w:rsidP="00EB1051">
      <w:pPr>
        <w:jc w:val="both"/>
      </w:pPr>
      <w:r w:rsidRPr="00F2249F">
        <w:t>Pobočku má byť umožnené registrovať aj prostredníctvom obchodného registra daného členského štátu za podmienok</w:t>
      </w:r>
    </w:p>
    <w:p w14:paraId="04BA33B3" w14:textId="77777777" w:rsidR="00EB1051" w:rsidRPr="00F2249F" w:rsidRDefault="00EB1051" w:rsidP="00EB1051">
      <w:pPr>
        <w:ind w:firstLine="708"/>
        <w:jc w:val="both"/>
      </w:pPr>
      <w:r w:rsidRPr="00F2249F">
        <w:t>- použitia formulára v zmysle č. 38,</w:t>
      </w:r>
    </w:p>
    <w:p w14:paraId="765E1F2F" w14:textId="77777777" w:rsidR="00EB1051" w:rsidRPr="00F2249F" w:rsidRDefault="00EB1051" w:rsidP="00EB1051">
      <w:pPr>
        <w:ind w:firstLine="708"/>
        <w:jc w:val="both"/>
      </w:pPr>
      <w:r w:rsidRPr="00F2249F">
        <w:t>- pôjde o úplne online procedúru,</w:t>
      </w:r>
    </w:p>
    <w:p w14:paraId="13DF4104" w14:textId="77777777" w:rsidR="00EB1051" w:rsidRPr="00F2249F" w:rsidRDefault="00EB1051" w:rsidP="00EB1051">
      <w:pPr>
        <w:ind w:firstLine="708"/>
        <w:jc w:val="both"/>
      </w:pPr>
      <w:r w:rsidRPr="00F2249F">
        <w:t>- v lehote 10 pracovných dní v súlade s čl. 28a ods. 6 smernice (EÚ) 2017/1132</w:t>
      </w:r>
    </w:p>
    <w:p w14:paraId="76CE0281" w14:textId="77777777" w:rsidR="00EB1051" w:rsidRPr="00F2249F" w:rsidRDefault="00EB1051" w:rsidP="00EB1051">
      <w:pPr>
        <w:ind w:firstLine="708"/>
        <w:jc w:val="both"/>
      </w:pPr>
    </w:p>
    <w:p w14:paraId="5842F6B6" w14:textId="77777777" w:rsidR="00EB1051" w:rsidRPr="00F2249F" w:rsidRDefault="00EB1051" w:rsidP="00EB1051">
      <w:pPr>
        <w:jc w:val="both"/>
      </w:pPr>
      <w:r w:rsidRPr="00F2249F">
        <w:t xml:space="preserve">Návrh predpokladá aj automatický zápis vytvorenej pobočky do registra zriaďovateľa - EU </w:t>
      </w:r>
      <w:proofErr w:type="spellStart"/>
      <w:r w:rsidRPr="00F2249F">
        <w:t>Inc</w:t>
      </w:r>
      <w:proofErr w:type="spellEnd"/>
      <w:r w:rsidRPr="00F2249F">
        <w:t>. spoločnosti tak, ako to v súčasnosti predpokladá čl. 28a ods. 7 smernice (EÚ) 2017/1132.</w:t>
      </w:r>
    </w:p>
    <w:p w14:paraId="1BFF9B08" w14:textId="77777777" w:rsidR="00EB1051" w:rsidRPr="00F2249F" w:rsidRDefault="00EB1051" w:rsidP="00EB1051">
      <w:pPr>
        <w:tabs>
          <w:tab w:val="left" w:pos="1786"/>
        </w:tabs>
        <w:jc w:val="both"/>
      </w:pPr>
    </w:p>
    <w:p w14:paraId="37EB3F80" w14:textId="77777777" w:rsidR="00EB1051" w:rsidRPr="00F2249F" w:rsidRDefault="00EB1051" w:rsidP="00EB1051">
      <w:pPr>
        <w:tabs>
          <w:tab w:val="left" w:pos="1786"/>
        </w:tabs>
        <w:jc w:val="both"/>
        <w:rPr>
          <w:i/>
        </w:rPr>
      </w:pPr>
      <w:r w:rsidRPr="00F2249F">
        <w:rPr>
          <w:b/>
          <w:u w:val="single"/>
        </w:rPr>
        <w:t>Pozícia SR:</w:t>
      </w:r>
      <w:r w:rsidRPr="00F2249F">
        <w:t xml:space="preserve"> </w:t>
      </w:r>
      <w:r w:rsidRPr="00F2249F">
        <w:rPr>
          <w:i/>
        </w:rPr>
        <w:t xml:space="preserve">Pre čl. 37 platí pozícia k čl. 16 až 18 návrhu. </w:t>
      </w:r>
    </w:p>
    <w:p w14:paraId="56EFD0D0" w14:textId="77777777" w:rsidR="00EB1051" w:rsidRPr="00F2249F" w:rsidRDefault="00EB1051" w:rsidP="00EB1051">
      <w:pPr>
        <w:tabs>
          <w:tab w:val="left" w:pos="1786"/>
        </w:tabs>
        <w:jc w:val="both"/>
      </w:pPr>
    </w:p>
    <w:p w14:paraId="492AA80F" w14:textId="77777777" w:rsidR="00EB1051" w:rsidRPr="00F2249F" w:rsidRDefault="00EB1051" w:rsidP="00EB1051">
      <w:pPr>
        <w:tabs>
          <w:tab w:val="left" w:pos="1786"/>
        </w:tabs>
        <w:jc w:val="both"/>
        <w:rPr>
          <w:b/>
          <w:u w:val="single"/>
        </w:rPr>
      </w:pPr>
      <w:r w:rsidRPr="00F2249F">
        <w:rPr>
          <w:b/>
          <w:u w:val="single"/>
        </w:rPr>
        <w:t>Článok 38 – Formulár žiadosti na účely zápisu pobočky do registra</w:t>
      </w:r>
    </w:p>
    <w:p w14:paraId="047E21E4" w14:textId="4924D7C3" w:rsidR="00EB1051" w:rsidRPr="00F2249F" w:rsidRDefault="00EB1051" w:rsidP="00EB1051">
      <w:pPr>
        <w:pStyle w:val="Pta"/>
        <w:tabs>
          <w:tab w:val="clear" w:pos="4536"/>
          <w:tab w:val="clear" w:pos="9072"/>
        </w:tabs>
        <w:overflowPunct w:val="0"/>
        <w:autoSpaceDE w:val="0"/>
        <w:autoSpaceDN w:val="0"/>
        <w:adjustRightInd w:val="0"/>
        <w:spacing w:after="240"/>
        <w:jc w:val="both"/>
        <w:textAlignment w:val="baseline"/>
      </w:pPr>
      <w:r w:rsidRPr="00F2249F">
        <w:t xml:space="preserve">Upravuje sa formulár žiadosti na účely registrácie pobočky do registra a pravidlá jeho použitia. Formulár má byť stanovený vykonávacím nariadením EK, má byť viacjazyčný, len elektronický a štruktúrovaný. Pri podaní cez centrálnu platformu alebo cez register ho má podpísať </w:t>
      </w:r>
      <w:r w:rsidR="00137FD0" w:rsidRPr="00F2249F">
        <w:t xml:space="preserve">člen správnej rady </w:t>
      </w:r>
      <w:r w:rsidRPr="00F2249F">
        <w:t xml:space="preserve">EU </w:t>
      </w:r>
      <w:proofErr w:type="spellStart"/>
      <w:r w:rsidRPr="00F2249F">
        <w:t>Inc</w:t>
      </w:r>
      <w:proofErr w:type="spellEnd"/>
      <w:r w:rsidRPr="00F2249F">
        <w:t xml:space="preserve">., pričom sa nemajú vyžadovať pre registráciu žiadne údaje, ktoré sú dostupné cez BRIS. Odsek 3 stanovuje povinnú výmenu informácií s daňovými orgánmi po registrácii pobočky. </w:t>
      </w:r>
    </w:p>
    <w:p w14:paraId="75E6E484" w14:textId="290C0A22" w:rsidR="00EB1051" w:rsidRPr="00F2249F" w:rsidRDefault="00EB1051" w:rsidP="00EB1051">
      <w:pPr>
        <w:tabs>
          <w:tab w:val="left" w:pos="1786"/>
        </w:tabs>
        <w:jc w:val="both"/>
        <w:rPr>
          <w:i/>
        </w:rPr>
      </w:pPr>
      <w:r w:rsidRPr="00F2249F">
        <w:rPr>
          <w:b/>
          <w:u w:val="single"/>
        </w:rPr>
        <w:t>Pozícia SR</w:t>
      </w:r>
      <w:r w:rsidRPr="00F2249F">
        <w:rPr>
          <w:b/>
        </w:rPr>
        <w:t>:</w:t>
      </w:r>
      <w:r w:rsidRPr="00F2249F">
        <w:t xml:space="preserve"> </w:t>
      </w:r>
      <w:r w:rsidRPr="00F2249F">
        <w:rPr>
          <w:i/>
        </w:rPr>
        <w:t xml:space="preserve">Slovenská republika dlhodobo podporuje digitalizáciu obchodného registra a založenie prostredníctvom formulárov je jeho integrálnou súčasťou. Návrhy na registráciu, podávané do obchodného registra vo forme formulára zabezpečujú efektívny spôsob zápisu údajov do obchodného registra a podporujú kvalitu údajov zapísaných do obchodného registra. </w:t>
      </w:r>
      <w:r w:rsidRPr="00F2249F">
        <w:rPr>
          <w:i/>
        </w:rPr>
        <w:lastRenderedPageBreak/>
        <w:t>Podporujeme vytvorenie harmonizovaného</w:t>
      </w:r>
      <w:r w:rsidR="00A94973" w:rsidRPr="00F2249F">
        <w:rPr>
          <w:i/>
        </w:rPr>
        <w:t>, štruktúrovaného a strojovo čitateľného</w:t>
      </w:r>
      <w:r w:rsidRPr="00F2249F">
        <w:rPr>
          <w:i/>
        </w:rPr>
        <w:t xml:space="preserve"> formulára na registráciu pobočky EU </w:t>
      </w:r>
      <w:proofErr w:type="spellStart"/>
      <w:r w:rsidRPr="00F2249F">
        <w:rPr>
          <w:i/>
        </w:rPr>
        <w:t>Inc</w:t>
      </w:r>
      <w:proofErr w:type="spellEnd"/>
      <w:r w:rsidRPr="00F2249F">
        <w:rPr>
          <w:i/>
        </w:rPr>
        <w:t xml:space="preserve">., pričom je nevyhnutné zabezpečiť, aby obsahoval všetky zapisované údaje o pobočke EU </w:t>
      </w:r>
      <w:proofErr w:type="spellStart"/>
      <w:r w:rsidRPr="00F2249F">
        <w:rPr>
          <w:i/>
        </w:rPr>
        <w:t>Inc</w:t>
      </w:r>
      <w:proofErr w:type="spellEnd"/>
      <w:r w:rsidRPr="00F2249F">
        <w:rPr>
          <w:i/>
        </w:rPr>
        <w:t>. tak, aby zápis mohol prebehnúť efektívne a s čo najnižšou potrebou manuálneho spracovania registrátorom. Zavedenie takéhoto formulára bude mať vplyv na informačný systém obchodného registra, ktorý bude potrebné relevantným spôsobom upraviť. Rovnako je potrebné dbať na obsiahnutie takých údajov, ktoré sú nevyhnutné pre ďalšie registrácie v zmysle odseku 3 daného ustanovenia, pričom je potrebné dbať</w:t>
      </w:r>
      <w:r w:rsidR="00E14F02" w:rsidRPr="00F2249F">
        <w:rPr>
          <w:i/>
        </w:rPr>
        <w:t xml:space="preserve"> na to, že vnútroštátne registre</w:t>
      </w:r>
      <w:r w:rsidRPr="00F2249F">
        <w:rPr>
          <w:i/>
        </w:rPr>
        <w:t xml:space="preserve"> v rozsahu e-</w:t>
      </w:r>
      <w:proofErr w:type="spellStart"/>
      <w:r w:rsidRPr="00F2249F">
        <w:rPr>
          <w:i/>
        </w:rPr>
        <w:t>governmentu</w:t>
      </w:r>
      <w:proofErr w:type="spellEnd"/>
      <w:r w:rsidRPr="00F2249F">
        <w:rPr>
          <w:i/>
        </w:rPr>
        <w:t xml:space="preserve"> pracujú s určitou </w:t>
      </w:r>
      <w:proofErr w:type="spellStart"/>
      <w:r w:rsidRPr="00F2249F">
        <w:rPr>
          <w:i/>
        </w:rPr>
        <w:t>sadou</w:t>
      </w:r>
      <w:proofErr w:type="spellEnd"/>
      <w:r w:rsidRPr="00F2249F">
        <w:rPr>
          <w:i/>
        </w:rPr>
        <w:t xml:space="preserve"> údajov, ktoré je nevyhnutné rešpektovať pre ďalšie efektívne prepojenie týchto registrov. </w:t>
      </w:r>
    </w:p>
    <w:p w14:paraId="35D9A11A" w14:textId="77777777" w:rsidR="00EB1051" w:rsidRPr="00F2249F" w:rsidRDefault="00EB1051" w:rsidP="00EB1051">
      <w:pPr>
        <w:tabs>
          <w:tab w:val="left" w:pos="1786"/>
        </w:tabs>
        <w:jc w:val="both"/>
        <w:rPr>
          <w:i/>
        </w:rPr>
      </w:pPr>
      <w:r w:rsidRPr="00F2249F">
        <w:rPr>
          <w:i/>
        </w:rPr>
        <w:t xml:space="preserve">Vo vzťahu k vydaniu identifikačného čísla pre DPH na základe registrácie v obchodnom registri považujeme za zásadné, aby znenie ustanovenia rešpektovalo právnu úpravu na európskej úrovni, ktorá vyžaduje štandardné preverenia informácií poskytnutých v žiadosti o registráciu pre DPH – a to aj v rozsahu subjektu, ktorému sa registrácia prideľuje. </w:t>
      </w:r>
    </w:p>
    <w:p w14:paraId="790633BD" w14:textId="77777777" w:rsidR="00EB1051" w:rsidRPr="00F2249F" w:rsidRDefault="00EB1051" w:rsidP="00EB1051">
      <w:pPr>
        <w:tabs>
          <w:tab w:val="left" w:pos="1786"/>
        </w:tabs>
        <w:jc w:val="both"/>
        <w:rPr>
          <w:i/>
        </w:rPr>
      </w:pPr>
      <w:r w:rsidRPr="00F2249F">
        <w:rPr>
          <w:i/>
        </w:rPr>
        <w:t xml:space="preserve">Vo vzťahu k predmetnému formuláru je potrebné trvať na tom, aby Európska komisia vyvinula čo najviac technických riešení tak, aby členské štáty vedeli v tejto súvislosti využiť rovnaké, harmonizované riešenia. </w:t>
      </w:r>
    </w:p>
    <w:p w14:paraId="7DFBDCEE" w14:textId="77777777" w:rsidR="00EB1051" w:rsidRPr="00F2249F" w:rsidRDefault="00EB1051" w:rsidP="00EB1051">
      <w:pPr>
        <w:tabs>
          <w:tab w:val="left" w:pos="1786"/>
        </w:tabs>
        <w:jc w:val="both"/>
      </w:pPr>
    </w:p>
    <w:p w14:paraId="42579FA8" w14:textId="77777777" w:rsidR="00EB1051" w:rsidRPr="00F2249F" w:rsidRDefault="00EB1051" w:rsidP="00EB1051">
      <w:pPr>
        <w:tabs>
          <w:tab w:val="left" w:pos="1786"/>
        </w:tabs>
        <w:jc w:val="both"/>
        <w:rPr>
          <w:b/>
          <w:u w:val="single"/>
        </w:rPr>
      </w:pPr>
      <w:r w:rsidRPr="00F2249F">
        <w:rPr>
          <w:b/>
          <w:u w:val="single"/>
        </w:rPr>
        <w:t>Článok 39 – Jednorazové predloženie údajov o pobočke a spoločnosti orgánom</w:t>
      </w:r>
    </w:p>
    <w:p w14:paraId="3694B9FD" w14:textId="77777777" w:rsidR="00EB1051" w:rsidRPr="00F2249F" w:rsidRDefault="00EB1051" w:rsidP="00EB1051">
      <w:pPr>
        <w:jc w:val="both"/>
      </w:pPr>
      <w:r w:rsidRPr="00F2249F">
        <w:t xml:space="preserve">Obdobne ako je tomu v prípade prvozápisu EU </w:t>
      </w:r>
      <w:proofErr w:type="spellStart"/>
      <w:r w:rsidRPr="00F2249F">
        <w:t>Inc</w:t>
      </w:r>
      <w:proofErr w:type="spellEnd"/>
      <w:r w:rsidRPr="00F2249F">
        <w:t xml:space="preserve">., návrh stanovuje povinnosť výmeny údajov o organizačnej zložke s úradmi zodpovednými za daňovú problematiku. Rovnako sa stanovujú pravidlá aplikácie zásady „jedenkrát a dosť“ vo vzťahu k údajom o organizačnej zložke dostupným cez BRIS. </w:t>
      </w:r>
    </w:p>
    <w:p w14:paraId="02AFDD1B" w14:textId="77777777" w:rsidR="00EB1051" w:rsidRPr="00F2249F" w:rsidRDefault="00EB1051" w:rsidP="00EB1051">
      <w:pPr>
        <w:tabs>
          <w:tab w:val="left" w:pos="1786"/>
        </w:tabs>
        <w:jc w:val="both"/>
        <w:rPr>
          <w:u w:val="single"/>
        </w:rPr>
      </w:pPr>
    </w:p>
    <w:p w14:paraId="2FC1FF25" w14:textId="77777777" w:rsidR="00EB1051" w:rsidRPr="00F2249F" w:rsidRDefault="00EB1051" w:rsidP="00EB1051">
      <w:pPr>
        <w:tabs>
          <w:tab w:val="left" w:pos="1786"/>
        </w:tabs>
        <w:jc w:val="both"/>
      </w:pPr>
      <w:r w:rsidRPr="00F2249F">
        <w:rPr>
          <w:b/>
          <w:u w:val="single"/>
        </w:rPr>
        <w:t>Pozícia SR</w:t>
      </w:r>
      <w:r w:rsidRPr="00F2249F">
        <w:rPr>
          <w:b/>
        </w:rPr>
        <w:t>:</w:t>
      </w:r>
      <w:r w:rsidRPr="00F2249F">
        <w:t xml:space="preserve"> </w:t>
      </w:r>
      <w:r w:rsidRPr="00F2249F">
        <w:rPr>
          <w:i/>
        </w:rPr>
        <w:t>Slovenská republika podporuje aplikáciu zásady jedenkrát a dosť. Vo vzťahu k vydaniu identifikačného čísla pre DPH na základe registrácie v obchodnom registri považujeme za zásadné, aby znenie ustanovenia rešpektovalo právnu úpravu na európskej úrovni, ktorá vyžaduje štandardné preverenia informácií poskytnutých v žiadosti o registráciu pre DPH – a to aj v rozsahu subjektu, ktorému sa registrácia prideľuje.</w:t>
      </w:r>
    </w:p>
    <w:p w14:paraId="4065F9F9" w14:textId="77777777" w:rsidR="00EB1051" w:rsidRPr="00F2249F" w:rsidRDefault="00EB1051" w:rsidP="00EB1051">
      <w:pPr>
        <w:tabs>
          <w:tab w:val="left" w:pos="1786"/>
        </w:tabs>
        <w:jc w:val="both"/>
      </w:pPr>
    </w:p>
    <w:p w14:paraId="23339389" w14:textId="77777777" w:rsidR="00EB1051" w:rsidRPr="00F2249F" w:rsidRDefault="00EB1051" w:rsidP="00EB1051">
      <w:pPr>
        <w:tabs>
          <w:tab w:val="left" w:pos="1786"/>
        </w:tabs>
        <w:jc w:val="both"/>
        <w:rPr>
          <w:b/>
          <w:u w:val="single"/>
        </w:rPr>
      </w:pPr>
      <w:r w:rsidRPr="00F2249F">
        <w:rPr>
          <w:b/>
          <w:u w:val="single"/>
        </w:rPr>
        <w:t>Článok 40 – Dostupnosť dokumentov a údajov o pobočkách online</w:t>
      </w:r>
    </w:p>
    <w:p w14:paraId="0CAFAC97" w14:textId="77777777" w:rsidR="00EB1051" w:rsidRPr="00F2249F" w:rsidRDefault="00EB1051" w:rsidP="00EB1051">
      <w:pPr>
        <w:pStyle w:val="Pta"/>
        <w:tabs>
          <w:tab w:val="clear" w:pos="4536"/>
          <w:tab w:val="clear" w:pos="9072"/>
        </w:tabs>
        <w:overflowPunct w:val="0"/>
        <w:autoSpaceDE w:val="0"/>
        <w:autoSpaceDN w:val="0"/>
        <w:adjustRightInd w:val="0"/>
        <w:spacing w:after="240"/>
        <w:jc w:val="both"/>
        <w:textAlignment w:val="baseline"/>
      </w:pPr>
      <w:r w:rsidRPr="00F2249F">
        <w:t xml:space="preserve">Navrhované ustanovenie upravuje dostupnosť údajov a dokumentov o organizačnej zložke v registri, v ktorom je registrovaná a prostredníctvom systému BRIS. </w:t>
      </w:r>
    </w:p>
    <w:p w14:paraId="4A7CCAB6" w14:textId="77777777" w:rsidR="00EB1051" w:rsidRPr="00F2249F" w:rsidRDefault="00EB1051" w:rsidP="00EB1051">
      <w:pPr>
        <w:pStyle w:val="Pta"/>
        <w:tabs>
          <w:tab w:val="clear" w:pos="4536"/>
          <w:tab w:val="clear" w:pos="9072"/>
        </w:tabs>
        <w:overflowPunct w:val="0"/>
        <w:autoSpaceDE w:val="0"/>
        <w:autoSpaceDN w:val="0"/>
        <w:adjustRightInd w:val="0"/>
        <w:spacing w:after="240"/>
        <w:jc w:val="both"/>
        <w:textAlignment w:val="baseline"/>
      </w:pPr>
      <w:r w:rsidRPr="00F2249F">
        <w:t xml:space="preserve">Odkazuje sa tiež na články smernice (EÚ) 2017/1132, v zmysle ktorého sa má informovať register, v ktorom je EU </w:t>
      </w:r>
      <w:proofErr w:type="spellStart"/>
      <w:r w:rsidRPr="00F2249F">
        <w:t>Inc</w:t>
      </w:r>
      <w:proofErr w:type="spellEnd"/>
      <w:r w:rsidRPr="00F2249F">
        <w:t xml:space="preserve">. registrovaná o zmene údajov o organizačnej zložke, resp. register zložky v prípade zmien v EU </w:t>
      </w:r>
      <w:proofErr w:type="spellStart"/>
      <w:r w:rsidRPr="00F2249F">
        <w:t>Inc</w:t>
      </w:r>
      <w:proofErr w:type="spellEnd"/>
      <w:r w:rsidRPr="00F2249F">
        <w:t xml:space="preserve">. Ide o prípady výmazu EU </w:t>
      </w:r>
      <w:proofErr w:type="spellStart"/>
      <w:r w:rsidRPr="00F2249F">
        <w:t>Inc</w:t>
      </w:r>
      <w:proofErr w:type="spellEnd"/>
      <w:r w:rsidRPr="00F2249F">
        <w:t xml:space="preserve">. (a automatického zrušenia pobočky) či zmeny v údajoch o pobočke a ich zápis v registri EU </w:t>
      </w:r>
      <w:proofErr w:type="spellStart"/>
      <w:r w:rsidRPr="00F2249F">
        <w:t>Inc</w:t>
      </w:r>
      <w:proofErr w:type="spellEnd"/>
      <w:r w:rsidRPr="00F2249F">
        <w:t xml:space="preserve">. Tieto procesy už v súčasnosti fungujú v zmysle smernice (EÚ) 2017/1132 a na základe notifikácií zo systému BRIS. V rozsahu údajov o organizačnej zložke chýba ustanovenie čl. 30 ods. 1 písm. g) a smernice (EÚ) 2017/1132. Ide o zverejňovanie účtovných dokladov EU </w:t>
      </w:r>
      <w:proofErr w:type="spellStart"/>
      <w:r w:rsidRPr="00F2249F">
        <w:t>Inc</w:t>
      </w:r>
      <w:proofErr w:type="spellEnd"/>
      <w:r w:rsidRPr="00F2249F">
        <w:t xml:space="preserve">. v registri organizačnej zložky </w:t>
      </w:r>
    </w:p>
    <w:p w14:paraId="30798840" w14:textId="77777777" w:rsidR="00EB1051" w:rsidRPr="00F2249F" w:rsidRDefault="00EB1051" w:rsidP="00EB1051">
      <w:pPr>
        <w:pStyle w:val="Pta"/>
        <w:tabs>
          <w:tab w:val="clear" w:pos="4536"/>
          <w:tab w:val="clear" w:pos="9072"/>
        </w:tabs>
        <w:overflowPunct w:val="0"/>
        <w:autoSpaceDE w:val="0"/>
        <w:autoSpaceDN w:val="0"/>
        <w:adjustRightInd w:val="0"/>
        <w:spacing w:after="240"/>
        <w:jc w:val="both"/>
        <w:textAlignment w:val="baseline"/>
      </w:pPr>
      <w:r w:rsidRPr="00F2249F">
        <w:rPr>
          <w:b/>
          <w:u w:val="single"/>
        </w:rPr>
        <w:t>Pozícia SR</w:t>
      </w:r>
      <w:r w:rsidRPr="00F2249F">
        <w:rPr>
          <w:b/>
        </w:rPr>
        <w:t>:</w:t>
      </w:r>
      <w:r w:rsidRPr="00F2249F">
        <w:t xml:space="preserve"> </w:t>
      </w:r>
      <w:r w:rsidRPr="00F2249F">
        <w:rPr>
          <w:i/>
        </w:rPr>
        <w:t>Slovenská republika podporuje využívanie existujúcich technických riešení na výmenu informácií o pobočkách prostredníctvom systému BRIS. Predmetné ustanovenie na uvedenom stavia.</w:t>
      </w:r>
      <w:r w:rsidRPr="00F2249F">
        <w:t xml:space="preserve"> </w:t>
      </w:r>
    </w:p>
    <w:p w14:paraId="416CDAD0" w14:textId="77777777" w:rsidR="00EB1051" w:rsidRPr="00F2249F" w:rsidRDefault="00EB1051" w:rsidP="00EB1051">
      <w:pPr>
        <w:tabs>
          <w:tab w:val="left" w:pos="1786"/>
        </w:tabs>
        <w:jc w:val="both"/>
        <w:rPr>
          <w:b/>
          <w:u w:val="single"/>
        </w:rPr>
      </w:pPr>
      <w:r w:rsidRPr="00F2249F">
        <w:rPr>
          <w:b/>
          <w:u w:val="single"/>
        </w:rPr>
        <w:t>Článok 41 – Cezhraničná mobilita</w:t>
      </w:r>
    </w:p>
    <w:p w14:paraId="0813360E" w14:textId="77777777" w:rsidR="00EB1051" w:rsidRPr="00F2249F" w:rsidRDefault="00EB1051" w:rsidP="00EB1051">
      <w:pPr>
        <w:tabs>
          <w:tab w:val="left" w:pos="1786"/>
        </w:tabs>
        <w:jc w:val="both"/>
      </w:pPr>
      <w:r w:rsidRPr="00F2249F">
        <w:t xml:space="preserve">Návrh nariadenia stanovuje, že EU </w:t>
      </w:r>
      <w:proofErr w:type="spellStart"/>
      <w:r w:rsidRPr="00F2249F">
        <w:t>Inc</w:t>
      </w:r>
      <w:proofErr w:type="spellEnd"/>
      <w:r w:rsidRPr="00F2249F">
        <w:t xml:space="preserve">. sa môže zúčastňovať na cezhraničných premenách, fúziách a rozdeleniach, ktoré sa majú uskutočniť v súlade so smernicou (EÚ) 2017/1132. </w:t>
      </w:r>
    </w:p>
    <w:p w14:paraId="640D7E6A" w14:textId="77777777" w:rsidR="00EB1051" w:rsidRPr="00F2249F" w:rsidRDefault="00EB1051" w:rsidP="00EB1051">
      <w:pPr>
        <w:tabs>
          <w:tab w:val="left" w:pos="1786"/>
        </w:tabs>
        <w:jc w:val="both"/>
      </w:pPr>
    </w:p>
    <w:p w14:paraId="74B7A5B6" w14:textId="77777777" w:rsidR="00EB1051" w:rsidRPr="00F2249F" w:rsidRDefault="00EB1051" w:rsidP="00EB1051">
      <w:pPr>
        <w:tabs>
          <w:tab w:val="left" w:pos="1786"/>
        </w:tabs>
        <w:jc w:val="both"/>
      </w:pPr>
      <w:r w:rsidRPr="00F2249F">
        <w:rPr>
          <w:b/>
          <w:u w:val="single"/>
        </w:rPr>
        <w:lastRenderedPageBreak/>
        <w:t>Pozícia SR</w:t>
      </w:r>
      <w:r w:rsidRPr="00F2249F">
        <w:rPr>
          <w:b/>
        </w:rPr>
        <w:t>:</w:t>
      </w:r>
      <w:r w:rsidRPr="00F2249F">
        <w:t xml:space="preserve"> </w:t>
      </w:r>
      <w:r w:rsidRPr="00F2249F">
        <w:rPr>
          <w:i/>
        </w:rPr>
        <w:t xml:space="preserve">Slovenská republika podporuje aplikáciu týchto ustanovení aj na EU </w:t>
      </w:r>
      <w:proofErr w:type="spellStart"/>
      <w:r w:rsidRPr="00F2249F">
        <w:rPr>
          <w:i/>
        </w:rPr>
        <w:t>Inc</w:t>
      </w:r>
      <w:proofErr w:type="spellEnd"/>
      <w:r w:rsidRPr="00F2249F">
        <w:rPr>
          <w:i/>
        </w:rPr>
        <w:t>. Pre efektívne uskutočňovanie týchto transakcií je zásadné efektívne fungovanie technických riešení BRIS.</w:t>
      </w:r>
      <w:r w:rsidRPr="00F2249F">
        <w:t xml:space="preserve"> </w:t>
      </w:r>
    </w:p>
    <w:p w14:paraId="445D24F6" w14:textId="77777777" w:rsidR="00EB1051" w:rsidRPr="00F2249F" w:rsidRDefault="00EB1051" w:rsidP="00EB1051">
      <w:pPr>
        <w:tabs>
          <w:tab w:val="left" w:pos="1786"/>
        </w:tabs>
        <w:jc w:val="both"/>
        <w:rPr>
          <w:b/>
        </w:rPr>
      </w:pPr>
    </w:p>
    <w:p w14:paraId="445FD64C"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rPr>
          <w:b/>
        </w:rPr>
      </w:pPr>
    </w:p>
    <w:p w14:paraId="2BACEEC9" w14:textId="77777777" w:rsidR="00EB1051" w:rsidRPr="00F2249F" w:rsidRDefault="00EB1051" w:rsidP="00EB1051">
      <w:pPr>
        <w:pStyle w:val="Pta"/>
        <w:tabs>
          <w:tab w:val="clear" w:pos="4536"/>
          <w:tab w:val="clear" w:pos="9072"/>
        </w:tabs>
        <w:overflowPunct w:val="0"/>
        <w:autoSpaceDE w:val="0"/>
        <w:autoSpaceDN w:val="0"/>
        <w:adjustRightInd w:val="0"/>
        <w:jc w:val="center"/>
        <w:textAlignment w:val="baseline"/>
        <w:rPr>
          <w:b/>
        </w:rPr>
      </w:pPr>
      <w:r w:rsidRPr="00F2249F">
        <w:rPr>
          <w:b/>
        </w:rPr>
        <w:t xml:space="preserve">KAPITOLA V - Organizácia </w:t>
      </w:r>
      <w:r w:rsidRPr="00F2249F">
        <w:rPr>
          <w:b/>
          <w:u w:val="single"/>
        </w:rPr>
        <w:t>(</w:t>
      </w:r>
      <w:r w:rsidRPr="00F2249F">
        <w:rPr>
          <w:b/>
        </w:rPr>
        <w:t>Články 42-52)</w:t>
      </w:r>
    </w:p>
    <w:p w14:paraId="2451724F"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rPr>
          <w:b/>
        </w:rPr>
      </w:pPr>
    </w:p>
    <w:p w14:paraId="639AF9A5"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rPr>
          <w:b/>
        </w:rPr>
      </w:pPr>
      <w:r w:rsidRPr="00F2249F">
        <w:rPr>
          <w:b/>
        </w:rPr>
        <w:t>Všeobecne o kapitole:</w:t>
      </w:r>
    </w:p>
    <w:p w14:paraId="4B680A94"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pPr>
      <w:r w:rsidRPr="00F2249F">
        <w:t xml:space="preserve">Kapitola sa zameriava na organizáciu spoločnosti, predovšetkým na identifikáciu, pôsobnosť, fungovanie a zodpovednosť orgánov. Kapitola rieši aj konflikt záujmov ich členov so spoločnosťou, úpravu kvóra a väčšiny pre hlasovanie valného zhromaždenia a písomné rozhodovanie spoločnosti. Kapitola upravuje tiež spôsob konania spoločnosti, transakcie so spriaznenou stranou, zmeny stanov, ochranu akcionárskych práv a možnosť núteného predaja podielu za trhovú cenu v prípade nespravodlivého postupu spoločnosti voči jej akcionárovi. </w:t>
      </w:r>
    </w:p>
    <w:p w14:paraId="716AAF39"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pPr>
    </w:p>
    <w:p w14:paraId="24D10748" w14:textId="25764090" w:rsidR="00EB1051" w:rsidRPr="00F2249F" w:rsidRDefault="00EB1051" w:rsidP="00EB1051">
      <w:pPr>
        <w:pStyle w:val="Pta"/>
        <w:tabs>
          <w:tab w:val="clear" w:pos="4536"/>
          <w:tab w:val="clear" w:pos="9072"/>
        </w:tabs>
        <w:overflowPunct w:val="0"/>
        <w:autoSpaceDE w:val="0"/>
        <w:autoSpaceDN w:val="0"/>
        <w:adjustRightInd w:val="0"/>
        <w:jc w:val="both"/>
        <w:textAlignment w:val="baseline"/>
      </w:pPr>
      <w:r w:rsidRPr="00F2249F">
        <w:t xml:space="preserve">Navrhnutá forma spoločnosti EU </w:t>
      </w:r>
      <w:proofErr w:type="spellStart"/>
      <w:r w:rsidRPr="00F2249F">
        <w:t>Inc</w:t>
      </w:r>
      <w:proofErr w:type="spellEnd"/>
      <w:r w:rsidRPr="00F2249F">
        <w:t>. je pre slovenské právo hybridnou formou spoločnosti, ktorá v sebe zlučuje prvky spoločnosti s ručením obmedzeným a akciovej spoločnosti. Je preto otázne, ktorá z týchto spoločností (a či vôbec) sa pre vnútroštátnu úpravu zvolí</w:t>
      </w:r>
      <w:r w:rsidR="00DE32C5" w:rsidRPr="00F2249F">
        <w:t xml:space="preserve"> a či nebude vhodnejšie zriadiť novú vnút</w:t>
      </w:r>
      <w:r w:rsidR="005C1594" w:rsidRPr="00F2249F">
        <w:t>r</w:t>
      </w:r>
      <w:r w:rsidR="00DE32C5" w:rsidRPr="00F2249F">
        <w:t xml:space="preserve">oštátnu </w:t>
      </w:r>
      <w:r w:rsidR="005C281A" w:rsidRPr="00F2249F">
        <w:t xml:space="preserve">formu pre EU </w:t>
      </w:r>
      <w:proofErr w:type="spellStart"/>
      <w:r w:rsidR="005C281A" w:rsidRPr="00F2249F">
        <w:t>Inc</w:t>
      </w:r>
      <w:proofErr w:type="spellEnd"/>
      <w:r w:rsidR="005C281A" w:rsidRPr="00F2249F">
        <w:t>.</w:t>
      </w:r>
    </w:p>
    <w:p w14:paraId="02112C74"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pPr>
    </w:p>
    <w:p w14:paraId="67E302B4"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rPr>
          <w:i/>
        </w:rPr>
      </w:pPr>
      <w:r w:rsidRPr="00F2249F">
        <w:rPr>
          <w:b/>
          <w:u w:val="single"/>
        </w:rPr>
        <w:t>Pozícia SR k celej kapitole</w:t>
      </w:r>
      <w:r w:rsidRPr="00F2249F">
        <w:rPr>
          <w:i/>
        </w:rPr>
        <w:t>:</w:t>
      </w:r>
    </w:p>
    <w:p w14:paraId="0AEBA5D0" w14:textId="564FEEBF" w:rsidR="00EB1051" w:rsidRPr="00F2249F" w:rsidRDefault="00EB1051" w:rsidP="00EB1051">
      <w:pPr>
        <w:pStyle w:val="Pta"/>
        <w:tabs>
          <w:tab w:val="clear" w:pos="4536"/>
          <w:tab w:val="clear" w:pos="9072"/>
        </w:tabs>
        <w:overflowPunct w:val="0"/>
        <w:autoSpaceDE w:val="0"/>
        <w:autoSpaceDN w:val="0"/>
        <w:adjustRightInd w:val="0"/>
        <w:jc w:val="both"/>
        <w:textAlignment w:val="baseline"/>
        <w:rPr>
          <w:i/>
        </w:rPr>
      </w:pPr>
      <w:r w:rsidRPr="00F2249F">
        <w:rPr>
          <w:i/>
        </w:rPr>
        <w:t xml:space="preserve">Uvedená kapitola predstavuje modernizovanú formu práva obchodných spoločností, ktorá má byť v praxi vysoko efektívna a prakticky využiteľná. Táto využiteľnosť sa však musí posudzovať počas celého životného cyklu spoločnosti, teda nielen pri založení spoločnosti, ale z pohľadu pravidiel každodenného fungovania spoločnosti, rozhodovania orgánov, zastupovania, financovania, zamestnaneckej účasti, prevodov akcií, transakcií M&amp;A, </w:t>
      </w:r>
      <w:proofErr w:type="spellStart"/>
      <w:r w:rsidRPr="00F2249F">
        <w:rPr>
          <w:i/>
        </w:rPr>
        <w:t>due</w:t>
      </w:r>
      <w:proofErr w:type="spellEnd"/>
      <w:r w:rsidRPr="00F2249F">
        <w:rPr>
          <w:i/>
        </w:rPr>
        <w:t xml:space="preserve"> </w:t>
      </w:r>
      <w:proofErr w:type="spellStart"/>
      <w:r w:rsidRPr="00F2249F">
        <w:rPr>
          <w:i/>
        </w:rPr>
        <w:t>diligence</w:t>
      </w:r>
      <w:proofErr w:type="spellEnd"/>
      <w:r w:rsidRPr="00F2249F">
        <w:rPr>
          <w:i/>
        </w:rPr>
        <w:t xml:space="preserve">, </w:t>
      </w:r>
      <w:proofErr w:type="spellStart"/>
      <w:r w:rsidRPr="00F2249F">
        <w:rPr>
          <w:i/>
        </w:rPr>
        <w:t>compliance</w:t>
      </w:r>
      <w:proofErr w:type="spellEnd"/>
      <w:r w:rsidRPr="00F2249F">
        <w:rPr>
          <w:i/>
        </w:rPr>
        <w:t xml:space="preserve">, </w:t>
      </w:r>
      <w:proofErr w:type="spellStart"/>
      <w:r w:rsidRPr="00F2249F">
        <w:rPr>
          <w:i/>
        </w:rPr>
        <w:t>insolvenčných</w:t>
      </w:r>
      <w:proofErr w:type="spellEnd"/>
      <w:r w:rsidRPr="00F2249F">
        <w:rPr>
          <w:i/>
        </w:rPr>
        <w:t xml:space="preserve"> testov a prípadnej cezhraničnej expanzie. Flexibilita, ktorú kapitola ponúka, by mala byť vyvážená </w:t>
      </w:r>
      <w:r w:rsidR="005C1594" w:rsidRPr="00F2249F">
        <w:rPr>
          <w:i/>
        </w:rPr>
        <w:t xml:space="preserve">primeranou </w:t>
      </w:r>
      <w:r w:rsidRPr="00F2249F">
        <w:rPr>
          <w:i/>
        </w:rPr>
        <w:t xml:space="preserve">ochranou akcionárov, investorov veriteľov, zamestnancov, obchodných partnerov a verejných orgánov ako aj tretích osôb. Modernizácia práva obchodných spoločností nemá znamenať oslabenie ochranných mechanizmov, ale ich presun od formalistických požiadaviek k funkčným súkromnoprávnym nástrojom, zodpovednostným pravidlám, ochrane majetku spoločnosti a transparentnosti transakcií. </w:t>
      </w:r>
    </w:p>
    <w:p w14:paraId="0D44CEB1"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rPr>
          <w:i/>
        </w:rPr>
      </w:pPr>
      <w:r w:rsidRPr="00F2249F">
        <w:rPr>
          <w:i/>
        </w:rPr>
        <w:t xml:space="preserve">Hoci kapitola obsahuje ustanovenie o možnosti vstupu EU </w:t>
      </w:r>
      <w:proofErr w:type="spellStart"/>
      <w:r w:rsidRPr="00F2249F">
        <w:rPr>
          <w:i/>
        </w:rPr>
        <w:t>Inc</w:t>
      </w:r>
      <w:proofErr w:type="spellEnd"/>
      <w:r w:rsidRPr="00F2249F">
        <w:rPr>
          <w:i/>
        </w:rPr>
        <w:t xml:space="preserve">. na regulované trhy, je zrejmé, že viaceré ustanovenia návrhu tomu nezodpovedajú (absencia dozornej rady, registrácia akcií mimo centrálneho depozitára). V tomto smere bude text potrebné prispôsobiť. </w:t>
      </w:r>
    </w:p>
    <w:p w14:paraId="23BA23A2" w14:textId="25449CBE" w:rsidR="00EB1051" w:rsidRPr="00F2249F" w:rsidRDefault="00EB1051" w:rsidP="00EB1051">
      <w:pPr>
        <w:pStyle w:val="Pta"/>
        <w:tabs>
          <w:tab w:val="clear" w:pos="4536"/>
          <w:tab w:val="clear" w:pos="9072"/>
        </w:tabs>
        <w:overflowPunct w:val="0"/>
        <w:autoSpaceDE w:val="0"/>
        <w:autoSpaceDN w:val="0"/>
        <w:adjustRightInd w:val="0"/>
        <w:jc w:val="both"/>
        <w:textAlignment w:val="baseline"/>
        <w:rPr>
          <w:i/>
        </w:rPr>
      </w:pPr>
      <w:r w:rsidRPr="00F2249F">
        <w:rPr>
          <w:i/>
        </w:rPr>
        <w:t xml:space="preserve">Je tiež potrebné zvážiť, ako sa bude uplatňovať čl. 4 (odkaz na vnútroštátne právo) </w:t>
      </w:r>
      <w:r w:rsidR="005C1594" w:rsidRPr="00F2249F">
        <w:rPr>
          <w:i/>
        </w:rPr>
        <w:t xml:space="preserve">v spojitosti </w:t>
      </w:r>
      <w:r w:rsidRPr="00F2249F">
        <w:rPr>
          <w:i/>
        </w:rPr>
        <w:t>s touto kapitolou</w:t>
      </w:r>
      <w:r w:rsidR="005C281A" w:rsidRPr="00F2249F">
        <w:rPr>
          <w:i/>
        </w:rPr>
        <w:t xml:space="preserve">. To bude samozrejme závisieť od jeho konečného znenia, ktoré ukáže, či nariadenie umožní selektívny prístup k aplikácii noriem jednotlivých foriem spoločností a vyrieši i ďalšie súvisiace otázky. </w:t>
      </w:r>
      <w:r w:rsidR="00E92233" w:rsidRPr="00F2249F">
        <w:rPr>
          <w:i/>
        </w:rPr>
        <w:t xml:space="preserve">Jednou z takých otázok je napríklad postup spoločnosti, v ktorom táto </w:t>
      </w:r>
      <w:r w:rsidRPr="00F2249F">
        <w:rPr>
          <w:i/>
        </w:rPr>
        <w:t>stanoví nepovinný orgán (napr. dozornú radu alebo výbor), ale neprispôsobí stanovy vnútroštátnym pravidlám o tomto orgáne,</w:t>
      </w:r>
      <w:r w:rsidR="00E92233" w:rsidRPr="00F2249F">
        <w:rPr>
          <w:i/>
        </w:rPr>
        <w:t xml:space="preserve"> pričom v súčasnosti</w:t>
      </w:r>
      <w:r w:rsidRPr="00F2249F">
        <w:rPr>
          <w:i/>
        </w:rPr>
        <w:t xml:space="preserve"> nie je zrejmé, ako sa bude postupovať. </w:t>
      </w:r>
    </w:p>
    <w:p w14:paraId="36F5D4B2"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pPr>
    </w:p>
    <w:p w14:paraId="0FED7826"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rPr>
          <w:b/>
          <w:u w:val="single"/>
        </w:rPr>
      </w:pPr>
      <w:r w:rsidRPr="00F2249F">
        <w:rPr>
          <w:b/>
          <w:u w:val="single"/>
        </w:rPr>
        <w:t>Článok 42 Orgány spoločnosti</w:t>
      </w:r>
    </w:p>
    <w:p w14:paraId="24270839" w14:textId="756347A6" w:rsidR="00EB1051" w:rsidRDefault="00EB1051" w:rsidP="00EB1051">
      <w:pPr>
        <w:pStyle w:val="Pta"/>
        <w:tabs>
          <w:tab w:val="clear" w:pos="4536"/>
          <w:tab w:val="clear" w:pos="9072"/>
        </w:tabs>
        <w:overflowPunct w:val="0"/>
        <w:autoSpaceDE w:val="0"/>
        <w:autoSpaceDN w:val="0"/>
        <w:adjustRightInd w:val="0"/>
        <w:jc w:val="both"/>
        <w:textAlignment w:val="baseline"/>
      </w:pPr>
      <w:r w:rsidRPr="00F2249F">
        <w:t xml:space="preserve">Ustanovenie upravuje vnútorné pomery spoločnosti (ponechaním ich na stanovy) a určuje povinné orgány spoločnosti, ktorými sú </w:t>
      </w:r>
      <w:r w:rsidR="00E92233" w:rsidRPr="00F2249F">
        <w:t xml:space="preserve">správna rada </w:t>
      </w:r>
      <w:r w:rsidRPr="00F2249F">
        <w:t>a valné zhromaždenie. Pre spoločnosť sa v základnom variante volí monistický model riadenia, v ktorom existuje jeden orgán</w:t>
      </w:r>
      <w:r w:rsidR="00E92233" w:rsidRPr="00F2249F">
        <w:t xml:space="preserve">, </w:t>
      </w:r>
      <w:r w:rsidR="00DD00F0" w:rsidRPr="00F2249F">
        <w:t>správna rada</w:t>
      </w:r>
      <w:r w:rsidR="00F631D2" w:rsidRPr="00F2249F">
        <w:t xml:space="preserve">, </w:t>
      </w:r>
      <w:r w:rsidRPr="00F2249F">
        <w:t>ktorý zabezpečuje tak riadenie, ako aj zastupovanie spoločnosti, bez zriadenia samostatného dozorného orgánu.</w:t>
      </w:r>
      <w:r w:rsidR="00CA388F" w:rsidRPr="00F2249F">
        <w:t xml:space="preserve"> Správna rada však môže vykonávať všetky úlohy spoločnosti, </w:t>
      </w:r>
      <w:r w:rsidR="00CA388F" w:rsidRPr="00F2249F">
        <w:lastRenderedPageBreak/>
        <w:t>ktoré nie sú zverené valnému zhromaždeniu alebo iným orgánom spoločnosti. Valné zhromaždenia môže zasahovať do činnosti správnej rady prostredníctvom záväzných pokynov</w:t>
      </w:r>
      <w:r w:rsidR="00EA3421" w:rsidRPr="00F2249F">
        <w:t>.</w:t>
      </w:r>
      <w:r w:rsidR="00CA388F" w:rsidRPr="00F2249F">
        <w:t xml:space="preserve"> </w:t>
      </w:r>
      <w:r w:rsidR="00031EB4">
        <w:t xml:space="preserve"> </w:t>
      </w:r>
    </w:p>
    <w:p w14:paraId="7CC0A6B5" w14:textId="77777777" w:rsidR="00031EB4" w:rsidRPr="00F2249F" w:rsidRDefault="00031EB4" w:rsidP="00EB1051">
      <w:pPr>
        <w:pStyle w:val="Pta"/>
        <w:tabs>
          <w:tab w:val="clear" w:pos="4536"/>
          <w:tab w:val="clear" w:pos="9072"/>
        </w:tabs>
        <w:overflowPunct w:val="0"/>
        <w:autoSpaceDE w:val="0"/>
        <w:autoSpaceDN w:val="0"/>
        <w:adjustRightInd w:val="0"/>
        <w:jc w:val="both"/>
        <w:textAlignment w:val="baseline"/>
      </w:pPr>
    </w:p>
    <w:p w14:paraId="087331F3" w14:textId="61769ADA" w:rsidR="00EB1051" w:rsidRPr="00F2249F" w:rsidRDefault="00EB1051" w:rsidP="00EB1051">
      <w:pPr>
        <w:pStyle w:val="Pta"/>
        <w:tabs>
          <w:tab w:val="clear" w:pos="4536"/>
          <w:tab w:val="clear" w:pos="9072"/>
        </w:tabs>
        <w:overflowPunct w:val="0"/>
        <w:autoSpaceDE w:val="0"/>
        <w:autoSpaceDN w:val="0"/>
        <w:adjustRightInd w:val="0"/>
        <w:jc w:val="both"/>
        <w:textAlignment w:val="baseline"/>
      </w:pPr>
      <w:r w:rsidRPr="00F2249F">
        <w:t xml:space="preserve">Členovia </w:t>
      </w:r>
      <w:r w:rsidR="008304A7" w:rsidRPr="00F2249F">
        <w:t xml:space="preserve">správnej rady </w:t>
      </w:r>
      <w:r w:rsidRPr="00F2249F">
        <w:t xml:space="preserve">musia byť fyzické osoby a aspoň jeden člen musí mať pobyt v Únii. V odseku 3 sa určuje zvyšková právomoc </w:t>
      </w:r>
      <w:r w:rsidR="008304A7" w:rsidRPr="00F2249F">
        <w:t xml:space="preserve">správnej rady </w:t>
      </w:r>
      <w:r w:rsidRPr="00F2249F">
        <w:t xml:space="preserve">k právomociam spoločnosti, ktoré nevykonáva valné zhromaždenie. </w:t>
      </w:r>
    </w:p>
    <w:p w14:paraId="464FF671" w14:textId="1E1F9083" w:rsidR="00EB1051" w:rsidRPr="00F2249F" w:rsidRDefault="00EB1051" w:rsidP="00EB1051">
      <w:pPr>
        <w:pStyle w:val="Pta"/>
        <w:tabs>
          <w:tab w:val="clear" w:pos="4536"/>
          <w:tab w:val="clear" w:pos="9072"/>
        </w:tabs>
        <w:overflowPunct w:val="0"/>
        <w:autoSpaceDE w:val="0"/>
        <w:autoSpaceDN w:val="0"/>
        <w:adjustRightInd w:val="0"/>
        <w:jc w:val="both"/>
        <w:textAlignment w:val="baseline"/>
      </w:pPr>
      <w:r w:rsidRPr="00F2249F">
        <w:t xml:space="preserve">Preambula spresňuje (b. 32), že spoločnosť možnosť v stanovách flexibilne upraviť i iné orgány ako </w:t>
      </w:r>
      <w:r w:rsidR="008304A7" w:rsidRPr="00F2249F">
        <w:t>správnu radu</w:t>
      </w:r>
      <w:r w:rsidRPr="00F2249F">
        <w:t xml:space="preserve">, najmä dozornú radu. </w:t>
      </w:r>
    </w:p>
    <w:p w14:paraId="30B77901" w14:textId="77777777" w:rsidR="00EB1051" w:rsidRPr="00F2249F" w:rsidRDefault="00EB1051" w:rsidP="00EB1051">
      <w:pPr>
        <w:pStyle w:val="Pta"/>
        <w:overflowPunct w:val="0"/>
        <w:autoSpaceDE w:val="0"/>
        <w:autoSpaceDN w:val="0"/>
        <w:adjustRightInd w:val="0"/>
        <w:jc w:val="both"/>
        <w:textAlignment w:val="baseline"/>
        <w:rPr>
          <w:b/>
          <w:u w:val="single"/>
        </w:rPr>
      </w:pPr>
    </w:p>
    <w:p w14:paraId="7BE95DBE" w14:textId="6C272580" w:rsidR="00DD00F0" w:rsidRPr="00F2249F" w:rsidRDefault="00EB1051" w:rsidP="00DD00F0">
      <w:pPr>
        <w:pStyle w:val="Pta"/>
        <w:tabs>
          <w:tab w:val="clear" w:pos="4536"/>
          <w:tab w:val="clear" w:pos="9072"/>
        </w:tabs>
        <w:overflowPunct w:val="0"/>
        <w:autoSpaceDE w:val="0"/>
        <w:autoSpaceDN w:val="0"/>
        <w:adjustRightInd w:val="0"/>
        <w:jc w:val="both"/>
        <w:textAlignment w:val="baseline"/>
        <w:rPr>
          <w:i/>
        </w:rPr>
      </w:pPr>
      <w:r w:rsidRPr="00F2249F">
        <w:rPr>
          <w:b/>
          <w:u w:val="single"/>
        </w:rPr>
        <w:t>Pozícia SR</w:t>
      </w:r>
      <w:r w:rsidRPr="00F2249F">
        <w:rPr>
          <w:b/>
        </w:rPr>
        <w:t>:</w:t>
      </w:r>
      <w:r w:rsidRPr="00F2249F">
        <w:t xml:space="preserve"> </w:t>
      </w:r>
      <w:r w:rsidR="00DD00F0" w:rsidRPr="00F2249F">
        <w:rPr>
          <w:i/>
        </w:rPr>
        <w:t>Návrh úpravy čiastočne zodpovedá úprave spoločnosti s ručením obmedzeným podľa slovenského práva (oddiel 3 dielu IV o </w:t>
      </w:r>
      <w:proofErr w:type="spellStart"/>
      <w:r w:rsidR="00DD00F0" w:rsidRPr="00F2249F">
        <w:rPr>
          <w:i/>
        </w:rPr>
        <w:t>s.r.o</w:t>
      </w:r>
      <w:proofErr w:type="spellEnd"/>
      <w:r w:rsidR="00DD00F0" w:rsidRPr="00F2249F">
        <w:rPr>
          <w:i/>
        </w:rPr>
        <w:t xml:space="preserve">.) a odlišuje sa od úpravy akciovej spoločnosti. </w:t>
      </w:r>
    </w:p>
    <w:p w14:paraId="42BE3257" w14:textId="77777777" w:rsidR="00DD00F0" w:rsidRPr="00F2249F" w:rsidRDefault="00DD00F0" w:rsidP="00DD00F0">
      <w:pPr>
        <w:pStyle w:val="Pta"/>
        <w:tabs>
          <w:tab w:val="clear" w:pos="4536"/>
          <w:tab w:val="clear" w:pos="9072"/>
        </w:tabs>
        <w:overflowPunct w:val="0"/>
        <w:autoSpaceDE w:val="0"/>
        <w:autoSpaceDN w:val="0"/>
        <w:adjustRightInd w:val="0"/>
        <w:jc w:val="both"/>
        <w:textAlignment w:val="baseline"/>
        <w:rPr>
          <w:i/>
        </w:rPr>
      </w:pPr>
      <w:r w:rsidRPr="00F2249F">
        <w:rPr>
          <w:i/>
        </w:rPr>
        <w:t xml:space="preserve">Nariadenie predpokladá podradenie EU </w:t>
      </w:r>
      <w:proofErr w:type="spellStart"/>
      <w:r w:rsidRPr="00F2249F">
        <w:rPr>
          <w:i/>
        </w:rPr>
        <w:t>Inc</w:t>
      </w:r>
      <w:proofErr w:type="spellEnd"/>
      <w:r w:rsidRPr="00F2249F">
        <w:rPr>
          <w:i/>
        </w:rPr>
        <w:t xml:space="preserve">. vnútroštátnej úprave, pričom členský štát si pre rôzne formácie spoločnosti EU </w:t>
      </w:r>
      <w:proofErr w:type="spellStart"/>
      <w:r w:rsidRPr="00F2249F">
        <w:rPr>
          <w:i/>
        </w:rPr>
        <w:t>Inc</w:t>
      </w:r>
      <w:proofErr w:type="spellEnd"/>
      <w:r w:rsidRPr="00F2249F">
        <w:rPr>
          <w:i/>
        </w:rPr>
        <w:t xml:space="preserve">. môže zvoliť rôzne formy vnútroštátnych spoločností. Ak by si slovenská republika zvolila formu akciovej spoločnosti (keďže EU </w:t>
      </w:r>
      <w:proofErr w:type="spellStart"/>
      <w:r w:rsidRPr="00F2249F">
        <w:rPr>
          <w:i/>
        </w:rPr>
        <w:t>Inc</w:t>
      </w:r>
      <w:proofErr w:type="spellEnd"/>
      <w:r w:rsidRPr="00F2249F">
        <w:rPr>
          <w:i/>
        </w:rPr>
        <w:t xml:space="preserve">. nemá podiely ale akcie), je otázne, ako by takáto forma fungovala v spojení s úplnou absenciou ustanovení o dozornej rade. Nová forma spoločnosti si pravdepodobne vyžiada prispôsobenie Obchodného zákonníka. </w:t>
      </w:r>
    </w:p>
    <w:p w14:paraId="09A9DAD5" w14:textId="5B12E389" w:rsidR="00EB1051" w:rsidRPr="00F2249F" w:rsidRDefault="005352AB" w:rsidP="00EB1051">
      <w:pPr>
        <w:pStyle w:val="Pta"/>
        <w:overflowPunct w:val="0"/>
        <w:autoSpaceDE w:val="0"/>
        <w:autoSpaceDN w:val="0"/>
        <w:adjustRightInd w:val="0"/>
        <w:jc w:val="both"/>
        <w:textAlignment w:val="baseline"/>
        <w:rPr>
          <w:i/>
        </w:rPr>
      </w:pPr>
      <w:r w:rsidRPr="00F2249F">
        <w:rPr>
          <w:i/>
        </w:rPr>
        <w:t xml:space="preserve">Aj keď </w:t>
      </w:r>
      <w:r w:rsidR="00EB1051" w:rsidRPr="00F2249F">
        <w:rPr>
          <w:i/>
        </w:rPr>
        <w:t xml:space="preserve">návrh nepracuje s rozlíšením medzi výkonnými a nevýkonnými členmi, je zrejmé, </w:t>
      </w:r>
      <w:r w:rsidRPr="00F2249F">
        <w:rPr>
          <w:i/>
        </w:rPr>
        <w:t>že spoločnosť samotná určí, či bude správna rada</w:t>
      </w:r>
      <w:r w:rsidR="00EB1051" w:rsidRPr="00F2249F">
        <w:rPr>
          <w:i/>
        </w:rPr>
        <w:t xml:space="preserve"> jednotný manažérsky orgán, alebo či kontrolné funkcie budú vykonávané v</w:t>
      </w:r>
      <w:r w:rsidRPr="00F2249F">
        <w:rPr>
          <w:i/>
        </w:rPr>
        <w:t xml:space="preserve"> jej</w:t>
      </w:r>
      <w:r w:rsidR="00EB1051" w:rsidRPr="00F2249F">
        <w:rPr>
          <w:i/>
        </w:rPr>
        <w:t xml:space="preserve"> rámci bez formálneho inštitucionálneho oddelenia rolí. </w:t>
      </w:r>
      <w:r w:rsidRPr="00F2249F">
        <w:rPr>
          <w:i/>
        </w:rPr>
        <w:t>C</w:t>
      </w:r>
      <w:r w:rsidR="00EB1051" w:rsidRPr="00F2249F">
        <w:rPr>
          <w:i/>
        </w:rPr>
        <w:t>ieľom návrhu</w:t>
      </w:r>
      <w:r w:rsidRPr="00F2249F">
        <w:rPr>
          <w:i/>
        </w:rPr>
        <w:t xml:space="preserve"> je tak</w:t>
      </w:r>
      <w:r w:rsidR="00EB1051" w:rsidRPr="00F2249F">
        <w:rPr>
          <w:i/>
        </w:rPr>
        <w:t xml:space="preserve"> flexibilný hybrid</w:t>
      </w:r>
      <w:r w:rsidRPr="00F2249F">
        <w:rPr>
          <w:i/>
        </w:rPr>
        <w:t xml:space="preserve"> riadenia</w:t>
      </w:r>
      <w:r w:rsidR="00EB1051" w:rsidRPr="00F2249F">
        <w:rPr>
          <w:i/>
        </w:rPr>
        <w:t xml:space="preserve">, </w:t>
      </w:r>
      <w:r w:rsidRPr="00F2249F">
        <w:rPr>
          <w:i/>
        </w:rPr>
        <w:t xml:space="preserve">ktorý ponecháva </w:t>
      </w:r>
      <w:r w:rsidR="00EB1051" w:rsidRPr="00F2249F">
        <w:rPr>
          <w:i/>
        </w:rPr>
        <w:t xml:space="preserve">prvky vnútorného rozdelenia výkonných a kontrolných </w:t>
      </w:r>
      <w:r w:rsidRPr="00F2249F">
        <w:rPr>
          <w:i/>
        </w:rPr>
        <w:t>na samotnú spoločnosť</w:t>
      </w:r>
      <w:r w:rsidR="00EB1051" w:rsidRPr="00F2249F">
        <w:rPr>
          <w:i/>
        </w:rPr>
        <w:t xml:space="preserve"> (či už v monistickom alebo duálnom systéme). </w:t>
      </w:r>
      <w:r w:rsidRPr="00F2249F">
        <w:rPr>
          <w:i/>
        </w:rPr>
        <w:t xml:space="preserve">Slovenský Obchodný zákonník tak bude potrebné prispôsobiť tomuto modelu po vzore zákona o európskej spoločnosti (zákon č. 562/2004 </w:t>
      </w:r>
      <w:proofErr w:type="spellStart"/>
      <w:r w:rsidRPr="00F2249F">
        <w:rPr>
          <w:i/>
        </w:rPr>
        <w:t>Z.z</w:t>
      </w:r>
      <w:proofErr w:type="spellEnd"/>
      <w:r w:rsidRPr="00F2249F">
        <w:rPr>
          <w:i/>
        </w:rPr>
        <w:t>. o európskej spoločnosti a o zmene a doplnení niektorých zákonov)</w:t>
      </w:r>
      <w:r w:rsidR="0066717F" w:rsidRPr="00F2249F">
        <w:rPr>
          <w:i/>
        </w:rPr>
        <w:t xml:space="preserve"> a zákona o európskom družstve (zákon č. 91/2007 </w:t>
      </w:r>
      <w:proofErr w:type="spellStart"/>
      <w:r w:rsidR="0066717F" w:rsidRPr="00F2249F">
        <w:rPr>
          <w:i/>
        </w:rPr>
        <w:t>Z.z</w:t>
      </w:r>
      <w:proofErr w:type="spellEnd"/>
      <w:r w:rsidR="0066717F" w:rsidRPr="00F2249F">
        <w:rPr>
          <w:i/>
        </w:rPr>
        <w:t xml:space="preserve">. o európskom družstve). </w:t>
      </w:r>
    </w:p>
    <w:p w14:paraId="543CCB16" w14:textId="7EAFF7A0" w:rsidR="00EB1051" w:rsidRPr="00F2249F" w:rsidRDefault="00EB1051" w:rsidP="00EB1051">
      <w:pPr>
        <w:pStyle w:val="Pta"/>
        <w:overflowPunct w:val="0"/>
        <w:autoSpaceDE w:val="0"/>
        <w:autoSpaceDN w:val="0"/>
        <w:adjustRightInd w:val="0"/>
        <w:jc w:val="both"/>
        <w:textAlignment w:val="baseline"/>
        <w:rPr>
          <w:i/>
        </w:rPr>
      </w:pPr>
      <w:r w:rsidRPr="00F2249F">
        <w:rPr>
          <w:i/>
        </w:rPr>
        <w:t xml:space="preserve">Možnosť záväzných pokynov zo strany valného zhromaždenia predstavuje silný zásah do autonómie riadiaceho orgánu. Bolo by vhodné spresniť, ako sa tento prvok má uplatňovať v praxi, aby nedochádzalo k oslabeniu zodpovednosti </w:t>
      </w:r>
      <w:r w:rsidR="008304A7" w:rsidRPr="00F2249F">
        <w:rPr>
          <w:i/>
        </w:rPr>
        <w:t xml:space="preserve">správnej rady </w:t>
      </w:r>
      <w:r w:rsidRPr="00F2249F">
        <w:rPr>
          <w:i/>
        </w:rPr>
        <w:t>za riadenie spoločnosti.</w:t>
      </w:r>
      <w:r w:rsidR="0066717F" w:rsidRPr="00F2249F">
        <w:rPr>
          <w:i/>
        </w:rPr>
        <w:t xml:space="preserve"> Nemalo by ísť o inštrukcie týkajúce sa každodenného vedenia spoločnosti, ale skôr o všeobecné usmernenia. </w:t>
      </w:r>
    </w:p>
    <w:p w14:paraId="3B47DD30" w14:textId="1F140A18" w:rsidR="00EB1051" w:rsidRPr="00F2249F" w:rsidRDefault="00EB1051" w:rsidP="00EB1051">
      <w:pPr>
        <w:pStyle w:val="Pta"/>
        <w:overflowPunct w:val="0"/>
        <w:autoSpaceDE w:val="0"/>
        <w:autoSpaceDN w:val="0"/>
        <w:adjustRightInd w:val="0"/>
        <w:jc w:val="both"/>
        <w:textAlignment w:val="baseline"/>
        <w:rPr>
          <w:i/>
        </w:rPr>
      </w:pPr>
      <w:r w:rsidRPr="00F2249F">
        <w:rPr>
          <w:i/>
        </w:rPr>
        <w:t xml:space="preserve">Toto ustanovenie je prepojené s čl. 60. </w:t>
      </w:r>
    </w:p>
    <w:p w14:paraId="4EFD5E3E" w14:textId="77777777" w:rsidR="00EB1051" w:rsidRPr="00F2249F" w:rsidRDefault="00EB1051" w:rsidP="00EB1051">
      <w:pPr>
        <w:pStyle w:val="Pta"/>
        <w:overflowPunct w:val="0"/>
        <w:autoSpaceDE w:val="0"/>
        <w:autoSpaceDN w:val="0"/>
        <w:adjustRightInd w:val="0"/>
        <w:jc w:val="both"/>
        <w:textAlignment w:val="baseline"/>
        <w:rPr>
          <w:i/>
        </w:rPr>
      </w:pPr>
    </w:p>
    <w:p w14:paraId="70822713"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rPr>
          <w:u w:val="single"/>
        </w:rPr>
      </w:pPr>
      <w:r w:rsidRPr="00F2249F">
        <w:rPr>
          <w:b/>
          <w:u w:val="single"/>
        </w:rPr>
        <w:t>Článok 43 Konanie za spoločnosť</w:t>
      </w:r>
      <w:r w:rsidRPr="00F2249F">
        <w:rPr>
          <w:u w:val="single"/>
        </w:rPr>
        <w:t xml:space="preserve"> </w:t>
      </w:r>
    </w:p>
    <w:p w14:paraId="4C2203F4" w14:textId="6FC065AA" w:rsidR="00EB1051" w:rsidRPr="00F2249F" w:rsidRDefault="00EB1051" w:rsidP="00EB1051">
      <w:pPr>
        <w:pStyle w:val="Pta"/>
        <w:tabs>
          <w:tab w:val="clear" w:pos="4536"/>
          <w:tab w:val="clear" w:pos="9072"/>
        </w:tabs>
        <w:overflowPunct w:val="0"/>
        <w:autoSpaceDE w:val="0"/>
        <w:autoSpaceDN w:val="0"/>
        <w:adjustRightInd w:val="0"/>
        <w:jc w:val="both"/>
        <w:textAlignment w:val="baseline"/>
      </w:pPr>
      <w:r w:rsidRPr="00F2249F">
        <w:t xml:space="preserve">Ustanovenie upravuje konanie obchodnej spoločnosti EU </w:t>
      </w:r>
      <w:proofErr w:type="spellStart"/>
      <w:r w:rsidRPr="00F2249F">
        <w:t>Inc</w:t>
      </w:r>
      <w:proofErr w:type="spellEnd"/>
      <w:r w:rsidRPr="00F2249F">
        <w:t xml:space="preserve">., ktoré sa zveruje </w:t>
      </w:r>
      <w:r w:rsidR="008304A7" w:rsidRPr="00F2249F">
        <w:t>správnej rade</w:t>
      </w:r>
      <w:r w:rsidRPr="00F2249F">
        <w:t xml:space="preserve">) s možnosťou zveriť konanie za spoločnosť viacerým </w:t>
      </w:r>
      <w:r w:rsidR="00412F74" w:rsidRPr="00F2249F">
        <w:t xml:space="preserve">riaditeľom </w:t>
      </w:r>
      <w:r w:rsidRPr="00F2249F">
        <w:t xml:space="preserve">(zverenie je flexibilné, teda je možné napríklad stanoviť že vždy musia spolu konať dvaja </w:t>
      </w:r>
      <w:r w:rsidR="00412F74" w:rsidRPr="00F2249F">
        <w:t>riaditelia, alebo viacerí určití riaditelia</w:t>
      </w:r>
      <w:r w:rsidRPr="00F2249F">
        <w:t xml:space="preserve">). Javí sa, že ustanovenie sa aplikuje na aktívnu i pasívnu reprezentáciu, teda základné pravidlo je, že napr. i na prijatie inštrukcií musia byť prítomní všetci členovia </w:t>
      </w:r>
      <w:r w:rsidR="008304A7" w:rsidRPr="00F2249F">
        <w:t>správnej rady</w:t>
      </w:r>
      <w:r w:rsidRPr="00F2249F">
        <w:t>. Článok uvádza obmedzenia</w:t>
      </w:r>
      <w:r w:rsidR="00412F74" w:rsidRPr="00F2249F">
        <w:t xml:space="preserve"> právomocí</w:t>
      </w:r>
      <w:r w:rsidRPr="00F2249F">
        <w:t xml:space="preserve"> </w:t>
      </w:r>
      <w:r w:rsidR="00412F74" w:rsidRPr="00F2249F">
        <w:t xml:space="preserve">riaditeľov </w:t>
      </w:r>
      <w:r w:rsidRPr="00F2249F">
        <w:t xml:space="preserve">účinné pre tretie strany. Posledný odsek je venovaný delegovaniu právomoci </w:t>
      </w:r>
      <w:r w:rsidR="007F64D1" w:rsidRPr="00F2249F">
        <w:t>riaditeľov</w:t>
      </w:r>
      <w:r w:rsidRPr="00F2249F">
        <w:t xml:space="preserve"> na ďalšie osoby. </w:t>
      </w:r>
    </w:p>
    <w:p w14:paraId="73FB319C"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pPr>
    </w:p>
    <w:p w14:paraId="55DB87EB" w14:textId="09986107" w:rsidR="00412F74" w:rsidRPr="00F2249F" w:rsidRDefault="00EB1051" w:rsidP="00412F74">
      <w:pPr>
        <w:pStyle w:val="Pta"/>
        <w:tabs>
          <w:tab w:val="clear" w:pos="4536"/>
          <w:tab w:val="clear" w:pos="9072"/>
        </w:tabs>
        <w:overflowPunct w:val="0"/>
        <w:autoSpaceDE w:val="0"/>
        <w:autoSpaceDN w:val="0"/>
        <w:adjustRightInd w:val="0"/>
        <w:jc w:val="both"/>
        <w:textAlignment w:val="baseline"/>
        <w:rPr>
          <w:i/>
        </w:rPr>
      </w:pPr>
      <w:r w:rsidRPr="00F2249F">
        <w:rPr>
          <w:b/>
          <w:u w:val="single"/>
        </w:rPr>
        <w:t>Pozícia SR</w:t>
      </w:r>
      <w:r w:rsidRPr="00F2249F">
        <w:rPr>
          <w:b/>
        </w:rPr>
        <w:t>:</w:t>
      </w:r>
      <w:r w:rsidRPr="00F2249F">
        <w:t xml:space="preserve"> </w:t>
      </w:r>
      <w:r w:rsidR="00412F74" w:rsidRPr="00F2249F">
        <w:rPr>
          <w:i/>
        </w:rPr>
        <w:t xml:space="preserve">Pokiaľ ide o obmedzenia konateľov, ustanovenia návrhu zodpovedajú úprave slovenského práva [§ 13 ods. 4. ObZ v spojení s § 133 ObZ a § 11 písm. j) zákona č.   29/2026 Z. z. o obchodnom registri a o zmene a doplnení niektorých zákonov (zákon o obchodnom registri) (ďalej len „zákona č. 29/2026 Z. z.“)]. Návrh nariadenia však neupravuje všeobecne spôsob konania za podnikateľa a tak vynecháva ustanovenia o prokúre, osobách poverených pri prevádzkovaní podniku, či konanie osoby v prevádzkarni podnikateľa. Tieto ustanovenia sa budú na EU </w:t>
      </w:r>
      <w:proofErr w:type="spellStart"/>
      <w:r w:rsidR="00412F74" w:rsidRPr="00F2249F">
        <w:rPr>
          <w:i/>
        </w:rPr>
        <w:t>Inc</w:t>
      </w:r>
      <w:proofErr w:type="spellEnd"/>
      <w:r w:rsidR="00412F74" w:rsidRPr="00F2249F">
        <w:rPr>
          <w:i/>
        </w:rPr>
        <w:t xml:space="preserve">. vzťahovať subsidiárne, čo je potrebné na pracovnej skupine Rady vyjasniť. </w:t>
      </w:r>
    </w:p>
    <w:p w14:paraId="06AB2749"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rPr>
          <w:i/>
        </w:rPr>
      </w:pPr>
      <w:r w:rsidRPr="00F2249F">
        <w:rPr>
          <w:i/>
        </w:rPr>
        <w:lastRenderedPageBreak/>
        <w:t>Slovenská republika nemá k ustanoveniu výhrady.</w:t>
      </w:r>
    </w:p>
    <w:p w14:paraId="6F0EC780"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pPr>
    </w:p>
    <w:p w14:paraId="25086B3E" w14:textId="2FB2A18F" w:rsidR="00EB1051" w:rsidRPr="00F2249F" w:rsidRDefault="00EB1051" w:rsidP="00EB1051">
      <w:pPr>
        <w:pStyle w:val="Pta"/>
        <w:tabs>
          <w:tab w:val="clear" w:pos="4536"/>
          <w:tab w:val="clear" w:pos="9072"/>
        </w:tabs>
        <w:overflowPunct w:val="0"/>
        <w:autoSpaceDE w:val="0"/>
        <w:autoSpaceDN w:val="0"/>
        <w:adjustRightInd w:val="0"/>
        <w:jc w:val="both"/>
        <w:textAlignment w:val="baseline"/>
        <w:rPr>
          <w:b/>
          <w:u w:val="single"/>
        </w:rPr>
      </w:pPr>
      <w:r w:rsidRPr="00F2249F">
        <w:rPr>
          <w:b/>
          <w:u w:val="single"/>
        </w:rPr>
        <w:t xml:space="preserve">Článok 44 Povinnosti </w:t>
      </w:r>
      <w:r w:rsidR="00CA388F" w:rsidRPr="00F2249F">
        <w:rPr>
          <w:b/>
          <w:u w:val="single"/>
        </w:rPr>
        <w:t>riaditeľov</w:t>
      </w:r>
    </w:p>
    <w:p w14:paraId="4F06F92C" w14:textId="21D34D90" w:rsidR="00EB1051" w:rsidRPr="00F2249F" w:rsidRDefault="00EB1051" w:rsidP="00EB1051">
      <w:pPr>
        <w:pStyle w:val="Pta"/>
        <w:tabs>
          <w:tab w:val="clear" w:pos="4536"/>
          <w:tab w:val="clear" w:pos="9072"/>
        </w:tabs>
        <w:overflowPunct w:val="0"/>
        <w:autoSpaceDE w:val="0"/>
        <w:autoSpaceDN w:val="0"/>
        <w:adjustRightInd w:val="0"/>
        <w:jc w:val="both"/>
        <w:textAlignment w:val="baseline"/>
      </w:pPr>
      <w:r w:rsidRPr="00F2249F">
        <w:t xml:space="preserve">Povinnosti </w:t>
      </w:r>
      <w:r w:rsidR="00CA388F" w:rsidRPr="00F2249F">
        <w:t>riaditeľov</w:t>
      </w:r>
      <w:r w:rsidRPr="00F2249F">
        <w:t xml:space="preserve"> zahŕňajú konanie v súlade so stanovami, povinnosť lojality (</w:t>
      </w:r>
      <w:r w:rsidR="00412F74" w:rsidRPr="00F2249F">
        <w:t xml:space="preserve">konanie </w:t>
      </w:r>
      <w:r w:rsidRPr="00F2249F">
        <w:t xml:space="preserve">v najlepšom záujme spoločnosti) a povinnosť odbornej starostlivosti. Pravidlo podnikateľského rozhodovania a právo na podnikateľský omyl sú vyslovene vyjadrené. Článok formuluje i zodpovednosť </w:t>
      </w:r>
      <w:r w:rsidR="00CA388F" w:rsidRPr="00F2249F">
        <w:t>riaditeľov</w:t>
      </w:r>
      <w:r w:rsidRPr="00F2249F">
        <w:t xml:space="preserve"> za škodu a liberačné dôvody s odkazom na vnútroštátne právo. Do zodpovednosti </w:t>
      </w:r>
      <w:r w:rsidR="00CA388F" w:rsidRPr="00F2249F">
        <w:t xml:space="preserve">riaditeľov </w:t>
      </w:r>
      <w:r w:rsidRPr="00F2249F">
        <w:t xml:space="preserve">patrí zrejme i zodpovednosť za daňové nedoplatky (úvodná veta odseku 1). </w:t>
      </w:r>
    </w:p>
    <w:p w14:paraId="4DCC98C3"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rPr>
          <w:b/>
          <w:u w:val="single"/>
        </w:rPr>
      </w:pPr>
    </w:p>
    <w:p w14:paraId="52B03DEA" w14:textId="7AB335B2" w:rsidR="00CA388F" w:rsidRPr="00F2249F" w:rsidRDefault="00EB1051" w:rsidP="00CA388F">
      <w:pPr>
        <w:pStyle w:val="Pta"/>
        <w:tabs>
          <w:tab w:val="clear" w:pos="4536"/>
          <w:tab w:val="clear" w:pos="9072"/>
        </w:tabs>
        <w:overflowPunct w:val="0"/>
        <w:autoSpaceDE w:val="0"/>
        <w:autoSpaceDN w:val="0"/>
        <w:adjustRightInd w:val="0"/>
        <w:jc w:val="both"/>
        <w:textAlignment w:val="baseline"/>
        <w:rPr>
          <w:i/>
        </w:rPr>
      </w:pPr>
      <w:r w:rsidRPr="00F2249F">
        <w:rPr>
          <w:b/>
          <w:u w:val="single"/>
        </w:rPr>
        <w:t>Pozícia SR</w:t>
      </w:r>
      <w:r w:rsidRPr="00F2249F">
        <w:rPr>
          <w:b/>
        </w:rPr>
        <w:t>:</w:t>
      </w:r>
      <w:r w:rsidRPr="00F2249F">
        <w:t xml:space="preserve"> </w:t>
      </w:r>
      <w:r w:rsidR="00CA388F" w:rsidRPr="00F2249F">
        <w:rPr>
          <w:i/>
        </w:rPr>
        <w:t xml:space="preserve">Ustanovenie je formulované jasnejšie a precíznejšie ako slovenská úprava </w:t>
      </w:r>
      <w:proofErr w:type="spellStart"/>
      <w:r w:rsidR="00CA388F" w:rsidRPr="00F2249F">
        <w:rPr>
          <w:i/>
        </w:rPr>
        <w:t>s.r.o</w:t>
      </w:r>
      <w:proofErr w:type="spellEnd"/>
      <w:r w:rsidR="00CA388F" w:rsidRPr="00F2249F">
        <w:rPr>
          <w:i/>
        </w:rPr>
        <w:t>. (</w:t>
      </w:r>
      <w:proofErr w:type="spellStart"/>
      <w:r w:rsidR="00CA388F" w:rsidRPr="00F2249F">
        <w:rPr>
          <w:i/>
        </w:rPr>
        <w:t>porov</w:t>
      </w:r>
      <w:proofErr w:type="spellEnd"/>
      <w:r w:rsidR="00CA388F" w:rsidRPr="00F2249F">
        <w:rPr>
          <w:i/>
        </w:rPr>
        <w:t xml:space="preserve">. § 133 ods. 5 a § 194 ods. 7 ObZ. Ku dobrej viere, lojalite a profesionalite a k zodpovednosti štatutárnych orgánov pozri § 135a ObZ). </w:t>
      </w:r>
    </w:p>
    <w:p w14:paraId="1806CE8F" w14:textId="71683E2C" w:rsidR="00412F74" w:rsidRPr="00F2249F" w:rsidRDefault="00EB1051" w:rsidP="00EB1051">
      <w:pPr>
        <w:pStyle w:val="Pta"/>
        <w:tabs>
          <w:tab w:val="clear" w:pos="4536"/>
          <w:tab w:val="clear" w:pos="9072"/>
        </w:tabs>
        <w:overflowPunct w:val="0"/>
        <w:autoSpaceDE w:val="0"/>
        <w:autoSpaceDN w:val="0"/>
        <w:adjustRightInd w:val="0"/>
        <w:jc w:val="both"/>
        <w:textAlignment w:val="baseline"/>
        <w:rPr>
          <w:i/>
        </w:rPr>
      </w:pPr>
      <w:r w:rsidRPr="00F2249F">
        <w:rPr>
          <w:i/>
        </w:rPr>
        <w:t xml:space="preserve">Z tohto i ďalších ustanovení návrhu je tiež zrejmé, že kľúčovým ustanovením pre spoločnosť EU </w:t>
      </w:r>
      <w:proofErr w:type="spellStart"/>
      <w:r w:rsidRPr="00F2249F">
        <w:rPr>
          <w:i/>
        </w:rPr>
        <w:t>Inc</w:t>
      </w:r>
      <w:proofErr w:type="spellEnd"/>
      <w:r w:rsidRPr="00F2249F">
        <w:rPr>
          <w:i/>
        </w:rPr>
        <w:t xml:space="preserve">. je zodpovednosť </w:t>
      </w:r>
      <w:r w:rsidR="00412F74" w:rsidRPr="00F2249F">
        <w:rPr>
          <w:i/>
        </w:rPr>
        <w:t>riaditeľov</w:t>
      </w:r>
      <w:r w:rsidRPr="00F2249F">
        <w:rPr>
          <w:i/>
        </w:rPr>
        <w:t xml:space="preserve"> (opustenie povinného základného imania, zodpovednosť </w:t>
      </w:r>
      <w:r w:rsidR="00CA388F" w:rsidRPr="00F2249F">
        <w:rPr>
          <w:i/>
        </w:rPr>
        <w:t>riaditeľov</w:t>
      </w:r>
      <w:r w:rsidR="00F631D2" w:rsidRPr="00F2249F">
        <w:rPr>
          <w:i/>
        </w:rPr>
        <w:t xml:space="preserve"> </w:t>
      </w:r>
      <w:r w:rsidRPr="00F2249F">
        <w:rPr>
          <w:i/>
        </w:rPr>
        <w:t xml:space="preserve">za škodu, spoluúčasť pri teste solventnosti pri distribúcii v širšom zmysle slova ako i ďalšie osobitné zodpovednostné mechanizmy). Je však otázne, nakoľko je táto zodpovednosť vynútiteľná, keďže pobyt člena </w:t>
      </w:r>
      <w:r w:rsidR="00225542" w:rsidRPr="00F2249F">
        <w:rPr>
          <w:i/>
        </w:rPr>
        <w:t xml:space="preserve">správnej rady </w:t>
      </w:r>
      <w:r w:rsidRPr="00F2249F">
        <w:rPr>
          <w:i/>
        </w:rPr>
        <w:t xml:space="preserve">v Únii nie je pri registrácii nijako kontrolovaný a môže sa kedykoľvek po registrácii zmeniť. </w:t>
      </w:r>
    </w:p>
    <w:p w14:paraId="0C683BF6" w14:textId="1E790C14" w:rsidR="00412F74" w:rsidRPr="00F2249F" w:rsidRDefault="00412F74" w:rsidP="00EB1051">
      <w:pPr>
        <w:pStyle w:val="Pta"/>
        <w:tabs>
          <w:tab w:val="clear" w:pos="4536"/>
          <w:tab w:val="clear" w:pos="9072"/>
        </w:tabs>
        <w:overflowPunct w:val="0"/>
        <w:autoSpaceDE w:val="0"/>
        <w:autoSpaceDN w:val="0"/>
        <w:adjustRightInd w:val="0"/>
        <w:jc w:val="both"/>
        <w:textAlignment w:val="baseline"/>
        <w:rPr>
          <w:i/>
        </w:rPr>
      </w:pPr>
      <w:r w:rsidRPr="00F2249F">
        <w:rPr>
          <w:i/>
        </w:rPr>
        <w:t xml:space="preserve">V ustanovení by bolo vhodné rozlíšiť aktívne a pasívne konanie za spoločnosť, pričom východiskovým pravidlom pri aktívnom konaní za spoločnosť môže zostať spoločné konanie všetkých riaditeľov (členov orgánu), ale pri pasívnom konaní (prijímaní inštrukcií, informácií) by ho bolo vhodné zmeniť tak, aby postačilo konanie pred jediným členom orgánu. Opačná úprava by mohla spôsobiť nemožnosť pasívneho konania za spoločnosť tretím stranám. </w:t>
      </w:r>
    </w:p>
    <w:p w14:paraId="44160E71" w14:textId="7D317993" w:rsidR="00EB1051" w:rsidRPr="00F2249F" w:rsidRDefault="00EB1051" w:rsidP="00EB1051">
      <w:pPr>
        <w:pStyle w:val="Pta"/>
        <w:tabs>
          <w:tab w:val="clear" w:pos="4536"/>
          <w:tab w:val="clear" w:pos="9072"/>
        </w:tabs>
        <w:overflowPunct w:val="0"/>
        <w:autoSpaceDE w:val="0"/>
        <w:autoSpaceDN w:val="0"/>
        <w:adjustRightInd w:val="0"/>
        <w:jc w:val="both"/>
        <w:textAlignment w:val="baseline"/>
        <w:rPr>
          <w:i/>
        </w:rPr>
      </w:pPr>
      <w:r w:rsidRPr="00F2249F">
        <w:rPr>
          <w:i/>
        </w:rPr>
        <w:t xml:space="preserve">V ustanoveniach kapitoly chýba explicitné pravidlo o rozhodovaní viacerých </w:t>
      </w:r>
      <w:r w:rsidR="00CA388F" w:rsidRPr="00F2249F">
        <w:rPr>
          <w:i/>
        </w:rPr>
        <w:t>členov správnej rady</w:t>
      </w:r>
      <w:r w:rsidR="00440D13" w:rsidRPr="00F2249F">
        <w:rPr>
          <w:i/>
        </w:rPr>
        <w:t xml:space="preserve"> </w:t>
      </w:r>
      <w:r w:rsidRPr="00F2249F">
        <w:rPr>
          <w:i/>
        </w:rPr>
        <w:t xml:space="preserve">a tiež akékoľvek osobitné ustanovenie o obchodnom vedení spoločnosti  (§ 134 ObZ). V diskusii o návrhu bude potrebné vyjasniť, ako bude </w:t>
      </w:r>
      <w:r w:rsidR="00225542" w:rsidRPr="00F2249F">
        <w:rPr>
          <w:i/>
        </w:rPr>
        <w:t>správna rada</w:t>
      </w:r>
      <w:r w:rsidRPr="00F2249F">
        <w:rPr>
          <w:i/>
        </w:rPr>
        <w:t xml:space="preserve"> v prípade nezhody rozhodovať. Je možné, že KOM vynechala takúto úpravu, nakoľko patrí do všeobecnej úpravy právnických osôb a slovenské právo sa tu použije subsidiárne, je to však potrebné vyjasniť. </w:t>
      </w:r>
    </w:p>
    <w:p w14:paraId="1D34D2D4" w14:textId="70AE4D3B" w:rsidR="00EB1051" w:rsidRPr="00F2249F" w:rsidRDefault="00EB1051" w:rsidP="00EB1051">
      <w:pPr>
        <w:pStyle w:val="Pta"/>
        <w:tabs>
          <w:tab w:val="clear" w:pos="4536"/>
          <w:tab w:val="clear" w:pos="9072"/>
        </w:tabs>
        <w:overflowPunct w:val="0"/>
        <w:autoSpaceDE w:val="0"/>
        <w:autoSpaceDN w:val="0"/>
        <w:adjustRightInd w:val="0"/>
        <w:jc w:val="both"/>
        <w:textAlignment w:val="baseline"/>
        <w:rPr>
          <w:i/>
        </w:rPr>
      </w:pPr>
    </w:p>
    <w:p w14:paraId="0E88D753" w14:textId="5ADBC769" w:rsidR="00EB1051" w:rsidRPr="00F2249F" w:rsidRDefault="00EB1051" w:rsidP="00EB1051">
      <w:pPr>
        <w:pStyle w:val="Pta"/>
        <w:tabs>
          <w:tab w:val="clear" w:pos="4536"/>
          <w:tab w:val="clear" w:pos="9072"/>
        </w:tabs>
        <w:overflowPunct w:val="0"/>
        <w:autoSpaceDE w:val="0"/>
        <w:autoSpaceDN w:val="0"/>
        <w:adjustRightInd w:val="0"/>
        <w:jc w:val="both"/>
        <w:textAlignment w:val="baseline"/>
        <w:rPr>
          <w:i/>
        </w:rPr>
      </w:pPr>
      <w:r w:rsidRPr="00F2249F">
        <w:rPr>
          <w:i/>
        </w:rPr>
        <w:t xml:space="preserve">Nie je zrejmé, ako bude upravený rozsah škody uhrádzanej </w:t>
      </w:r>
      <w:r w:rsidR="00A7677D" w:rsidRPr="00F2249F">
        <w:rPr>
          <w:i/>
        </w:rPr>
        <w:t>riaditeľmi (členmi orgánu)</w:t>
      </w:r>
      <w:r w:rsidRPr="00F2249F">
        <w:rPr>
          <w:i/>
        </w:rPr>
        <w:t xml:space="preserve"> spoločne, podmienky regresu medzi nimi a vzťah navrhovanej zodpovednosti priamo voči veriteľom.</w:t>
      </w:r>
      <w:r w:rsidR="00412F74" w:rsidRPr="00F2249F">
        <w:rPr>
          <w:i/>
        </w:rPr>
        <w:t xml:space="preserve"> </w:t>
      </w:r>
      <w:r w:rsidRPr="00F2249F">
        <w:rPr>
          <w:i/>
        </w:rPr>
        <w:t xml:space="preserve"> </w:t>
      </w:r>
    </w:p>
    <w:p w14:paraId="32B9497E"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rPr>
          <w:i/>
        </w:rPr>
      </w:pPr>
    </w:p>
    <w:p w14:paraId="09454569" w14:textId="47A52D42" w:rsidR="00EB1051" w:rsidRPr="00F2249F" w:rsidRDefault="00EB1051" w:rsidP="00EB1051">
      <w:pPr>
        <w:pStyle w:val="Pta"/>
        <w:tabs>
          <w:tab w:val="clear" w:pos="4536"/>
          <w:tab w:val="clear" w:pos="9072"/>
        </w:tabs>
        <w:overflowPunct w:val="0"/>
        <w:autoSpaceDE w:val="0"/>
        <w:autoSpaceDN w:val="0"/>
        <w:adjustRightInd w:val="0"/>
        <w:jc w:val="both"/>
        <w:textAlignment w:val="baseline"/>
        <w:rPr>
          <w:i/>
        </w:rPr>
      </w:pPr>
      <w:r w:rsidRPr="00F2249F">
        <w:rPr>
          <w:i/>
        </w:rPr>
        <w:t xml:space="preserve">Okrem toho bude vhodné presadiť jednotné vnímanie faktického </w:t>
      </w:r>
      <w:r w:rsidR="00A7677D" w:rsidRPr="00F2249F">
        <w:rPr>
          <w:i/>
        </w:rPr>
        <w:t xml:space="preserve">a tieňového riaditeľa </w:t>
      </w:r>
      <w:r w:rsidRPr="00F2249F">
        <w:rPr>
          <w:i/>
        </w:rPr>
        <w:t xml:space="preserve">na úrovni návrhu. Takýto inštitút návrh v súčasnosti vôbec nerieši. Subsidiárne uplatnená zodpovednosť takejto osoby podľa slovenského práva nepostačuje, pretože na Slovensku budú môcť pôsobiť i zahraničné EU </w:t>
      </w:r>
      <w:proofErr w:type="spellStart"/>
      <w:r w:rsidRPr="00F2249F">
        <w:rPr>
          <w:i/>
        </w:rPr>
        <w:t>Inc</w:t>
      </w:r>
      <w:proofErr w:type="spellEnd"/>
      <w:r w:rsidRPr="00F2249F">
        <w:rPr>
          <w:i/>
        </w:rPr>
        <w:t xml:space="preserve">., ktorých de </w:t>
      </w:r>
      <w:proofErr w:type="spellStart"/>
      <w:r w:rsidRPr="00F2249F">
        <w:rPr>
          <w:i/>
        </w:rPr>
        <w:t>facto</w:t>
      </w:r>
      <w:proofErr w:type="spellEnd"/>
      <w:r w:rsidRPr="00F2249F">
        <w:rPr>
          <w:i/>
        </w:rPr>
        <w:t xml:space="preserve"> alebo tieňoví členovia predstavenstva </w:t>
      </w:r>
      <w:r w:rsidR="00A7677D" w:rsidRPr="00F2249F">
        <w:rPr>
          <w:i/>
        </w:rPr>
        <w:t>nemusia byť</w:t>
      </w:r>
      <w:r w:rsidRPr="00F2249F">
        <w:rPr>
          <w:i/>
        </w:rPr>
        <w:t xml:space="preserve"> podľa zahraničného práva zodpovední. </w:t>
      </w:r>
    </w:p>
    <w:p w14:paraId="4184906E"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rPr>
          <w:i/>
        </w:rPr>
      </w:pPr>
      <w:r w:rsidRPr="00F2249F">
        <w:rPr>
          <w:i/>
        </w:rPr>
        <w:t xml:space="preserve">V diskusii bude potrebné spresniť pojem najlepší záujem spoločnosti, ktorý sa v rôznych členských štátoch chápe rôzne. Alternatívne bude vhodné spresniť, ktorým rozhodným právom sa riadi. </w:t>
      </w:r>
    </w:p>
    <w:p w14:paraId="15A5AA26" w14:textId="17384F2E" w:rsidR="00EB1051" w:rsidRPr="00F2249F" w:rsidRDefault="00EB1051" w:rsidP="00EB1051">
      <w:pPr>
        <w:pStyle w:val="Pta"/>
        <w:tabs>
          <w:tab w:val="clear" w:pos="4536"/>
          <w:tab w:val="clear" w:pos="9072"/>
        </w:tabs>
        <w:overflowPunct w:val="0"/>
        <w:autoSpaceDE w:val="0"/>
        <w:autoSpaceDN w:val="0"/>
        <w:adjustRightInd w:val="0"/>
        <w:jc w:val="both"/>
        <w:textAlignment w:val="baseline"/>
        <w:rPr>
          <w:i/>
        </w:rPr>
      </w:pPr>
      <w:r w:rsidRPr="00F2249F">
        <w:rPr>
          <w:i/>
        </w:rPr>
        <w:t xml:space="preserve">Okrem toho bude vhodné vyjadriť povinnosť </w:t>
      </w:r>
      <w:r w:rsidR="00A7677D" w:rsidRPr="00F2249F">
        <w:rPr>
          <w:i/>
        </w:rPr>
        <w:t>riaditeľov</w:t>
      </w:r>
      <w:r w:rsidRPr="00F2249F">
        <w:rPr>
          <w:i/>
        </w:rPr>
        <w:t xml:space="preserve"> konať v súlade so stanovami alebo rozhodnutím valného zhromaždenia pozitívne v odseku 1 a nie negatívne (ako zodpovednosť za porušenie) v odseku 2. Je tiež potrebné spresniť odsek 3, aby nebolo možné schváliť zneužívajúce rozhodnutia valného zhromaždenia spriaznenými akcionármi a na ich základe zbaviť zodpovednosti </w:t>
      </w:r>
      <w:r w:rsidR="007F64D1" w:rsidRPr="00F2249F">
        <w:rPr>
          <w:i/>
        </w:rPr>
        <w:t>riaditeľov</w:t>
      </w:r>
      <w:r w:rsidRPr="00F2249F">
        <w:rPr>
          <w:i/>
        </w:rPr>
        <w:t xml:space="preserve">. Aj takéto rozhodnutia musia podliehať princípom dobrej viery a najlepšieho záujmu spoločnosti. </w:t>
      </w:r>
      <w:r w:rsidR="00A7677D" w:rsidRPr="00F2249F">
        <w:rPr>
          <w:i/>
        </w:rPr>
        <w:t xml:space="preserve">Vhodným prostriedkom na zamedzenie takýmto rozhodnutiam je napríklad § 56a Obchodného zákonníka (zákaz zneužitia práv spoločníka, </w:t>
      </w:r>
      <w:r w:rsidR="00A7677D" w:rsidRPr="00F2249F">
        <w:rPr>
          <w:i/>
        </w:rPr>
        <w:lastRenderedPageBreak/>
        <w:t>zákaz znevýhodnenia spoločníka zneužívajúcim spôsobom), jeho použitie je však nutné vyjasniť v rámci aplikácie článku 4 návrhu nariadenia</w:t>
      </w:r>
      <w:r w:rsidR="00D86C77" w:rsidRPr="00F2249F">
        <w:rPr>
          <w:i/>
        </w:rPr>
        <w:t xml:space="preserve"> v spojitosti s touto kapitolou</w:t>
      </w:r>
      <w:r w:rsidR="00A7677D" w:rsidRPr="00F2249F">
        <w:rPr>
          <w:i/>
        </w:rPr>
        <w:t xml:space="preserve">. </w:t>
      </w:r>
    </w:p>
    <w:p w14:paraId="0F7D33A6"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pPr>
    </w:p>
    <w:p w14:paraId="5133117D"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rPr>
          <w:u w:val="single"/>
        </w:rPr>
      </w:pPr>
      <w:r w:rsidRPr="00F2249F">
        <w:rPr>
          <w:b/>
          <w:u w:val="single"/>
        </w:rPr>
        <w:t>Článok 45 Konflikt záujmov členov orgánov</w:t>
      </w:r>
      <w:r w:rsidRPr="00F2249F">
        <w:rPr>
          <w:u w:val="single"/>
        </w:rPr>
        <w:t xml:space="preserve"> </w:t>
      </w:r>
    </w:p>
    <w:p w14:paraId="2F32CC5E"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pPr>
    </w:p>
    <w:p w14:paraId="4AD6F176" w14:textId="1DE2B096" w:rsidR="00EB1051" w:rsidRPr="00F2249F" w:rsidRDefault="00EB1051" w:rsidP="00EB1051">
      <w:pPr>
        <w:pStyle w:val="Pta"/>
        <w:tabs>
          <w:tab w:val="clear" w:pos="4536"/>
          <w:tab w:val="clear" w:pos="9072"/>
        </w:tabs>
        <w:overflowPunct w:val="0"/>
        <w:autoSpaceDE w:val="0"/>
        <w:autoSpaceDN w:val="0"/>
        <w:adjustRightInd w:val="0"/>
        <w:jc w:val="both"/>
        <w:textAlignment w:val="baseline"/>
      </w:pPr>
      <w:r w:rsidRPr="00F2249F">
        <w:t xml:space="preserve">Ustanovenie obsahuje povinnosť </w:t>
      </w:r>
      <w:r w:rsidR="00225542" w:rsidRPr="00F2249F">
        <w:t>riaditeľov</w:t>
      </w:r>
      <w:r w:rsidRPr="00F2249F">
        <w:t xml:space="preserve"> informovať o konflikte záujmov </w:t>
      </w:r>
      <w:r w:rsidR="00225542" w:rsidRPr="00F2249F">
        <w:t xml:space="preserve">správnu radu </w:t>
      </w:r>
      <w:r w:rsidRPr="00F2249F">
        <w:t xml:space="preserve">(resp. valné zhromaždenie) a upustiť v takých prípadoch od </w:t>
      </w:r>
      <w:r w:rsidR="00FC1958" w:rsidRPr="00F2249F">
        <w:t xml:space="preserve">svojej </w:t>
      </w:r>
      <w:r w:rsidRPr="00F2249F">
        <w:t xml:space="preserve">účasti na rozhodovaní. Ustanovenie o konflikte záujmov </w:t>
      </w:r>
      <w:r w:rsidR="00225542" w:rsidRPr="00F2249F">
        <w:t>riaditeľov</w:t>
      </w:r>
      <w:r w:rsidRPr="00F2249F">
        <w:t xml:space="preserve"> je koncipované širšie a všeobecnejšie ako slovenská úprava, avšak umožňuje odklon prostredníctvom stanov resp. rozhodnutia valného zhromaždenia. Okrem toho sa nevzťahuje na zastupovanie spoločnosti navonok (čl. 43). </w:t>
      </w:r>
    </w:p>
    <w:p w14:paraId="32FA285D" w14:textId="1C9D1F52" w:rsidR="00EB1051" w:rsidRPr="00F2249F" w:rsidRDefault="00EB1051" w:rsidP="00EB1051">
      <w:pPr>
        <w:pStyle w:val="Pta"/>
        <w:tabs>
          <w:tab w:val="clear" w:pos="4536"/>
          <w:tab w:val="clear" w:pos="9072"/>
        </w:tabs>
        <w:overflowPunct w:val="0"/>
        <w:autoSpaceDE w:val="0"/>
        <w:autoSpaceDN w:val="0"/>
        <w:adjustRightInd w:val="0"/>
        <w:jc w:val="both"/>
        <w:textAlignment w:val="baseline"/>
      </w:pPr>
      <w:r w:rsidRPr="00F2249F">
        <w:t>Podrobnejšia resp. popisná úprava zákazu konkurencie</w:t>
      </w:r>
      <w:r w:rsidRPr="00F2249F">
        <w:rPr>
          <w:rStyle w:val="Odkaznapoznmkupodiarou"/>
        </w:rPr>
        <w:footnoteReference w:id="1"/>
      </w:r>
      <w:r w:rsidRPr="00F2249F">
        <w:t xml:space="preserve"> (</w:t>
      </w:r>
      <w:r w:rsidR="00FC1958" w:rsidRPr="00F2249F">
        <w:t xml:space="preserve"> po vzore </w:t>
      </w:r>
      <w:r w:rsidRPr="00F2249F">
        <w:t xml:space="preserve">§65, §136 ObZ) v návrhu absentuje a jej aplikácia sa touto úpravou vylúči v dôsledku pravidla lex </w:t>
      </w:r>
      <w:proofErr w:type="spellStart"/>
      <w:r w:rsidRPr="00F2249F">
        <w:t>specialis</w:t>
      </w:r>
      <w:proofErr w:type="spellEnd"/>
      <w:r w:rsidRPr="00F2249F">
        <w:t xml:space="preserve"> </w:t>
      </w:r>
      <w:proofErr w:type="spellStart"/>
      <w:r w:rsidRPr="00F2249F">
        <w:t>derogat</w:t>
      </w:r>
      <w:proofErr w:type="spellEnd"/>
      <w:r w:rsidRPr="00F2249F">
        <w:t xml:space="preserve"> </w:t>
      </w:r>
      <w:proofErr w:type="spellStart"/>
      <w:r w:rsidRPr="00F2249F">
        <w:t>legi</w:t>
      </w:r>
      <w:proofErr w:type="spellEnd"/>
      <w:r w:rsidRPr="00F2249F">
        <w:t xml:space="preserve"> </w:t>
      </w:r>
      <w:proofErr w:type="spellStart"/>
      <w:r w:rsidRPr="00F2249F">
        <w:t>generali</w:t>
      </w:r>
      <w:proofErr w:type="spellEnd"/>
      <w:r w:rsidRPr="00F2249F">
        <w:t xml:space="preserve">. Rovnaké platí pre § 22 zákona č. 40/1964 Zb. Občiansky zákonníka (ďalej len „Občiansky zákonník“ alebo „OZ“). </w:t>
      </w:r>
    </w:p>
    <w:p w14:paraId="41EB5239"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rPr>
          <w:b/>
          <w:u w:val="single"/>
        </w:rPr>
      </w:pPr>
    </w:p>
    <w:p w14:paraId="7BBE37C2" w14:textId="1C92BC53" w:rsidR="00EB1051" w:rsidRPr="00F2249F" w:rsidRDefault="00EB1051" w:rsidP="00EB1051">
      <w:pPr>
        <w:pStyle w:val="Pta"/>
        <w:tabs>
          <w:tab w:val="clear" w:pos="4536"/>
          <w:tab w:val="clear" w:pos="9072"/>
        </w:tabs>
        <w:overflowPunct w:val="0"/>
        <w:autoSpaceDE w:val="0"/>
        <w:autoSpaceDN w:val="0"/>
        <w:adjustRightInd w:val="0"/>
        <w:jc w:val="both"/>
        <w:textAlignment w:val="baseline"/>
        <w:rPr>
          <w:i/>
        </w:rPr>
      </w:pPr>
      <w:r w:rsidRPr="00F2249F">
        <w:rPr>
          <w:b/>
          <w:u w:val="single"/>
        </w:rPr>
        <w:t>Pozícia SR</w:t>
      </w:r>
      <w:r w:rsidRPr="00F2249F">
        <w:rPr>
          <w:b/>
        </w:rPr>
        <w:t>:</w:t>
      </w:r>
      <w:r w:rsidRPr="00F2249F">
        <w:t xml:space="preserve"> </w:t>
      </w:r>
      <w:r w:rsidRPr="00F2249F">
        <w:rPr>
          <w:i/>
        </w:rPr>
        <w:t xml:space="preserve">Slovenská republika </w:t>
      </w:r>
      <w:r w:rsidR="007541AF" w:rsidRPr="00F2249F">
        <w:rPr>
          <w:i/>
        </w:rPr>
        <w:t xml:space="preserve">vníma potrebu ďalšieho posúdenia flexibility predmetného ustanovenia, osobitne možnosti jeho modifikácie prostredníctvom stanov </w:t>
      </w:r>
      <w:r w:rsidRPr="00F2249F">
        <w:rPr>
          <w:i/>
        </w:rPr>
        <w:t xml:space="preserve"> alebo rozhodnutím valného zhromaždenia. </w:t>
      </w:r>
      <w:r w:rsidR="007541AF" w:rsidRPr="00F2249F">
        <w:rPr>
          <w:i/>
        </w:rPr>
        <w:t xml:space="preserve"> Preto je dôležité zabezpečiť, aby režim EU </w:t>
      </w:r>
      <w:proofErr w:type="spellStart"/>
      <w:r w:rsidR="007541AF" w:rsidRPr="00F2249F">
        <w:rPr>
          <w:i/>
        </w:rPr>
        <w:t>Inc</w:t>
      </w:r>
      <w:proofErr w:type="spellEnd"/>
      <w:r w:rsidR="007541AF" w:rsidRPr="00F2249F">
        <w:rPr>
          <w:i/>
        </w:rPr>
        <w:t xml:space="preserve">. primerane zohľadňoval </w:t>
      </w:r>
      <w:r w:rsidRPr="00F2249F">
        <w:rPr>
          <w:i/>
        </w:rPr>
        <w:t>pravidlá o konflikte záujmov</w:t>
      </w:r>
      <w:r w:rsidR="0038241A" w:rsidRPr="00F2249F">
        <w:rPr>
          <w:i/>
        </w:rPr>
        <w:t xml:space="preserve"> riaditeľov</w:t>
      </w:r>
      <w:r w:rsidRPr="00F2249F">
        <w:rPr>
          <w:i/>
        </w:rPr>
        <w:t xml:space="preserve">. </w:t>
      </w:r>
      <w:r w:rsidR="007541AF" w:rsidRPr="00F2249F">
        <w:rPr>
          <w:i/>
        </w:rPr>
        <w:t xml:space="preserve">Zároveň je vhodné zvážiť, aby sa pravidlá konfliktu záujmov uplatňovali aj v prípadoch </w:t>
      </w:r>
      <w:r w:rsidRPr="00F2249F">
        <w:rPr>
          <w:i/>
        </w:rPr>
        <w:t>konani</w:t>
      </w:r>
      <w:r w:rsidR="007541AF" w:rsidRPr="00F2249F">
        <w:rPr>
          <w:i/>
        </w:rPr>
        <w:t>a</w:t>
      </w:r>
      <w:r w:rsidRPr="00F2249F">
        <w:rPr>
          <w:i/>
        </w:rPr>
        <w:t xml:space="preserve">  spoločnos</w:t>
      </w:r>
      <w:r w:rsidR="007541AF" w:rsidRPr="00F2249F">
        <w:rPr>
          <w:i/>
        </w:rPr>
        <w:t>ti</w:t>
      </w:r>
      <w:r w:rsidRPr="00F2249F">
        <w:rPr>
          <w:i/>
        </w:rPr>
        <w:t xml:space="preserve"> navonok. </w:t>
      </w:r>
    </w:p>
    <w:p w14:paraId="7F41C90B" w14:textId="559858AB" w:rsidR="00FC1958" w:rsidRPr="00F2249F" w:rsidRDefault="007541AF" w:rsidP="00EB1051">
      <w:pPr>
        <w:pStyle w:val="Pta"/>
        <w:tabs>
          <w:tab w:val="clear" w:pos="4536"/>
          <w:tab w:val="clear" w:pos="9072"/>
        </w:tabs>
        <w:overflowPunct w:val="0"/>
        <w:autoSpaceDE w:val="0"/>
        <w:autoSpaceDN w:val="0"/>
        <w:adjustRightInd w:val="0"/>
        <w:jc w:val="both"/>
        <w:textAlignment w:val="baseline"/>
        <w:rPr>
          <w:i/>
        </w:rPr>
      </w:pPr>
      <w:r w:rsidRPr="00F2249F">
        <w:rPr>
          <w:i/>
        </w:rPr>
        <w:t>Pri</w:t>
      </w:r>
      <w:r w:rsidR="00FC1958" w:rsidRPr="00F2249F">
        <w:rPr>
          <w:i/>
        </w:rPr>
        <w:t xml:space="preserve"> spoločnostiach, ktoré nemajú základné imanie, </w:t>
      </w:r>
      <w:r w:rsidRPr="00F2249F">
        <w:rPr>
          <w:i/>
        </w:rPr>
        <w:t>môže byť ochrana pred neoprávneným vyvádzaním</w:t>
      </w:r>
      <w:r w:rsidR="00FC1958" w:rsidRPr="00F2249F">
        <w:rPr>
          <w:i/>
        </w:rPr>
        <w:t xml:space="preserve"> majetku zo spoločnosti </w:t>
      </w:r>
      <w:r w:rsidRPr="00F2249F">
        <w:rPr>
          <w:i/>
        </w:rPr>
        <w:t>založená na iných mechanizmoch, najmä na prísnej</w:t>
      </w:r>
      <w:r w:rsidR="00FC1958" w:rsidRPr="00F2249F">
        <w:rPr>
          <w:i/>
        </w:rPr>
        <w:t xml:space="preserve"> zodpovednos</w:t>
      </w:r>
      <w:r w:rsidRPr="00F2249F">
        <w:rPr>
          <w:i/>
        </w:rPr>
        <w:t>ti</w:t>
      </w:r>
      <w:r w:rsidR="00FC1958" w:rsidRPr="00F2249F">
        <w:rPr>
          <w:i/>
        </w:rPr>
        <w:t xml:space="preserve"> riaditeľov spoločnosti (viď čl. 44 a</w:t>
      </w:r>
      <w:r w:rsidRPr="00F2249F">
        <w:rPr>
          <w:i/>
        </w:rPr>
        <w:t> </w:t>
      </w:r>
      <w:r w:rsidR="00FC1958" w:rsidRPr="00F2249F">
        <w:rPr>
          <w:i/>
        </w:rPr>
        <w:t xml:space="preserve">72 návrhu). </w:t>
      </w:r>
      <w:r w:rsidRPr="00F2249F">
        <w:rPr>
          <w:i/>
        </w:rPr>
        <w:t xml:space="preserve">V tejto súvislosti je však potrebné vyjasniť osobný rozsah pôsobnosti týchto pravidiel. Považujeme za vhodné zvážiť, aby sa režim vzťahoval aj na de </w:t>
      </w:r>
      <w:proofErr w:type="spellStart"/>
      <w:r w:rsidRPr="00F2249F">
        <w:rPr>
          <w:i/>
        </w:rPr>
        <w:t>facto</w:t>
      </w:r>
      <w:proofErr w:type="spellEnd"/>
      <w:r w:rsidRPr="00F2249F">
        <w:rPr>
          <w:i/>
        </w:rPr>
        <w:t xml:space="preserve"> a tieňových riaditeľov a aby boli primerane riešené otázky vymenovania osôb, ktoré sú diskvalifikované v iných členských štátoch (pozri</w:t>
      </w:r>
      <w:r w:rsidR="00FC1958" w:rsidRPr="00F2249F">
        <w:rPr>
          <w:i/>
        </w:rPr>
        <w:t xml:space="preserve"> </w:t>
      </w:r>
      <w:r w:rsidRPr="00F2249F">
        <w:rPr>
          <w:i/>
        </w:rPr>
        <w:t>stanovisko</w:t>
      </w:r>
      <w:r w:rsidR="00FC1958" w:rsidRPr="00F2249F">
        <w:rPr>
          <w:i/>
        </w:rPr>
        <w:t xml:space="preserve"> k čl. 22 </w:t>
      </w:r>
      <w:r w:rsidRPr="00F2249F">
        <w:rPr>
          <w:i/>
        </w:rPr>
        <w:t xml:space="preserve">Návrhu). </w:t>
      </w:r>
    </w:p>
    <w:p w14:paraId="4B6E12A0"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pPr>
    </w:p>
    <w:p w14:paraId="58CD556C"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pPr>
      <w:r w:rsidRPr="00F2249F">
        <w:rPr>
          <w:b/>
        </w:rPr>
        <w:t>Článok 46 Transakcie so spriaznenými stranami</w:t>
      </w:r>
      <w:r w:rsidRPr="00F2249F">
        <w:t xml:space="preserve"> </w:t>
      </w:r>
    </w:p>
    <w:p w14:paraId="5852ED25"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pPr>
    </w:p>
    <w:p w14:paraId="00608747" w14:textId="352221E9" w:rsidR="00EB1051" w:rsidRPr="00F2249F" w:rsidRDefault="00EB1051" w:rsidP="00EB1051">
      <w:pPr>
        <w:pStyle w:val="Pta"/>
        <w:tabs>
          <w:tab w:val="clear" w:pos="4536"/>
          <w:tab w:val="clear" w:pos="9072"/>
        </w:tabs>
        <w:overflowPunct w:val="0"/>
        <w:autoSpaceDE w:val="0"/>
        <w:autoSpaceDN w:val="0"/>
        <w:adjustRightInd w:val="0"/>
        <w:jc w:val="both"/>
        <w:textAlignment w:val="baseline"/>
      </w:pPr>
      <w:r w:rsidRPr="00F2249F">
        <w:t xml:space="preserve">Ustanovenie o transakciách spoločnosti s jej spriaznenými stranami je koncipované z väčšej časti ako dispozitívne. Obsahuje možnosti ako sa spoločnosť môže </w:t>
      </w:r>
      <w:r w:rsidR="00B5379F" w:rsidRPr="00F2249F">
        <w:t xml:space="preserve">(ale nemusí) </w:t>
      </w:r>
      <w:r w:rsidRPr="00F2249F">
        <w:t xml:space="preserve">vysporiadať s týmto druhom transakcií v stanovách a zodpovednostné následky pre </w:t>
      </w:r>
      <w:r w:rsidR="007F64D1" w:rsidRPr="00F2249F">
        <w:t>riaditeľov</w:t>
      </w:r>
      <w:r w:rsidRPr="00F2249F">
        <w:t xml:space="preserve">. Stanovuje sa i povinná písomná forma pre transakcie medzi EU </w:t>
      </w:r>
      <w:proofErr w:type="spellStart"/>
      <w:r w:rsidRPr="00F2249F">
        <w:t>Inc</w:t>
      </w:r>
      <w:proofErr w:type="spellEnd"/>
      <w:r w:rsidRPr="00F2249F">
        <w:t xml:space="preserve">. a spriaznenou stranou v prípade, že jediný spoločník je zároveň </w:t>
      </w:r>
      <w:r w:rsidR="00137FD0" w:rsidRPr="00F2249F">
        <w:t xml:space="preserve">riaditeľom </w:t>
      </w:r>
      <w:r w:rsidRPr="00F2249F">
        <w:t xml:space="preserve">spoločnosti. </w:t>
      </w:r>
    </w:p>
    <w:p w14:paraId="12325250"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pPr>
    </w:p>
    <w:p w14:paraId="5F356781" w14:textId="097A417E" w:rsidR="004D72CE" w:rsidRPr="00F2249F" w:rsidRDefault="00EB1051" w:rsidP="004D72CE">
      <w:pPr>
        <w:pStyle w:val="Pta"/>
        <w:tabs>
          <w:tab w:val="clear" w:pos="4536"/>
          <w:tab w:val="clear" w:pos="9072"/>
        </w:tabs>
        <w:overflowPunct w:val="0"/>
        <w:autoSpaceDE w:val="0"/>
        <w:autoSpaceDN w:val="0"/>
        <w:adjustRightInd w:val="0"/>
        <w:jc w:val="both"/>
        <w:textAlignment w:val="baseline"/>
        <w:rPr>
          <w:i/>
        </w:rPr>
      </w:pPr>
      <w:r w:rsidRPr="00F2249F">
        <w:rPr>
          <w:b/>
          <w:u w:val="single"/>
        </w:rPr>
        <w:t>Pozícia SR</w:t>
      </w:r>
      <w:r w:rsidRPr="00F2249F">
        <w:rPr>
          <w:b/>
        </w:rPr>
        <w:t>:</w:t>
      </w:r>
      <w:r w:rsidRPr="00F2249F">
        <w:t xml:space="preserve"> </w:t>
      </w:r>
      <w:r w:rsidR="004D72CE" w:rsidRPr="00F2249F">
        <w:rPr>
          <w:i/>
        </w:rPr>
        <w:t xml:space="preserve">Slovenský Obchodný zákonník neobsahuje okrem úpravy verejnej akciovej spoločnosti výslovné pravidlá o transakciách so spriaznenými stranami. Tieto pravidlá však súvisia i s ustanoveniami o kríze (§67a-67i ObZ), ustanoveniami o zákaze vrátenia vkladu, (§ 67j-k) ustanovenia o konaní v zhode (§ 66b ObZ), </w:t>
      </w:r>
      <w:r w:rsidR="00296ACE" w:rsidRPr="00F2249F">
        <w:rPr>
          <w:i/>
        </w:rPr>
        <w:t>ustanoveniami zodpovednosti</w:t>
      </w:r>
      <w:r w:rsidR="00F631D2" w:rsidRPr="00F2249F">
        <w:rPr>
          <w:i/>
        </w:rPr>
        <w:t xml:space="preserve"> ovládajúcej osoby za úpadok ov</w:t>
      </w:r>
      <w:r w:rsidR="00296ACE" w:rsidRPr="00F2249F">
        <w:rPr>
          <w:i/>
        </w:rPr>
        <w:t>ládanej osoby,</w:t>
      </w:r>
      <w:r w:rsidR="004D72CE" w:rsidRPr="00F2249F">
        <w:rPr>
          <w:i/>
        </w:rPr>
        <w:t xml:space="preserve"> či ustanovenia o konflikte záujmov </w:t>
      </w:r>
      <w:r w:rsidR="007F64D1" w:rsidRPr="00F2249F">
        <w:rPr>
          <w:i/>
        </w:rPr>
        <w:t>riaditeľov</w:t>
      </w:r>
      <w:r w:rsidR="004D72CE" w:rsidRPr="00F2249F">
        <w:rPr>
          <w:i/>
        </w:rPr>
        <w:t xml:space="preserve"> a spoločnosti.</w:t>
      </w:r>
    </w:p>
    <w:p w14:paraId="1ED09A61" w14:textId="77777777" w:rsidR="004D72CE" w:rsidRPr="00F2249F" w:rsidRDefault="004D72CE" w:rsidP="004D72CE">
      <w:pPr>
        <w:pStyle w:val="Pta"/>
        <w:tabs>
          <w:tab w:val="clear" w:pos="4536"/>
          <w:tab w:val="clear" w:pos="9072"/>
        </w:tabs>
        <w:overflowPunct w:val="0"/>
        <w:autoSpaceDE w:val="0"/>
        <w:autoSpaceDN w:val="0"/>
        <w:adjustRightInd w:val="0"/>
        <w:jc w:val="both"/>
        <w:textAlignment w:val="baseline"/>
        <w:rPr>
          <w:i/>
        </w:rPr>
      </w:pPr>
      <w:r w:rsidRPr="00F2249F">
        <w:rPr>
          <w:i/>
        </w:rPr>
        <w:t xml:space="preserve">Úprava o povinnej písomnej forme čiastočne zodpovedá úprave v § 132/1 ObZ – slovenský Obchodný zákonník však požaduje overený podpis pre určité vytipované transakcie (zvýšenie/zníženie základného imania. Takéto ustanovenie však nie je pre návrh uplatniteľná. </w:t>
      </w:r>
    </w:p>
    <w:p w14:paraId="398BA2F0" w14:textId="3F7080E9" w:rsidR="00EB1051" w:rsidRPr="00F2249F" w:rsidRDefault="00EB1051" w:rsidP="00EB1051">
      <w:pPr>
        <w:pStyle w:val="Pta"/>
        <w:tabs>
          <w:tab w:val="clear" w:pos="4536"/>
          <w:tab w:val="clear" w:pos="9072"/>
        </w:tabs>
        <w:overflowPunct w:val="0"/>
        <w:autoSpaceDE w:val="0"/>
        <w:autoSpaceDN w:val="0"/>
        <w:adjustRightInd w:val="0"/>
        <w:jc w:val="both"/>
        <w:textAlignment w:val="baseline"/>
        <w:rPr>
          <w:i/>
        </w:rPr>
      </w:pPr>
      <w:r w:rsidRPr="00F2249F">
        <w:rPr>
          <w:i/>
        </w:rPr>
        <w:lastRenderedPageBreak/>
        <w:t xml:space="preserve">Slovenská republika má pochybnosti o dispozitívnej povahe ustanovenia z dôvodu </w:t>
      </w:r>
      <w:r w:rsidR="004D72CE" w:rsidRPr="00F2249F">
        <w:rPr>
          <w:i/>
        </w:rPr>
        <w:t xml:space="preserve">jeho </w:t>
      </w:r>
      <w:r w:rsidRPr="00F2249F">
        <w:rPr>
          <w:i/>
        </w:rPr>
        <w:t>prílišnej flexibility</w:t>
      </w:r>
      <w:r w:rsidR="004D72CE" w:rsidRPr="00F2249F">
        <w:rPr>
          <w:i/>
        </w:rPr>
        <w:t xml:space="preserve"> pre spriaznené osoby. </w:t>
      </w:r>
      <w:r w:rsidRPr="00F2249F">
        <w:rPr>
          <w:i/>
        </w:rPr>
        <w:t xml:space="preserve">, ktorá sa tak poskytuje spriazneným osobám spoločnosti. Takto široko navrhnutá možnosť uzatvárania transakcií medzi spoločnosťou a spriaznenými osobami môže spôsobiť nedôveryhodnosť značky EU </w:t>
      </w:r>
      <w:proofErr w:type="spellStart"/>
      <w:r w:rsidRPr="00F2249F">
        <w:rPr>
          <w:i/>
        </w:rPr>
        <w:t>Inc</w:t>
      </w:r>
      <w:proofErr w:type="spellEnd"/>
      <w:r w:rsidRPr="00F2249F">
        <w:rPr>
          <w:i/>
        </w:rPr>
        <w:t xml:space="preserve">. </w:t>
      </w:r>
      <w:r w:rsidR="004D72CE" w:rsidRPr="00F2249F">
        <w:rPr>
          <w:i/>
        </w:rPr>
        <w:t xml:space="preserve">Nie je zrejmé, či samotné všeobecné povinnosti riaditeľov poskytujú dostatočný minimálny štandard ochrany pred transakciami, ktoré povedú k neodôvodnenému odlivu hodnoty zo spoločnosti v prospech spoločníkov alebo </w:t>
      </w:r>
      <w:r w:rsidR="00296ACE" w:rsidRPr="00F2249F">
        <w:rPr>
          <w:i/>
        </w:rPr>
        <w:t xml:space="preserve">iných </w:t>
      </w:r>
      <w:r w:rsidR="004D72CE" w:rsidRPr="00F2249F">
        <w:rPr>
          <w:i/>
        </w:rPr>
        <w:t xml:space="preserve">spriaznených osôb. </w:t>
      </w:r>
      <w:r w:rsidR="00B5379F" w:rsidRPr="00F2249F">
        <w:rPr>
          <w:i/>
        </w:rPr>
        <w:t xml:space="preserve">Preto bude vhodné </w:t>
      </w:r>
      <w:r w:rsidR="00296ACE" w:rsidRPr="00F2249F">
        <w:rPr>
          <w:i/>
        </w:rPr>
        <w:t>prediskutovať</w:t>
      </w:r>
      <w:r w:rsidR="00B5379F" w:rsidRPr="00F2249F">
        <w:rPr>
          <w:i/>
        </w:rPr>
        <w:t xml:space="preserve">, aby určité pravidlá týkajúce sa transakcií so spriaznenými osobami, boli upravené priamo v texte nástroja a neboli ponechané výlučne na rozhodnutie spoločnosti prostredníctvom stanov.  </w:t>
      </w:r>
    </w:p>
    <w:p w14:paraId="3CF69D2A"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pPr>
    </w:p>
    <w:p w14:paraId="5BF83524"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rPr>
          <w:u w:val="single"/>
        </w:rPr>
      </w:pPr>
      <w:r w:rsidRPr="00F2249F">
        <w:rPr>
          <w:b/>
          <w:u w:val="single"/>
        </w:rPr>
        <w:t>Článok 47 Zasadania a elektronické hlasovanie</w:t>
      </w:r>
      <w:r w:rsidRPr="00F2249F">
        <w:rPr>
          <w:u w:val="single"/>
        </w:rPr>
        <w:t xml:space="preserve"> </w:t>
      </w:r>
    </w:p>
    <w:p w14:paraId="5C1B7A99"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pPr>
    </w:p>
    <w:p w14:paraId="66AA1D25" w14:textId="55548DB1" w:rsidR="00EB1051" w:rsidRPr="00F2249F" w:rsidRDefault="00EB1051">
      <w:pPr>
        <w:pStyle w:val="Pta"/>
        <w:tabs>
          <w:tab w:val="clear" w:pos="4536"/>
          <w:tab w:val="clear" w:pos="9072"/>
        </w:tabs>
        <w:overflowPunct w:val="0"/>
        <w:autoSpaceDE w:val="0"/>
        <w:autoSpaceDN w:val="0"/>
        <w:adjustRightInd w:val="0"/>
        <w:jc w:val="both"/>
        <w:textAlignment w:val="baseline"/>
      </w:pPr>
      <w:r w:rsidRPr="00F2249F">
        <w:t>Ustanovenia o organizácii valného zhromaždenia a </w:t>
      </w:r>
      <w:r w:rsidR="00296ACE" w:rsidRPr="00F2249F">
        <w:t xml:space="preserve">správnej rady </w:t>
      </w:r>
      <w:r w:rsidRPr="00F2249F">
        <w:t xml:space="preserve">stanovujú kogentne alternatívu formu týchto stretnutí (hybridná alebo digitálna). Digitálna forma nemôže byť právom členských štátov obmedzovaná, musí však spĺňať stanovené štandardy – účasť v skutočnom čase, výkon hlasovacích práv a platnú identifikáciu akcionárov. Nie je zrejmé, či a za akých okolností sa spoločnosť môže rozhodnúť uskutočniť valné zhromaždenie iba </w:t>
      </w:r>
      <w:proofErr w:type="spellStart"/>
      <w:r w:rsidRPr="00F2249F">
        <w:t>o</w:t>
      </w:r>
      <w:r w:rsidR="00F631D2" w:rsidRPr="00F2249F">
        <w:t>f</w:t>
      </w:r>
      <w:r w:rsidRPr="00F2249F">
        <w:t>fline</w:t>
      </w:r>
      <w:proofErr w:type="spellEnd"/>
      <w:r w:rsidRPr="00F2249F">
        <w:t xml:space="preserve">. </w:t>
      </w:r>
    </w:p>
    <w:p w14:paraId="272D14CC"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pPr>
    </w:p>
    <w:p w14:paraId="23CDFE91" w14:textId="77777777" w:rsidR="00296ACE" w:rsidRPr="00F2249F" w:rsidRDefault="00EB1051" w:rsidP="00296ACE">
      <w:pPr>
        <w:pStyle w:val="Pta"/>
        <w:tabs>
          <w:tab w:val="clear" w:pos="4536"/>
          <w:tab w:val="clear" w:pos="9072"/>
        </w:tabs>
        <w:overflowPunct w:val="0"/>
        <w:autoSpaceDE w:val="0"/>
        <w:autoSpaceDN w:val="0"/>
        <w:adjustRightInd w:val="0"/>
        <w:jc w:val="both"/>
        <w:textAlignment w:val="baseline"/>
        <w:rPr>
          <w:i/>
        </w:rPr>
      </w:pPr>
      <w:r w:rsidRPr="00F2249F">
        <w:rPr>
          <w:b/>
          <w:u w:val="single"/>
        </w:rPr>
        <w:t>Pozícia SR</w:t>
      </w:r>
      <w:r w:rsidRPr="00F2249F">
        <w:rPr>
          <w:b/>
        </w:rPr>
        <w:t>:</w:t>
      </w:r>
      <w:r w:rsidRPr="00F2249F">
        <w:t xml:space="preserve"> </w:t>
      </w:r>
      <w:r w:rsidR="00296ACE" w:rsidRPr="00F2249F">
        <w:rPr>
          <w:i/>
        </w:rPr>
        <w:t>Ustanovenie o digitálnom valnom zhromaždení sa v súčasnom slovenskom práve nenachádza (okrem § 190d pre verejné akciové spoločnosti – tu ide transpozíciu smernice Európskeho parlamentu a Rady (EÚ) 2017/828 zo 17. mája 2017, ktorou sa mení smernica 2007/36/ES, pokiaľ ide o podnietenie dlhodobého zapojenia akcionárov (Ú. v. EÚ L 132, 20.5.2017)).</w:t>
      </w:r>
    </w:p>
    <w:p w14:paraId="30ABB32E" w14:textId="5E0EBF46" w:rsidR="00296ACE" w:rsidRPr="00F2249F" w:rsidRDefault="00296ACE" w:rsidP="00296ACE">
      <w:pPr>
        <w:pStyle w:val="Pta"/>
        <w:tabs>
          <w:tab w:val="clear" w:pos="4536"/>
          <w:tab w:val="clear" w:pos="9072"/>
        </w:tabs>
        <w:overflowPunct w:val="0"/>
        <w:autoSpaceDE w:val="0"/>
        <w:autoSpaceDN w:val="0"/>
        <w:adjustRightInd w:val="0"/>
        <w:jc w:val="both"/>
        <w:textAlignment w:val="baseline"/>
        <w:rPr>
          <w:i/>
        </w:rPr>
      </w:pPr>
      <w:r w:rsidRPr="00F2249F">
        <w:rPr>
          <w:i/>
        </w:rPr>
        <w:t xml:space="preserve">Ostatné aspekty organizácie zasadnutí a hlasovania predovšetkým na valnom zhromaždení ale aj ohľadne správnej rady návrh neupravuje. Bude ich teda riešiť vnútroštátne právo určené pre túto formu spoločnosti. </w:t>
      </w:r>
    </w:p>
    <w:p w14:paraId="07838F5C"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rPr>
          <w:i/>
        </w:rPr>
      </w:pPr>
      <w:r w:rsidRPr="00F2249F">
        <w:rPr>
          <w:i/>
        </w:rPr>
        <w:t xml:space="preserve">Slovenská republika uvedené ustanovenia víta a bude sledovať ich aplikáciu v praxi, najmä interakciu s vnútroštátnym právom. Následne zváži možnosť ich rozšírenia i na iné kapitálové spoločnosti. </w:t>
      </w:r>
    </w:p>
    <w:p w14:paraId="5D1F6734"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pPr>
    </w:p>
    <w:p w14:paraId="18C72B3B"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rPr>
          <w:u w:val="single"/>
        </w:rPr>
      </w:pPr>
      <w:r w:rsidRPr="00F2249F">
        <w:rPr>
          <w:b/>
          <w:u w:val="single"/>
        </w:rPr>
        <w:t>Článok 48 Písomné rozhodovanie</w:t>
      </w:r>
      <w:r w:rsidRPr="00F2249F">
        <w:rPr>
          <w:u w:val="single"/>
        </w:rPr>
        <w:t xml:space="preserve"> </w:t>
      </w:r>
    </w:p>
    <w:p w14:paraId="2BD23B25"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pPr>
    </w:p>
    <w:p w14:paraId="3B33C392" w14:textId="30953185" w:rsidR="00EB1051" w:rsidRDefault="00EB1051" w:rsidP="00EB1051">
      <w:pPr>
        <w:pStyle w:val="Pta"/>
        <w:tabs>
          <w:tab w:val="clear" w:pos="4536"/>
          <w:tab w:val="clear" w:pos="9072"/>
        </w:tabs>
        <w:overflowPunct w:val="0"/>
        <w:autoSpaceDE w:val="0"/>
        <w:autoSpaceDN w:val="0"/>
        <w:adjustRightInd w:val="0"/>
        <w:jc w:val="both"/>
        <w:textAlignment w:val="baseline"/>
      </w:pPr>
      <w:r w:rsidRPr="00F2249F">
        <w:t xml:space="preserve">Ustanovenie umožňuje písomné hlasovanie namiesto rozhodovania valného zhromaždenia. Návrh  umožňuje možnosť elektronického písomného hlasovania a ustanovenie rieši i rozhodovanie jediného spoločníka. EU </w:t>
      </w:r>
      <w:proofErr w:type="spellStart"/>
      <w:r w:rsidRPr="00F2249F">
        <w:t>Inc</w:t>
      </w:r>
      <w:proofErr w:type="spellEnd"/>
      <w:r w:rsidRPr="00F2249F">
        <w:t xml:space="preserve">. bude môcť mať písomné hlasovanie (iba) ak to predpokladajú stanovy. Písomné hlasovanie môže zmeniť i stanovy samotné. </w:t>
      </w:r>
    </w:p>
    <w:p w14:paraId="66999813" w14:textId="77777777" w:rsidR="00D26E48" w:rsidRPr="00F2249F" w:rsidRDefault="00D26E48" w:rsidP="00EB1051">
      <w:pPr>
        <w:pStyle w:val="Pta"/>
        <w:tabs>
          <w:tab w:val="clear" w:pos="4536"/>
          <w:tab w:val="clear" w:pos="9072"/>
        </w:tabs>
        <w:overflowPunct w:val="0"/>
        <w:autoSpaceDE w:val="0"/>
        <w:autoSpaceDN w:val="0"/>
        <w:adjustRightInd w:val="0"/>
        <w:jc w:val="both"/>
        <w:textAlignment w:val="baseline"/>
      </w:pPr>
    </w:p>
    <w:p w14:paraId="786661C6" w14:textId="77777777" w:rsidR="00296ACE" w:rsidRPr="00F2249F" w:rsidRDefault="00EB1051" w:rsidP="00296ACE">
      <w:pPr>
        <w:pStyle w:val="Pta"/>
        <w:tabs>
          <w:tab w:val="clear" w:pos="4536"/>
          <w:tab w:val="clear" w:pos="9072"/>
        </w:tabs>
        <w:overflowPunct w:val="0"/>
        <w:autoSpaceDE w:val="0"/>
        <w:autoSpaceDN w:val="0"/>
        <w:adjustRightInd w:val="0"/>
        <w:jc w:val="both"/>
        <w:textAlignment w:val="baseline"/>
        <w:rPr>
          <w:i/>
        </w:rPr>
      </w:pPr>
      <w:r w:rsidRPr="00F2249F">
        <w:rPr>
          <w:b/>
          <w:u w:val="single"/>
        </w:rPr>
        <w:t>Pozícia SR</w:t>
      </w:r>
      <w:r w:rsidRPr="00F2249F">
        <w:rPr>
          <w:b/>
        </w:rPr>
        <w:t>:</w:t>
      </w:r>
      <w:r w:rsidRPr="00F2249F">
        <w:t xml:space="preserve"> </w:t>
      </w:r>
      <w:r w:rsidR="00296ACE" w:rsidRPr="00F2249F">
        <w:rPr>
          <w:i/>
        </w:rPr>
        <w:t xml:space="preserve">Slovenská úprava v § 130 a 132 ObZ pre </w:t>
      </w:r>
      <w:proofErr w:type="spellStart"/>
      <w:r w:rsidR="00296ACE" w:rsidRPr="00F2249F">
        <w:rPr>
          <w:i/>
        </w:rPr>
        <w:t>s.r.o</w:t>
      </w:r>
      <w:proofErr w:type="spellEnd"/>
      <w:r w:rsidR="00296ACE" w:rsidRPr="00F2249F">
        <w:rPr>
          <w:i/>
        </w:rPr>
        <w:t xml:space="preserve">. sa líši od návrhu iba čiastočne - najmä v rozsahu pôsobnosti ustanovenia a základne možnosti písomného hlasovania (nie iba v prípade, že tak stanovujú stanovy). Zhodné ustanovenia sa týkajú písomnej formy či posúdenia absentujúceho vyjadrenia spoločníka. Úprava akciovej spoločnosti písomné hlasovanie neumožňuje.  </w:t>
      </w:r>
    </w:p>
    <w:p w14:paraId="0AC1F101" w14:textId="77777777" w:rsidR="00296ACE" w:rsidRPr="00F2249F" w:rsidRDefault="00296ACE" w:rsidP="00296ACE">
      <w:pPr>
        <w:pStyle w:val="Pta"/>
        <w:tabs>
          <w:tab w:val="clear" w:pos="4536"/>
          <w:tab w:val="clear" w:pos="9072"/>
        </w:tabs>
        <w:overflowPunct w:val="0"/>
        <w:autoSpaceDE w:val="0"/>
        <w:autoSpaceDN w:val="0"/>
        <w:adjustRightInd w:val="0"/>
        <w:jc w:val="both"/>
        <w:textAlignment w:val="baseline"/>
        <w:rPr>
          <w:b/>
          <w:i/>
          <w:u w:val="single"/>
        </w:rPr>
      </w:pPr>
    </w:p>
    <w:p w14:paraId="73E6C3C9" w14:textId="05C87441" w:rsidR="00EB1051" w:rsidRDefault="00EB1051" w:rsidP="00EB1051">
      <w:pPr>
        <w:pStyle w:val="Pta"/>
        <w:tabs>
          <w:tab w:val="clear" w:pos="4536"/>
          <w:tab w:val="clear" w:pos="9072"/>
        </w:tabs>
        <w:overflowPunct w:val="0"/>
        <w:autoSpaceDE w:val="0"/>
        <w:autoSpaceDN w:val="0"/>
        <w:adjustRightInd w:val="0"/>
        <w:jc w:val="both"/>
        <w:textAlignment w:val="baseline"/>
        <w:rPr>
          <w:i/>
        </w:rPr>
      </w:pPr>
      <w:r w:rsidRPr="00F2249F">
        <w:rPr>
          <w:i/>
        </w:rPr>
        <w:t xml:space="preserve">Slovenská republika nemá k ustanoveniu výhrady. </w:t>
      </w:r>
    </w:p>
    <w:p w14:paraId="762096E2" w14:textId="5B4961EC" w:rsidR="00031EB4" w:rsidRDefault="00031EB4" w:rsidP="00EB1051">
      <w:pPr>
        <w:pStyle w:val="Pta"/>
        <w:tabs>
          <w:tab w:val="clear" w:pos="4536"/>
          <w:tab w:val="clear" w:pos="9072"/>
        </w:tabs>
        <w:overflowPunct w:val="0"/>
        <w:autoSpaceDE w:val="0"/>
        <w:autoSpaceDN w:val="0"/>
        <w:adjustRightInd w:val="0"/>
        <w:jc w:val="both"/>
        <w:textAlignment w:val="baseline"/>
        <w:rPr>
          <w:i/>
        </w:rPr>
      </w:pPr>
    </w:p>
    <w:p w14:paraId="3C181386"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rPr>
          <w:u w:val="single"/>
        </w:rPr>
      </w:pPr>
      <w:r w:rsidRPr="00F2249F">
        <w:rPr>
          <w:b/>
          <w:u w:val="single"/>
        </w:rPr>
        <w:t>Článok 49 Kvóra a väčšiny</w:t>
      </w:r>
      <w:r w:rsidRPr="00F2249F">
        <w:rPr>
          <w:u w:val="single"/>
        </w:rPr>
        <w:t xml:space="preserve"> </w:t>
      </w:r>
    </w:p>
    <w:p w14:paraId="02B1E0E9"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pPr>
    </w:p>
    <w:p w14:paraId="7D0E0D54" w14:textId="0E4AF9F1" w:rsidR="00EB1051" w:rsidRDefault="00EB1051" w:rsidP="00EB1051">
      <w:pPr>
        <w:pStyle w:val="Pta"/>
        <w:tabs>
          <w:tab w:val="clear" w:pos="4536"/>
          <w:tab w:val="clear" w:pos="9072"/>
        </w:tabs>
        <w:overflowPunct w:val="0"/>
        <w:autoSpaceDE w:val="0"/>
        <w:autoSpaceDN w:val="0"/>
        <w:adjustRightInd w:val="0"/>
        <w:jc w:val="both"/>
        <w:textAlignment w:val="baseline"/>
      </w:pPr>
      <w:r w:rsidRPr="00F2249F">
        <w:t>Ustanovenie sa týka kvóra a vyžadovaných väčšín pre rozhodovanie akcionárov (na valnom zhromaždení i na písomnom hlasovaní)</w:t>
      </w:r>
      <w:r w:rsidR="00031EB4">
        <w:t>.</w:t>
      </w:r>
    </w:p>
    <w:p w14:paraId="6D633D42" w14:textId="77777777" w:rsidR="00031EB4" w:rsidRPr="00F2249F" w:rsidRDefault="00031EB4" w:rsidP="00EB1051">
      <w:pPr>
        <w:pStyle w:val="Pta"/>
        <w:tabs>
          <w:tab w:val="clear" w:pos="4536"/>
          <w:tab w:val="clear" w:pos="9072"/>
        </w:tabs>
        <w:overflowPunct w:val="0"/>
        <w:autoSpaceDE w:val="0"/>
        <w:autoSpaceDN w:val="0"/>
        <w:adjustRightInd w:val="0"/>
        <w:jc w:val="both"/>
        <w:textAlignment w:val="baseline"/>
      </w:pPr>
    </w:p>
    <w:p w14:paraId="3A5242AC" w14:textId="77777777" w:rsidR="00296ACE" w:rsidRPr="00F2249F" w:rsidRDefault="00EB1051" w:rsidP="00296ACE">
      <w:pPr>
        <w:pStyle w:val="Pta"/>
        <w:tabs>
          <w:tab w:val="clear" w:pos="4536"/>
          <w:tab w:val="clear" w:pos="9072"/>
        </w:tabs>
        <w:overflowPunct w:val="0"/>
        <w:autoSpaceDE w:val="0"/>
        <w:autoSpaceDN w:val="0"/>
        <w:adjustRightInd w:val="0"/>
        <w:jc w:val="both"/>
        <w:textAlignment w:val="baseline"/>
        <w:rPr>
          <w:i/>
        </w:rPr>
      </w:pPr>
      <w:r w:rsidRPr="00F2249F">
        <w:rPr>
          <w:b/>
          <w:u w:val="single"/>
        </w:rPr>
        <w:lastRenderedPageBreak/>
        <w:t>Pozícia SR</w:t>
      </w:r>
      <w:r w:rsidRPr="00F2249F">
        <w:rPr>
          <w:b/>
        </w:rPr>
        <w:t>:</w:t>
      </w:r>
      <w:r w:rsidRPr="00F2249F">
        <w:t xml:space="preserve"> </w:t>
      </w:r>
      <w:r w:rsidR="00296ACE" w:rsidRPr="00F2249F">
        <w:rPr>
          <w:i/>
        </w:rPr>
        <w:t xml:space="preserve">Slovenská úprava pre </w:t>
      </w:r>
      <w:proofErr w:type="spellStart"/>
      <w:r w:rsidR="00296ACE" w:rsidRPr="00F2249F">
        <w:rPr>
          <w:i/>
        </w:rPr>
        <w:t>s.r.o</w:t>
      </w:r>
      <w:proofErr w:type="spellEnd"/>
      <w:r w:rsidR="00296ACE" w:rsidRPr="00F2249F">
        <w:rPr>
          <w:i/>
        </w:rPr>
        <w:t xml:space="preserve">. sa nachádza v §127 ObZ. Základné ustanovenie o kvóre a hlasovaní je zhodné zo slovenskou úpravou (jednoduchá väčšina spoločníkov, jednoduchá väčšina prítomných). Úniová úprava vyžaduje kvalifikovanú väčšinu (dve tretiny </w:t>
      </w:r>
      <w:r w:rsidR="00296ACE" w:rsidRPr="00F2249F">
        <w:rPr>
          <w:i/>
          <w:u w:val="single"/>
        </w:rPr>
        <w:t>hlasujúcich</w:t>
      </w:r>
      <w:r w:rsidR="00296ACE" w:rsidRPr="00F2249F">
        <w:rPr>
          <w:i/>
        </w:rPr>
        <w:t xml:space="preserve">) pre zmenu stanov, či zvýšenie finančných záväzkov alebo zodpovednosti akcionára. Slovenské právo vyžaduje dvojtretinovú väčšinu </w:t>
      </w:r>
      <w:r w:rsidR="00296ACE" w:rsidRPr="00F2249F">
        <w:rPr>
          <w:i/>
          <w:u w:val="single"/>
        </w:rPr>
        <w:t>všetkých</w:t>
      </w:r>
      <w:r w:rsidR="00296ACE" w:rsidRPr="00F2249F">
        <w:rPr>
          <w:i/>
        </w:rPr>
        <w:t xml:space="preserve"> spoločníkov a rozsah vecí pre ktoré sa vyžaduje je iný (§ 127 ods. 4 v spojení s § 125 ods. 1 ObZ). Ustanovenie slovenského práva o nemožnosti spoločníka vykonávať hlasovacie práva (§ 127 ods. 5 ObZ) nie je v návrhu zohľadnené; predpokladáme, že sa bude aplikovať subsidiárne, čo je potrebné vyjasniť v diskusiách o návrhu. Akciová spoločnosť upravuje kvóra a väčšiny v § 186 ObZ. </w:t>
      </w:r>
    </w:p>
    <w:p w14:paraId="3E7E7BAA" w14:textId="4956D2A4" w:rsidR="00EB1051" w:rsidRPr="00F2249F" w:rsidRDefault="00EB1051" w:rsidP="00EB1051">
      <w:pPr>
        <w:pStyle w:val="Pta"/>
        <w:tabs>
          <w:tab w:val="clear" w:pos="4536"/>
          <w:tab w:val="clear" w:pos="9072"/>
        </w:tabs>
        <w:overflowPunct w:val="0"/>
        <w:autoSpaceDE w:val="0"/>
        <w:autoSpaceDN w:val="0"/>
        <w:adjustRightInd w:val="0"/>
        <w:jc w:val="both"/>
        <w:textAlignment w:val="baseline"/>
        <w:rPr>
          <w:i/>
        </w:rPr>
      </w:pPr>
      <w:r w:rsidRPr="00F2249F">
        <w:rPr>
          <w:i/>
        </w:rPr>
        <w:t xml:space="preserve">Slovenská republika nemá k ustanoveniu výhrady. Je však potrebné </w:t>
      </w:r>
      <w:r w:rsidR="00D322DC" w:rsidRPr="00F2249F">
        <w:rPr>
          <w:i/>
        </w:rPr>
        <w:t xml:space="preserve">vyjasniť možnosť aplikácie </w:t>
      </w:r>
      <w:r w:rsidRPr="00F2249F">
        <w:rPr>
          <w:i/>
        </w:rPr>
        <w:t>zákazu zneužitia práv spoločníka, alebo zákaz konania, ktorý znevýhodňuje spoločníka zneužívajúcim spôsobom (neprihliadame na čl. 52, pretože neobsahuje zákaz samotný, len rieši dôsledky exitu akcionára)</w:t>
      </w:r>
      <w:r w:rsidR="00D322DC" w:rsidRPr="00F2249F">
        <w:rPr>
          <w:i/>
        </w:rPr>
        <w:t>, ako sme uviedli v stanovisku k čl. 44 návrhu</w:t>
      </w:r>
      <w:r w:rsidRPr="00F2249F">
        <w:rPr>
          <w:i/>
        </w:rPr>
        <w:t xml:space="preserve">. </w:t>
      </w:r>
      <w:r w:rsidR="00D322DC" w:rsidRPr="00F2249F">
        <w:rPr>
          <w:i/>
        </w:rPr>
        <w:t xml:space="preserve">Ak by taký zákaz absentoval, umožnilo by to napríklad </w:t>
      </w:r>
      <w:r w:rsidRPr="00F2249F">
        <w:rPr>
          <w:i/>
        </w:rPr>
        <w:t xml:space="preserve"> väčšinovým akcionárom dlhodobo sa nezúčastňovať na hlasovaní a tak blokovať rozhodnutia spoločnosti. Predpokladáme, že sa  aplikácia týchto pravidiel sa uplatní subsidiárne, čo je však vzhľadom na </w:t>
      </w:r>
      <w:proofErr w:type="spellStart"/>
      <w:r w:rsidRPr="00F2249F">
        <w:rPr>
          <w:i/>
        </w:rPr>
        <w:t>prierezovosť</w:t>
      </w:r>
      <w:proofErr w:type="spellEnd"/>
      <w:r w:rsidRPr="00F2249F">
        <w:rPr>
          <w:i/>
        </w:rPr>
        <w:t xml:space="preserve"> týchto pravidiel potrebné vyjasniť. </w:t>
      </w:r>
    </w:p>
    <w:p w14:paraId="155B035A"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pPr>
    </w:p>
    <w:p w14:paraId="5F9C4658"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rPr>
          <w:u w:val="single"/>
        </w:rPr>
      </w:pPr>
      <w:r w:rsidRPr="00F2249F">
        <w:rPr>
          <w:b/>
          <w:u w:val="single"/>
        </w:rPr>
        <w:t>Článok 50 Zmena stanov</w:t>
      </w:r>
      <w:r w:rsidRPr="00F2249F">
        <w:rPr>
          <w:u w:val="single"/>
        </w:rPr>
        <w:t xml:space="preserve"> </w:t>
      </w:r>
    </w:p>
    <w:p w14:paraId="09439615"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pPr>
    </w:p>
    <w:p w14:paraId="00E15DA1" w14:textId="604F4A1B" w:rsidR="00EB1051" w:rsidRPr="00F2249F" w:rsidRDefault="00EB1051" w:rsidP="00EB1051">
      <w:pPr>
        <w:pStyle w:val="Pta"/>
        <w:tabs>
          <w:tab w:val="clear" w:pos="4536"/>
          <w:tab w:val="clear" w:pos="9072"/>
        </w:tabs>
        <w:overflowPunct w:val="0"/>
        <w:autoSpaceDE w:val="0"/>
        <w:autoSpaceDN w:val="0"/>
        <w:adjustRightInd w:val="0"/>
        <w:jc w:val="both"/>
        <w:textAlignment w:val="baseline"/>
      </w:pPr>
      <w:r w:rsidRPr="00F2249F">
        <w:t xml:space="preserve">Ustanovenie o zmene stanov uvádza, že stanovy je možné meniť iba na valnom zhromaždení (alebo písomným hlasovaním). Zároveň sa dáva právomoc </w:t>
      </w:r>
      <w:r w:rsidR="0038241A" w:rsidRPr="00F2249F">
        <w:t>správnej rade</w:t>
      </w:r>
      <w:r w:rsidRPr="00F2249F">
        <w:t xml:space="preserve"> robiť menej dôležité zmeny stanov edičného charakteru. </w:t>
      </w:r>
    </w:p>
    <w:p w14:paraId="60D18D3A"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pPr>
      <w:r w:rsidRPr="00F2249F">
        <w:t xml:space="preserve">Ustanovenie súvisí s čl. 14 (preventívna kontrola stanov. </w:t>
      </w:r>
    </w:p>
    <w:p w14:paraId="4F422363"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rPr>
          <w:b/>
          <w:u w:val="single"/>
        </w:rPr>
      </w:pPr>
    </w:p>
    <w:p w14:paraId="7291A46D" w14:textId="77777777" w:rsidR="00D322DC" w:rsidRPr="00F2249F" w:rsidRDefault="00EB1051" w:rsidP="00D26E48">
      <w:pPr>
        <w:pStyle w:val="Pta"/>
        <w:tabs>
          <w:tab w:val="clear" w:pos="4536"/>
          <w:tab w:val="clear" w:pos="9072"/>
        </w:tabs>
        <w:overflowPunct w:val="0"/>
        <w:autoSpaceDE w:val="0"/>
        <w:autoSpaceDN w:val="0"/>
        <w:adjustRightInd w:val="0"/>
        <w:jc w:val="both"/>
        <w:textAlignment w:val="baseline"/>
        <w:rPr>
          <w:i/>
        </w:rPr>
      </w:pPr>
      <w:r w:rsidRPr="00F2249F">
        <w:rPr>
          <w:b/>
          <w:u w:val="single"/>
        </w:rPr>
        <w:t>Pozícia SR</w:t>
      </w:r>
      <w:r w:rsidRPr="00F2249F">
        <w:rPr>
          <w:b/>
        </w:rPr>
        <w:t>:</w:t>
      </w:r>
      <w:r w:rsidRPr="00F2249F">
        <w:t xml:space="preserve"> </w:t>
      </w:r>
      <w:r w:rsidR="00D322DC" w:rsidRPr="00F2249F">
        <w:rPr>
          <w:i/>
        </w:rPr>
        <w:t xml:space="preserve">Slovenská úprava pre </w:t>
      </w:r>
      <w:proofErr w:type="spellStart"/>
      <w:r w:rsidR="00D322DC" w:rsidRPr="00F2249F">
        <w:rPr>
          <w:i/>
        </w:rPr>
        <w:t>s.r.o</w:t>
      </w:r>
      <w:proofErr w:type="spellEnd"/>
      <w:r w:rsidR="00D322DC" w:rsidRPr="00F2249F">
        <w:rPr>
          <w:i/>
        </w:rPr>
        <w:t xml:space="preserve">. v § 141 ObZ stanovuje možnosť zmeny stanov </w:t>
      </w:r>
    </w:p>
    <w:p w14:paraId="585DDF02" w14:textId="77777777" w:rsidR="00D322DC" w:rsidRPr="00F2249F" w:rsidRDefault="00D322DC" w:rsidP="00D26E48">
      <w:pPr>
        <w:pStyle w:val="Pta"/>
        <w:tabs>
          <w:tab w:val="clear" w:pos="4536"/>
          <w:tab w:val="clear" w:pos="9072"/>
        </w:tabs>
        <w:overflowPunct w:val="0"/>
        <w:autoSpaceDE w:val="0"/>
        <w:autoSpaceDN w:val="0"/>
        <w:adjustRightInd w:val="0"/>
        <w:jc w:val="both"/>
        <w:textAlignment w:val="baseline"/>
        <w:rPr>
          <w:i/>
        </w:rPr>
      </w:pPr>
      <w:r w:rsidRPr="00F2249F">
        <w:rPr>
          <w:i/>
        </w:rPr>
        <w:t xml:space="preserve">a)súhlasom všetkých spoločníkov (de </w:t>
      </w:r>
      <w:proofErr w:type="spellStart"/>
      <w:r w:rsidRPr="00F2249F">
        <w:rPr>
          <w:i/>
        </w:rPr>
        <w:t>facto</w:t>
      </w:r>
      <w:proofErr w:type="spellEnd"/>
      <w:r w:rsidRPr="00F2249F">
        <w:rPr>
          <w:i/>
        </w:rPr>
        <w:t xml:space="preserve"> nová spoločenská zmluva); </w:t>
      </w:r>
    </w:p>
    <w:p w14:paraId="244141D8" w14:textId="77777777" w:rsidR="00D322DC" w:rsidRPr="00F2249F" w:rsidRDefault="00D322DC" w:rsidP="00D26E48">
      <w:pPr>
        <w:pStyle w:val="Pta"/>
        <w:tabs>
          <w:tab w:val="clear" w:pos="4536"/>
          <w:tab w:val="clear" w:pos="9072"/>
        </w:tabs>
        <w:overflowPunct w:val="0"/>
        <w:autoSpaceDE w:val="0"/>
        <w:autoSpaceDN w:val="0"/>
        <w:adjustRightInd w:val="0"/>
        <w:jc w:val="both"/>
        <w:textAlignment w:val="baseline"/>
        <w:rPr>
          <w:i/>
        </w:rPr>
      </w:pPr>
      <w:r w:rsidRPr="00F2249F">
        <w:rPr>
          <w:i/>
        </w:rPr>
        <w:t xml:space="preserve">b) rozhodnutím valného zhromaždenia o zmene spoločenskej zmluvy dvojtretinovou väčšinou všetkých spoločníkov v prípadoch, v ktorých tak stanovuje spoločenská zmluva </w:t>
      </w:r>
    </w:p>
    <w:p w14:paraId="7687C771" w14:textId="77777777" w:rsidR="00D322DC" w:rsidRPr="00F2249F" w:rsidRDefault="00D322DC" w:rsidP="00D26E48">
      <w:pPr>
        <w:pStyle w:val="Pta"/>
        <w:tabs>
          <w:tab w:val="clear" w:pos="4536"/>
          <w:tab w:val="clear" w:pos="9072"/>
        </w:tabs>
        <w:overflowPunct w:val="0"/>
        <w:autoSpaceDE w:val="0"/>
        <w:autoSpaceDN w:val="0"/>
        <w:adjustRightInd w:val="0"/>
        <w:jc w:val="both"/>
        <w:textAlignment w:val="baseline"/>
        <w:rPr>
          <w:i/>
        </w:rPr>
      </w:pPr>
      <w:r w:rsidRPr="00F2249F">
        <w:rPr>
          <w:i/>
        </w:rPr>
        <w:t xml:space="preserve">c) prijatím rozhodnutia valného zhromaždenia, ktorého dôsledkom je zmena obsahu spoločenskej zmluvy (väčšina sa vyžaduje podľa písm. a) alebo b). </w:t>
      </w:r>
    </w:p>
    <w:p w14:paraId="51FB414C" w14:textId="77777777" w:rsidR="00D322DC" w:rsidRPr="00F2249F" w:rsidRDefault="00D322DC" w:rsidP="00D26E48">
      <w:pPr>
        <w:pStyle w:val="Pta"/>
        <w:tabs>
          <w:tab w:val="clear" w:pos="4536"/>
          <w:tab w:val="clear" w:pos="9072"/>
        </w:tabs>
        <w:overflowPunct w:val="0"/>
        <w:autoSpaceDE w:val="0"/>
        <w:autoSpaceDN w:val="0"/>
        <w:adjustRightInd w:val="0"/>
        <w:jc w:val="both"/>
        <w:textAlignment w:val="baseline"/>
        <w:rPr>
          <w:i/>
        </w:rPr>
      </w:pPr>
      <w:r w:rsidRPr="00F2249F">
        <w:rPr>
          <w:i/>
        </w:rPr>
        <w:t xml:space="preserve">Slovenská úprave je teda rigidnejšia, hoci oba typy umožňujú dohodnúť si vzťahy flexibilne v stanovách/spoločenskej zmluve. Zmeny edičného charakteru v stanovách cez štatutárne orgány nie sú podľa slovenskej úpravy možné. </w:t>
      </w:r>
    </w:p>
    <w:p w14:paraId="37546981"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pPr>
      <w:r w:rsidRPr="00F2249F">
        <w:rPr>
          <w:i/>
        </w:rPr>
        <w:t>Slovenská republika nemá k ustanoveniu výhrady, v diskusiách však bude potrebné text spresniť, najmä ohľadne „menej dôležitých zmien edičného charakteru</w:t>
      </w:r>
      <w:r w:rsidRPr="00F2249F">
        <w:t xml:space="preserve">“.  </w:t>
      </w:r>
    </w:p>
    <w:p w14:paraId="3C6039DA"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pPr>
    </w:p>
    <w:p w14:paraId="52983EAE"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rPr>
          <w:u w:val="single"/>
        </w:rPr>
      </w:pPr>
      <w:r w:rsidRPr="00F2249F">
        <w:rPr>
          <w:b/>
          <w:u w:val="single"/>
        </w:rPr>
        <w:t>Článok 51 Ochrana práv akcií osobitného druhu</w:t>
      </w:r>
      <w:r w:rsidRPr="00F2249F">
        <w:rPr>
          <w:u w:val="single"/>
        </w:rPr>
        <w:t xml:space="preserve"> </w:t>
      </w:r>
    </w:p>
    <w:p w14:paraId="35A974ED"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pPr>
    </w:p>
    <w:p w14:paraId="40F76829"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pPr>
      <w:r w:rsidRPr="00F2249F">
        <w:t>Ustanovenie sa týka ochrany akcií s osobitnými právami. Rozhodnutie spoločnosti o zmene takýchto práv musí schváliť skupina akcionárov s týmto druhom akcií a to najmenej dvojtretinovou väčšinou všetkých akcionárov tejto triedy, ak stanovy nestanovujú inak.</w:t>
      </w:r>
    </w:p>
    <w:p w14:paraId="068977ED"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rPr>
          <w:b/>
          <w:u w:val="single"/>
        </w:rPr>
      </w:pPr>
    </w:p>
    <w:p w14:paraId="395CD944" w14:textId="77777777" w:rsidR="00D322DC" w:rsidRPr="00F2249F" w:rsidRDefault="00EB1051" w:rsidP="00D322DC">
      <w:pPr>
        <w:pStyle w:val="Pta"/>
        <w:tabs>
          <w:tab w:val="clear" w:pos="4536"/>
          <w:tab w:val="clear" w:pos="9072"/>
        </w:tabs>
        <w:overflowPunct w:val="0"/>
        <w:autoSpaceDE w:val="0"/>
        <w:autoSpaceDN w:val="0"/>
        <w:adjustRightInd w:val="0"/>
        <w:jc w:val="both"/>
        <w:textAlignment w:val="baseline"/>
        <w:rPr>
          <w:i/>
        </w:rPr>
      </w:pPr>
      <w:r w:rsidRPr="00F2249F">
        <w:rPr>
          <w:b/>
          <w:u w:val="single"/>
        </w:rPr>
        <w:t>Pozícia SR</w:t>
      </w:r>
      <w:r w:rsidRPr="00F2249F">
        <w:rPr>
          <w:b/>
        </w:rPr>
        <w:t>:</w:t>
      </w:r>
      <w:r w:rsidRPr="00F2249F">
        <w:t xml:space="preserve"> </w:t>
      </w:r>
      <w:r w:rsidR="00D322DC" w:rsidRPr="00F2249F">
        <w:rPr>
          <w:i/>
        </w:rPr>
        <w:t xml:space="preserve">Slovenská úprava pozná obdobné ustanovenie v § 186 pre a.s. a v § 220za ods. 2 ObZ pre </w:t>
      </w:r>
      <w:proofErr w:type="spellStart"/>
      <w:r w:rsidR="00D322DC" w:rsidRPr="00F2249F">
        <w:rPr>
          <w:i/>
        </w:rPr>
        <w:t>j.s.a</w:t>
      </w:r>
      <w:proofErr w:type="spellEnd"/>
      <w:r w:rsidR="00D322DC" w:rsidRPr="00F2249F">
        <w:rPr>
          <w:i/>
        </w:rPr>
        <w:t xml:space="preserve">. Chýba tu ustanovenie § 220i ods. 7 (ochrana majiteľa akcií bez hlasovacieho práva). </w:t>
      </w:r>
    </w:p>
    <w:p w14:paraId="62CA7F9C" w14:textId="2D6C0C29" w:rsidR="00EB1051" w:rsidRDefault="00EB1051" w:rsidP="00EB1051">
      <w:pPr>
        <w:pStyle w:val="Pta"/>
        <w:tabs>
          <w:tab w:val="clear" w:pos="4536"/>
          <w:tab w:val="clear" w:pos="9072"/>
        </w:tabs>
        <w:overflowPunct w:val="0"/>
        <w:autoSpaceDE w:val="0"/>
        <w:autoSpaceDN w:val="0"/>
        <w:adjustRightInd w:val="0"/>
        <w:jc w:val="both"/>
        <w:textAlignment w:val="baseline"/>
        <w:rPr>
          <w:i/>
        </w:rPr>
      </w:pPr>
      <w:r w:rsidRPr="00F2249F">
        <w:rPr>
          <w:i/>
        </w:rPr>
        <w:t xml:space="preserve">Slovenská republika nemá k ustanoveniu výhrady. Počas diskusií bude potrebné vyjasniť vzťah k aplikácii slovenského ustanovenia o ochrane majiteľa akcií bez hlasovacieho práva. </w:t>
      </w:r>
    </w:p>
    <w:p w14:paraId="251B5305" w14:textId="77777777" w:rsidR="00D26E48" w:rsidRPr="00F2249F" w:rsidRDefault="00D26E48" w:rsidP="00EB1051">
      <w:pPr>
        <w:pStyle w:val="Pta"/>
        <w:tabs>
          <w:tab w:val="clear" w:pos="4536"/>
          <w:tab w:val="clear" w:pos="9072"/>
        </w:tabs>
        <w:overflowPunct w:val="0"/>
        <w:autoSpaceDE w:val="0"/>
        <w:autoSpaceDN w:val="0"/>
        <w:adjustRightInd w:val="0"/>
        <w:jc w:val="both"/>
        <w:textAlignment w:val="baseline"/>
        <w:rPr>
          <w:i/>
        </w:rPr>
      </w:pPr>
    </w:p>
    <w:p w14:paraId="0D8E6C93"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pPr>
    </w:p>
    <w:p w14:paraId="2BE80245"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rPr>
          <w:u w:val="single"/>
        </w:rPr>
      </w:pPr>
      <w:r w:rsidRPr="00F2249F">
        <w:rPr>
          <w:b/>
          <w:u w:val="single"/>
        </w:rPr>
        <w:lastRenderedPageBreak/>
        <w:t>Článok 52 Odchod akcionára</w:t>
      </w:r>
      <w:r w:rsidRPr="00F2249F">
        <w:rPr>
          <w:u w:val="single"/>
        </w:rPr>
        <w:t xml:space="preserve"> </w:t>
      </w:r>
    </w:p>
    <w:p w14:paraId="7EABD3C0"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pPr>
    </w:p>
    <w:p w14:paraId="20E75FEB"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pPr>
      <w:r w:rsidRPr="00F2249F">
        <w:t xml:space="preserve">Ustanovenie upravuje podmienky zrušenia účasti spoločníka súdom (obdoba slovenskej úpravy v § 148 ObZ pre </w:t>
      </w:r>
      <w:proofErr w:type="spellStart"/>
      <w:r w:rsidRPr="00F2249F">
        <w:t>s.r.o</w:t>
      </w:r>
      <w:proofErr w:type="spellEnd"/>
      <w:r w:rsidRPr="00F2249F">
        <w:t>.). Dôvodom na vylúčenie je obdobný slovenskému právu (§ 148 ObZ „ak nemožno od neho spravodlivo požadovať, aby  v spoločnosti zotrval“) v </w:t>
      </w:r>
      <w:proofErr w:type="spellStart"/>
      <w:r w:rsidRPr="00F2249F">
        <w:t>s.r.o</w:t>
      </w:r>
      <w:proofErr w:type="spellEnd"/>
      <w:r w:rsidRPr="00F2249F">
        <w:t xml:space="preserve">. (článok 52 „ak boli alebo sú záležitosti spoločnosti vedené spôsobom, ktorý zneužíva postavenie spoločníka“). Akciová spoločnosť nemá pravidlo o práve akcionára na súdny </w:t>
      </w:r>
      <w:proofErr w:type="spellStart"/>
      <w:r w:rsidRPr="00F2249F">
        <w:t>exit</w:t>
      </w:r>
      <w:proofErr w:type="spellEnd"/>
      <w:r w:rsidRPr="00F2249F">
        <w:t xml:space="preserve"> pre zneužívajúce konanie, ochrana sa zabezpečuje skôr žalobou o neplatnosť uznesenia valného zhromaždenia, či náhradou škody. Pravidlo tak predstavuje spolu s prevodom akcií nový spôsob exitu akcionára zo spoločnosti. Na rozdiel od predaja akcií je však tento spôsob časovo i finančne náročný a má sa uplatniť len za výnimočných okolností. </w:t>
      </w:r>
    </w:p>
    <w:p w14:paraId="675774E3"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rPr>
          <w:b/>
        </w:rPr>
      </w:pPr>
      <w:r w:rsidRPr="00F2249F">
        <w:t xml:space="preserve">Ustanovenie upravuje procesné podrobnosti ako sú aktívna a pasívna legitimácia, rozhodovanie súdom, postup po úspešnej žalobe, nárok na odkúpenie akcií za spravodlivú cenu s úrokmi a dlžníkov k tomuto nároku, ktorými sú nielen samotná spoločnosti ale aj ostatní akcionári spoločne a nerozdielne. Toto pravidlo teda do istej miery „prepichuje </w:t>
      </w:r>
      <w:proofErr w:type="spellStart"/>
      <w:r w:rsidRPr="00F2249F">
        <w:t>korporátny</w:t>
      </w:r>
      <w:proofErr w:type="spellEnd"/>
      <w:r w:rsidRPr="00F2249F">
        <w:t xml:space="preserve"> závoj“ a zavádza zodpovednosť akcionára za zaplatenie spravodlivej ceny za zrušenú účasť iného akcionára v spoločnosti.</w:t>
      </w:r>
      <w:r w:rsidRPr="00F2249F">
        <w:rPr>
          <w:b/>
        </w:rPr>
        <w:t xml:space="preserve"> </w:t>
      </w:r>
    </w:p>
    <w:p w14:paraId="212C2359"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rPr>
          <w:b/>
          <w:u w:val="single"/>
        </w:rPr>
      </w:pPr>
    </w:p>
    <w:p w14:paraId="3554E2FA"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rPr>
          <w:i/>
        </w:rPr>
      </w:pPr>
      <w:r w:rsidRPr="00F2249F">
        <w:rPr>
          <w:b/>
          <w:u w:val="single"/>
        </w:rPr>
        <w:t>Pozícia SR</w:t>
      </w:r>
      <w:r w:rsidRPr="00F2249F">
        <w:rPr>
          <w:b/>
        </w:rPr>
        <w:t>:</w:t>
      </w:r>
      <w:r w:rsidRPr="00F2249F">
        <w:t xml:space="preserve"> </w:t>
      </w:r>
      <w:r w:rsidRPr="00F2249F">
        <w:rPr>
          <w:i/>
        </w:rPr>
        <w:t xml:space="preserve">Slovenská republika nemá zásadnú výhradu voči existencii mechanizmu súdnej ochrany menšinových akcionárov, bude však potrebné vyjasniť, do akej miery a akým spôsobom bude toto ustanovenie subsidiárne doplnené rozhodným právom, najmä či bude mať členský štát právo stanoviť čo je to „zneužívanie postavenia spoločníka“. V bode preambuly 37 sa stanovujú príklady takého zneužitia, nie je však zrejmé, ako a či ho môže doplniť vnútroštátne právo. </w:t>
      </w:r>
    </w:p>
    <w:p w14:paraId="14945BE7"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rPr>
          <w:i/>
        </w:rPr>
      </w:pPr>
      <w:r w:rsidRPr="00F2249F">
        <w:rPr>
          <w:i/>
        </w:rPr>
        <w:t xml:space="preserve">Je tiež potrebné vyjasniť rozsah harmonizácie a aplikácie vnútroštátneho práva najmä pokiaľ ide o kritériá určenia spravodlivej hodnoty akcií existujúceho akcionára, rozsah </w:t>
      </w:r>
      <w:proofErr w:type="spellStart"/>
      <w:r w:rsidRPr="00F2249F">
        <w:rPr>
          <w:i/>
        </w:rPr>
        <w:t>diskrečnej</w:t>
      </w:r>
      <w:proofErr w:type="spellEnd"/>
      <w:r w:rsidRPr="00F2249F">
        <w:rPr>
          <w:i/>
        </w:rPr>
        <w:t xml:space="preserve"> právomoci súdu či procesné podmienky uplatnenia nároku.</w:t>
      </w:r>
    </w:p>
    <w:p w14:paraId="1A96608C"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rPr>
          <w:i/>
        </w:rPr>
      </w:pPr>
      <w:r w:rsidRPr="00F2249F">
        <w:rPr>
          <w:i/>
        </w:rPr>
        <w:t xml:space="preserve">Pokiaľ ide o solidárnu zodpovednosti akcionárov za zaplatenie spravodlivej ceny za zrušenú účasť, je potrebné preskúmať primeranosť solidárnej zodpovednosti všetkých ostatných akcionárov za úhradu ceny akcií odchádzajúceho akcionára, najmä vo vzťahu k akcionárom, ktorí sa na konaní spoločnosti nepodieľali a nemali možnosť ho ovplyvniť. </w:t>
      </w:r>
    </w:p>
    <w:p w14:paraId="1602941C"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pPr>
    </w:p>
    <w:p w14:paraId="7BF8A0F4"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pPr>
    </w:p>
    <w:p w14:paraId="0C43A5FB" w14:textId="77777777" w:rsidR="00EB1051" w:rsidRPr="00F2249F" w:rsidRDefault="00EB1051" w:rsidP="00EB1051">
      <w:pPr>
        <w:pStyle w:val="Pta"/>
        <w:tabs>
          <w:tab w:val="clear" w:pos="4536"/>
          <w:tab w:val="clear" w:pos="9072"/>
        </w:tabs>
        <w:overflowPunct w:val="0"/>
        <w:autoSpaceDE w:val="0"/>
        <w:autoSpaceDN w:val="0"/>
        <w:adjustRightInd w:val="0"/>
        <w:jc w:val="center"/>
        <w:textAlignment w:val="baseline"/>
        <w:rPr>
          <w:b/>
        </w:rPr>
      </w:pPr>
      <w:r w:rsidRPr="00F2249F">
        <w:rPr>
          <w:b/>
        </w:rPr>
        <w:t>KAPITOLA VI – Digitálny register, akcie a prevod akcií</w:t>
      </w:r>
    </w:p>
    <w:p w14:paraId="1A43530C"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pPr>
    </w:p>
    <w:p w14:paraId="23D5A411"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pPr>
      <w:r w:rsidRPr="00F2249F">
        <w:t xml:space="preserve">Všeobecne o kapitole: Kapitola stanovuje možné druhy akcií EU </w:t>
      </w:r>
      <w:proofErr w:type="spellStart"/>
      <w:r w:rsidRPr="00F2249F">
        <w:t>Inc</w:t>
      </w:r>
      <w:proofErr w:type="spellEnd"/>
      <w:r w:rsidRPr="00F2249F">
        <w:t xml:space="preserve">., podrobnosti o ich registrácii a registri akcií, , podrobnosti o prevode akcií vrátane obmedzenia prevoditeľnosti, práva ktoré môžu byť s akciou spojené, spôsoby ochrany práv minoritných akcionárov a prístup spoločnosti na kapitálové trhy. </w:t>
      </w:r>
    </w:p>
    <w:p w14:paraId="5603D633" w14:textId="77777777" w:rsidR="00EB1051" w:rsidRPr="00F2249F" w:rsidRDefault="00EB1051" w:rsidP="00EB1051">
      <w:pPr>
        <w:overflowPunct w:val="0"/>
        <w:autoSpaceDE w:val="0"/>
        <w:autoSpaceDN w:val="0"/>
        <w:adjustRightInd w:val="0"/>
        <w:jc w:val="both"/>
        <w:textAlignment w:val="baseline"/>
        <w:rPr>
          <w:b/>
          <w:u w:val="single"/>
        </w:rPr>
      </w:pPr>
    </w:p>
    <w:p w14:paraId="6C3D3AF1" w14:textId="77777777" w:rsidR="00EB1051" w:rsidRPr="00F2249F" w:rsidRDefault="00EB1051" w:rsidP="00EB1051">
      <w:pPr>
        <w:overflowPunct w:val="0"/>
        <w:autoSpaceDE w:val="0"/>
        <w:autoSpaceDN w:val="0"/>
        <w:adjustRightInd w:val="0"/>
        <w:jc w:val="both"/>
        <w:textAlignment w:val="baseline"/>
        <w:rPr>
          <w:b/>
        </w:rPr>
      </w:pPr>
      <w:r w:rsidRPr="00F2249F">
        <w:rPr>
          <w:b/>
          <w:u w:val="single"/>
        </w:rPr>
        <w:t>Pozícia SR k celej kapitole</w:t>
      </w:r>
      <w:r w:rsidRPr="00F2249F">
        <w:rPr>
          <w:b/>
        </w:rPr>
        <w:t>:</w:t>
      </w:r>
    </w:p>
    <w:p w14:paraId="040B1648"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rPr>
          <w:i/>
        </w:rPr>
      </w:pPr>
      <w:r w:rsidRPr="00F2249F">
        <w:rPr>
          <w:i/>
        </w:rPr>
        <w:t xml:space="preserve">Slovenská republika s cieľmi kapitoly súhlasí, avšak je nutné zabezpečiť, aby register akcií zostal transparentný a kontrolovateľný v prípade výnimočných situácií. Tiež je potrebné doriešiť zmeny pri vstupe spoločnosti do multilaterálneho obchodného systému alebo na regulované trhy. </w:t>
      </w:r>
    </w:p>
    <w:p w14:paraId="38627CD5"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pPr>
      <w:r w:rsidRPr="00F2249F">
        <w:rPr>
          <w:i/>
        </w:rPr>
        <w:t xml:space="preserve"> </w:t>
      </w:r>
    </w:p>
    <w:p w14:paraId="355BC575"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rPr>
          <w:b/>
          <w:u w:val="single"/>
        </w:rPr>
      </w:pPr>
      <w:r w:rsidRPr="00F2249F">
        <w:rPr>
          <w:b/>
          <w:u w:val="single"/>
        </w:rPr>
        <w:t>Článok 53 Registrované akcie</w:t>
      </w:r>
    </w:p>
    <w:p w14:paraId="1CB2D752"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pPr>
    </w:p>
    <w:p w14:paraId="13FB3903"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pPr>
      <w:r w:rsidRPr="00F2249F">
        <w:t xml:space="preserve">Ustanovenie obsahuje najdôležitejšie základné princípy tejto kapitoly. EU </w:t>
      </w:r>
      <w:proofErr w:type="spellStart"/>
      <w:r w:rsidRPr="00F2249F">
        <w:t>Inc</w:t>
      </w:r>
      <w:proofErr w:type="spellEnd"/>
      <w:r w:rsidRPr="00F2249F">
        <w:t xml:space="preserve">. spoločnosť môže mať iba zaknihované akcie na meno. Iný druh a podoba akcií nie sú možné. Článok tiež </w:t>
      </w:r>
      <w:r w:rsidRPr="00F2249F">
        <w:lastRenderedPageBreak/>
        <w:t>zavádza obligatórny jednotný interný elektronický register akcií a konštitutívny prevod akcií.  Okrem toho článok umožňuje, aby stanovy zaviedli technológiu distribuovanej evidencie („</w:t>
      </w:r>
      <w:proofErr w:type="spellStart"/>
      <w:r w:rsidRPr="00F2249F">
        <w:rPr>
          <w:i/>
        </w:rPr>
        <w:t>distributed</w:t>
      </w:r>
      <w:proofErr w:type="spellEnd"/>
      <w:r w:rsidRPr="00F2249F">
        <w:rPr>
          <w:i/>
        </w:rPr>
        <w:t xml:space="preserve"> </w:t>
      </w:r>
      <w:proofErr w:type="spellStart"/>
      <w:r w:rsidRPr="00F2249F">
        <w:rPr>
          <w:i/>
        </w:rPr>
        <w:t>ledger</w:t>
      </w:r>
      <w:proofErr w:type="spellEnd"/>
      <w:r w:rsidRPr="00F2249F">
        <w:rPr>
          <w:i/>
        </w:rPr>
        <w:t xml:space="preserve"> </w:t>
      </w:r>
      <w:proofErr w:type="spellStart"/>
      <w:r w:rsidRPr="00F2249F">
        <w:rPr>
          <w:i/>
        </w:rPr>
        <w:t>technology</w:t>
      </w:r>
      <w:proofErr w:type="spellEnd"/>
      <w:r w:rsidRPr="00F2249F">
        <w:t xml:space="preserve">“, ďalej len „DLT“) akou je napríklad </w:t>
      </w:r>
      <w:proofErr w:type="spellStart"/>
      <w:r w:rsidRPr="00F2249F">
        <w:t>blockchain</w:t>
      </w:r>
      <w:proofErr w:type="spellEnd"/>
      <w:r w:rsidRPr="00F2249F">
        <w:t xml:space="preserve"> pri vydaní, zápise a prevode akcií.  </w:t>
      </w:r>
    </w:p>
    <w:p w14:paraId="52261E77"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rPr>
          <w:b/>
          <w:u w:val="single"/>
        </w:rPr>
      </w:pPr>
    </w:p>
    <w:p w14:paraId="2692C029" w14:textId="77777777" w:rsidR="00D322DC" w:rsidRPr="00F2249F" w:rsidRDefault="00EB1051" w:rsidP="00D322DC">
      <w:pPr>
        <w:pStyle w:val="Pta"/>
        <w:tabs>
          <w:tab w:val="clear" w:pos="4536"/>
          <w:tab w:val="clear" w:pos="9072"/>
        </w:tabs>
        <w:overflowPunct w:val="0"/>
        <w:autoSpaceDE w:val="0"/>
        <w:autoSpaceDN w:val="0"/>
        <w:adjustRightInd w:val="0"/>
        <w:jc w:val="both"/>
        <w:textAlignment w:val="baseline"/>
        <w:rPr>
          <w:i/>
        </w:rPr>
      </w:pPr>
      <w:r w:rsidRPr="00F2249F">
        <w:rPr>
          <w:b/>
          <w:u w:val="single"/>
        </w:rPr>
        <w:t>Pozícia SR</w:t>
      </w:r>
      <w:r w:rsidRPr="00F2249F">
        <w:rPr>
          <w:b/>
        </w:rPr>
        <w:t>:</w:t>
      </w:r>
      <w:r w:rsidRPr="00F2249F">
        <w:t xml:space="preserve"> </w:t>
      </w:r>
      <w:r w:rsidR="00D322DC" w:rsidRPr="00F2249F">
        <w:rPr>
          <w:i/>
        </w:rPr>
        <w:t xml:space="preserve">Slovenské právo pri </w:t>
      </w:r>
      <w:proofErr w:type="spellStart"/>
      <w:r w:rsidR="00D322DC" w:rsidRPr="00F2249F">
        <w:rPr>
          <w:i/>
        </w:rPr>
        <w:t>s.r.o</w:t>
      </w:r>
      <w:proofErr w:type="spellEnd"/>
      <w:r w:rsidR="00D322DC" w:rsidRPr="00F2249F">
        <w:rPr>
          <w:i/>
        </w:rPr>
        <w:t xml:space="preserve">. nepozná druh a podobu obchodného podielu. Akciová spoločnosť v § 155 a 156 ObZ neobmedzuje podobu a druh akcií. Jednoduchá spoločnosť na akcie obmedzuje v § 220i/1 druh a podobu akcií rovnako ako návrh EU </w:t>
      </w:r>
      <w:proofErr w:type="spellStart"/>
      <w:r w:rsidR="00D322DC" w:rsidRPr="00F2249F">
        <w:rPr>
          <w:i/>
        </w:rPr>
        <w:t>Inc</w:t>
      </w:r>
      <w:proofErr w:type="spellEnd"/>
      <w:r w:rsidR="00D322DC" w:rsidRPr="00F2249F">
        <w:rPr>
          <w:i/>
        </w:rPr>
        <w:t>., pričom dôvodová správa k </w:t>
      </w:r>
      <w:proofErr w:type="spellStart"/>
      <w:r w:rsidR="00D322DC" w:rsidRPr="00F2249F">
        <w:rPr>
          <w:i/>
        </w:rPr>
        <w:t>j.s.a</w:t>
      </w:r>
      <w:proofErr w:type="spellEnd"/>
      <w:r w:rsidR="00D322DC" w:rsidRPr="00F2249F">
        <w:rPr>
          <w:i/>
        </w:rPr>
        <w:t xml:space="preserve">. uviedla ako dôvod takéhoto obmedzenia „transparentnosť novej právnej formy“. </w:t>
      </w:r>
    </w:p>
    <w:p w14:paraId="66E2BA16" w14:textId="77777777" w:rsidR="00D322DC" w:rsidRPr="00F2249F" w:rsidRDefault="00D322DC" w:rsidP="00D322DC">
      <w:pPr>
        <w:pStyle w:val="Pta"/>
        <w:tabs>
          <w:tab w:val="clear" w:pos="4536"/>
          <w:tab w:val="clear" w:pos="9072"/>
        </w:tabs>
        <w:overflowPunct w:val="0"/>
        <w:autoSpaceDE w:val="0"/>
        <w:autoSpaceDN w:val="0"/>
        <w:adjustRightInd w:val="0"/>
        <w:jc w:val="both"/>
        <w:textAlignment w:val="baseline"/>
        <w:rPr>
          <w:i/>
        </w:rPr>
      </w:pPr>
      <w:r w:rsidRPr="00F2249F">
        <w:rPr>
          <w:i/>
        </w:rPr>
        <w:t xml:space="preserve">Pokiaľ ide o prevod obchodného podielu, úprava </w:t>
      </w:r>
      <w:proofErr w:type="spellStart"/>
      <w:r w:rsidRPr="00F2249F">
        <w:rPr>
          <w:i/>
        </w:rPr>
        <w:t>s.r.o</w:t>
      </w:r>
      <w:proofErr w:type="spellEnd"/>
      <w:r w:rsidRPr="00F2249F">
        <w:rPr>
          <w:i/>
        </w:rPr>
        <w:t>. ho čiastočne obmedzuje s možnosťou flexibilnejšej úpravy v spoločenskej zmluve. Prevod však nie je konštitutívny zápisom do obchodného registra (hoci aj taká úprava v minulosti existovala), ale doručením zmluvy o prevode obchodného podielu spoločnosti, resp. súhlasom valného zhromaždenia ak sa súhlas vyžaduje. Zmluva musí byť vo forme notárskej zápisnice (§115 ods. 4 ObZ).  Prevod zaknihovaných akcií upravuje ObZ a zákon č. 566/2001 Z. z. o cenných papieroch (ďalej len „zákon č. 566/2001 Z. z.“) v § 22-27, ktorý tiež stanovuje konštitutívny princíp účinnosti prevodu zápisom do Centrálneho depozitára cenných papierov. Rovnakou úpravou sa riadi aj jednoduchá spoločnosť na akcie.</w:t>
      </w:r>
    </w:p>
    <w:p w14:paraId="2309CBFD" w14:textId="77777777" w:rsidR="00D322DC" w:rsidRPr="00F2249F" w:rsidRDefault="00D322DC" w:rsidP="00D322DC">
      <w:pPr>
        <w:pStyle w:val="Pta"/>
        <w:tabs>
          <w:tab w:val="clear" w:pos="4536"/>
          <w:tab w:val="clear" w:pos="9072"/>
        </w:tabs>
        <w:overflowPunct w:val="0"/>
        <w:autoSpaceDE w:val="0"/>
        <w:autoSpaceDN w:val="0"/>
        <w:adjustRightInd w:val="0"/>
        <w:jc w:val="both"/>
        <w:textAlignment w:val="baseline"/>
        <w:rPr>
          <w:i/>
        </w:rPr>
      </w:pPr>
      <w:r w:rsidRPr="00F2249F">
        <w:rPr>
          <w:i/>
        </w:rPr>
        <w:t xml:space="preserve">Slovenský právny poriadok v súčasnosti DLT výslovne ako všeobecnú právnu kategóriu neupravuje; jeho použitie je zabezpečené prostredníctvom priamo aplikovateľných nariadení EÚ, najmä DLT pilotného režimu a regulácie </w:t>
      </w:r>
      <w:proofErr w:type="spellStart"/>
      <w:r w:rsidRPr="00F2249F">
        <w:rPr>
          <w:i/>
        </w:rPr>
        <w:t>kryptoaktív</w:t>
      </w:r>
      <w:proofErr w:type="spellEnd"/>
      <w:r w:rsidRPr="00F2249F">
        <w:rPr>
          <w:i/>
        </w:rPr>
        <w:t xml:space="preserve">. </w:t>
      </w:r>
    </w:p>
    <w:p w14:paraId="1B6B9213"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rPr>
          <w:i/>
        </w:rPr>
      </w:pPr>
      <w:r w:rsidRPr="00F2249F">
        <w:rPr>
          <w:i/>
        </w:rPr>
        <w:t xml:space="preserve">Obmedzenie druhu a podoby akcií je pre Slovenskú republiku prijateľné, napokon </w:t>
      </w:r>
      <w:proofErr w:type="spellStart"/>
      <w:r w:rsidRPr="00F2249F">
        <w:rPr>
          <w:i/>
        </w:rPr>
        <w:t>startupová</w:t>
      </w:r>
      <w:proofErr w:type="spellEnd"/>
      <w:r w:rsidRPr="00F2249F">
        <w:rPr>
          <w:i/>
        </w:rPr>
        <w:t xml:space="preserve"> forma spoločnosti </w:t>
      </w:r>
      <w:proofErr w:type="spellStart"/>
      <w:r w:rsidRPr="00F2249F">
        <w:rPr>
          <w:i/>
        </w:rPr>
        <w:t>j.s.a</w:t>
      </w:r>
      <w:proofErr w:type="spellEnd"/>
      <w:r w:rsidRPr="00F2249F">
        <w:rPr>
          <w:i/>
        </w:rPr>
        <w:t xml:space="preserve">. obsahuje rovnaké obmedzenie. Prevod obchodného podielu – princíp </w:t>
      </w:r>
      <w:proofErr w:type="spellStart"/>
      <w:r w:rsidRPr="00F2249F">
        <w:rPr>
          <w:i/>
        </w:rPr>
        <w:t>konštitutívnosti</w:t>
      </w:r>
      <w:proofErr w:type="spellEnd"/>
      <w:r w:rsidRPr="00F2249F">
        <w:rPr>
          <w:i/>
        </w:rPr>
        <w:t xml:space="preserve"> zápisom do registra – vie Slovenská republika akceptovať, pretože ho aplikuje už v súčasnosti. </w:t>
      </w:r>
    </w:p>
    <w:p w14:paraId="08CFAA63"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pPr>
      <w:r w:rsidRPr="00F2249F">
        <w:rPr>
          <w:i/>
        </w:rPr>
        <w:t>Problematickou úpravou je tu digitálny register akcií vrátane DLT formy, pričom podrobné dôvody a návrhy doplnení sú uvedené v pozícii k nasledujúcemu článku</w:t>
      </w:r>
      <w:r w:rsidRPr="00F2249F">
        <w:t xml:space="preserve">. </w:t>
      </w:r>
    </w:p>
    <w:p w14:paraId="21C85662"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pPr>
    </w:p>
    <w:p w14:paraId="1DA6ACD8"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rPr>
          <w:b/>
          <w:u w:val="single"/>
        </w:rPr>
      </w:pPr>
      <w:r w:rsidRPr="00F2249F">
        <w:rPr>
          <w:b/>
          <w:u w:val="single"/>
        </w:rPr>
        <w:t>Článok 54 Digitálny register akcií</w:t>
      </w:r>
    </w:p>
    <w:p w14:paraId="1E4199A3"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rPr>
          <w:u w:val="single"/>
        </w:rPr>
      </w:pPr>
    </w:p>
    <w:p w14:paraId="55AFBA69" w14:textId="1331FB59" w:rsidR="00EB1051" w:rsidRDefault="00EB1051" w:rsidP="00EB1051">
      <w:pPr>
        <w:pStyle w:val="Pta"/>
        <w:tabs>
          <w:tab w:val="clear" w:pos="4536"/>
          <w:tab w:val="clear" w:pos="9072"/>
        </w:tabs>
        <w:overflowPunct w:val="0"/>
        <w:autoSpaceDE w:val="0"/>
        <w:autoSpaceDN w:val="0"/>
        <w:adjustRightInd w:val="0"/>
        <w:jc w:val="both"/>
        <w:textAlignment w:val="baseline"/>
      </w:pPr>
      <w:r w:rsidRPr="00F2249F">
        <w:t xml:space="preserve">Ustanovenie ukladá povinnosť spoločnosti EU </w:t>
      </w:r>
      <w:proofErr w:type="spellStart"/>
      <w:r w:rsidRPr="00F2249F">
        <w:t>Inc</w:t>
      </w:r>
      <w:proofErr w:type="spellEnd"/>
      <w:r w:rsidRPr="00F2249F">
        <w:t xml:space="preserve">. vytvoriť a viesť aktuálny elektronický register akcií s podrobnými informáciami najmä o akcionároch, akciách, zabezpečovacích právach k akciám a podrobnostiach o každej transakcii akcií . Článok upravuje prístup k dátam z registra, ktorý majú akcionári a „osoby s oprávneným záujmom“, pričom sa odkazuje na GDPR úpravu. Článok tiež upravuje povinnosť spoločnosti vydať akcionárovi elektronické osvedčenie o akcii, stanovujú sa taxatívne jeho obsahové náležitosti a formálne datovanie elektronickou časovou pečaťou ako aj podpis kvalifikovaných elektronickým podpisom podľa nariadenia e-IDAS. Osvedčenie môže byť kompatibilné s Elektronickou peňaženkou digitálnej identity – nie je zrejmé, či sa kompatibilita ponecháva na určenie členského štátu alebo na spoločnosť. </w:t>
      </w:r>
    </w:p>
    <w:p w14:paraId="7F844E3C" w14:textId="11BA49E3" w:rsidR="00031EB4" w:rsidRDefault="00031EB4" w:rsidP="00EB1051">
      <w:pPr>
        <w:pStyle w:val="Pta"/>
        <w:tabs>
          <w:tab w:val="clear" w:pos="4536"/>
          <w:tab w:val="clear" w:pos="9072"/>
        </w:tabs>
        <w:overflowPunct w:val="0"/>
        <w:autoSpaceDE w:val="0"/>
        <w:autoSpaceDN w:val="0"/>
        <w:adjustRightInd w:val="0"/>
        <w:jc w:val="both"/>
        <w:textAlignment w:val="baseline"/>
      </w:pPr>
    </w:p>
    <w:p w14:paraId="74999ECB" w14:textId="709855CD" w:rsidR="00D322DC" w:rsidRPr="00F2249F" w:rsidRDefault="00EB1051" w:rsidP="00D322DC">
      <w:pPr>
        <w:pStyle w:val="Pta"/>
        <w:tabs>
          <w:tab w:val="clear" w:pos="4536"/>
          <w:tab w:val="clear" w:pos="9072"/>
        </w:tabs>
        <w:overflowPunct w:val="0"/>
        <w:autoSpaceDE w:val="0"/>
        <w:autoSpaceDN w:val="0"/>
        <w:adjustRightInd w:val="0"/>
        <w:jc w:val="both"/>
        <w:textAlignment w:val="baseline"/>
        <w:rPr>
          <w:i/>
        </w:rPr>
      </w:pPr>
      <w:r w:rsidRPr="00F2249F">
        <w:rPr>
          <w:b/>
          <w:u w:val="single"/>
        </w:rPr>
        <w:t>Pozícia Slovenskej republiky:</w:t>
      </w:r>
      <w:r w:rsidRPr="00F2249F">
        <w:rPr>
          <w:i/>
        </w:rPr>
        <w:t xml:space="preserve"> </w:t>
      </w:r>
      <w:r w:rsidR="00D322DC" w:rsidRPr="00F2249F">
        <w:rPr>
          <w:i/>
        </w:rPr>
        <w:t xml:space="preserve">Vedenie registra spoločnosťou EU </w:t>
      </w:r>
      <w:proofErr w:type="spellStart"/>
      <w:r w:rsidR="00D322DC" w:rsidRPr="00F2249F">
        <w:rPr>
          <w:i/>
        </w:rPr>
        <w:t>Inc</w:t>
      </w:r>
      <w:proofErr w:type="spellEnd"/>
      <w:r w:rsidR="00D322DC" w:rsidRPr="00F2249F">
        <w:rPr>
          <w:i/>
        </w:rPr>
        <w:t xml:space="preserve">. a jeho sprístupňovanie akcionárom a tretím osobám je potrebné podrobne preskúmať. Spoločnosť s ručením obmedzeným vedie zoznam majiteľov obchodných podielov, nie však ďalšie transakčné podrobnosti. Zabezpečovacie práva k podielom sa zapisujú do obchodného registra. K údajom majú prístup spoločníci a tretie osoby len vo veľmi obmedzenej miere. Pokiaľ ide o akciovú spoločnosť, alebo jednoduchú spoločnosť na akcie, centrálny depozitár cenných papierov (CDCP) predstavuje v podmienkach SR dôležitý prvok právnej istoty pri prevodoch zaknihovaných akcií na meno, pretože zabezpečuje dôveryhodnú tretiu stranu, ktorá garantuje evidenciu vlastníckych práv a znižuje riziko sporov o ich prevod. Zároveň však povinnosti </w:t>
      </w:r>
      <w:r w:rsidR="00D322DC" w:rsidRPr="00F2249F">
        <w:rPr>
          <w:i/>
        </w:rPr>
        <w:lastRenderedPageBreak/>
        <w:t xml:space="preserve">súvisiace s CDCP predstavujú pre obchodné spoločnosti podľa vyjadrení praktikov významnú transakčnú a administratívnu záťaž, najmä z hľadiska poplatkov a procesných požiadaviek, čo môže v praxi znižovať efektívnosť a rýchlosť kapitálových transakcií, najmä pre menších emitentov a investorov, vrátane </w:t>
      </w:r>
      <w:proofErr w:type="spellStart"/>
      <w:r w:rsidR="00D322DC" w:rsidRPr="00F2249F">
        <w:rPr>
          <w:i/>
        </w:rPr>
        <w:t>startupových</w:t>
      </w:r>
      <w:proofErr w:type="spellEnd"/>
      <w:r w:rsidR="00D322DC" w:rsidRPr="00F2249F">
        <w:rPr>
          <w:i/>
        </w:rPr>
        <w:t xml:space="preserve"> spoločností. </w:t>
      </w:r>
    </w:p>
    <w:p w14:paraId="446DC9C8" w14:textId="77777777" w:rsidR="00D322DC" w:rsidRPr="00F2249F" w:rsidRDefault="00D322DC" w:rsidP="00D322DC">
      <w:pPr>
        <w:pStyle w:val="Pta"/>
        <w:tabs>
          <w:tab w:val="clear" w:pos="4536"/>
          <w:tab w:val="clear" w:pos="9072"/>
        </w:tabs>
        <w:overflowPunct w:val="0"/>
        <w:autoSpaceDE w:val="0"/>
        <w:autoSpaceDN w:val="0"/>
        <w:adjustRightInd w:val="0"/>
        <w:jc w:val="both"/>
        <w:textAlignment w:val="baseline"/>
        <w:rPr>
          <w:b/>
          <w:i/>
          <w:u w:val="single"/>
        </w:rPr>
      </w:pPr>
    </w:p>
    <w:p w14:paraId="2538CCD5"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rPr>
          <w:i/>
        </w:rPr>
      </w:pPr>
      <w:r w:rsidRPr="00F2249F">
        <w:rPr>
          <w:i/>
        </w:rPr>
        <w:t xml:space="preserve">Ponechanie vedenia registra akcií na samotnú spoločnosť vnímame ambivalentne, najmä vzhľadom na možnosť podvodov falšovaním zápisov spätne. Preto navrhujeme, aby KOM vytvorila </w:t>
      </w:r>
      <w:proofErr w:type="spellStart"/>
      <w:r w:rsidRPr="00F2249F">
        <w:rPr>
          <w:i/>
        </w:rPr>
        <w:t>open-source</w:t>
      </w:r>
      <w:proofErr w:type="spellEnd"/>
      <w:r w:rsidRPr="00F2249F">
        <w:rPr>
          <w:i/>
        </w:rPr>
        <w:t xml:space="preserve"> softvér pre vedenie elektronického registra pre spoločnosti, podľa ktorého by sa spätné zmeny v registri neumožňovali. </w:t>
      </w:r>
    </w:p>
    <w:p w14:paraId="0F16DB87" w14:textId="1002BDFA" w:rsidR="00EB1051" w:rsidRPr="00F2249F" w:rsidRDefault="00EB1051" w:rsidP="00EB1051">
      <w:pPr>
        <w:pStyle w:val="Pta"/>
        <w:tabs>
          <w:tab w:val="clear" w:pos="4536"/>
          <w:tab w:val="clear" w:pos="9072"/>
        </w:tabs>
        <w:overflowPunct w:val="0"/>
        <w:autoSpaceDE w:val="0"/>
        <w:autoSpaceDN w:val="0"/>
        <w:adjustRightInd w:val="0"/>
        <w:jc w:val="both"/>
        <w:textAlignment w:val="baseline"/>
        <w:rPr>
          <w:i/>
        </w:rPr>
      </w:pPr>
      <w:r w:rsidRPr="00F2249F">
        <w:rPr>
          <w:i/>
        </w:rPr>
        <w:t>Okrem toho je potrebné trvať na tom, aby spoločnosť pri vstupe na kapitálové trhy už nepostupovala podľa článku 54</w:t>
      </w:r>
      <w:r w:rsidR="00565D81" w:rsidRPr="00F2249F">
        <w:rPr>
          <w:i/>
        </w:rPr>
        <w:t>, ale pravidlami o obchodovaní na kapitálových trhoch</w:t>
      </w:r>
      <w:r w:rsidRPr="00F2249F">
        <w:rPr>
          <w:i/>
        </w:rPr>
        <w:t xml:space="preserve"> (obdobne k čl. 62). </w:t>
      </w:r>
    </w:p>
    <w:p w14:paraId="5F888B80" w14:textId="77777777" w:rsidR="00565D81" w:rsidRPr="00F2249F" w:rsidRDefault="00EB1051" w:rsidP="00EB1051">
      <w:pPr>
        <w:pStyle w:val="Pta"/>
        <w:tabs>
          <w:tab w:val="clear" w:pos="4536"/>
          <w:tab w:val="clear" w:pos="9072"/>
        </w:tabs>
        <w:overflowPunct w:val="0"/>
        <w:autoSpaceDE w:val="0"/>
        <w:autoSpaceDN w:val="0"/>
        <w:adjustRightInd w:val="0"/>
        <w:jc w:val="both"/>
        <w:textAlignment w:val="baseline"/>
        <w:rPr>
          <w:i/>
        </w:rPr>
      </w:pPr>
      <w:r w:rsidRPr="00F2249F">
        <w:rPr>
          <w:i/>
        </w:rPr>
        <w:t xml:space="preserve">Počas diskusií o návrhu bude potrebné zistiť podrobnosti o prístupe k elektronickému registru, ktorý si v prípade akcií s osobitnými právami vyžaduje určitú mieru transparentnosti (podľa vzoru </w:t>
      </w:r>
      <w:proofErr w:type="spellStart"/>
      <w:r w:rsidRPr="00F2249F">
        <w:rPr>
          <w:i/>
        </w:rPr>
        <w:t>j.s.a</w:t>
      </w:r>
      <w:proofErr w:type="spellEnd"/>
      <w:r w:rsidRPr="00F2249F">
        <w:rPr>
          <w:i/>
        </w:rPr>
        <w:t xml:space="preserve">.). Prístup akcionárov k registru akcionárov je v slovenskej úprave obmedzený na časť, ktorá sa akcionára týka (§ 156 ods. 6 ObZ). Je tiež potrebné zamedziť tomu, aby spoločnosť prílišnými poplatkami znemožnila akcionárovi prístup k dátam z registra, preto navrhneme spresniť, že spoločnosť musí sprístupniť dáta zadarmo, maximálne však za administratívne náklady. </w:t>
      </w:r>
    </w:p>
    <w:p w14:paraId="7AF07CD7" w14:textId="58D59245" w:rsidR="00EB1051" w:rsidRPr="00F2249F" w:rsidRDefault="00EB1051" w:rsidP="00EB1051">
      <w:pPr>
        <w:pStyle w:val="Pta"/>
        <w:tabs>
          <w:tab w:val="clear" w:pos="4536"/>
          <w:tab w:val="clear" w:pos="9072"/>
        </w:tabs>
        <w:overflowPunct w:val="0"/>
        <w:autoSpaceDE w:val="0"/>
        <w:autoSpaceDN w:val="0"/>
        <w:adjustRightInd w:val="0"/>
        <w:jc w:val="both"/>
        <w:textAlignment w:val="baseline"/>
        <w:rPr>
          <w:i/>
        </w:rPr>
      </w:pPr>
      <w:r w:rsidRPr="00F2249F">
        <w:rPr>
          <w:i/>
        </w:rPr>
        <w:t xml:space="preserve">Pokiaľ ide o prístup tretích osôb, vítame ho ako opatrenie v oblasti AML. V porovnaní so slovenskou úpravou je návrh upravený veľmi otvorene. Ponecháva na posúdenie spoločnosti, či sprístupnenie údajov tretím osobám spĺňa „oprávnený záujem“. Zmena filozofie z „zákon prísne a rigidne určí kto má právo na prístup k údajom“ na „posúdi si to spoločnosť sama“ však môže viesť k právnej neistote a potenciálnym rozporom s GDPR úpravou. </w:t>
      </w:r>
      <w:r w:rsidR="00565D81" w:rsidRPr="00F2249F">
        <w:rPr>
          <w:i/>
        </w:rPr>
        <w:t xml:space="preserve">Preto bude vhodné prediskutovať limitáciu resp. sprísnenie tejto úpravy. </w:t>
      </w:r>
    </w:p>
    <w:p w14:paraId="76F24A26"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pPr>
    </w:p>
    <w:p w14:paraId="4813925C"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rPr>
          <w:u w:val="single"/>
        </w:rPr>
      </w:pPr>
      <w:r w:rsidRPr="00F2249F">
        <w:rPr>
          <w:b/>
          <w:u w:val="single"/>
        </w:rPr>
        <w:t>Článok 55  Rovnosť v zaobchádzaní s akciami a triedami akcií</w:t>
      </w:r>
      <w:r w:rsidRPr="00F2249F">
        <w:rPr>
          <w:u w:val="single"/>
        </w:rPr>
        <w:t xml:space="preserve"> </w:t>
      </w:r>
    </w:p>
    <w:p w14:paraId="31E2A552"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pPr>
    </w:p>
    <w:p w14:paraId="5EED02B8"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pPr>
      <w:r w:rsidRPr="00F2249F">
        <w:t xml:space="preserve">Článok predstavuje všeobecné pravidlo rovnosti práv a povinností z akcie, pokiaľ stanovy nestanovia inak. Umožňujú sa viaceré a rôznorodé triedy akcií s rôznymi právami a povinnosťami, pričom rovnaké akcie tvoria jednu triedu. Ustanovenie </w:t>
      </w:r>
      <w:proofErr w:type="spellStart"/>
      <w:r w:rsidRPr="00F2249F">
        <w:t>príkladmo</w:t>
      </w:r>
      <w:proofErr w:type="spellEnd"/>
      <w:r w:rsidRPr="00F2249F">
        <w:t xml:space="preserve"> uvádza práva a povinnosti spojené s akciou, vrátane viacnásobného hlasovacieho práva na jednu akciu. </w:t>
      </w:r>
    </w:p>
    <w:p w14:paraId="1B48E0F2" w14:textId="77777777" w:rsidR="00EB1051" w:rsidRPr="00F2249F" w:rsidRDefault="00EB1051" w:rsidP="00EB1051">
      <w:pPr>
        <w:pStyle w:val="Pta"/>
        <w:overflowPunct w:val="0"/>
        <w:autoSpaceDE w:val="0"/>
        <w:autoSpaceDN w:val="0"/>
        <w:adjustRightInd w:val="0"/>
        <w:jc w:val="both"/>
        <w:textAlignment w:val="baseline"/>
        <w:rPr>
          <w:b/>
          <w:u w:val="single"/>
        </w:rPr>
      </w:pPr>
    </w:p>
    <w:p w14:paraId="36E7545E" w14:textId="77777777" w:rsidR="00565D81" w:rsidRPr="00F2249F" w:rsidRDefault="00EB1051" w:rsidP="00565D81">
      <w:pPr>
        <w:pStyle w:val="Pta"/>
        <w:overflowPunct w:val="0"/>
        <w:autoSpaceDE w:val="0"/>
        <w:autoSpaceDN w:val="0"/>
        <w:adjustRightInd w:val="0"/>
        <w:jc w:val="both"/>
        <w:textAlignment w:val="baseline"/>
        <w:rPr>
          <w:i/>
        </w:rPr>
      </w:pPr>
      <w:r w:rsidRPr="00F2249F">
        <w:rPr>
          <w:b/>
          <w:u w:val="single"/>
        </w:rPr>
        <w:t>Pozícia SR</w:t>
      </w:r>
      <w:r w:rsidRPr="00F2249F">
        <w:rPr>
          <w:b/>
        </w:rPr>
        <w:t>:</w:t>
      </w:r>
      <w:r w:rsidRPr="00F2249F">
        <w:t xml:space="preserve"> </w:t>
      </w:r>
      <w:r w:rsidR="00565D81" w:rsidRPr="00F2249F">
        <w:rPr>
          <w:i/>
        </w:rPr>
        <w:t xml:space="preserve">Úprava článku vychádza z princípu rovnosti akcií, ktorý je v slovenskom práve najbližšie vyjadrený v § 155 ods. 1 ObZ pri akciovej spoločnosti, kde platí, že akcie rovnakej formy a druhu majú rovnaké práva. Tento princíp rovnosti je ďalej doplnený všeobecnou zásadou zákazu zneužitia práv podľa § 56a ObZ, hoci táto zásada nie je formulovaná tak explicitne a systematicky ako v návrhu EU </w:t>
      </w:r>
      <w:proofErr w:type="spellStart"/>
      <w:r w:rsidR="00565D81" w:rsidRPr="00F2249F">
        <w:rPr>
          <w:i/>
        </w:rPr>
        <w:t>Inc</w:t>
      </w:r>
      <w:proofErr w:type="spellEnd"/>
      <w:r w:rsidR="00565D81" w:rsidRPr="00F2249F">
        <w:rPr>
          <w:i/>
        </w:rPr>
        <w:t xml:space="preserve">. </w:t>
      </w:r>
    </w:p>
    <w:p w14:paraId="639C58C9" w14:textId="77777777" w:rsidR="00565D81" w:rsidRPr="00F2249F" w:rsidRDefault="00565D81" w:rsidP="00565D81">
      <w:pPr>
        <w:pStyle w:val="Pta"/>
        <w:overflowPunct w:val="0"/>
        <w:autoSpaceDE w:val="0"/>
        <w:autoSpaceDN w:val="0"/>
        <w:adjustRightInd w:val="0"/>
        <w:jc w:val="both"/>
        <w:textAlignment w:val="baseline"/>
        <w:rPr>
          <w:i/>
        </w:rPr>
      </w:pPr>
      <w:r w:rsidRPr="00F2249F">
        <w:rPr>
          <w:i/>
        </w:rPr>
        <w:t>Pokiaľ ide o triedy akcií, slovenská akciová spoločnosť umožňuje vytváranie rôznych druhov akcií, najmä kmeňových a prioritných (§155 ods.5 a 6, § 156 ods. 11, § 159 ObZ). Táto úprava však zostáva v porovnaní s čl. 55 návrhu relatívne uzavretá a taxatívna, keďže návrh výslovne pripúšťa oveľa širší katalóg práv viazaných na akcie, vrátane veto práv, viacnásobného hlasovania, vylúčenia hlasovacieho práva či špecifických práv.</w:t>
      </w:r>
    </w:p>
    <w:p w14:paraId="00071188" w14:textId="77777777" w:rsidR="00565D81" w:rsidRPr="00F2249F" w:rsidRDefault="00565D81" w:rsidP="00565D81">
      <w:pPr>
        <w:pStyle w:val="Pta"/>
        <w:overflowPunct w:val="0"/>
        <w:autoSpaceDE w:val="0"/>
        <w:autoSpaceDN w:val="0"/>
        <w:adjustRightInd w:val="0"/>
        <w:jc w:val="both"/>
        <w:textAlignment w:val="baseline"/>
        <w:rPr>
          <w:i/>
        </w:rPr>
      </w:pPr>
      <w:r w:rsidRPr="00F2249F">
        <w:rPr>
          <w:i/>
        </w:rPr>
        <w:t xml:space="preserve">Pokiaľ ide o možnosť viacnásobného hlasovacieho práva na jednu akciu, slovenské právo sa pri úprave akciovej spoločnosti v súčasnosti drží základného pravidla „jedna akcia – jeden hlas“(§ 180 ObZ), pričom odchýlky sú možné len v obmedzenej miere prostredníctvom stanov. Táto úprava sa zmení novelizáciou Obchodného zákonníka pri transpozícii smernice Európskeho parlamentu a Rady (EÚ) 2024/2810 z 23. októbra 2024 o akciových štruktúrach s viacnásobnými hlasovacími právami v spoločnostiach, ktoré sa uchádzajú o prijatie svojich </w:t>
      </w:r>
      <w:r w:rsidRPr="00F2249F">
        <w:rPr>
          <w:i/>
        </w:rPr>
        <w:lastRenderedPageBreak/>
        <w:t>akcií na obchodovanie v multilaterálnom obchodnom systéme (Ú. v. EÚ L, 2024/2810, 14.11.2024).</w:t>
      </w:r>
    </w:p>
    <w:p w14:paraId="2A384136" w14:textId="77777777" w:rsidR="00565D81" w:rsidRPr="00F2249F" w:rsidRDefault="00565D81" w:rsidP="00565D81">
      <w:pPr>
        <w:pStyle w:val="Pta"/>
        <w:overflowPunct w:val="0"/>
        <w:autoSpaceDE w:val="0"/>
        <w:autoSpaceDN w:val="0"/>
        <w:adjustRightInd w:val="0"/>
        <w:jc w:val="both"/>
        <w:textAlignment w:val="baseline"/>
        <w:rPr>
          <w:i/>
        </w:rPr>
      </w:pPr>
      <w:r w:rsidRPr="00F2249F">
        <w:rPr>
          <w:i/>
        </w:rPr>
        <w:t xml:space="preserve">Úprava, ktorá je najbližšie modelu EU </w:t>
      </w:r>
      <w:proofErr w:type="spellStart"/>
      <w:r w:rsidRPr="00F2249F">
        <w:rPr>
          <w:i/>
        </w:rPr>
        <w:t>Inc</w:t>
      </w:r>
      <w:proofErr w:type="spellEnd"/>
      <w:r w:rsidRPr="00F2249F">
        <w:rPr>
          <w:i/>
        </w:rPr>
        <w:t xml:space="preserve">. je </w:t>
      </w:r>
      <w:proofErr w:type="spellStart"/>
      <w:r w:rsidRPr="00F2249F">
        <w:rPr>
          <w:i/>
        </w:rPr>
        <w:t>j.s.a</w:t>
      </w:r>
      <w:proofErr w:type="spellEnd"/>
      <w:r w:rsidRPr="00F2249F">
        <w:rPr>
          <w:i/>
        </w:rPr>
        <w:t xml:space="preserve">. (§ 220i ObZ), pre ktorú sa umožňuje, aby stanovy určili rôzne druhy akcií, rozdielne hlasovacie práva vrátane viacnásobného hlasovania na akciu, ako aj odlišné ekonomické práva. </w:t>
      </w:r>
    </w:p>
    <w:p w14:paraId="4B2A6DF0" w14:textId="77777777" w:rsidR="00565D81" w:rsidRPr="00F2249F" w:rsidRDefault="00565D81" w:rsidP="00565D81">
      <w:pPr>
        <w:pStyle w:val="Pta"/>
        <w:overflowPunct w:val="0"/>
        <w:autoSpaceDE w:val="0"/>
        <w:autoSpaceDN w:val="0"/>
        <w:adjustRightInd w:val="0"/>
        <w:jc w:val="both"/>
        <w:textAlignment w:val="baseline"/>
        <w:rPr>
          <w:i/>
        </w:rPr>
      </w:pPr>
      <w:r w:rsidRPr="00F2249F">
        <w:rPr>
          <w:i/>
        </w:rPr>
        <w:t>Pokiaľ ide o </w:t>
      </w:r>
      <w:proofErr w:type="spellStart"/>
      <w:r w:rsidRPr="00F2249F">
        <w:rPr>
          <w:i/>
        </w:rPr>
        <w:t>s.r.o</w:t>
      </w:r>
      <w:proofErr w:type="spellEnd"/>
      <w:r w:rsidRPr="00F2249F">
        <w:rPr>
          <w:i/>
        </w:rPr>
        <w:t>, počet hlasov každého spoločníka sa určuje pomerom hodnoty jeho vkladu k výška základného imania spoločnosti, ak spoločenská zmluva neurčuje inak. Diferenciácia je v </w:t>
      </w:r>
      <w:proofErr w:type="spellStart"/>
      <w:r w:rsidRPr="00F2249F">
        <w:rPr>
          <w:i/>
        </w:rPr>
        <w:t>s.r.o</w:t>
      </w:r>
      <w:proofErr w:type="spellEnd"/>
      <w:r w:rsidRPr="00F2249F">
        <w:rPr>
          <w:i/>
        </w:rPr>
        <w:t xml:space="preserve">. je teda možná, aj keď sa neviaže na akciu. </w:t>
      </w:r>
    </w:p>
    <w:p w14:paraId="55EA6D31" w14:textId="77777777" w:rsidR="00EB1051" w:rsidRPr="00F2249F" w:rsidRDefault="00EB1051" w:rsidP="00EB1051">
      <w:pPr>
        <w:pStyle w:val="Pta"/>
        <w:overflowPunct w:val="0"/>
        <w:autoSpaceDE w:val="0"/>
        <w:autoSpaceDN w:val="0"/>
        <w:adjustRightInd w:val="0"/>
        <w:jc w:val="both"/>
        <w:textAlignment w:val="baseline"/>
      </w:pPr>
      <w:r w:rsidRPr="00F2249F">
        <w:rPr>
          <w:i/>
        </w:rPr>
        <w:t xml:space="preserve">Slovenská republika nemá k návrhu pripomienky, navrhne však zvážiť spresnenie, že stanovy EU </w:t>
      </w:r>
      <w:proofErr w:type="spellStart"/>
      <w:r w:rsidRPr="00F2249F">
        <w:rPr>
          <w:i/>
        </w:rPr>
        <w:t>Inc</w:t>
      </w:r>
      <w:proofErr w:type="spellEnd"/>
      <w:r w:rsidRPr="00F2249F">
        <w:rPr>
          <w:i/>
        </w:rPr>
        <w:t xml:space="preserve">. môžu pri jednotlivých triedach akcií nielen priznávať osobitné alebo rozšírené práva, ale aj vylúčiť alebo obmedziť niektoré práva, napríklad hlasovacie práv, právo na dividendu, právo na likvidačný zostatok, predkupné právo, právo účasti na určitých rozhodnutiach či iné majetkové práva alebo práva riadenia spoločnosti, pokiaľ je rozsah vylúčenia alebo obmedzenia jasne, transparentne vopred určený v stanovách. </w:t>
      </w:r>
      <w:r w:rsidRPr="00F2249F">
        <w:t xml:space="preserve"> </w:t>
      </w:r>
    </w:p>
    <w:p w14:paraId="1D6BE35E" w14:textId="77777777" w:rsidR="00EB1051" w:rsidRPr="00F2249F" w:rsidRDefault="00EB1051" w:rsidP="00EB1051">
      <w:pPr>
        <w:pStyle w:val="Pta"/>
        <w:overflowPunct w:val="0"/>
        <w:autoSpaceDE w:val="0"/>
        <w:autoSpaceDN w:val="0"/>
        <w:adjustRightInd w:val="0"/>
        <w:jc w:val="both"/>
        <w:textAlignment w:val="baseline"/>
      </w:pPr>
    </w:p>
    <w:p w14:paraId="4EFE5C92"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rPr>
          <w:u w:val="single"/>
        </w:rPr>
      </w:pPr>
      <w:r w:rsidRPr="00F2249F">
        <w:rPr>
          <w:b/>
          <w:u w:val="single"/>
        </w:rPr>
        <w:t>Článok 56 Výkon práv akcionára</w:t>
      </w:r>
      <w:r w:rsidRPr="00F2249F">
        <w:rPr>
          <w:u w:val="single"/>
        </w:rPr>
        <w:t xml:space="preserve"> </w:t>
      </w:r>
    </w:p>
    <w:p w14:paraId="0F323B90"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pPr>
    </w:p>
    <w:p w14:paraId="1523B3B8" w14:textId="126D4FE3" w:rsidR="00EB1051" w:rsidRDefault="00EB1051" w:rsidP="00EB1051">
      <w:pPr>
        <w:pStyle w:val="Pta"/>
        <w:tabs>
          <w:tab w:val="clear" w:pos="4536"/>
          <w:tab w:val="clear" w:pos="9072"/>
        </w:tabs>
        <w:overflowPunct w:val="0"/>
        <w:autoSpaceDE w:val="0"/>
        <w:autoSpaceDN w:val="0"/>
        <w:adjustRightInd w:val="0"/>
        <w:jc w:val="both"/>
        <w:textAlignment w:val="baseline"/>
      </w:pPr>
      <w:r w:rsidRPr="00F2249F">
        <w:t xml:space="preserve">Úprava sa týka určenia rozhodného dňa pre vznik práva akcionárov, spoločného zástupcu na hlasovanie, informáciách o programe valného zhromaždenia, práva akcionárov klásť otázky na valnom zhromaždení, práva akcionárov na prístup k účtovným dokumentom, a práva akcionárov spustiť externé vyšetrovanie záležitostí spoločností za účasti ekonomického experta menovaného súdom. </w:t>
      </w:r>
    </w:p>
    <w:p w14:paraId="069E70A4" w14:textId="77777777" w:rsidR="00031EB4" w:rsidRPr="00F2249F" w:rsidRDefault="00031EB4" w:rsidP="00EB1051">
      <w:pPr>
        <w:pStyle w:val="Pta"/>
        <w:tabs>
          <w:tab w:val="clear" w:pos="4536"/>
          <w:tab w:val="clear" w:pos="9072"/>
        </w:tabs>
        <w:overflowPunct w:val="0"/>
        <w:autoSpaceDE w:val="0"/>
        <w:autoSpaceDN w:val="0"/>
        <w:adjustRightInd w:val="0"/>
        <w:jc w:val="both"/>
        <w:textAlignment w:val="baseline"/>
      </w:pPr>
    </w:p>
    <w:p w14:paraId="043109B2" w14:textId="77777777" w:rsidR="006B3A17" w:rsidRPr="00F2249F" w:rsidRDefault="00EB1051" w:rsidP="006B3A17">
      <w:pPr>
        <w:pStyle w:val="Pta"/>
        <w:tabs>
          <w:tab w:val="clear" w:pos="4536"/>
          <w:tab w:val="clear" w:pos="9072"/>
        </w:tabs>
        <w:overflowPunct w:val="0"/>
        <w:autoSpaceDE w:val="0"/>
        <w:autoSpaceDN w:val="0"/>
        <w:adjustRightInd w:val="0"/>
        <w:jc w:val="both"/>
        <w:textAlignment w:val="baseline"/>
        <w:rPr>
          <w:i/>
        </w:rPr>
      </w:pPr>
      <w:r w:rsidRPr="00F2249F">
        <w:rPr>
          <w:b/>
          <w:u w:val="single"/>
        </w:rPr>
        <w:t>Pozícia SR</w:t>
      </w:r>
      <w:r w:rsidRPr="00F2249F">
        <w:rPr>
          <w:b/>
        </w:rPr>
        <w:t>:</w:t>
      </w:r>
      <w:r w:rsidRPr="00F2249F">
        <w:t xml:space="preserve"> </w:t>
      </w:r>
      <w:r w:rsidR="006B3A17" w:rsidRPr="00F2249F">
        <w:rPr>
          <w:i/>
        </w:rPr>
        <w:t>Pokiaľ ide o rozhodný deň v </w:t>
      </w:r>
      <w:proofErr w:type="spellStart"/>
      <w:r w:rsidR="006B3A17" w:rsidRPr="00F2249F">
        <w:rPr>
          <w:i/>
        </w:rPr>
        <w:t>s.r.o</w:t>
      </w:r>
      <w:proofErr w:type="spellEnd"/>
      <w:r w:rsidR="006B3A17" w:rsidRPr="00F2249F">
        <w:rPr>
          <w:i/>
        </w:rPr>
        <w:t>., práva spoločníka voči spoločnosti vznikajú odo dňa doručenia zmluvy o prevode obchodného podielu (ak nenastanú až s neskoršou účinnosťou zmluvy), nie však skôr ako valné zhromaždenie vysloví súhlas s prevodom ak sa podľa zákona alebo spol. zmluvy súhlas vyžaduje (§ 115/5 ObZ). Od 17.8.2026 musí mať zmluva formu notárskej zápisnice alebo zmluvy autorizovanej advokátom.</w:t>
      </w:r>
      <w:r w:rsidR="006B3A17" w:rsidRPr="00F2249F">
        <w:rPr>
          <w:rStyle w:val="Odkaznapoznmkupodiarou"/>
          <w:i/>
        </w:rPr>
        <w:footnoteReference w:id="2"/>
      </w:r>
      <w:r w:rsidR="006B3A17" w:rsidRPr="00F2249F">
        <w:rPr>
          <w:i/>
        </w:rPr>
        <w:t xml:space="preserve"> Pri úprave a.s. sa pre účinnosť prevodu zaknihovaných akcií na meno vyžaduje zápis zmeny osoby akcionára v CDCP. Rovnaké platí pre úpravu a.s. a </w:t>
      </w:r>
      <w:proofErr w:type="spellStart"/>
      <w:r w:rsidR="006B3A17" w:rsidRPr="00F2249F">
        <w:rPr>
          <w:i/>
        </w:rPr>
        <w:t>j.s.a</w:t>
      </w:r>
      <w:proofErr w:type="spellEnd"/>
      <w:r w:rsidR="006B3A17" w:rsidRPr="00F2249F">
        <w:rPr>
          <w:i/>
        </w:rPr>
        <w:t xml:space="preserve">. (§ 156a ObZ, § 220h ods. 4  ObZ a zákon č. 566/2001 Z. z.). </w:t>
      </w:r>
    </w:p>
    <w:p w14:paraId="684DA4FD" w14:textId="77777777" w:rsidR="006B3A17" w:rsidRPr="00F2249F" w:rsidRDefault="006B3A17" w:rsidP="006B3A17">
      <w:pPr>
        <w:pStyle w:val="Pta"/>
        <w:tabs>
          <w:tab w:val="clear" w:pos="4536"/>
          <w:tab w:val="clear" w:pos="9072"/>
        </w:tabs>
        <w:overflowPunct w:val="0"/>
        <w:autoSpaceDE w:val="0"/>
        <w:autoSpaceDN w:val="0"/>
        <w:adjustRightInd w:val="0"/>
        <w:jc w:val="both"/>
        <w:textAlignment w:val="baseline"/>
        <w:rPr>
          <w:i/>
        </w:rPr>
      </w:pPr>
      <w:r w:rsidRPr="00F2249F">
        <w:rPr>
          <w:i/>
        </w:rPr>
        <w:t xml:space="preserve">Pokiaľ ide o spoločného zástupcu na hlasovanie, obdobná úprava sa v slovenskom práve aplikuje na všetky kapitálové spoločnosti (§ 114 ods.3 ObZ pre </w:t>
      </w:r>
      <w:proofErr w:type="spellStart"/>
      <w:r w:rsidRPr="00F2249F">
        <w:rPr>
          <w:i/>
        </w:rPr>
        <w:t>s.r.o</w:t>
      </w:r>
      <w:proofErr w:type="spellEnd"/>
      <w:r w:rsidRPr="00F2249F">
        <w:rPr>
          <w:i/>
        </w:rPr>
        <w:t xml:space="preserve">., § 156 ods. 5 ObZ pre a.s., § 220h ods. 4 ObZ pre </w:t>
      </w:r>
      <w:proofErr w:type="spellStart"/>
      <w:r w:rsidRPr="00F2249F">
        <w:rPr>
          <w:i/>
        </w:rPr>
        <w:t>j.s.a</w:t>
      </w:r>
      <w:proofErr w:type="spellEnd"/>
      <w:r w:rsidRPr="00F2249F">
        <w:rPr>
          <w:i/>
        </w:rPr>
        <w:t xml:space="preserve">.). </w:t>
      </w:r>
    </w:p>
    <w:p w14:paraId="05BF6803" w14:textId="77777777" w:rsidR="006B3A17" w:rsidRPr="00F2249F" w:rsidRDefault="006B3A17" w:rsidP="006B3A17">
      <w:pPr>
        <w:pStyle w:val="Pta"/>
        <w:tabs>
          <w:tab w:val="clear" w:pos="4536"/>
          <w:tab w:val="clear" w:pos="9072"/>
        </w:tabs>
        <w:overflowPunct w:val="0"/>
        <w:autoSpaceDE w:val="0"/>
        <w:autoSpaceDN w:val="0"/>
        <w:adjustRightInd w:val="0"/>
        <w:jc w:val="both"/>
        <w:textAlignment w:val="baseline"/>
        <w:rPr>
          <w:i/>
        </w:rPr>
      </w:pPr>
      <w:r w:rsidRPr="00F2249F">
        <w:rPr>
          <w:i/>
        </w:rPr>
        <w:t>Informácia o programe valného zhromaždenia je upravená v slovenskom práve oveľa formalizovanejšie ako v návrhu, osobitne pri verejnej akciovej spoločnosti (§ 184a ObZ) ale i akciovej spoločnosti  a </w:t>
      </w:r>
      <w:proofErr w:type="spellStart"/>
      <w:r w:rsidRPr="00F2249F">
        <w:rPr>
          <w:i/>
        </w:rPr>
        <w:t>j.s.a</w:t>
      </w:r>
      <w:proofErr w:type="spellEnd"/>
      <w:r w:rsidRPr="00F2249F">
        <w:rPr>
          <w:i/>
        </w:rPr>
        <w:t xml:space="preserve">. (§ 184 ods. 4,6,7 a 8 ObZ). Pri s.ro. je úprava menej detailná a formalizovaná (§ 129 ObZ). Podstata úpravy je však rovnaká. </w:t>
      </w:r>
    </w:p>
    <w:p w14:paraId="1B05F65C" w14:textId="77777777" w:rsidR="006B3A17" w:rsidRPr="00F2249F" w:rsidRDefault="006B3A17" w:rsidP="006B3A17">
      <w:pPr>
        <w:pStyle w:val="Pta"/>
        <w:tabs>
          <w:tab w:val="clear" w:pos="4536"/>
          <w:tab w:val="clear" w:pos="9072"/>
        </w:tabs>
        <w:overflowPunct w:val="0"/>
        <w:autoSpaceDE w:val="0"/>
        <w:autoSpaceDN w:val="0"/>
        <w:adjustRightInd w:val="0"/>
        <w:jc w:val="both"/>
        <w:textAlignment w:val="baseline"/>
        <w:rPr>
          <w:i/>
        </w:rPr>
      </w:pPr>
      <w:r w:rsidRPr="00F2249F">
        <w:rPr>
          <w:i/>
        </w:rPr>
        <w:t xml:space="preserve">Právo klásť otázky k predmetu rokovania valného zhromaždenia je výslovne upravené len pre akciovú spoločnosť a odkazom i pre </w:t>
      </w:r>
      <w:proofErr w:type="spellStart"/>
      <w:r w:rsidRPr="00F2249F">
        <w:rPr>
          <w:i/>
        </w:rPr>
        <w:t>j.s.a</w:t>
      </w:r>
      <w:proofErr w:type="spellEnd"/>
      <w:r w:rsidRPr="00F2249F">
        <w:rPr>
          <w:i/>
        </w:rPr>
        <w:t xml:space="preserve">. (§ 180 ods. 3, 4, 5 a 6 ObZ), úprava je však širšia a podrobnejšia ako návrh. </w:t>
      </w:r>
    </w:p>
    <w:p w14:paraId="4EC8F4E6" w14:textId="77777777" w:rsidR="006B3A17" w:rsidRPr="00F2249F" w:rsidRDefault="006B3A17" w:rsidP="006B3A17">
      <w:pPr>
        <w:pStyle w:val="Pta"/>
        <w:tabs>
          <w:tab w:val="clear" w:pos="4536"/>
          <w:tab w:val="clear" w:pos="9072"/>
        </w:tabs>
        <w:overflowPunct w:val="0"/>
        <w:autoSpaceDE w:val="0"/>
        <w:autoSpaceDN w:val="0"/>
        <w:adjustRightInd w:val="0"/>
        <w:jc w:val="both"/>
        <w:textAlignment w:val="baseline"/>
        <w:rPr>
          <w:i/>
        </w:rPr>
      </w:pPr>
      <w:r w:rsidRPr="00F2249F">
        <w:rPr>
          <w:i/>
        </w:rPr>
        <w:t xml:space="preserve">Preskúmanie účtovných dokumentov pre určitých akcionárov ak to umožňujú stanovy je úprava, ktorú slovenské právo pozná pri </w:t>
      </w:r>
      <w:proofErr w:type="spellStart"/>
      <w:r w:rsidRPr="00F2249F">
        <w:rPr>
          <w:i/>
        </w:rPr>
        <w:t>s.r.o</w:t>
      </w:r>
      <w:proofErr w:type="spellEnd"/>
      <w:r w:rsidRPr="00F2249F">
        <w:rPr>
          <w:i/>
        </w:rPr>
        <w:t xml:space="preserve">. v § 122 ObZ (bez obmedzenia, ide teda o kogentnú úpravu ktorú stanovy nemôžu zakázať), pri a.s. a obdobne </w:t>
      </w:r>
      <w:proofErr w:type="spellStart"/>
      <w:r w:rsidRPr="00F2249F">
        <w:rPr>
          <w:i/>
        </w:rPr>
        <w:t>j.s.a</w:t>
      </w:r>
      <w:proofErr w:type="spellEnd"/>
      <w:r w:rsidRPr="00F2249F">
        <w:rPr>
          <w:i/>
        </w:rPr>
        <w:t xml:space="preserve">. len cez § 180 ods. 1 a 2 (právo klásť otázky na valnom zhromaždení) alebo nepriamo cez dozornú radu (§ 198 ObZ) – teda sprostredkovane. </w:t>
      </w:r>
    </w:p>
    <w:p w14:paraId="0E67EE5B" w14:textId="77777777" w:rsidR="006B3A17" w:rsidRPr="00F2249F" w:rsidRDefault="006B3A17" w:rsidP="006B3A17">
      <w:pPr>
        <w:pStyle w:val="Pta"/>
        <w:tabs>
          <w:tab w:val="clear" w:pos="4536"/>
          <w:tab w:val="clear" w:pos="9072"/>
        </w:tabs>
        <w:overflowPunct w:val="0"/>
        <w:autoSpaceDE w:val="0"/>
        <w:autoSpaceDN w:val="0"/>
        <w:adjustRightInd w:val="0"/>
        <w:jc w:val="both"/>
        <w:textAlignment w:val="baseline"/>
        <w:rPr>
          <w:i/>
        </w:rPr>
      </w:pPr>
      <w:r w:rsidRPr="00F2249F">
        <w:rPr>
          <w:i/>
        </w:rPr>
        <w:lastRenderedPageBreak/>
        <w:t xml:space="preserve">Možnosť akcionárov požadovať preskúmanie záležitostí spoločnosti súdne stanoveným expertom (v podmienkach SR zrejme znalcom či audítorom) nemá v slovenskom práve obdobu. Slovenská úprava umožňuje v akciovej spoločnosti nepriame skúmanie záležitostí spoločnosti cez § 180 a 198 ObZ a prípadne tiež cez napadnutie platnosti uznesenia valného zhromaždenia. Úprava </w:t>
      </w:r>
      <w:proofErr w:type="spellStart"/>
      <w:r w:rsidRPr="00F2249F">
        <w:rPr>
          <w:i/>
        </w:rPr>
        <w:t>s.r.o</w:t>
      </w:r>
      <w:proofErr w:type="spellEnd"/>
      <w:r w:rsidRPr="00F2249F">
        <w:rPr>
          <w:i/>
        </w:rPr>
        <w:t xml:space="preserve">. je paradoxne širšia (§122), avšak závisí od postupu konateľov. </w:t>
      </w:r>
    </w:p>
    <w:p w14:paraId="442FC185" w14:textId="77777777" w:rsidR="006B3A17" w:rsidRPr="00F2249F" w:rsidRDefault="006B3A17" w:rsidP="006B3A17">
      <w:pPr>
        <w:pStyle w:val="Pta"/>
        <w:tabs>
          <w:tab w:val="clear" w:pos="4536"/>
          <w:tab w:val="clear" w:pos="9072"/>
        </w:tabs>
        <w:overflowPunct w:val="0"/>
        <w:autoSpaceDE w:val="0"/>
        <w:autoSpaceDN w:val="0"/>
        <w:adjustRightInd w:val="0"/>
        <w:jc w:val="both"/>
        <w:textAlignment w:val="baseline"/>
        <w:rPr>
          <w:b/>
          <w:i/>
          <w:u w:val="single"/>
        </w:rPr>
      </w:pPr>
    </w:p>
    <w:p w14:paraId="7DB5331E" w14:textId="39B4CCFE" w:rsidR="00EB1051" w:rsidRPr="00F2249F" w:rsidRDefault="00EB1051" w:rsidP="00EB1051">
      <w:pPr>
        <w:pStyle w:val="Pta"/>
        <w:tabs>
          <w:tab w:val="clear" w:pos="4536"/>
          <w:tab w:val="clear" w:pos="9072"/>
        </w:tabs>
        <w:overflowPunct w:val="0"/>
        <w:autoSpaceDE w:val="0"/>
        <w:autoSpaceDN w:val="0"/>
        <w:adjustRightInd w:val="0"/>
        <w:jc w:val="both"/>
        <w:textAlignment w:val="baseline"/>
        <w:rPr>
          <w:i/>
        </w:rPr>
      </w:pPr>
      <w:r w:rsidRPr="00F2249F">
        <w:rPr>
          <w:i/>
        </w:rPr>
        <w:t>Slovenská republika má k ustanoveniu v zásade kladné stanovisko, pretože mnohé prvky upravuje zhodne i slovenské právo. Procesná úprava preskúmania záležitostí spoločnosti súdne ustanoveným znalcom však vyvoláva viaceré otázky – najmä aké sú následky negatívnej správy znalca (v</w:t>
      </w:r>
      <w:r w:rsidR="00CC6808" w:rsidRPr="00F2249F">
        <w:rPr>
          <w:i/>
        </w:rPr>
        <w:t xml:space="preserve"> slovenskej</w:t>
      </w:r>
      <w:r w:rsidRPr="00F2249F">
        <w:rPr>
          <w:i/>
        </w:rPr>
        <w:t xml:space="preserve"> </w:t>
      </w:r>
      <w:proofErr w:type="spellStart"/>
      <w:r w:rsidRPr="00F2249F">
        <w:rPr>
          <w:i/>
        </w:rPr>
        <w:t>s.r.o</w:t>
      </w:r>
      <w:proofErr w:type="spellEnd"/>
      <w:r w:rsidRPr="00F2249F">
        <w:rPr>
          <w:i/>
        </w:rPr>
        <w:t xml:space="preserve">. je to napríklad možnosť spoločníka uplatniť nároku na náhradu škody alebo iné nároky voči konateľovi podľa § 122 ods. 3 ObZ, prípadne nároky proti spoločníkovi na vrátenie plnenia vyplateného spoločníkovi v rozpore so zákonom, ak takéto nároky neuplatňuje spoločnosť.). Je potrebné preskúmať aj to, aký bude postup v prípade zistenia rozporov podľa návrhu a či by nebolo vhodné zaviesť obdobu slovenskej úpravy pre </w:t>
      </w:r>
      <w:proofErr w:type="spellStart"/>
      <w:r w:rsidRPr="00F2249F">
        <w:rPr>
          <w:i/>
        </w:rPr>
        <w:t>s.r.o</w:t>
      </w:r>
      <w:proofErr w:type="spellEnd"/>
      <w:r w:rsidRPr="00F2249F">
        <w:rPr>
          <w:i/>
        </w:rPr>
        <w:t xml:space="preserve">. Je tiež potrebné preskúmať, či je možné </w:t>
      </w:r>
      <w:r w:rsidR="00CC6808" w:rsidRPr="00F2249F">
        <w:rPr>
          <w:i/>
        </w:rPr>
        <w:t xml:space="preserve">na EU </w:t>
      </w:r>
      <w:proofErr w:type="spellStart"/>
      <w:r w:rsidR="00CC6808" w:rsidRPr="00F2249F">
        <w:rPr>
          <w:i/>
        </w:rPr>
        <w:t>Inc</w:t>
      </w:r>
      <w:proofErr w:type="spellEnd"/>
      <w:r w:rsidR="00CC6808" w:rsidRPr="00F2249F">
        <w:rPr>
          <w:i/>
        </w:rPr>
        <w:t xml:space="preserve">. </w:t>
      </w:r>
      <w:r w:rsidRPr="00F2249F">
        <w:rPr>
          <w:i/>
        </w:rPr>
        <w:t xml:space="preserve">uplatniť subsidiárne slovenské prvky ochrany minoritných akcionárov, </w:t>
      </w:r>
      <w:r w:rsidRPr="00F2249F">
        <w:rPr>
          <w:i/>
          <w:u w:val="single"/>
        </w:rPr>
        <w:t>najmä napadnutie platnosti uznesenia valného zhromaždenia.</w:t>
      </w:r>
    </w:p>
    <w:p w14:paraId="2B7708BA"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pPr>
    </w:p>
    <w:p w14:paraId="109680BE"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rPr>
          <w:u w:val="single"/>
        </w:rPr>
      </w:pPr>
      <w:r w:rsidRPr="00F2249F">
        <w:rPr>
          <w:b/>
          <w:u w:val="single"/>
        </w:rPr>
        <w:t>Článok 57 Hlasovacie práva</w:t>
      </w:r>
      <w:r w:rsidRPr="00F2249F">
        <w:rPr>
          <w:u w:val="single"/>
        </w:rPr>
        <w:t xml:space="preserve"> </w:t>
      </w:r>
    </w:p>
    <w:p w14:paraId="78D5C333"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pPr>
    </w:p>
    <w:p w14:paraId="3BAE74FD"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pPr>
      <w:r w:rsidRPr="00F2249F">
        <w:t xml:space="preserve">Ustanovenie stanovuje, že predvolenou úpravou pre EU </w:t>
      </w:r>
      <w:proofErr w:type="spellStart"/>
      <w:r w:rsidRPr="00F2249F">
        <w:t>Inc</w:t>
      </w:r>
      <w:proofErr w:type="spellEnd"/>
      <w:r w:rsidRPr="00F2249F">
        <w:t xml:space="preserve">. bude princíp jedna akcia, jedno právo. Akcionári nesmú hlasovať svojimi akciami rôzne, pokiaľ to neumožňujú stanovy. Článok ďalej spresňuje možnosť existencie akcií bez hlasovacieho práva s rôznymi modalitami a počítanie kvóra pri hlasovaní v tomto prípade. </w:t>
      </w:r>
    </w:p>
    <w:p w14:paraId="2ECAD252" w14:textId="0753E766" w:rsidR="00EB1051" w:rsidRDefault="00EB1051" w:rsidP="00EB1051">
      <w:pPr>
        <w:pStyle w:val="Pta"/>
        <w:tabs>
          <w:tab w:val="clear" w:pos="4536"/>
          <w:tab w:val="clear" w:pos="9072"/>
        </w:tabs>
        <w:overflowPunct w:val="0"/>
        <w:autoSpaceDE w:val="0"/>
        <w:autoSpaceDN w:val="0"/>
        <w:adjustRightInd w:val="0"/>
        <w:jc w:val="both"/>
        <w:textAlignment w:val="baseline"/>
      </w:pPr>
      <w:r w:rsidRPr="00F2249F">
        <w:t xml:space="preserve">Ku koncepcii viacnásobných hlasovacích práv viď čl. 55. </w:t>
      </w:r>
    </w:p>
    <w:p w14:paraId="38E0E0CA" w14:textId="77777777" w:rsidR="00031EB4" w:rsidRPr="00F2249F" w:rsidRDefault="00031EB4" w:rsidP="00EB1051">
      <w:pPr>
        <w:pStyle w:val="Pta"/>
        <w:tabs>
          <w:tab w:val="clear" w:pos="4536"/>
          <w:tab w:val="clear" w:pos="9072"/>
        </w:tabs>
        <w:overflowPunct w:val="0"/>
        <w:autoSpaceDE w:val="0"/>
        <w:autoSpaceDN w:val="0"/>
        <w:adjustRightInd w:val="0"/>
        <w:jc w:val="both"/>
        <w:textAlignment w:val="baseline"/>
      </w:pPr>
    </w:p>
    <w:p w14:paraId="49F4D879" w14:textId="7C000789" w:rsidR="00CC6808" w:rsidRPr="00F2249F" w:rsidRDefault="00EB1051" w:rsidP="00CC6808">
      <w:pPr>
        <w:pStyle w:val="Pta"/>
        <w:tabs>
          <w:tab w:val="clear" w:pos="4536"/>
          <w:tab w:val="clear" w:pos="9072"/>
        </w:tabs>
        <w:overflowPunct w:val="0"/>
        <w:autoSpaceDE w:val="0"/>
        <w:autoSpaceDN w:val="0"/>
        <w:adjustRightInd w:val="0"/>
        <w:jc w:val="both"/>
        <w:textAlignment w:val="baseline"/>
        <w:rPr>
          <w:i/>
        </w:rPr>
      </w:pPr>
      <w:r w:rsidRPr="00F2249F">
        <w:rPr>
          <w:b/>
          <w:u w:val="single"/>
        </w:rPr>
        <w:t>Pozícia SR</w:t>
      </w:r>
      <w:r w:rsidRPr="00F2249F">
        <w:rPr>
          <w:b/>
        </w:rPr>
        <w:t>:</w:t>
      </w:r>
      <w:r w:rsidRPr="00F2249F">
        <w:t xml:space="preserve"> </w:t>
      </w:r>
      <w:r w:rsidR="00CC6808" w:rsidRPr="00F2249F">
        <w:rPr>
          <w:i/>
        </w:rPr>
        <w:t xml:space="preserve">K rôznemu hlasovaniu svojimi akciami (tzv. </w:t>
      </w:r>
      <w:proofErr w:type="spellStart"/>
      <w:r w:rsidR="00CC6808" w:rsidRPr="00F2249F">
        <w:rPr>
          <w:i/>
        </w:rPr>
        <w:t>split</w:t>
      </w:r>
      <w:proofErr w:type="spellEnd"/>
      <w:r w:rsidR="00CC6808" w:rsidRPr="00F2249F">
        <w:rPr>
          <w:i/>
        </w:rPr>
        <w:t xml:space="preserve"> </w:t>
      </w:r>
      <w:proofErr w:type="spellStart"/>
      <w:r w:rsidR="00CC6808" w:rsidRPr="00F2249F">
        <w:rPr>
          <w:i/>
        </w:rPr>
        <w:t>voting</w:t>
      </w:r>
      <w:proofErr w:type="spellEnd"/>
      <w:r w:rsidR="00CC6808" w:rsidRPr="00F2249F">
        <w:rPr>
          <w:i/>
        </w:rPr>
        <w:t xml:space="preserve">): úprava pre </w:t>
      </w:r>
      <w:proofErr w:type="spellStart"/>
      <w:r w:rsidR="00CC6808" w:rsidRPr="00F2249F">
        <w:rPr>
          <w:i/>
        </w:rPr>
        <w:t>s.r.o</w:t>
      </w:r>
      <w:proofErr w:type="spellEnd"/>
      <w:r w:rsidR="00CC6808" w:rsidRPr="00F2249F">
        <w:rPr>
          <w:i/>
        </w:rPr>
        <w:t>. nie je relevantná, keďže v </w:t>
      </w:r>
      <w:proofErr w:type="spellStart"/>
      <w:r w:rsidR="00CC6808" w:rsidRPr="00F2249F">
        <w:rPr>
          <w:i/>
        </w:rPr>
        <w:t>s.r.o</w:t>
      </w:r>
      <w:proofErr w:type="spellEnd"/>
      <w:r w:rsidR="00CC6808" w:rsidRPr="00F2249F">
        <w:rPr>
          <w:i/>
        </w:rPr>
        <w:t xml:space="preserve">. má každý spoločník jeden podiel. Zákon nepozná podiel bez hlasovacieho práva a preto nepozná ani mechanizmus nezapočítania podielov bez hlasov. Blízka je úprava v slovenskej akciovej spoločnosti: § 159 ObZ uvádza možnosť prioritných akcií s ktorými nie je spojené právo hlasovania na valnom zhromaždení. Neprihliadanie na akcie, s ktorými nie je spojené hlasovacie právo je stanovené v § 186 ods. 3 ObZ. </w:t>
      </w:r>
    </w:p>
    <w:p w14:paraId="51217585" w14:textId="282E0E2E" w:rsidR="00CC6808" w:rsidRPr="00F2249F" w:rsidRDefault="00CC6808" w:rsidP="00CC6808">
      <w:pPr>
        <w:pStyle w:val="Pta"/>
        <w:tabs>
          <w:tab w:val="clear" w:pos="4536"/>
          <w:tab w:val="clear" w:pos="9072"/>
        </w:tabs>
        <w:overflowPunct w:val="0"/>
        <w:autoSpaceDE w:val="0"/>
        <w:autoSpaceDN w:val="0"/>
        <w:adjustRightInd w:val="0"/>
        <w:jc w:val="both"/>
        <w:textAlignment w:val="baseline"/>
        <w:rPr>
          <w:i/>
        </w:rPr>
      </w:pPr>
      <w:r w:rsidRPr="00F2249F">
        <w:rPr>
          <w:i/>
        </w:rPr>
        <w:t xml:space="preserve">Slovenské právo už dnes pozná značnú flexibilitu akciových práv, najmä prostredníctvom </w:t>
      </w:r>
      <w:proofErr w:type="spellStart"/>
      <w:r w:rsidRPr="00F2249F">
        <w:rPr>
          <w:i/>
        </w:rPr>
        <w:t>j.s.a</w:t>
      </w:r>
      <w:proofErr w:type="spellEnd"/>
      <w:r w:rsidRPr="00F2249F">
        <w:rPr>
          <w:i/>
        </w:rPr>
        <w:t xml:space="preserve">., aj keď nie je formulovaná rovnakým spôsobom ako čl. 57. </w:t>
      </w:r>
    </w:p>
    <w:p w14:paraId="1930285D" w14:textId="6B66EB8B" w:rsidR="00EB1051" w:rsidRPr="00F2249F" w:rsidRDefault="00EB1051" w:rsidP="00EB1051">
      <w:pPr>
        <w:pStyle w:val="Pta"/>
        <w:tabs>
          <w:tab w:val="clear" w:pos="4536"/>
          <w:tab w:val="clear" w:pos="9072"/>
        </w:tabs>
        <w:overflowPunct w:val="0"/>
        <w:autoSpaceDE w:val="0"/>
        <w:autoSpaceDN w:val="0"/>
        <w:adjustRightInd w:val="0"/>
        <w:jc w:val="both"/>
        <w:textAlignment w:val="baseline"/>
        <w:rPr>
          <w:i/>
        </w:rPr>
      </w:pPr>
      <w:r w:rsidRPr="00F2249F">
        <w:rPr>
          <w:i/>
        </w:rPr>
        <w:t xml:space="preserve">Slovenská republika </w:t>
      </w:r>
      <w:r w:rsidR="00CC6808" w:rsidRPr="00F2249F">
        <w:rPr>
          <w:i/>
        </w:rPr>
        <w:t xml:space="preserve">preto </w:t>
      </w:r>
      <w:r w:rsidRPr="00F2249F">
        <w:rPr>
          <w:i/>
        </w:rPr>
        <w:t xml:space="preserve">nemá k ustanoveniu výhrady. </w:t>
      </w:r>
    </w:p>
    <w:p w14:paraId="678926EA"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pPr>
    </w:p>
    <w:p w14:paraId="13A6C284"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pPr>
      <w:r w:rsidRPr="00F2249F">
        <w:rPr>
          <w:b/>
          <w:u w:val="single"/>
        </w:rPr>
        <w:t>Článok 58 Prevod akcií</w:t>
      </w:r>
      <w:r w:rsidRPr="00F2249F">
        <w:t xml:space="preserve"> </w:t>
      </w:r>
    </w:p>
    <w:p w14:paraId="7F80FDD1" w14:textId="261C69B8" w:rsidR="00EB1051" w:rsidRDefault="00EB1051" w:rsidP="00EB1051">
      <w:pPr>
        <w:pStyle w:val="Pta"/>
        <w:tabs>
          <w:tab w:val="clear" w:pos="4536"/>
          <w:tab w:val="clear" w:pos="9072"/>
        </w:tabs>
        <w:overflowPunct w:val="0"/>
        <w:autoSpaceDE w:val="0"/>
        <w:autoSpaceDN w:val="0"/>
        <w:adjustRightInd w:val="0"/>
        <w:jc w:val="both"/>
        <w:textAlignment w:val="baseline"/>
      </w:pPr>
      <w:r w:rsidRPr="00F2249F">
        <w:t xml:space="preserve">Ustanovenie zavádza voľnú prevoditeľnosť akcií ako základné pravidlo, ktoré môžu stanovy zmeniť. Zavádza sa spoločná zodpovednosť predávajúceho a kupujúceho za nesplatenú emisnú hodnotu akcie. </w:t>
      </w:r>
    </w:p>
    <w:p w14:paraId="2B10847F" w14:textId="77777777" w:rsidR="00031EB4" w:rsidRPr="00F2249F" w:rsidRDefault="00031EB4" w:rsidP="00EB1051">
      <w:pPr>
        <w:pStyle w:val="Pta"/>
        <w:tabs>
          <w:tab w:val="clear" w:pos="4536"/>
          <w:tab w:val="clear" w:pos="9072"/>
        </w:tabs>
        <w:overflowPunct w:val="0"/>
        <w:autoSpaceDE w:val="0"/>
        <w:autoSpaceDN w:val="0"/>
        <w:adjustRightInd w:val="0"/>
        <w:jc w:val="both"/>
        <w:textAlignment w:val="baseline"/>
      </w:pPr>
    </w:p>
    <w:p w14:paraId="7BD34A12" w14:textId="77777777" w:rsidR="00CC6808" w:rsidRPr="00F2249F" w:rsidRDefault="00EB1051" w:rsidP="00CC6808">
      <w:pPr>
        <w:pStyle w:val="Pta"/>
        <w:tabs>
          <w:tab w:val="clear" w:pos="4536"/>
          <w:tab w:val="clear" w:pos="9072"/>
        </w:tabs>
        <w:overflowPunct w:val="0"/>
        <w:autoSpaceDE w:val="0"/>
        <w:autoSpaceDN w:val="0"/>
        <w:adjustRightInd w:val="0"/>
        <w:jc w:val="both"/>
        <w:textAlignment w:val="baseline"/>
        <w:rPr>
          <w:i/>
        </w:rPr>
      </w:pPr>
      <w:r w:rsidRPr="00F2249F">
        <w:rPr>
          <w:b/>
          <w:u w:val="single"/>
        </w:rPr>
        <w:t>Pozícia SR</w:t>
      </w:r>
      <w:r w:rsidRPr="00F2249F">
        <w:rPr>
          <w:b/>
        </w:rPr>
        <w:t>:</w:t>
      </w:r>
      <w:r w:rsidRPr="00F2249F">
        <w:t xml:space="preserve"> </w:t>
      </w:r>
      <w:r w:rsidR="00CC6808" w:rsidRPr="00F2249F">
        <w:rPr>
          <w:i/>
        </w:rPr>
        <w:t>Úprava spoločnosti s ručením obmedzeným je postavená na základnom pravidle, ktoré obmedzuje prevoditeľnosť obchodných podielov (§ 115 ObZ). Voľná prevoditeľnosť akcií ako základné pravidlo obsahuje aj úprava akciovej spoločnosti a </w:t>
      </w:r>
      <w:proofErr w:type="spellStart"/>
      <w:r w:rsidR="00CC6808" w:rsidRPr="00F2249F">
        <w:rPr>
          <w:i/>
        </w:rPr>
        <w:t>j.s.a</w:t>
      </w:r>
      <w:proofErr w:type="spellEnd"/>
      <w:r w:rsidR="00CC6808" w:rsidRPr="00F2249F">
        <w:rPr>
          <w:i/>
        </w:rPr>
        <w:t xml:space="preserve">. v § 156 ods.9 ObZ. </w:t>
      </w:r>
    </w:p>
    <w:p w14:paraId="2927CA26"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rPr>
          <w:i/>
        </w:rPr>
      </w:pPr>
      <w:r w:rsidRPr="00F2249F">
        <w:rPr>
          <w:i/>
        </w:rPr>
        <w:t xml:space="preserve">Slovenská republika s ustanovením súhlasí. </w:t>
      </w:r>
    </w:p>
    <w:p w14:paraId="7682CD32"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pPr>
    </w:p>
    <w:p w14:paraId="1306FC9D"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rPr>
          <w:b/>
          <w:u w:val="single"/>
        </w:rPr>
      </w:pPr>
      <w:r w:rsidRPr="00F2249F">
        <w:rPr>
          <w:b/>
          <w:u w:val="single"/>
        </w:rPr>
        <w:t xml:space="preserve">Článok 59 Elektronický postup na prevod akcií </w:t>
      </w:r>
    </w:p>
    <w:p w14:paraId="0E15D9D9"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rPr>
          <w:b/>
        </w:rPr>
      </w:pPr>
      <w:r w:rsidRPr="00F2249F">
        <w:t xml:space="preserve">Ustanovenie zavádza plne digitalizovaný prevod akcií bez tretej strany (inštitucionálneho sprostredkovateľa ako je CDCP), iba so súčinnosťou spoločnosti. Prevod aj registrácia môžu prebehnúť plne online, bez ďalších požiadaviek alebo podmienok (ako sú napríklad forma notárskej zápisnice). Na prevod akcií postačuje kvalifikovaná elektronická pečať alebo </w:t>
      </w:r>
      <w:r w:rsidRPr="00F2249F">
        <w:lastRenderedPageBreak/>
        <w:t xml:space="preserve">kvalifikovaný elektronický podpis strany, prípadne pokročilého podpisu s overením identity. Účinnosť prevodu sa viaže na zápis do elektronického registra akcií vedeného spoločnosťou. Lehota na zápis je tri pracovné dni a spoločnosť posudzuje dokumentáciu ohľadne prevodu a súlad so stanovami. </w:t>
      </w:r>
    </w:p>
    <w:p w14:paraId="462FD885"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rPr>
          <w:b/>
          <w:u w:val="single"/>
        </w:rPr>
      </w:pPr>
    </w:p>
    <w:p w14:paraId="27706AA7" w14:textId="77777777" w:rsidR="00CC6808" w:rsidRPr="00F2249F" w:rsidRDefault="00EB1051" w:rsidP="00CC6808">
      <w:pPr>
        <w:pStyle w:val="Pta"/>
        <w:tabs>
          <w:tab w:val="clear" w:pos="4536"/>
          <w:tab w:val="clear" w:pos="9072"/>
        </w:tabs>
        <w:overflowPunct w:val="0"/>
        <w:autoSpaceDE w:val="0"/>
        <w:autoSpaceDN w:val="0"/>
        <w:adjustRightInd w:val="0"/>
        <w:jc w:val="both"/>
        <w:textAlignment w:val="baseline"/>
        <w:rPr>
          <w:i/>
        </w:rPr>
      </w:pPr>
      <w:r w:rsidRPr="00F2249F">
        <w:rPr>
          <w:b/>
          <w:u w:val="single"/>
        </w:rPr>
        <w:t>Pozícia SR</w:t>
      </w:r>
      <w:r w:rsidRPr="00F2249F">
        <w:rPr>
          <w:b/>
        </w:rPr>
        <w:t>:</w:t>
      </w:r>
      <w:r w:rsidRPr="00F2249F">
        <w:t xml:space="preserve"> </w:t>
      </w:r>
      <w:r w:rsidR="00CC6808" w:rsidRPr="00F2249F">
        <w:rPr>
          <w:i/>
        </w:rPr>
        <w:t>Slovenské právo obdobné ustanovenie nepozná. Spoločnosť s ručením obmedzeným požaduje na prevod obchodného podielu zmluvu vo forme notárskej zápisnice, alebo zmluvy autorizovanej advokátom. Ide o prvok, ktorý návrh zakazuje. Účinnosť je viazaná na doručenie zmluvy spoločnosti, ide však o účinky voči spoločnosti (§ 115 stanovuje možnosť iných účinkov pre osobitné situácie). Akciová spoločnosť a </w:t>
      </w:r>
      <w:proofErr w:type="spellStart"/>
      <w:r w:rsidR="00CC6808" w:rsidRPr="00F2249F">
        <w:rPr>
          <w:i/>
        </w:rPr>
        <w:t>j.s.a</w:t>
      </w:r>
      <w:proofErr w:type="spellEnd"/>
      <w:r w:rsidR="00CC6808" w:rsidRPr="00F2249F">
        <w:rPr>
          <w:i/>
        </w:rPr>
        <w:t xml:space="preserve">. sú pri účinnosti prevodu viazané na zápis do evidencie CDCP (pre zaknihované akcie na meno) a proces nie je plne digitalizovaný. </w:t>
      </w:r>
    </w:p>
    <w:p w14:paraId="3492488C" w14:textId="1D7C5724" w:rsidR="00EB1051" w:rsidRPr="00F2249F" w:rsidRDefault="00EB1051" w:rsidP="00EB1051">
      <w:pPr>
        <w:pStyle w:val="Pta"/>
        <w:tabs>
          <w:tab w:val="clear" w:pos="4536"/>
          <w:tab w:val="clear" w:pos="9072"/>
        </w:tabs>
        <w:overflowPunct w:val="0"/>
        <w:autoSpaceDE w:val="0"/>
        <w:autoSpaceDN w:val="0"/>
        <w:adjustRightInd w:val="0"/>
        <w:jc w:val="both"/>
        <w:textAlignment w:val="baseline"/>
        <w:rPr>
          <w:i/>
        </w:rPr>
      </w:pPr>
      <w:r w:rsidRPr="00F2249F">
        <w:rPr>
          <w:i/>
        </w:rPr>
        <w:t xml:space="preserve">Slovenská republika s ustanovením v zásade súhlasí, hoci </w:t>
      </w:r>
      <w:proofErr w:type="spellStart"/>
      <w:r w:rsidRPr="00F2249F">
        <w:rPr>
          <w:i/>
        </w:rPr>
        <w:t>konštitutívnosť</w:t>
      </w:r>
      <w:proofErr w:type="spellEnd"/>
      <w:r w:rsidRPr="00F2249F">
        <w:rPr>
          <w:i/>
        </w:rPr>
        <w:t xml:space="preserve"> prevodu akcií zápisom do registra spoločnosťou je nový prvok pre slovenský právny poriadok. </w:t>
      </w:r>
      <w:r w:rsidR="00CC6808" w:rsidRPr="00F2249F">
        <w:rPr>
          <w:i/>
        </w:rPr>
        <w:t>Je potrebné zvážiť, či nebudú vznikať praktické problémy</w:t>
      </w:r>
      <w:r w:rsidRPr="00F2249F">
        <w:rPr>
          <w:i/>
        </w:rPr>
        <w:t xml:space="preserve">. Je najmä otázne, či a do akej miery budú </w:t>
      </w:r>
      <w:r w:rsidR="00046A28" w:rsidRPr="00F2249F">
        <w:rPr>
          <w:i/>
        </w:rPr>
        <w:t>riaditelia</w:t>
      </w:r>
      <w:r w:rsidRPr="00F2249F">
        <w:rPr>
          <w:i/>
        </w:rPr>
        <w:t xml:space="preserve"> </w:t>
      </w:r>
      <w:r w:rsidR="00046A28" w:rsidRPr="00F2249F">
        <w:rPr>
          <w:i/>
        </w:rPr>
        <w:t xml:space="preserve">ochotní </w:t>
      </w:r>
      <w:r w:rsidRPr="00F2249F">
        <w:rPr>
          <w:i/>
        </w:rPr>
        <w:t xml:space="preserve">posudzovať dokumentáciu k prevodu a jej zákonnosť. Bolo by zrejme vhodné, aby strany mohli </w:t>
      </w:r>
      <w:r w:rsidR="00CC6808" w:rsidRPr="00F2249F">
        <w:rPr>
          <w:i/>
        </w:rPr>
        <w:t xml:space="preserve"> - </w:t>
      </w:r>
      <w:r w:rsidRPr="00F2249F">
        <w:rPr>
          <w:i/>
        </w:rPr>
        <w:t xml:space="preserve">ak sa tak </w:t>
      </w:r>
      <w:r w:rsidR="00CC6808" w:rsidRPr="00F2249F">
        <w:rPr>
          <w:i/>
        </w:rPr>
        <w:t xml:space="preserve">samé </w:t>
      </w:r>
      <w:r w:rsidRPr="00F2249F">
        <w:rPr>
          <w:i/>
        </w:rPr>
        <w:t>rozhodnú</w:t>
      </w:r>
      <w:r w:rsidR="00DA0D46" w:rsidRPr="00F2249F">
        <w:rPr>
          <w:i/>
        </w:rPr>
        <w:t xml:space="preserve"> - </w:t>
      </w:r>
      <w:r w:rsidRPr="00F2249F">
        <w:rPr>
          <w:i/>
        </w:rPr>
        <w:t xml:space="preserve">uskutočniť prevod za pomoci tretích strán  (notára či CDCP) a tak presunúť posudzovanie legality zo spoločnosti na tieto tretie strany. Okrem toho nie je zrejmé, čo sa stane, ak spoločnosť prevod nezaregistruje podľa ustanovení návrhu, aké možnosti má osoba s obligačným nárokom domôcť sa svojho práva (stať sa akcionárom). Tieto otázky bude potrebné v diskusiách vyjasniť. </w:t>
      </w:r>
    </w:p>
    <w:p w14:paraId="6AF601B7"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pPr>
    </w:p>
    <w:p w14:paraId="7AACC808" w14:textId="77777777" w:rsidR="00EB1051" w:rsidRPr="00F2249F" w:rsidRDefault="00EB1051" w:rsidP="00EB1051">
      <w:pPr>
        <w:pStyle w:val="Pta"/>
        <w:overflowPunct w:val="0"/>
        <w:autoSpaceDE w:val="0"/>
        <w:autoSpaceDN w:val="0"/>
        <w:adjustRightInd w:val="0"/>
        <w:jc w:val="both"/>
        <w:textAlignment w:val="baseline"/>
      </w:pPr>
      <w:r w:rsidRPr="00F2249F">
        <w:rPr>
          <w:b/>
          <w:u w:val="single"/>
        </w:rPr>
        <w:t>Článok 60 Prístup na kapitálové trhy</w:t>
      </w:r>
      <w:r w:rsidRPr="00F2249F">
        <w:t xml:space="preserve"> </w:t>
      </w:r>
    </w:p>
    <w:p w14:paraId="5182D32A" w14:textId="77777777" w:rsidR="00EB1051" w:rsidRPr="00F2249F" w:rsidRDefault="00EB1051" w:rsidP="00EB1051">
      <w:pPr>
        <w:pStyle w:val="Pta"/>
        <w:overflowPunct w:val="0"/>
        <w:autoSpaceDE w:val="0"/>
        <w:autoSpaceDN w:val="0"/>
        <w:adjustRightInd w:val="0"/>
        <w:jc w:val="both"/>
        <w:textAlignment w:val="baseline"/>
      </w:pPr>
    </w:p>
    <w:p w14:paraId="22EBE0A1" w14:textId="77777777" w:rsidR="00EB1051" w:rsidRPr="00F2249F" w:rsidRDefault="00EB1051" w:rsidP="00EB1051">
      <w:pPr>
        <w:pStyle w:val="Pta"/>
        <w:overflowPunct w:val="0"/>
        <w:autoSpaceDE w:val="0"/>
        <w:autoSpaceDN w:val="0"/>
        <w:adjustRightInd w:val="0"/>
        <w:jc w:val="both"/>
        <w:textAlignment w:val="baseline"/>
      </w:pPr>
      <w:r w:rsidRPr="00F2249F">
        <w:t xml:space="preserve">Ustanovenie zakazuje členským štátom brániť tomu, aby EU </w:t>
      </w:r>
      <w:proofErr w:type="spellStart"/>
      <w:r w:rsidRPr="00F2249F">
        <w:t>Inc</w:t>
      </w:r>
      <w:proofErr w:type="spellEnd"/>
      <w:r w:rsidRPr="00F2249F">
        <w:t xml:space="preserve">. požiadala o obchodovanie svojich akcií na </w:t>
      </w:r>
      <w:r w:rsidRPr="00F2249F">
        <w:rPr>
          <w:bCs/>
        </w:rPr>
        <w:t>multilaterálnom obchodnom systéme (MTF)</w:t>
      </w:r>
      <w:r w:rsidRPr="00F2249F">
        <w:t xml:space="preserve">, ak spĺňa právne požiadavky. Prístup na </w:t>
      </w:r>
      <w:r w:rsidRPr="00F2249F">
        <w:rPr>
          <w:bCs/>
        </w:rPr>
        <w:t>regulovaný trh</w:t>
      </w:r>
      <w:r w:rsidRPr="00F2249F">
        <w:t xml:space="preserve"> je možný len vtedy, ak to umožňuje vnútroštátne právo daného štátu. V oboch prípadoch musí spoločnosť dodržať príslušné pravidlá práva EÚ aj národného práva. </w:t>
      </w:r>
    </w:p>
    <w:p w14:paraId="4E154951"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rPr>
          <w:b/>
          <w:u w:val="single"/>
        </w:rPr>
      </w:pPr>
    </w:p>
    <w:p w14:paraId="21AA978C" w14:textId="33B7CF02" w:rsidR="00EB1051" w:rsidRDefault="00EB1051" w:rsidP="00EB1051">
      <w:pPr>
        <w:pStyle w:val="Pta"/>
        <w:tabs>
          <w:tab w:val="clear" w:pos="4536"/>
          <w:tab w:val="clear" w:pos="9072"/>
        </w:tabs>
        <w:overflowPunct w:val="0"/>
        <w:autoSpaceDE w:val="0"/>
        <w:autoSpaceDN w:val="0"/>
        <w:adjustRightInd w:val="0"/>
        <w:jc w:val="both"/>
        <w:textAlignment w:val="baseline"/>
        <w:rPr>
          <w:i/>
        </w:rPr>
      </w:pPr>
      <w:r w:rsidRPr="00F2249F">
        <w:rPr>
          <w:b/>
          <w:u w:val="single"/>
        </w:rPr>
        <w:t>Pozícia SR</w:t>
      </w:r>
      <w:r w:rsidRPr="00F2249F">
        <w:rPr>
          <w:b/>
        </w:rPr>
        <w:t>:</w:t>
      </w:r>
      <w:r w:rsidRPr="00F2249F">
        <w:t xml:space="preserve"> </w:t>
      </w:r>
      <w:r w:rsidRPr="00F2249F">
        <w:rPr>
          <w:i/>
        </w:rPr>
        <w:t xml:space="preserve">Slovenská republika víta explicitné zavedenie prístupu EU </w:t>
      </w:r>
      <w:proofErr w:type="spellStart"/>
      <w:r w:rsidRPr="00F2249F">
        <w:rPr>
          <w:i/>
        </w:rPr>
        <w:t>Inc</w:t>
      </w:r>
      <w:proofErr w:type="spellEnd"/>
      <w:r w:rsidRPr="00F2249F">
        <w:rPr>
          <w:i/>
        </w:rPr>
        <w:t>. na kapitálové trhy, pretože ide o prirodzený krok v životnom cykle spoločnosti vo fáze jej rastu. Na druhej strane, ustanovenie je veľmi strohé a je potrebné výslovne precizovať spôsob vstupu spoločnosti na kapitálový trh, ideálne výslovným odkazom na existujúce právne predpisy. Súčasťou týchto predpisov musí byť doriešenie vzťahu návrhu a vnútroštátneho práva, ktoré môže vo viacerých ohľadoch spôsobovať ťažkosti (už spomenutá absencia povinnej dozornej rady, nevyriešený nesúlad stanov s </w:t>
      </w:r>
      <w:proofErr w:type="spellStart"/>
      <w:r w:rsidRPr="00F2249F">
        <w:rPr>
          <w:i/>
        </w:rPr>
        <w:t>mandatórnymi</w:t>
      </w:r>
      <w:proofErr w:type="spellEnd"/>
      <w:r w:rsidRPr="00F2249F">
        <w:rPr>
          <w:i/>
        </w:rPr>
        <w:t xml:space="preserve"> ustanoveniami o povinných orgánoch spoločností vstupujúcich na trh, sektorové požiadavky, evidencia akcií u inštitucionálneho sprostredkovateľa akým je v SR centrálny depozitár cenných papierov </w:t>
      </w:r>
      <w:proofErr w:type="spellStart"/>
      <w:r w:rsidRPr="00F2249F">
        <w:rPr>
          <w:i/>
        </w:rPr>
        <w:t>vs</w:t>
      </w:r>
      <w:proofErr w:type="spellEnd"/>
      <w:r w:rsidRPr="00F2249F">
        <w:rPr>
          <w:i/>
        </w:rPr>
        <w:t xml:space="preserve">. vedenie akcií v digitálnom registri a iné). </w:t>
      </w:r>
    </w:p>
    <w:p w14:paraId="2D8D5585" w14:textId="77777777" w:rsidR="00031EB4" w:rsidRPr="00F2249F" w:rsidRDefault="00031EB4" w:rsidP="00EB1051">
      <w:pPr>
        <w:pStyle w:val="Pta"/>
        <w:tabs>
          <w:tab w:val="clear" w:pos="4536"/>
          <w:tab w:val="clear" w:pos="9072"/>
        </w:tabs>
        <w:overflowPunct w:val="0"/>
        <w:autoSpaceDE w:val="0"/>
        <w:autoSpaceDN w:val="0"/>
        <w:adjustRightInd w:val="0"/>
        <w:jc w:val="both"/>
        <w:textAlignment w:val="baseline"/>
        <w:rPr>
          <w:i/>
        </w:rPr>
      </w:pPr>
    </w:p>
    <w:p w14:paraId="288497A6"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pPr>
      <w:r w:rsidRPr="00F2249F">
        <w:t xml:space="preserve"> </w:t>
      </w:r>
    </w:p>
    <w:p w14:paraId="01BA8138" w14:textId="77777777" w:rsidR="00EB1051" w:rsidRPr="00F2249F" w:rsidRDefault="00EB1051" w:rsidP="00EB1051">
      <w:pPr>
        <w:pStyle w:val="Pta"/>
        <w:tabs>
          <w:tab w:val="clear" w:pos="4536"/>
          <w:tab w:val="clear" w:pos="9072"/>
        </w:tabs>
        <w:overflowPunct w:val="0"/>
        <w:autoSpaceDE w:val="0"/>
        <w:autoSpaceDN w:val="0"/>
        <w:adjustRightInd w:val="0"/>
        <w:jc w:val="center"/>
        <w:textAlignment w:val="baseline"/>
        <w:rPr>
          <w:b/>
        </w:rPr>
      </w:pPr>
      <w:r w:rsidRPr="00F2249F">
        <w:rPr>
          <w:b/>
        </w:rPr>
        <w:t>KAPITOLA VII – Financovanie</w:t>
      </w:r>
    </w:p>
    <w:p w14:paraId="6AFBE083" w14:textId="77777777" w:rsidR="00EB1051" w:rsidRPr="00F2249F" w:rsidRDefault="00EB1051" w:rsidP="00EB1051">
      <w:pPr>
        <w:pStyle w:val="Pta"/>
        <w:tabs>
          <w:tab w:val="clear" w:pos="4536"/>
          <w:tab w:val="clear" w:pos="9072"/>
        </w:tabs>
        <w:overflowPunct w:val="0"/>
        <w:autoSpaceDE w:val="0"/>
        <w:autoSpaceDN w:val="0"/>
        <w:adjustRightInd w:val="0"/>
        <w:jc w:val="center"/>
        <w:textAlignment w:val="baseline"/>
        <w:rPr>
          <w:b/>
        </w:rPr>
      </w:pPr>
    </w:p>
    <w:p w14:paraId="5BE0F102" w14:textId="4627C6BC" w:rsidR="00EB1051" w:rsidRPr="00F2249F" w:rsidRDefault="00EB1051" w:rsidP="00EB1051">
      <w:pPr>
        <w:pStyle w:val="Pta"/>
        <w:tabs>
          <w:tab w:val="clear" w:pos="4536"/>
          <w:tab w:val="clear" w:pos="9072"/>
        </w:tabs>
        <w:overflowPunct w:val="0"/>
        <w:autoSpaceDE w:val="0"/>
        <w:autoSpaceDN w:val="0"/>
        <w:adjustRightInd w:val="0"/>
        <w:jc w:val="both"/>
        <w:textAlignment w:val="baseline"/>
      </w:pPr>
      <w:r w:rsidRPr="00F2249F">
        <w:t xml:space="preserve">Kapitola vytvára pravidlá </w:t>
      </w:r>
      <w:r w:rsidR="00DA0D46" w:rsidRPr="00F2249F">
        <w:t xml:space="preserve">jednotného </w:t>
      </w:r>
      <w:r w:rsidRPr="00F2249F">
        <w:t xml:space="preserve">financovania </w:t>
      </w:r>
      <w:r w:rsidR="00DA0D46" w:rsidRPr="00F2249F">
        <w:t xml:space="preserve">EU </w:t>
      </w:r>
      <w:proofErr w:type="spellStart"/>
      <w:r w:rsidR="00DA0D46" w:rsidRPr="00F2249F">
        <w:t>Inc</w:t>
      </w:r>
      <w:proofErr w:type="spellEnd"/>
      <w:r w:rsidR="00DA0D46" w:rsidRPr="00F2249F">
        <w:t>.</w:t>
      </w:r>
      <w:r w:rsidRPr="00F2249F">
        <w:t xml:space="preserve">. Jadrom kapitoly je možnosť EU </w:t>
      </w:r>
      <w:proofErr w:type="spellStart"/>
      <w:r w:rsidRPr="00F2249F">
        <w:t>Inc</w:t>
      </w:r>
      <w:proofErr w:type="spellEnd"/>
      <w:r w:rsidRPr="00F2249F">
        <w:t xml:space="preserve">. vydávať nové akcie jednoduchým postupom, vytvárať akcie rôzneho druhu vrátane zamestnaneckých alebo preferenčných akcií s rozmanitými investorskými právami. Kapitola obmedzuje úlohu notárov v týchto procesoch, zjednodušuje formality súvisiace s oceňovaním majetku a oslabuje tradičné pravidlá o zachovaní základného imania. Najvýznamnejšou principiálnom zmenou je koncept akcie bez nominálnej hodnoty ako základné nastavenie EU </w:t>
      </w:r>
      <w:proofErr w:type="spellStart"/>
      <w:r w:rsidRPr="00F2249F">
        <w:t>Inc</w:t>
      </w:r>
      <w:proofErr w:type="spellEnd"/>
      <w:r w:rsidRPr="00F2249F">
        <w:t xml:space="preserve">. Akcia predstavuje predovšetkým percentuálny ekonomický podiel na spoločnosti. </w:t>
      </w:r>
    </w:p>
    <w:p w14:paraId="5F8ACE63"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pPr>
    </w:p>
    <w:p w14:paraId="6B1CA50C" w14:textId="7EFFFF26" w:rsidR="00EB1051" w:rsidRPr="00F2249F" w:rsidRDefault="00EB1051" w:rsidP="00EB1051">
      <w:pPr>
        <w:pStyle w:val="Pta"/>
        <w:tabs>
          <w:tab w:val="clear" w:pos="4536"/>
          <w:tab w:val="clear" w:pos="9072"/>
        </w:tabs>
        <w:overflowPunct w:val="0"/>
        <w:autoSpaceDE w:val="0"/>
        <w:autoSpaceDN w:val="0"/>
        <w:adjustRightInd w:val="0"/>
        <w:jc w:val="both"/>
        <w:textAlignment w:val="baseline"/>
      </w:pPr>
      <w:r w:rsidRPr="00F2249F">
        <w:lastRenderedPageBreak/>
        <w:t>Kapitola nejednotne používa pojem „</w:t>
      </w:r>
      <w:proofErr w:type="spellStart"/>
      <w:r w:rsidRPr="00F2249F">
        <w:t>capital</w:t>
      </w:r>
      <w:proofErr w:type="spellEnd"/>
      <w:r w:rsidRPr="00F2249F">
        <w:t xml:space="preserve">“, niekedy označuje registrované základné imanie a inokedy všeobecne vlastné imanie spoločnosti. Kapitola prevzala zo smernice (EÚ) 2017/1132 zákaz vkladov vo forme prác a služieb, ktorý sa však uplatní iba pre spoločnosť, ktorá sa rozhodne zaviesť základné imanie a akcie s nominálnou hodnotou. </w:t>
      </w:r>
    </w:p>
    <w:p w14:paraId="44F4AB94"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pPr>
    </w:p>
    <w:p w14:paraId="79672E18"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pPr>
      <w:r w:rsidRPr="00F2249F">
        <w:t xml:space="preserve">Do klasického kontinentálneho modelu obchodného práva založeného na základnom imaní, nominálnej hodnote akcií, ochrane veriteľov prostredníctvom zachovania základného imania a rigidnejších kapitálových pravidlách, prináša teda návrh prvky amerického flexibilného </w:t>
      </w:r>
      <w:proofErr w:type="spellStart"/>
      <w:r w:rsidRPr="00F2249F">
        <w:t>startupového</w:t>
      </w:r>
      <w:proofErr w:type="spellEnd"/>
      <w:r w:rsidRPr="00F2249F">
        <w:t xml:space="preserve"> (</w:t>
      </w:r>
      <w:proofErr w:type="spellStart"/>
      <w:r w:rsidRPr="00F2249F">
        <w:t>delawarského</w:t>
      </w:r>
      <w:proofErr w:type="spellEnd"/>
      <w:r w:rsidRPr="00F2249F">
        <w:t xml:space="preserve">) modelu, v ktorom základné imanie ustupuje do úzadia (alebo vôbec neexistuje), akcie nemusia mať nominálnu hodnotu a dôraz sa kladie na vlastnícku a investičnú štruktúru spoločnosti – teda rozdelenie rozmanitých ekonomických a kontrolných práv spojených s akciami. Investície sa do spoločnosti dostávajú najmä prostredníctvom preferenčných akcií, opcií, SAFE či KISS dohôd alebo vymeniteľných dlhopisov. </w:t>
      </w:r>
    </w:p>
    <w:p w14:paraId="06604D0D" w14:textId="3DEC4160" w:rsidR="00EB1051" w:rsidRPr="00F2249F" w:rsidRDefault="00EB1051" w:rsidP="00EB1051">
      <w:pPr>
        <w:pStyle w:val="Pta"/>
        <w:tabs>
          <w:tab w:val="clear" w:pos="4536"/>
          <w:tab w:val="clear" w:pos="9072"/>
        </w:tabs>
        <w:overflowPunct w:val="0"/>
        <w:autoSpaceDE w:val="0"/>
        <w:autoSpaceDN w:val="0"/>
        <w:adjustRightInd w:val="0"/>
        <w:jc w:val="both"/>
        <w:textAlignment w:val="baseline"/>
      </w:pPr>
      <w:r w:rsidRPr="00F2249F">
        <w:t xml:space="preserve">Kapitola sa zároveň prikláňa k modelu </w:t>
      </w:r>
      <w:r w:rsidRPr="00F2249F">
        <w:rPr>
          <w:b/>
        </w:rPr>
        <w:t>dynamického testu solventnosti</w:t>
      </w:r>
      <w:r w:rsidRPr="00F2249F">
        <w:t xml:space="preserve"> spoločnosti, podloženého zodpovednosťou </w:t>
      </w:r>
      <w:r w:rsidR="00046A28" w:rsidRPr="00F2249F">
        <w:t>riaditeľov</w:t>
      </w:r>
      <w:r w:rsidRPr="00F2249F">
        <w:t xml:space="preserve">. Návrh sa pokúša spojiť do jednej úpravy dva rozdielne modely financovania spoločnosti (systém akcií bez nominálnej hodnoty a s nominálnou hodnotou) – bez dostatočne jasného rozlíšenia, ktoré ustanovenia sa uplatnia na ten ktorý model. To spôsobuje vnútornú nejednotnosť a sťažuje pochopenie textu.  </w:t>
      </w:r>
    </w:p>
    <w:p w14:paraId="3778A8CA" w14:textId="77777777" w:rsidR="00EB1051" w:rsidRPr="00F2249F" w:rsidRDefault="00EB1051" w:rsidP="00EB1051">
      <w:pPr>
        <w:overflowPunct w:val="0"/>
        <w:autoSpaceDE w:val="0"/>
        <w:autoSpaceDN w:val="0"/>
        <w:adjustRightInd w:val="0"/>
        <w:jc w:val="both"/>
        <w:textAlignment w:val="baseline"/>
        <w:rPr>
          <w:b/>
          <w:u w:val="single"/>
        </w:rPr>
      </w:pPr>
    </w:p>
    <w:p w14:paraId="2AF028A6" w14:textId="77777777" w:rsidR="00EB1051" w:rsidRPr="00F2249F" w:rsidRDefault="00EB1051" w:rsidP="00EB1051">
      <w:pPr>
        <w:overflowPunct w:val="0"/>
        <w:autoSpaceDE w:val="0"/>
        <w:autoSpaceDN w:val="0"/>
        <w:adjustRightInd w:val="0"/>
        <w:jc w:val="both"/>
        <w:textAlignment w:val="baseline"/>
        <w:rPr>
          <w:i/>
        </w:rPr>
      </w:pPr>
      <w:r w:rsidRPr="00F2249F">
        <w:rPr>
          <w:b/>
          <w:u w:val="single"/>
        </w:rPr>
        <w:t>Pozícia SR k celej kapitole</w:t>
      </w:r>
      <w:r w:rsidRPr="00F2249F">
        <w:rPr>
          <w:i/>
        </w:rPr>
        <w:t>:</w:t>
      </w:r>
    </w:p>
    <w:p w14:paraId="5A5424EC" w14:textId="099645F7" w:rsidR="00EB1051" w:rsidRPr="00F2249F" w:rsidRDefault="00EB1051" w:rsidP="00EB1051">
      <w:pPr>
        <w:pStyle w:val="Pta"/>
        <w:tabs>
          <w:tab w:val="clear" w:pos="4536"/>
          <w:tab w:val="clear" w:pos="9072"/>
        </w:tabs>
        <w:overflowPunct w:val="0"/>
        <w:autoSpaceDE w:val="0"/>
        <w:autoSpaceDN w:val="0"/>
        <w:adjustRightInd w:val="0"/>
        <w:jc w:val="both"/>
        <w:textAlignment w:val="baseline"/>
        <w:rPr>
          <w:i/>
        </w:rPr>
      </w:pPr>
      <w:r w:rsidRPr="00F2249F">
        <w:rPr>
          <w:i/>
        </w:rPr>
        <w:t xml:space="preserve">Spojenie dvoch rozdielnych modelov financovania spoločnosti bez jasného rozlíšenia ustanovení spôsobuje nejednotnosť textu a sťažuje porozumenie celej kapitole. Z tohto dôvodu </w:t>
      </w:r>
      <w:r w:rsidR="00DA0D46" w:rsidRPr="00F2249F">
        <w:rPr>
          <w:i/>
        </w:rPr>
        <w:t>je potrebné zvážiť preformulovanie</w:t>
      </w:r>
      <w:r w:rsidRPr="00F2249F">
        <w:rPr>
          <w:i/>
        </w:rPr>
        <w:t xml:space="preserve"> kapitol</w:t>
      </w:r>
      <w:r w:rsidR="00DA0D46" w:rsidRPr="00F2249F">
        <w:rPr>
          <w:i/>
        </w:rPr>
        <w:t>y</w:t>
      </w:r>
      <w:r w:rsidRPr="00F2249F">
        <w:rPr>
          <w:i/>
        </w:rPr>
        <w:t xml:space="preserve"> VII, prípadne ju rozdeliť na samostatné časti, tak aby bola jednoznačne určená pôsobnosť jednotlivých ustanovení vo vzťahu k jednotlivým typom spoločností.</w:t>
      </w:r>
    </w:p>
    <w:p w14:paraId="6919498C"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rPr>
          <w:i/>
        </w:rPr>
      </w:pPr>
    </w:p>
    <w:p w14:paraId="0A277B92" w14:textId="506968DB" w:rsidR="00EB1051" w:rsidRPr="00F2249F" w:rsidRDefault="00EB1051" w:rsidP="00EB1051">
      <w:pPr>
        <w:pStyle w:val="Pta"/>
        <w:tabs>
          <w:tab w:val="clear" w:pos="4536"/>
          <w:tab w:val="clear" w:pos="9072"/>
        </w:tabs>
        <w:overflowPunct w:val="0"/>
        <w:autoSpaceDE w:val="0"/>
        <w:autoSpaceDN w:val="0"/>
        <w:adjustRightInd w:val="0"/>
        <w:jc w:val="both"/>
        <w:textAlignment w:val="baseline"/>
        <w:rPr>
          <w:i/>
        </w:rPr>
      </w:pPr>
      <w:r w:rsidRPr="00F2249F">
        <w:rPr>
          <w:i/>
        </w:rPr>
        <w:t>Slovenská právna úprava vyžaduje</w:t>
      </w:r>
      <w:r w:rsidR="00DA0D46" w:rsidRPr="00F2249F">
        <w:rPr>
          <w:i/>
        </w:rPr>
        <w:t xml:space="preserve"> v súčasnosti</w:t>
      </w:r>
      <w:r w:rsidRPr="00F2249F">
        <w:rPr>
          <w:i/>
        </w:rPr>
        <w:t xml:space="preserve"> základné imanie pre všetky typy obchodných spoločností, ktoré pozná, </w:t>
      </w:r>
      <w:r w:rsidR="00654D09" w:rsidRPr="00F2249F">
        <w:rPr>
          <w:i/>
        </w:rPr>
        <w:t>n</w:t>
      </w:r>
      <w:r w:rsidRPr="00F2249F">
        <w:rPr>
          <w:i/>
        </w:rPr>
        <w:t>evychádza však z toho, že samotná zákonom vyžadovaná výška základného imania je dostatočným alebo najefektívnejším nástrojom ochrany veriteľov. To je zrejmé napríklad z výšky základného imania jednoduchej spoločnosti na akcie alebo z legislatívneho zámeru rekodifikácie práva obchodných spoločností – ten výslovne uviedol, že ochrana veriteľov má byť primárne zabezpečená reguláciou výplaty vlastných zdrojov spoločnosti, zákazom vrátenia vkladu v širšom zmysle, reguláciou financovania spriaznenými osobami (najmä pôžičkami spoločníkov v kríze) a celkovo všeobecnou reguláciou transakcií so spriaznenými osobami, alebo  efektívn</w:t>
      </w:r>
      <w:r w:rsidR="00DA0D46" w:rsidRPr="00F2249F">
        <w:rPr>
          <w:i/>
        </w:rPr>
        <w:t>e vymáhateľnou</w:t>
      </w:r>
      <w:r w:rsidRPr="00F2249F">
        <w:rPr>
          <w:i/>
        </w:rPr>
        <w:t xml:space="preserve"> zodpovednosťou členov orgánov za spôsobenú škodu. Keďže odstránenie základného imania nie je pre slovenské prostredie nevyhnutne cudzie, je možné ho akceptovať. </w:t>
      </w:r>
      <w:r w:rsidRPr="00F2249F">
        <w:rPr>
          <w:i/>
          <w:u w:val="single"/>
        </w:rPr>
        <w:t>Je však nutné preskúmať, či sú alternatívne ochranné mechanizmy dostatočne jasné, vymožiteľné a kompatibilné so slovenským právom. Je tiež potrebné preskúmať, ako budú so slovenským právom koexistovať v prepojení podľa čl. 4. návrhu (podmienky aplikácie vnútroštátneho práva).</w:t>
      </w:r>
      <w:r w:rsidRPr="00F2249F">
        <w:rPr>
          <w:i/>
        </w:rPr>
        <w:t xml:space="preserve"> </w:t>
      </w:r>
    </w:p>
    <w:p w14:paraId="27BC3F3F"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rPr>
          <w:i/>
        </w:rPr>
      </w:pPr>
    </w:p>
    <w:p w14:paraId="7BD317FE" w14:textId="77777777" w:rsidR="00EB1051" w:rsidRPr="00F2249F" w:rsidRDefault="00EB1051" w:rsidP="00EB1051">
      <w:pPr>
        <w:pStyle w:val="Pta"/>
        <w:overflowPunct w:val="0"/>
        <w:autoSpaceDE w:val="0"/>
        <w:autoSpaceDN w:val="0"/>
        <w:adjustRightInd w:val="0"/>
        <w:jc w:val="both"/>
        <w:textAlignment w:val="baseline"/>
        <w:rPr>
          <w:i/>
        </w:rPr>
      </w:pPr>
      <w:r w:rsidRPr="00F2249F">
        <w:rPr>
          <w:i/>
        </w:rPr>
        <w:t xml:space="preserve">Slovenská republika  považuje za potrebné bližšie spresniť viaceré pojmy používané v návrhu, napríklad pojem kapitál, vlastné zdroje, majetok a iné a zvážiť ich nadväznosti na účtovnú legislatívu. </w:t>
      </w:r>
    </w:p>
    <w:p w14:paraId="6C4C6FBF" w14:textId="77777777" w:rsidR="00EB1051" w:rsidRPr="00F2249F" w:rsidRDefault="00EB1051" w:rsidP="00EB1051">
      <w:pPr>
        <w:pStyle w:val="Pta"/>
        <w:overflowPunct w:val="0"/>
        <w:autoSpaceDE w:val="0"/>
        <w:autoSpaceDN w:val="0"/>
        <w:adjustRightInd w:val="0"/>
        <w:jc w:val="both"/>
        <w:textAlignment w:val="baseline"/>
        <w:rPr>
          <w:i/>
        </w:rPr>
      </w:pPr>
    </w:p>
    <w:p w14:paraId="4B67D19F" w14:textId="58988ADF" w:rsidR="00EB1051" w:rsidRPr="00F2249F" w:rsidRDefault="00EB1051" w:rsidP="00EB1051">
      <w:pPr>
        <w:pStyle w:val="Pta"/>
        <w:overflowPunct w:val="0"/>
        <w:autoSpaceDE w:val="0"/>
        <w:autoSpaceDN w:val="0"/>
        <w:adjustRightInd w:val="0"/>
        <w:jc w:val="both"/>
        <w:textAlignment w:val="baseline"/>
        <w:rPr>
          <w:i/>
        </w:rPr>
      </w:pPr>
      <w:r w:rsidRPr="00F2249F">
        <w:rPr>
          <w:i/>
        </w:rPr>
        <w:t>Kľúčový článok kapitoly (a aj celého návrhu) je čl. 72 o rozdeľovaní zisku (v širšom zmysle slova), ktorý vyvoláva viacero otázok, ktoré bude potrebné v diskusiách vyjasniť. Ide o spresnenie obsahu a spôsobu výkonu testu solventnosti, ale aj okolností s ním súvisiacich – podkladových dokumentov, možností a rozsahu využitia správ znalcov</w:t>
      </w:r>
      <w:r w:rsidR="00DA0D46" w:rsidRPr="00F2249F">
        <w:rPr>
          <w:i/>
        </w:rPr>
        <w:t xml:space="preserve"> (v zmysle slovenskej úpravy môže ísť aj o audítora, tento pojem je teda potrebné vnímať široko)</w:t>
      </w:r>
      <w:r w:rsidRPr="00F2249F">
        <w:rPr>
          <w:i/>
        </w:rPr>
        <w:t xml:space="preserve">. Okrem toho je </w:t>
      </w:r>
      <w:r w:rsidRPr="00F2249F">
        <w:rPr>
          <w:i/>
        </w:rPr>
        <w:lastRenderedPageBreak/>
        <w:t xml:space="preserve">kľúčové prediskutovať i podrobnosti zodpovednosti </w:t>
      </w:r>
      <w:r w:rsidR="0038241A" w:rsidRPr="00F2249F">
        <w:rPr>
          <w:i/>
        </w:rPr>
        <w:t>riaditeľov</w:t>
      </w:r>
      <w:r w:rsidRPr="00F2249F">
        <w:rPr>
          <w:i/>
        </w:rPr>
        <w:t xml:space="preserve"> v prípade pochybení v</w:t>
      </w:r>
      <w:r w:rsidR="00DA0D46" w:rsidRPr="00F2249F">
        <w:rPr>
          <w:i/>
        </w:rPr>
        <w:t> </w:t>
      </w:r>
      <w:r w:rsidRPr="00F2249F">
        <w:rPr>
          <w:i/>
        </w:rPr>
        <w:t>teste</w:t>
      </w:r>
      <w:r w:rsidR="00DA0D46" w:rsidRPr="00F2249F">
        <w:rPr>
          <w:i/>
        </w:rPr>
        <w:t xml:space="preserve"> solventnosti</w:t>
      </w:r>
      <w:r w:rsidRPr="00F2249F">
        <w:rPr>
          <w:i/>
        </w:rPr>
        <w:t xml:space="preserve">. </w:t>
      </w:r>
    </w:p>
    <w:p w14:paraId="68E19581" w14:textId="77777777" w:rsidR="00EB1051" w:rsidRPr="00F2249F" w:rsidRDefault="00EB1051" w:rsidP="00EB1051">
      <w:pPr>
        <w:pStyle w:val="Pta"/>
        <w:overflowPunct w:val="0"/>
        <w:autoSpaceDE w:val="0"/>
        <w:autoSpaceDN w:val="0"/>
        <w:adjustRightInd w:val="0"/>
        <w:jc w:val="both"/>
        <w:textAlignment w:val="baseline"/>
        <w:rPr>
          <w:i/>
        </w:rPr>
      </w:pPr>
    </w:p>
    <w:p w14:paraId="3131606A"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rPr>
          <w:b/>
          <w:u w:val="single"/>
        </w:rPr>
      </w:pPr>
      <w:r w:rsidRPr="00F2249F">
        <w:rPr>
          <w:b/>
          <w:u w:val="single"/>
        </w:rPr>
        <w:t xml:space="preserve">Článok 61 Akcie bez nominálnej hodnoty </w:t>
      </w:r>
    </w:p>
    <w:p w14:paraId="4E4C8139"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pPr>
    </w:p>
    <w:p w14:paraId="680642D1"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pPr>
      <w:r w:rsidRPr="00F2249F">
        <w:t xml:space="preserve">Základným nastavením EU </w:t>
      </w:r>
      <w:proofErr w:type="spellStart"/>
      <w:r w:rsidRPr="00F2249F">
        <w:t>Inc</w:t>
      </w:r>
      <w:proofErr w:type="spellEnd"/>
      <w:r w:rsidRPr="00F2249F">
        <w:t xml:space="preserve">. je mať akcie bez menovitej hodnoty, ustanovenie však umožňuje, aby stanovy zaviedli nominálnu hodnotu akcií. Kombinácia oboch systémov v jednej spoločnosti sa zakazuje. </w:t>
      </w:r>
    </w:p>
    <w:p w14:paraId="174367F1"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pPr>
    </w:p>
    <w:p w14:paraId="0D91E1BF" w14:textId="4D310E89" w:rsidR="00DA0D46" w:rsidRPr="00F2249F" w:rsidRDefault="00EB1051" w:rsidP="00DA0D46">
      <w:pPr>
        <w:pStyle w:val="Pta"/>
        <w:tabs>
          <w:tab w:val="clear" w:pos="4536"/>
          <w:tab w:val="clear" w:pos="9072"/>
        </w:tabs>
        <w:overflowPunct w:val="0"/>
        <w:autoSpaceDE w:val="0"/>
        <w:autoSpaceDN w:val="0"/>
        <w:adjustRightInd w:val="0"/>
        <w:jc w:val="both"/>
        <w:textAlignment w:val="baseline"/>
        <w:rPr>
          <w:i/>
        </w:rPr>
      </w:pPr>
      <w:r w:rsidRPr="00F2249F">
        <w:rPr>
          <w:b/>
          <w:u w:val="single"/>
        </w:rPr>
        <w:t>Pozícia SR</w:t>
      </w:r>
      <w:r w:rsidRPr="00F2249F">
        <w:rPr>
          <w:b/>
        </w:rPr>
        <w:t>:</w:t>
      </w:r>
      <w:r w:rsidRPr="00F2249F">
        <w:t xml:space="preserve"> </w:t>
      </w:r>
      <w:r w:rsidR="00DA0D46" w:rsidRPr="00F2249F">
        <w:rPr>
          <w:i/>
        </w:rPr>
        <w:t>Slovenská právna úprava obchodného práva i práva cenných papierov pracuje v súčasnosti so základným pravidlom naviazaným na menovitú hodnotu akcií. Všetky akcie musia mať určenú menovitú hodnotu a tá tvorí základ základného imania (na tomto princípe je postavený i návrh, ak spoločnosť zavádza akcie s menovitou hodnotou). Akcie bez menovitej hodnoty sa však v súčasnosti v slovenskom práve neumožňujú</w:t>
      </w:r>
      <w:r w:rsidR="00CB4250" w:rsidRPr="00F2249F">
        <w:rPr>
          <w:i/>
        </w:rPr>
        <w:t xml:space="preserve"> (jedinou výnimkou sú ustanovenia § 220b a </w:t>
      </w:r>
      <w:proofErr w:type="spellStart"/>
      <w:r w:rsidR="00CB4250" w:rsidRPr="00F2249F">
        <w:rPr>
          <w:i/>
        </w:rPr>
        <w:t>nasl</w:t>
      </w:r>
      <w:proofErr w:type="spellEnd"/>
      <w:r w:rsidR="00CB4250" w:rsidRPr="00F2249F">
        <w:rPr>
          <w:i/>
        </w:rPr>
        <w:t>. o akciovej spoločnosti s premenlivým základným imaním)</w:t>
      </w:r>
      <w:r w:rsidR="00DA0D46" w:rsidRPr="00F2249F">
        <w:rPr>
          <w:i/>
        </w:rPr>
        <w:t>. Návrh predstavuje posun k flexibilnejšiemu kapitálovému modelu známemu z </w:t>
      </w:r>
      <w:proofErr w:type="spellStart"/>
      <w:r w:rsidR="00DA0D46" w:rsidRPr="00F2249F">
        <w:rPr>
          <w:i/>
        </w:rPr>
        <w:t>common</w:t>
      </w:r>
      <w:proofErr w:type="spellEnd"/>
      <w:r w:rsidR="00DA0D46" w:rsidRPr="00F2249F">
        <w:rPr>
          <w:i/>
        </w:rPr>
        <w:t xml:space="preserve"> law jurisdikcií. </w:t>
      </w:r>
    </w:p>
    <w:p w14:paraId="0FF736C9"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pPr>
      <w:r w:rsidRPr="00F2249F">
        <w:rPr>
          <w:i/>
        </w:rPr>
        <w:t xml:space="preserve">Slovenská republika nemá k zneniu ustanovenia výhrady, je však potrebné vyjasniť v texte návrhu alebo preambule, či môže mať spoločnosť s akciami bez menovitej hodnoty základné imanie. V prípade, že spoločnosť má základné imanie, je potrebné vyjasniť, či môže členský štát stanoviť jeho povinnú výšku. </w:t>
      </w:r>
    </w:p>
    <w:p w14:paraId="19FD7345"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pPr>
    </w:p>
    <w:p w14:paraId="2B3BE506"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rPr>
          <w:b/>
        </w:rPr>
      </w:pPr>
      <w:r w:rsidRPr="00F2249F">
        <w:rPr>
          <w:b/>
          <w:u w:val="single"/>
        </w:rPr>
        <w:t>Článok 62 Základné imanie</w:t>
      </w:r>
      <w:r w:rsidRPr="00F2249F">
        <w:rPr>
          <w:b/>
        </w:rPr>
        <w:t xml:space="preserve"> </w:t>
      </w:r>
    </w:p>
    <w:p w14:paraId="33CDF18B"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pPr>
    </w:p>
    <w:p w14:paraId="7EB83D94"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pPr>
      <w:r w:rsidRPr="00F2249F">
        <w:t xml:space="preserve">Ustanovenie zavádza flexibilný kapitálový režim, keď ruší povinnosť minimálneho základného imania ako aj tvorby zákonných rezerv. Ak spoločnosť má základné imanie, musí byť vyjadrené v eurách alebo v mene štátu registrácie. Základné imanie sa musí rovnať súčtu menovitých hodnôt všetkých upísaných akcií. </w:t>
      </w:r>
    </w:p>
    <w:p w14:paraId="7D1F6008"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pPr>
      <w:r w:rsidRPr="00F2249F">
        <w:t xml:space="preserve">Tento článok súvisí s čl. 64 a 65, ktoré upravujú vklady do spoločnosti. V návrhu sa totiž stanovuje, že pre spoločnosť bez základného imania nie je vklad do základného imania nutný na získanie akcií. V takejto spoločnosti je možné uskutočniť vklad formou prác a služieb. </w:t>
      </w:r>
    </w:p>
    <w:p w14:paraId="10F4FA71"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rPr>
          <w:b/>
          <w:u w:val="single"/>
        </w:rPr>
      </w:pPr>
    </w:p>
    <w:p w14:paraId="7DDB1749" w14:textId="77777777" w:rsidR="00654D09" w:rsidRPr="00F2249F" w:rsidRDefault="00EB1051" w:rsidP="00654D09">
      <w:pPr>
        <w:pStyle w:val="Pta"/>
        <w:tabs>
          <w:tab w:val="clear" w:pos="4536"/>
          <w:tab w:val="clear" w:pos="9072"/>
        </w:tabs>
        <w:overflowPunct w:val="0"/>
        <w:autoSpaceDE w:val="0"/>
        <w:autoSpaceDN w:val="0"/>
        <w:adjustRightInd w:val="0"/>
        <w:jc w:val="both"/>
        <w:textAlignment w:val="baseline"/>
      </w:pPr>
      <w:r w:rsidRPr="00F2249F">
        <w:rPr>
          <w:b/>
          <w:u w:val="single"/>
        </w:rPr>
        <w:t>Pozícia SR</w:t>
      </w:r>
      <w:r w:rsidRPr="00F2249F">
        <w:rPr>
          <w:b/>
        </w:rPr>
        <w:t>:</w:t>
      </w:r>
      <w:r w:rsidRPr="00F2249F">
        <w:t xml:space="preserve"> </w:t>
      </w:r>
      <w:r w:rsidR="00654D09" w:rsidRPr="00F2249F">
        <w:rPr>
          <w:i/>
        </w:rPr>
        <w:t xml:space="preserve">V slovenskom obchodnom práve je prístup principiálne odlišný, pretože všetky typy kapitálových spoločnosti stanovujú základné imanie (hoci v symbolickej výške pre </w:t>
      </w:r>
      <w:proofErr w:type="spellStart"/>
      <w:r w:rsidR="00654D09" w:rsidRPr="00F2249F">
        <w:rPr>
          <w:i/>
        </w:rPr>
        <w:t>j.s.a</w:t>
      </w:r>
      <w:proofErr w:type="spellEnd"/>
      <w:r w:rsidR="00654D09" w:rsidRPr="00F2249F">
        <w:rPr>
          <w:i/>
        </w:rPr>
        <w:t>.), povinnosť jeho evidencie, systém ochrany veriteľov cez pravidlá o základnom imaní a tvorbu rezervného fondu. Všetky kapitálové spoločnosti majú zákaz vkladu formou prác a služieb. Nulové základné imanie a absencia rezerv predstavuje výrazne liberálnejší prístup.</w:t>
      </w:r>
      <w:r w:rsidR="00654D09" w:rsidRPr="00F2249F">
        <w:t xml:space="preserve"> </w:t>
      </w:r>
    </w:p>
    <w:p w14:paraId="213876DA" w14:textId="5C06C9D2" w:rsidR="00EB1051" w:rsidRPr="00F2249F" w:rsidRDefault="00EB1051" w:rsidP="00EB1051">
      <w:pPr>
        <w:pStyle w:val="Pta"/>
        <w:tabs>
          <w:tab w:val="clear" w:pos="4536"/>
          <w:tab w:val="clear" w:pos="9072"/>
        </w:tabs>
        <w:overflowPunct w:val="0"/>
        <w:autoSpaceDE w:val="0"/>
        <w:autoSpaceDN w:val="0"/>
        <w:adjustRightInd w:val="0"/>
        <w:jc w:val="both"/>
        <w:textAlignment w:val="baseline"/>
        <w:rPr>
          <w:i/>
        </w:rPr>
      </w:pPr>
      <w:r w:rsidRPr="00F2249F">
        <w:rPr>
          <w:i/>
        </w:rPr>
        <w:t>Slovenská republika nemá k zneniu ustanovenia výhrady</w:t>
      </w:r>
      <w:r w:rsidR="00654D09" w:rsidRPr="00F2249F">
        <w:rPr>
          <w:i/>
        </w:rPr>
        <w:t>, keďže uvedené predstavuje modernizáciu práva obchodných spoločností a flexibilnejšie nastavenie vlastníckej a investičnej štruktúry spoločnosti</w:t>
      </w:r>
      <w:r w:rsidRPr="00F2249F">
        <w:rPr>
          <w:i/>
        </w:rPr>
        <w:t>.</w:t>
      </w:r>
    </w:p>
    <w:p w14:paraId="0E344CB6"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pPr>
    </w:p>
    <w:p w14:paraId="076F887C"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pPr>
      <w:r w:rsidRPr="00F2249F">
        <w:rPr>
          <w:b/>
          <w:u w:val="single"/>
        </w:rPr>
        <w:t>Článok 63 Ochrana „</w:t>
      </w:r>
      <w:proofErr w:type="spellStart"/>
      <w:r w:rsidRPr="00F2249F">
        <w:rPr>
          <w:b/>
          <w:u w:val="single"/>
        </w:rPr>
        <w:t>ekvity</w:t>
      </w:r>
      <w:proofErr w:type="spellEnd"/>
      <w:r w:rsidRPr="00F2249F">
        <w:rPr>
          <w:b/>
          <w:u w:val="single"/>
        </w:rPr>
        <w:t>“</w:t>
      </w:r>
      <w:r w:rsidRPr="00F2249F">
        <w:t xml:space="preserve"> </w:t>
      </w:r>
    </w:p>
    <w:p w14:paraId="5CD3B085"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pPr>
      <w:r w:rsidRPr="00F2249F">
        <w:t>Ustanovenie zavádza princíp ochrany základného imania, teda zákaz vyplácať akcionárom majetok, ktorý je potrebný na krytie hodnoty základného imania. Jedinou výnimkou je zníženie základného imania podľa čl. 77 kapitoly. Majetok, ktorý bol do spoločnosti vložený inak (teda nie do základného imania), ustanovením chránený nie je a môže byť voľne distribuovaný za podmienok čl. 72 (test solventnosti). Pojem „</w:t>
      </w:r>
      <w:proofErr w:type="spellStart"/>
      <w:r w:rsidRPr="00F2249F">
        <w:t>equity</w:t>
      </w:r>
      <w:proofErr w:type="spellEnd"/>
      <w:r w:rsidRPr="00F2249F">
        <w:t xml:space="preserve">“ v tejto súvislosti nezahŕňa celé vlastné imanie spoločnosti; ide o technický koncept ktorý sa vzťahuje na majetkovú bázu chránenú pravidlami zachovania kapitálu. </w:t>
      </w:r>
    </w:p>
    <w:p w14:paraId="4EAA5E37" w14:textId="2216A855" w:rsidR="00EB1051" w:rsidRPr="00F2249F" w:rsidRDefault="00EB1051" w:rsidP="00EB1051">
      <w:pPr>
        <w:pStyle w:val="Pta"/>
        <w:tabs>
          <w:tab w:val="clear" w:pos="4536"/>
          <w:tab w:val="clear" w:pos="9072"/>
        </w:tabs>
        <w:overflowPunct w:val="0"/>
        <w:autoSpaceDE w:val="0"/>
        <w:autoSpaceDN w:val="0"/>
        <w:adjustRightInd w:val="0"/>
        <w:jc w:val="both"/>
        <w:textAlignment w:val="baseline"/>
        <w:rPr>
          <w:b/>
          <w:u w:val="single"/>
        </w:rPr>
      </w:pPr>
    </w:p>
    <w:p w14:paraId="3ABF485F" w14:textId="77777777" w:rsidR="00654D09" w:rsidRPr="00F2249F" w:rsidRDefault="00EB1051" w:rsidP="00654D09">
      <w:pPr>
        <w:pStyle w:val="Pta"/>
        <w:tabs>
          <w:tab w:val="clear" w:pos="4536"/>
          <w:tab w:val="clear" w:pos="9072"/>
        </w:tabs>
        <w:overflowPunct w:val="0"/>
        <w:autoSpaceDE w:val="0"/>
        <w:autoSpaceDN w:val="0"/>
        <w:adjustRightInd w:val="0"/>
        <w:jc w:val="both"/>
        <w:textAlignment w:val="baseline"/>
      </w:pPr>
      <w:r w:rsidRPr="00F2249F">
        <w:rPr>
          <w:b/>
          <w:u w:val="single"/>
        </w:rPr>
        <w:lastRenderedPageBreak/>
        <w:t>Pozícia SR</w:t>
      </w:r>
      <w:r w:rsidRPr="00F2249F">
        <w:rPr>
          <w:b/>
        </w:rPr>
        <w:t>:</w:t>
      </w:r>
      <w:r w:rsidRPr="00F2249F">
        <w:t xml:space="preserve"> </w:t>
      </w:r>
      <w:r w:rsidR="00654D09" w:rsidRPr="00F2249F">
        <w:rPr>
          <w:i/>
        </w:rPr>
        <w:t xml:space="preserve">V slovenskom práve je ustanovenie podobné princípu ochrany základného imania. Návrh nariadenia však výslovne umožňuje, aby plnenia, ktoré neboli vložené do základného imania, neboli predmetom ochrany podľa tohto ustanovenia, čím sa zavádza flexibilnejší režim výplat. </w:t>
      </w:r>
    </w:p>
    <w:p w14:paraId="78ED5618"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rPr>
          <w:i/>
        </w:rPr>
      </w:pPr>
      <w:r w:rsidRPr="00F2249F">
        <w:rPr>
          <w:i/>
        </w:rPr>
        <w:t>Slovenská republika nemá k zneniu ustanovenia výhrady.</w:t>
      </w:r>
    </w:p>
    <w:p w14:paraId="440CC90F"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pPr>
    </w:p>
    <w:p w14:paraId="398A257B"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pPr>
      <w:r w:rsidRPr="00F2249F">
        <w:rPr>
          <w:b/>
          <w:u w:val="single"/>
        </w:rPr>
        <w:t>Článok 64 Protihodnota za akcie</w:t>
      </w:r>
      <w:r w:rsidRPr="00F2249F">
        <w:t xml:space="preserve"> </w:t>
      </w:r>
    </w:p>
    <w:p w14:paraId="03CCC225"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pPr>
    </w:p>
    <w:p w14:paraId="6140AC7A"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pPr>
      <w:r w:rsidRPr="00F2249F">
        <w:t xml:space="preserve">Ustanovenie umožňuje, aby protihodnota za akciu bola splatená nielen do základného imania, ale aj mimo neho (či kombináciou), podľa rozhodnutia spoločnosti. Časť určená na základné imanie musí byť splatená v plnej výške pri upísaní akcií. Zvyšná časť môže byť splatená neskôr, najneskôr však do 5 rokov. </w:t>
      </w:r>
    </w:p>
    <w:p w14:paraId="06D7928A"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rPr>
          <w:b/>
          <w:u w:val="single"/>
        </w:rPr>
      </w:pPr>
    </w:p>
    <w:p w14:paraId="143A4125" w14:textId="77777777" w:rsidR="00654D09" w:rsidRPr="00F2249F" w:rsidRDefault="00EB1051" w:rsidP="00654D09">
      <w:pPr>
        <w:pStyle w:val="Pta"/>
        <w:tabs>
          <w:tab w:val="clear" w:pos="4536"/>
          <w:tab w:val="clear" w:pos="9072"/>
        </w:tabs>
        <w:overflowPunct w:val="0"/>
        <w:autoSpaceDE w:val="0"/>
        <w:autoSpaceDN w:val="0"/>
        <w:adjustRightInd w:val="0"/>
        <w:jc w:val="both"/>
        <w:textAlignment w:val="baseline"/>
      </w:pPr>
      <w:r w:rsidRPr="00F2249F">
        <w:rPr>
          <w:b/>
          <w:u w:val="single"/>
        </w:rPr>
        <w:t>Pozícia SR</w:t>
      </w:r>
      <w:r w:rsidRPr="00F2249F">
        <w:rPr>
          <w:b/>
        </w:rPr>
        <w:t>:</w:t>
      </w:r>
      <w:r w:rsidRPr="00F2249F">
        <w:t xml:space="preserve"> </w:t>
      </w:r>
      <w:r w:rsidR="00654D09" w:rsidRPr="00F2249F">
        <w:rPr>
          <w:i/>
        </w:rPr>
        <w:t>Splatenie hodnoty akcií do základného imania, mimo neho alebo kombinovane je zásadným odklonom od slovenského modelu kapitálovej spoločnosti. Základné imanie musí byť plne upísané a formálne kryté, ale ochrana veriteľov na ňom už nie je výlučne založená. V spoločnosti môže existovať i iná majetková hodnota, ktorú investor dá spoločnosti a ktorá bude spravovaná flexibilnejšie.</w:t>
      </w:r>
      <w:r w:rsidR="00654D09" w:rsidRPr="00F2249F">
        <w:t xml:space="preserve"> </w:t>
      </w:r>
    </w:p>
    <w:p w14:paraId="171D6E89" w14:textId="6962140E" w:rsidR="00EB1051" w:rsidRPr="00F2249F" w:rsidRDefault="00EB1051" w:rsidP="00EB1051">
      <w:pPr>
        <w:pStyle w:val="Pta"/>
        <w:tabs>
          <w:tab w:val="clear" w:pos="4536"/>
          <w:tab w:val="clear" w:pos="9072"/>
        </w:tabs>
        <w:overflowPunct w:val="0"/>
        <w:autoSpaceDE w:val="0"/>
        <w:autoSpaceDN w:val="0"/>
        <w:adjustRightInd w:val="0"/>
        <w:jc w:val="both"/>
        <w:textAlignment w:val="baseline"/>
        <w:rPr>
          <w:i/>
        </w:rPr>
      </w:pPr>
      <w:r w:rsidRPr="00F2249F">
        <w:rPr>
          <w:i/>
        </w:rPr>
        <w:t>Slovenská republika nemá k zneniu ustanovenia výhrady</w:t>
      </w:r>
      <w:r w:rsidR="00654D09" w:rsidRPr="00F2249F">
        <w:rPr>
          <w:i/>
        </w:rPr>
        <w:t xml:space="preserve"> z dôvodov uvedených k čl. 62</w:t>
      </w:r>
      <w:r w:rsidRPr="00F2249F">
        <w:rPr>
          <w:i/>
        </w:rPr>
        <w:t>.</w:t>
      </w:r>
    </w:p>
    <w:p w14:paraId="5F262C4C"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pPr>
    </w:p>
    <w:p w14:paraId="567E5818"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rPr>
          <w:b/>
          <w:u w:val="single"/>
        </w:rPr>
      </w:pPr>
      <w:r w:rsidRPr="00F2249F">
        <w:rPr>
          <w:b/>
          <w:u w:val="single"/>
        </w:rPr>
        <w:t>Článok 65 Požiadavky na nepeňažné vklady</w:t>
      </w:r>
    </w:p>
    <w:p w14:paraId="48066D8E"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pPr>
    </w:p>
    <w:p w14:paraId="39A5BC73"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pPr>
      <w:r w:rsidRPr="00F2249F">
        <w:t xml:space="preserve">Ustanovenie upravuje pravidlá pre nepeňažné vklady do spoločnosti, pričom rozlišuje vklady do základného imania a ostatné nepeňažné plnenia. Vklady do základného imania v zásade vychádzajú z režimu smernice (EÚ) 2017/1132, pretože musia mať určiteľnú hodnotu a vylučujú sa vklady vo forme práce alebo služieb. Takéto vklady podliehajú povinnému oceneniu znaleckým posudkom a jeho zverejneniu v obchodnom registri. Naopak, pri nekapitalizovaných vkladoch možno požiadavku znaleckého posudku vylúčiť stanovami, pričom takéto rozhodnutie podlieha zverejneniu v registri. Akcionár zároveň zodpovedá spoločnosti za prípadný rozdiel pri výrazne nadhodnotenom nepeňažnom vklade. </w:t>
      </w:r>
    </w:p>
    <w:p w14:paraId="4D569081"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rPr>
          <w:b/>
          <w:u w:val="single"/>
        </w:rPr>
      </w:pPr>
    </w:p>
    <w:p w14:paraId="7D35CA6B" w14:textId="77777777" w:rsidR="00654D09" w:rsidRPr="00F2249F" w:rsidRDefault="00EB1051" w:rsidP="00654D09">
      <w:pPr>
        <w:pStyle w:val="Pta"/>
        <w:tabs>
          <w:tab w:val="clear" w:pos="4536"/>
          <w:tab w:val="clear" w:pos="9072"/>
        </w:tabs>
        <w:overflowPunct w:val="0"/>
        <w:autoSpaceDE w:val="0"/>
        <w:autoSpaceDN w:val="0"/>
        <w:adjustRightInd w:val="0"/>
        <w:jc w:val="both"/>
        <w:textAlignment w:val="baseline"/>
      </w:pPr>
      <w:r w:rsidRPr="00F2249F">
        <w:rPr>
          <w:b/>
          <w:u w:val="single"/>
        </w:rPr>
        <w:t>Pozícia SR</w:t>
      </w:r>
      <w:r w:rsidRPr="00F2249F">
        <w:rPr>
          <w:b/>
        </w:rPr>
        <w:t>:</w:t>
      </w:r>
      <w:r w:rsidRPr="00F2249F">
        <w:t xml:space="preserve"> </w:t>
      </w:r>
      <w:r w:rsidR="00654D09" w:rsidRPr="00F2249F">
        <w:rPr>
          <w:i/>
        </w:rPr>
        <w:t>Aj slovenské právo stanovuje, že nepeňažné vklady musia mať formu majetku s určiteľnou hospodárskou hodnotou (§ 59 ods. 2 ObZ), pričom vklady vo forme práce alebo služieb sa zakazujú (§ 59 ods. 2 ObZ) a ich ocenenie sa zabezpečuje znaleckým posudkom (§ 59 ods. 3 ObZ). Na rozdiel od návrhu nariadenia však slovenská úprava viaže tieto požiadavky striktne na základné imanie</w:t>
      </w:r>
      <w:r w:rsidR="00654D09" w:rsidRPr="00F2249F">
        <w:rPr>
          <w:rStyle w:val="Odkaznapoznmkupodiarou"/>
          <w:i/>
        </w:rPr>
        <w:footnoteReference w:id="3"/>
      </w:r>
      <w:r w:rsidR="00654D09" w:rsidRPr="00F2249F">
        <w:rPr>
          <w:i/>
        </w:rPr>
        <w:t>. Návrh oproti tomu zavádza dvojkoľajnosť, pri ktorej sa prísny režim kontroly a oceňovania uplatňuje iba na časti vkladu smerujúce do základného imania. Oslabuje sa tu jednotný kontrolný režim základného imania typický pre slovenský model obchodnej spoločnosti a zavádza sa flexibilnejší prístup, ktorý rozlišuje kapitálové a nekapitálové investície.</w:t>
      </w:r>
      <w:r w:rsidR="00654D09" w:rsidRPr="00F2249F">
        <w:t xml:space="preserve"> </w:t>
      </w:r>
    </w:p>
    <w:p w14:paraId="0CF27D35"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rPr>
          <w:i/>
        </w:rPr>
      </w:pPr>
      <w:r w:rsidRPr="00F2249F">
        <w:rPr>
          <w:i/>
        </w:rPr>
        <w:t xml:space="preserve">Slovenská republika nemá k zneniu ustanovenia výhrady, avšak počas diskusií je potrebné spresniť ustanovenie o zodpovednosti akcionára kompenzovať spoločnosť za podhodnotený nepeňažný vklad, napríklad v prípade, že už nie je akcionárom v čase, keď vyjde najavo podhodnotenie vkladu. </w:t>
      </w:r>
    </w:p>
    <w:p w14:paraId="4DBA13A6"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rPr>
          <w:i/>
        </w:rPr>
      </w:pPr>
      <w:r w:rsidRPr="00F2249F">
        <w:rPr>
          <w:i/>
        </w:rPr>
        <w:t xml:space="preserve">Za účelom vyjasnenia návrhu navrhne Slovenská republika vyjasniť v preambule, že kvalifikácia, pozícia a postup menovania znalca vrátane podmienok a limitácií sa ponecháva na úpravu členských štátov. Umožní sa tak flexibilná definícia znalca skúmajúceho hodnotu </w:t>
      </w:r>
      <w:r w:rsidRPr="00F2249F">
        <w:rPr>
          <w:i/>
        </w:rPr>
        <w:lastRenderedPageBreak/>
        <w:t xml:space="preserve">nepeňažného vkladu. Zároveň sa tak umožní definícia slova „nezávislý“ znalec, v ktorom nezávislosť by sa mala predovšetkým vzťahovať na absenciu konfliktu záujmov medzi znalcom a spoločnosťou či jej spriaznenými osobami, či osobou, ktorá poskytuje plnenie. </w:t>
      </w:r>
    </w:p>
    <w:p w14:paraId="7690A663"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pPr>
    </w:p>
    <w:p w14:paraId="1453587C" w14:textId="47E4E3FA" w:rsidR="00031EB4" w:rsidRDefault="00031EB4" w:rsidP="00EB1051">
      <w:pPr>
        <w:pStyle w:val="Pta"/>
        <w:tabs>
          <w:tab w:val="clear" w:pos="4536"/>
          <w:tab w:val="clear" w:pos="9072"/>
        </w:tabs>
        <w:overflowPunct w:val="0"/>
        <w:autoSpaceDE w:val="0"/>
        <w:autoSpaceDN w:val="0"/>
        <w:adjustRightInd w:val="0"/>
        <w:jc w:val="both"/>
        <w:textAlignment w:val="baseline"/>
        <w:rPr>
          <w:b/>
          <w:u w:val="single"/>
        </w:rPr>
      </w:pPr>
      <w:r>
        <w:rPr>
          <w:b/>
          <w:u w:val="single"/>
        </w:rPr>
        <w:t>Článok 66 Vydanie prvých akcií</w:t>
      </w:r>
    </w:p>
    <w:p w14:paraId="330AD12D" w14:textId="77777777" w:rsidR="00031EB4" w:rsidRPr="00F2249F" w:rsidRDefault="00031EB4" w:rsidP="00EB1051">
      <w:pPr>
        <w:pStyle w:val="Pta"/>
        <w:tabs>
          <w:tab w:val="clear" w:pos="4536"/>
          <w:tab w:val="clear" w:pos="9072"/>
        </w:tabs>
        <w:overflowPunct w:val="0"/>
        <w:autoSpaceDE w:val="0"/>
        <w:autoSpaceDN w:val="0"/>
        <w:adjustRightInd w:val="0"/>
        <w:jc w:val="both"/>
        <w:textAlignment w:val="baseline"/>
        <w:rPr>
          <w:u w:val="single"/>
        </w:rPr>
      </w:pPr>
    </w:p>
    <w:p w14:paraId="4F375845"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pPr>
      <w:r w:rsidRPr="00F2249F">
        <w:t xml:space="preserve">Ustanovenie upravuje, že vydanie prvých akcií musí byť uvedené v stanovách. Takéto akcie musia byť registrované v digitálnom registri v čase jeho vytvorenia. </w:t>
      </w:r>
    </w:p>
    <w:p w14:paraId="3CC72E9B" w14:textId="77777777" w:rsidR="00D64434" w:rsidRPr="00F2249F" w:rsidRDefault="00EB1051" w:rsidP="00D64434">
      <w:pPr>
        <w:pStyle w:val="Pta"/>
        <w:tabs>
          <w:tab w:val="clear" w:pos="4536"/>
          <w:tab w:val="clear" w:pos="9072"/>
        </w:tabs>
        <w:overflowPunct w:val="0"/>
        <w:autoSpaceDE w:val="0"/>
        <w:autoSpaceDN w:val="0"/>
        <w:adjustRightInd w:val="0"/>
        <w:jc w:val="both"/>
        <w:textAlignment w:val="baseline"/>
      </w:pPr>
      <w:r w:rsidRPr="00F2249F">
        <w:rPr>
          <w:b/>
          <w:u w:val="single"/>
        </w:rPr>
        <w:t>Pozícia SR</w:t>
      </w:r>
      <w:r w:rsidRPr="00F2249F">
        <w:rPr>
          <w:b/>
        </w:rPr>
        <w:t>:</w:t>
      </w:r>
      <w:r w:rsidRPr="00F2249F">
        <w:t xml:space="preserve"> </w:t>
      </w:r>
      <w:r w:rsidR="00D64434" w:rsidRPr="00F2249F">
        <w:rPr>
          <w:i/>
        </w:rPr>
        <w:t>V slovenskom práve je obdobná úprava obsiahnutá v § 157 ObZ, hoci ObZ nevyžaduje explicitnú deklaráciu v tak formalizovanej podobe ako návrh. Keďže slovenské právo pozná inú podobu a druh akcií ako zaknihované akcie na meno, je slovenská úprava evidencie akcií rozmanitejšia a umožňuje vedenie zoznamu akcionárov spoločnosťou (pre listinné akcie na meno) alebo ich registráciu v Centrálnom depozitárovi cenných papierov podľa zákona o cenných papieroch.</w:t>
      </w:r>
      <w:r w:rsidR="00D64434" w:rsidRPr="00F2249F">
        <w:t xml:space="preserve"> </w:t>
      </w:r>
    </w:p>
    <w:p w14:paraId="0FB49BB6"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rPr>
          <w:i/>
        </w:rPr>
      </w:pPr>
      <w:r w:rsidRPr="00F2249F">
        <w:rPr>
          <w:i/>
        </w:rPr>
        <w:t xml:space="preserve">Slovenská republika nemá k zneniu ustanovenia výhrady, avšak navrhuje preformulovať text tak, aby bolo zrejmé, že každé vydanie akcií musí byť reflektované v stanovách. </w:t>
      </w:r>
    </w:p>
    <w:p w14:paraId="1EC65FAC"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pPr>
    </w:p>
    <w:p w14:paraId="3B51190F"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rPr>
          <w:u w:val="single"/>
        </w:rPr>
      </w:pPr>
      <w:r w:rsidRPr="00F2249F">
        <w:rPr>
          <w:b/>
          <w:u w:val="single"/>
        </w:rPr>
        <w:t>Článok 67 Vydanie nových akcií</w:t>
      </w:r>
      <w:r w:rsidRPr="00F2249F">
        <w:rPr>
          <w:u w:val="single"/>
        </w:rPr>
        <w:t xml:space="preserve"> </w:t>
      </w:r>
    </w:p>
    <w:p w14:paraId="313B2A8B"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pPr>
    </w:p>
    <w:p w14:paraId="45DBE505" w14:textId="33E92C7D" w:rsidR="00EB1051" w:rsidRPr="00F2249F" w:rsidRDefault="00EB1051" w:rsidP="00EB1051">
      <w:pPr>
        <w:pStyle w:val="Pta"/>
        <w:tabs>
          <w:tab w:val="clear" w:pos="4536"/>
          <w:tab w:val="clear" w:pos="9072"/>
        </w:tabs>
        <w:overflowPunct w:val="0"/>
        <w:autoSpaceDE w:val="0"/>
        <w:autoSpaceDN w:val="0"/>
        <w:adjustRightInd w:val="0"/>
        <w:jc w:val="both"/>
        <w:textAlignment w:val="baseline"/>
      </w:pPr>
      <w:r w:rsidRPr="00F2249F">
        <w:t xml:space="preserve">Ustanovenie sa týka podmienok vydania nových akcií EU </w:t>
      </w:r>
      <w:proofErr w:type="spellStart"/>
      <w:r w:rsidRPr="00F2249F">
        <w:t>Inc</w:t>
      </w:r>
      <w:proofErr w:type="spellEnd"/>
      <w:r w:rsidRPr="00F2249F">
        <w:t xml:space="preserve">. Primárne o vydaní rozhoduje valné zhromaždenie, avšak stanovy môžu splnomocniť </w:t>
      </w:r>
      <w:r w:rsidR="0038241A" w:rsidRPr="00F2249F">
        <w:t>správnu radu</w:t>
      </w:r>
      <w:r w:rsidRPr="00F2249F">
        <w:t xml:space="preserve"> alebo iný orgán na vydanie akcií do určeného maximálneho počtu. Rozhodnutie o emisii musí obsahovať počet akcií, protiplnenie za akcie a určenie, či sa protiplnenie vkladá do základného imania. Návrh umožňuje plne online upisovanie akcií a zakazuje členským štátom ukladať dodatočné formality, vrátane požiadavky notárskej zápisnice. Forma platnosti upísania sa viaže na kvalifikovaný elektronický podpis alebo pečať podľa nariadenia </w:t>
      </w:r>
      <w:proofErr w:type="spellStart"/>
      <w:r w:rsidRPr="00F2249F">
        <w:t>eIDAS</w:t>
      </w:r>
      <w:proofErr w:type="spellEnd"/>
      <w:r w:rsidRPr="00F2249F">
        <w:t xml:space="preserve">. </w:t>
      </w:r>
      <w:r w:rsidR="0038241A" w:rsidRPr="00F2249F">
        <w:t>Správna rada</w:t>
      </w:r>
      <w:r w:rsidRPr="00F2249F">
        <w:t xml:space="preserve"> bezodkladne zapíše nové akcie do registra a aktualizuje údaje o počte akcií a základnom imaní. </w:t>
      </w:r>
    </w:p>
    <w:p w14:paraId="03771632"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rPr>
          <w:b/>
          <w:u w:val="single"/>
        </w:rPr>
      </w:pPr>
    </w:p>
    <w:p w14:paraId="66F1240E" w14:textId="77777777" w:rsidR="00D64434" w:rsidRPr="00F2249F" w:rsidRDefault="00EB1051" w:rsidP="00D64434">
      <w:pPr>
        <w:pStyle w:val="Pta"/>
        <w:tabs>
          <w:tab w:val="clear" w:pos="4536"/>
          <w:tab w:val="clear" w:pos="9072"/>
        </w:tabs>
        <w:overflowPunct w:val="0"/>
        <w:autoSpaceDE w:val="0"/>
        <w:autoSpaceDN w:val="0"/>
        <w:adjustRightInd w:val="0"/>
        <w:jc w:val="both"/>
        <w:textAlignment w:val="baseline"/>
        <w:rPr>
          <w:i/>
        </w:rPr>
      </w:pPr>
      <w:r w:rsidRPr="00F2249F">
        <w:rPr>
          <w:b/>
          <w:u w:val="single"/>
        </w:rPr>
        <w:t>Pozícia SR</w:t>
      </w:r>
      <w:r w:rsidRPr="00F2249F">
        <w:rPr>
          <w:b/>
        </w:rPr>
        <w:t>:</w:t>
      </w:r>
      <w:r w:rsidRPr="00F2249F">
        <w:t xml:space="preserve"> </w:t>
      </w:r>
      <w:r w:rsidR="00D64434" w:rsidRPr="00F2249F">
        <w:rPr>
          <w:i/>
        </w:rPr>
        <w:t xml:space="preserve">V slovenskom práve upravuje zvyšovanie základného imania a vydávanie nových akcií najmä § 202 a 203 ObZ. O zvýšení spravidla rozhoduje valné zhromaždenie. Slovenské právo tiež pozná prednostné právo akcionárov na upisovanie akcií (§ 204a ObZ), ktorého obmedzenie podlieha prísnym podmienkam. </w:t>
      </w:r>
    </w:p>
    <w:p w14:paraId="4C0118E8" w14:textId="423B2D68" w:rsidR="00D64434" w:rsidRPr="00F2249F" w:rsidRDefault="00D64434" w:rsidP="00D64434">
      <w:pPr>
        <w:pStyle w:val="Pta"/>
        <w:tabs>
          <w:tab w:val="clear" w:pos="4536"/>
          <w:tab w:val="clear" w:pos="9072"/>
        </w:tabs>
        <w:overflowPunct w:val="0"/>
        <w:autoSpaceDE w:val="0"/>
        <w:autoSpaceDN w:val="0"/>
        <w:adjustRightInd w:val="0"/>
        <w:jc w:val="both"/>
        <w:textAlignment w:val="baseline"/>
        <w:rPr>
          <w:i/>
        </w:rPr>
      </w:pPr>
      <w:r w:rsidRPr="00F2249F">
        <w:rPr>
          <w:i/>
        </w:rPr>
        <w:t>Pokiaľ ide o formálne požiadavky, slovenské právo síce vyžaduje pre rozhodnutie valného zhromaždenia o zvýšení základného imania formu notárskej zápisnice (§187 ods. 2 ObZ), tu sa však nejedná o upísanie, ale korporačné rozhodnutie. Pre samotné upísanie sa v § 165 ObZ stanovuje, že sa uskutoční zápisom do listiny upisovateľov alebo iným písomným prejavom vôle upisovateľa. V zmysle § 40 Občianskeho zákonníka sa</w:t>
      </w:r>
      <w:r w:rsidR="00CE5EEF" w:rsidRPr="00F2249F">
        <w:rPr>
          <w:i/>
        </w:rPr>
        <w:t xml:space="preserve"> </w:t>
      </w:r>
      <w:r w:rsidRPr="00F2249F">
        <w:rPr>
          <w:i/>
        </w:rPr>
        <w:t xml:space="preserve">pre platnosť písomnej formy požaduje len elektronický prostriedok umožňujúci zachytenie obsahu právneho úkonu a identifikáciu upisovateľa. Návrh teda sprísňuje spôsob aj formálne požiadavky na upísanie nových akcií EU </w:t>
      </w:r>
      <w:proofErr w:type="spellStart"/>
      <w:r w:rsidRPr="00F2249F">
        <w:rPr>
          <w:i/>
        </w:rPr>
        <w:t>Inc</w:t>
      </w:r>
      <w:proofErr w:type="spellEnd"/>
      <w:r w:rsidRPr="00F2249F">
        <w:rPr>
          <w:i/>
        </w:rPr>
        <w:t xml:space="preserve">. </w:t>
      </w:r>
    </w:p>
    <w:p w14:paraId="612564BB" w14:textId="4D37D6C0" w:rsidR="00D64434" w:rsidRPr="00F2249F" w:rsidRDefault="00D64434" w:rsidP="00D64434">
      <w:pPr>
        <w:pStyle w:val="Pta"/>
        <w:tabs>
          <w:tab w:val="clear" w:pos="4536"/>
          <w:tab w:val="clear" w:pos="9072"/>
        </w:tabs>
        <w:overflowPunct w:val="0"/>
        <w:autoSpaceDE w:val="0"/>
        <w:autoSpaceDN w:val="0"/>
        <w:adjustRightInd w:val="0"/>
        <w:jc w:val="both"/>
        <w:textAlignment w:val="baseline"/>
        <w:rPr>
          <w:i/>
        </w:rPr>
      </w:pPr>
      <w:r w:rsidRPr="00F2249F">
        <w:rPr>
          <w:i/>
        </w:rPr>
        <w:t xml:space="preserve">Vydanie nových akcií môže viesť k „rozriedeniu“ práv existujúcich akcionárov (preto sú chránení </w:t>
      </w:r>
      <w:proofErr w:type="spellStart"/>
      <w:r w:rsidRPr="00F2249F">
        <w:rPr>
          <w:i/>
        </w:rPr>
        <w:t>o.i</w:t>
      </w:r>
      <w:proofErr w:type="spellEnd"/>
      <w:r w:rsidRPr="00F2249F">
        <w:rPr>
          <w:i/>
        </w:rPr>
        <w:t xml:space="preserve">. predkupným právom). V slovenskom práve patrí medzi takúto ochranu aj všeobecná klauzula o zákaze zneužitia väčšiny alebo menšiny hlasov v spoločnosti, a tiež zákaz konania znevýhodňujúceho spoločníka zneužívajúcim spôsobom (§56a ObZ). </w:t>
      </w:r>
    </w:p>
    <w:p w14:paraId="0A9B3CC1"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rPr>
          <w:i/>
        </w:rPr>
      </w:pPr>
      <w:r w:rsidRPr="00F2249F">
        <w:rPr>
          <w:i/>
        </w:rPr>
        <w:t xml:space="preserve">Slovenská republika nemá k zneniu ustanovenia výhrady, navrhuje však spresniť, či sa zákaz dodatočných formalít vzťahuje na samotné upísanie, alebo aj na korporačné rozhodnutie, z ktorého upísanie pramení. </w:t>
      </w:r>
    </w:p>
    <w:p w14:paraId="0076819F"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rPr>
          <w:i/>
        </w:rPr>
      </w:pPr>
      <w:r w:rsidRPr="00F2249F">
        <w:rPr>
          <w:i/>
        </w:rPr>
        <w:t xml:space="preserve">Okrem toho bude potrebné spresniť, či je možné aplikovať na EU </w:t>
      </w:r>
      <w:proofErr w:type="spellStart"/>
      <w:r w:rsidRPr="00F2249F">
        <w:rPr>
          <w:i/>
        </w:rPr>
        <w:t>Inc</w:t>
      </w:r>
      <w:proofErr w:type="spellEnd"/>
      <w:r w:rsidRPr="00F2249F">
        <w:rPr>
          <w:i/>
        </w:rPr>
        <w:t xml:space="preserve">. všeobecné ustanovenia o zákaze zneužívania pri hlasovaní spoločnosti a pri výkone práv akcionárov, ktoré môžu pôsobiť ako ochranné ustanovenia aj pri vydaní nových akcií. </w:t>
      </w:r>
    </w:p>
    <w:p w14:paraId="5D576B81"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pPr>
    </w:p>
    <w:p w14:paraId="7DC41D49" w14:textId="6085F3A7" w:rsidR="00EB1051" w:rsidRPr="00F2249F" w:rsidRDefault="00EB1051" w:rsidP="00EB1051">
      <w:pPr>
        <w:pStyle w:val="Pta"/>
        <w:tabs>
          <w:tab w:val="clear" w:pos="4536"/>
          <w:tab w:val="clear" w:pos="9072"/>
        </w:tabs>
        <w:overflowPunct w:val="0"/>
        <w:autoSpaceDE w:val="0"/>
        <w:autoSpaceDN w:val="0"/>
        <w:adjustRightInd w:val="0"/>
        <w:jc w:val="both"/>
        <w:textAlignment w:val="baseline"/>
        <w:rPr>
          <w:u w:val="single"/>
        </w:rPr>
      </w:pPr>
      <w:r w:rsidRPr="00F2249F">
        <w:rPr>
          <w:b/>
          <w:u w:val="single"/>
        </w:rPr>
        <w:t>Článok 68 Konvertibilné nástroje</w:t>
      </w:r>
    </w:p>
    <w:p w14:paraId="67A474A0"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pPr>
    </w:p>
    <w:p w14:paraId="2B1B08C0" w14:textId="00393A60" w:rsidR="00EB1051" w:rsidRPr="00F2249F" w:rsidRDefault="00EB1051" w:rsidP="00EB1051">
      <w:pPr>
        <w:pStyle w:val="Pta"/>
        <w:tabs>
          <w:tab w:val="clear" w:pos="4536"/>
          <w:tab w:val="clear" w:pos="9072"/>
        </w:tabs>
        <w:overflowPunct w:val="0"/>
        <w:autoSpaceDE w:val="0"/>
        <w:autoSpaceDN w:val="0"/>
        <w:adjustRightInd w:val="0"/>
        <w:jc w:val="both"/>
        <w:textAlignment w:val="baseline"/>
      </w:pPr>
      <w:r w:rsidRPr="00F2249F">
        <w:t xml:space="preserve">Článok upravuje vymeniteľné a prioritné dlhopisy, opcie a iné konvertibilné nástroje oprávňujúce na nadobudnutie nových akcií. Medzi </w:t>
      </w:r>
      <w:proofErr w:type="spellStart"/>
      <w:r w:rsidRPr="00F2249F">
        <w:t>ne</w:t>
      </w:r>
      <w:proofErr w:type="spellEnd"/>
      <w:r w:rsidRPr="00F2249F">
        <w:t xml:space="preserve"> môže podľa vysvetlenia v preambule (bod 51) patriť i nástroje SAFE a KISS (</w:t>
      </w:r>
      <w:proofErr w:type="spellStart"/>
      <w:r w:rsidRPr="00F2249F">
        <w:t>Simple</w:t>
      </w:r>
      <w:proofErr w:type="spellEnd"/>
      <w:r w:rsidRPr="00F2249F">
        <w:t xml:space="preserve"> </w:t>
      </w:r>
      <w:proofErr w:type="spellStart"/>
      <w:r w:rsidRPr="00F2249F">
        <w:t>Agreement</w:t>
      </w:r>
      <w:proofErr w:type="spellEnd"/>
      <w:r w:rsidRPr="00F2249F">
        <w:t xml:space="preserve"> </w:t>
      </w:r>
      <w:proofErr w:type="spellStart"/>
      <w:r w:rsidRPr="00F2249F">
        <w:t>for</w:t>
      </w:r>
      <w:proofErr w:type="spellEnd"/>
      <w:r w:rsidRPr="00F2249F">
        <w:t xml:space="preserve"> </w:t>
      </w:r>
      <w:proofErr w:type="spellStart"/>
      <w:r w:rsidRPr="00F2249F">
        <w:t>Future</w:t>
      </w:r>
      <w:proofErr w:type="spellEnd"/>
      <w:r w:rsidRPr="00F2249F">
        <w:t xml:space="preserve"> </w:t>
      </w:r>
      <w:proofErr w:type="spellStart"/>
      <w:r w:rsidRPr="00F2249F">
        <w:t>Equity</w:t>
      </w:r>
      <w:proofErr w:type="spellEnd"/>
      <w:r w:rsidRPr="00F2249F">
        <w:t xml:space="preserve"> a </w:t>
      </w:r>
      <w:proofErr w:type="spellStart"/>
      <w:r w:rsidRPr="00F2249F">
        <w:t>Keep</w:t>
      </w:r>
      <w:proofErr w:type="spellEnd"/>
      <w:r w:rsidRPr="00F2249F">
        <w:t xml:space="preserve"> </w:t>
      </w:r>
      <w:proofErr w:type="spellStart"/>
      <w:r w:rsidRPr="00F2249F">
        <w:t>It</w:t>
      </w:r>
      <w:proofErr w:type="spellEnd"/>
      <w:r w:rsidRPr="00F2249F">
        <w:t xml:space="preserve"> </w:t>
      </w:r>
      <w:proofErr w:type="spellStart"/>
      <w:r w:rsidRPr="00F2249F">
        <w:t>Simple</w:t>
      </w:r>
      <w:proofErr w:type="spellEnd"/>
      <w:r w:rsidRPr="00F2249F">
        <w:t xml:space="preserve"> </w:t>
      </w:r>
      <w:proofErr w:type="spellStart"/>
      <w:r w:rsidRPr="00F2249F">
        <w:t>Security</w:t>
      </w:r>
      <w:proofErr w:type="spellEnd"/>
      <w:r w:rsidRPr="00F2249F">
        <w:t xml:space="preserve">), ako aj zamestnanecké opcie podľa kapitoly 8. O ich emisii opäť rozhoduje valné zhromaždenie, ale rovnako ako v predchádzajúcom článku môže stanovy splnomocniť </w:t>
      </w:r>
      <w:r w:rsidR="0038241A" w:rsidRPr="00F2249F">
        <w:t xml:space="preserve">správnu radu </w:t>
      </w:r>
      <w:r w:rsidRPr="00F2249F">
        <w:t xml:space="preserve">alebo iný orgán na ich vydanie do určeného limitu vrátane možnosti obmedziť prednostné právo na upisovanie akcií. Vydanie nových akcií už zabezpečuje </w:t>
      </w:r>
      <w:r w:rsidR="0038241A" w:rsidRPr="00F2249F">
        <w:t>Správna rada</w:t>
      </w:r>
      <w:r w:rsidRPr="00F2249F">
        <w:t xml:space="preserve">. </w:t>
      </w:r>
    </w:p>
    <w:p w14:paraId="472B736F"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pPr>
      <w:r w:rsidRPr="00F2249F">
        <w:t xml:space="preserve">Návrh vyslovene stanovuje, že výmena pohľadávok za akcie prostredníctvom konvertibilného nástroja sa považuje za peňažné protiplnenie (podľa čl. 64 návrhu), čo znamená, že na výmenu pohľadávky za podiel na spoločnosti sa nevzťahujú požiadavky znaleckého posudku o hodnote. Pri akciách s nominálnou hodnotou sa rozdiel medzi nominálnou hodnotou a nižšou cenou konvertibilného nástroja môže uhradiť z disponibilných distribuovateľných zdrojov spoločnosti (za podmienky splnenia testu solventnosti). </w:t>
      </w:r>
    </w:p>
    <w:p w14:paraId="2DC973B7"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pPr>
    </w:p>
    <w:p w14:paraId="0BB20E1C" w14:textId="77777777" w:rsidR="00D64434" w:rsidRPr="00F2249F" w:rsidRDefault="00EB1051" w:rsidP="00D64434">
      <w:pPr>
        <w:pStyle w:val="Pta"/>
        <w:tabs>
          <w:tab w:val="clear" w:pos="4536"/>
          <w:tab w:val="clear" w:pos="9072"/>
        </w:tabs>
        <w:overflowPunct w:val="0"/>
        <w:autoSpaceDE w:val="0"/>
        <w:autoSpaceDN w:val="0"/>
        <w:adjustRightInd w:val="0"/>
        <w:jc w:val="both"/>
        <w:textAlignment w:val="baseline"/>
        <w:rPr>
          <w:i/>
        </w:rPr>
      </w:pPr>
      <w:r w:rsidRPr="00F2249F">
        <w:rPr>
          <w:b/>
          <w:u w:val="single"/>
        </w:rPr>
        <w:t>Pozícia SR</w:t>
      </w:r>
      <w:r w:rsidRPr="00F2249F">
        <w:rPr>
          <w:b/>
        </w:rPr>
        <w:t>:</w:t>
      </w:r>
      <w:r w:rsidRPr="00F2249F">
        <w:t xml:space="preserve"> </w:t>
      </w:r>
      <w:r w:rsidR="00D64434" w:rsidRPr="00F2249F">
        <w:rPr>
          <w:i/>
        </w:rPr>
        <w:t>V slovenskom práve sa obdobná úprava nenachádza. Najbližším inštitútom sú  vymeniteľné a prioritné dlhopisy podľa § 160 ObZ, ich právna úprava je však podstatne užšia a menej flexibilná ako článok 68 návrhu.</w:t>
      </w:r>
    </w:p>
    <w:p w14:paraId="48D40191" w14:textId="77777777" w:rsidR="00D64434" w:rsidRPr="00F2249F" w:rsidRDefault="00D64434" w:rsidP="00D64434">
      <w:pPr>
        <w:pStyle w:val="Pta"/>
        <w:tabs>
          <w:tab w:val="clear" w:pos="4536"/>
          <w:tab w:val="clear" w:pos="9072"/>
        </w:tabs>
        <w:overflowPunct w:val="0"/>
        <w:autoSpaceDE w:val="0"/>
        <w:autoSpaceDN w:val="0"/>
        <w:adjustRightInd w:val="0"/>
        <w:jc w:val="both"/>
        <w:textAlignment w:val="baseline"/>
        <w:rPr>
          <w:i/>
        </w:rPr>
      </w:pPr>
      <w:r w:rsidRPr="00F2249F">
        <w:rPr>
          <w:i/>
        </w:rPr>
        <w:t xml:space="preserve">Pri vymeniteľných dlhopisoch musí už pri ich vydaní určený alebo určiteľný rozsah práv na upísanie akcií, pričom súčasne musí valné zhromaždenie rozhodnúť aj o podmienenom zvýšení základného imania. Naopak nástroje SAFE A KISS sú založené na tom, že podmienky budúcej konverzie sa určujú až pri vzniku vopred definovanej udalosti, spravidla ďalšieho investičného kola. Počet nadobudnutých akcií a ich cena preto často nie sú známe v čase poskytnutia investície, ale závisia od budúceho ocenenia spoločnosti. </w:t>
      </w:r>
    </w:p>
    <w:p w14:paraId="084CF6C3" w14:textId="77777777" w:rsidR="00D64434" w:rsidRPr="00F2249F" w:rsidRDefault="00D64434" w:rsidP="00D64434">
      <w:pPr>
        <w:pStyle w:val="Pta"/>
        <w:tabs>
          <w:tab w:val="clear" w:pos="4536"/>
          <w:tab w:val="clear" w:pos="9072"/>
        </w:tabs>
        <w:overflowPunct w:val="0"/>
        <w:autoSpaceDE w:val="0"/>
        <w:autoSpaceDN w:val="0"/>
        <w:adjustRightInd w:val="0"/>
        <w:jc w:val="both"/>
        <w:textAlignment w:val="baseline"/>
        <w:rPr>
          <w:i/>
        </w:rPr>
      </w:pPr>
      <w:r w:rsidRPr="00F2249F">
        <w:rPr>
          <w:i/>
        </w:rPr>
        <w:t xml:space="preserve">Pre tieto nástroje je zároveň typické používanie mechanizmov ako je zľava z ceny akcií alebo tzv. </w:t>
      </w:r>
      <w:proofErr w:type="spellStart"/>
      <w:r w:rsidRPr="00F2249F">
        <w:rPr>
          <w:i/>
        </w:rPr>
        <w:t>valuation</w:t>
      </w:r>
      <w:proofErr w:type="spellEnd"/>
      <w:r w:rsidRPr="00F2249F">
        <w:rPr>
          <w:i/>
        </w:rPr>
        <w:t xml:space="preserve"> cap (strop ocenenia spoločnosti), na základe ktorého sa konverzia uskutoční podľa vopred určeného maximálneho ocenenia spoločnosti, aj keď skutočná hodnota spoločnosti v čase konverzie dosiahne vyššiu úroveň. </w:t>
      </w:r>
    </w:p>
    <w:p w14:paraId="246911F8"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rPr>
          <w:i/>
        </w:rPr>
      </w:pPr>
      <w:r w:rsidRPr="00F2249F">
        <w:rPr>
          <w:i/>
        </w:rPr>
        <w:t>Slovenská republika nemá k zneniu ustanovenia výhrady.</w:t>
      </w:r>
    </w:p>
    <w:p w14:paraId="6DE30C71"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pPr>
    </w:p>
    <w:p w14:paraId="3A61317A"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rPr>
          <w:u w:val="single"/>
        </w:rPr>
      </w:pPr>
      <w:r w:rsidRPr="00F2249F">
        <w:rPr>
          <w:b/>
          <w:u w:val="single"/>
        </w:rPr>
        <w:t>Článok 69 Prednostné právo na upísanie akcií</w:t>
      </w:r>
      <w:r w:rsidRPr="00F2249F">
        <w:rPr>
          <w:u w:val="single"/>
        </w:rPr>
        <w:t xml:space="preserve"> </w:t>
      </w:r>
    </w:p>
    <w:p w14:paraId="3DB3FAD9"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pPr>
    </w:p>
    <w:p w14:paraId="3CAB3564" w14:textId="4F38E8A0" w:rsidR="00EB1051" w:rsidRPr="00F2249F" w:rsidRDefault="00EB1051" w:rsidP="00EB1051">
      <w:pPr>
        <w:pStyle w:val="Pta"/>
        <w:tabs>
          <w:tab w:val="clear" w:pos="4536"/>
          <w:tab w:val="clear" w:pos="9072"/>
        </w:tabs>
        <w:overflowPunct w:val="0"/>
        <w:autoSpaceDE w:val="0"/>
        <w:autoSpaceDN w:val="0"/>
        <w:adjustRightInd w:val="0"/>
        <w:jc w:val="both"/>
        <w:textAlignment w:val="baseline"/>
      </w:pPr>
      <w:r w:rsidRPr="00F2249F">
        <w:t>Ustanovenie upravuje prednostné právo existujúcich akcionárov pri vydávaní nových akcií a konvertibilných nástrojov. Základným pravidlom je povinnosť prednostne ponúknuť nové akcie alebo nástroje existujúcim akcionárom pomerne podľa ich podielu. Akcionári však nemajú prednostné právo na nové akcie, ktoré majú uspokojiť záväzky z existujúcich konvertibilných nástrojov. Právo je potrebné uplatniť do 14 dní. Valné zhromaždenie (alebo ním splnomocnen</w:t>
      </w:r>
      <w:r w:rsidR="0038241A" w:rsidRPr="00F2249F">
        <w:t>á správna rada</w:t>
      </w:r>
      <w:r w:rsidRPr="00F2249F">
        <w:t xml:space="preserve">) môže pri konkrétnej emisii prednostné právo obmedziť, či vylúčiť. </w:t>
      </w:r>
    </w:p>
    <w:p w14:paraId="2AD4CF09"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rPr>
          <w:b/>
          <w:u w:val="single"/>
        </w:rPr>
      </w:pPr>
    </w:p>
    <w:p w14:paraId="57D0C203" w14:textId="77777777" w:rsidR="00D64434" w:rsidRPr="00F2249F" w:rsidRDefault="00EB1051" w:rsidP="00D64434">
      <w:pPr>
        <w:pStyle w:val="Pta"/>
        <w:tabs>
          <w:tab w:val="clear" w:pos="4536"/>
          <w:tab w:val="clear" w:pos="9072"/>
        </w:tabs>
        <w:overflowPunct w:val="0"/>
        <w:autoSpaceDE w:val="0"/>
        <w:autoSpaceDN w:val="0"/>
        <w:adjustRightInd w:val="0"/>
        <w:jc w:val="both"/>
        <w:textAlignment w:val="baseline"/>
      </w:pPr>
      <w:r w:rsidRPr="00F2249F">
        <w:rPr>
          <w:b/>
          <w:u w:val="single"/>
        </w:rPr>
        <w:t>Pozícia SR</w:t>
      </w:r>
      <w:r w:rsidRPr="00F2249F">
        <w:rPr>
          <w:b/>
        </w:rPr>
        <w:t>:</w:t>
      </w:r>
      <w:r w:rsidRPr="00F2249F">
        <w:rPr>
          <w:i/>
        </w:rPr>
        <w:t xml:space="preserve"> </w:t>
      </w:r>
      <w:r w:rsidR="00D64434" w:rsidRPr="00F2249F">
        <w:rPr>
          <w:i/>
        </w:rPr>
        <w:t>Slovenské právo upravuje prednostné právo na upisovanie akcií v § 204a ObZ, pričom úprava je detailnejšia ako návrh. Úprava je i prísnejšia, pretože návrh umožňuje širšiu delegáciu právomoci na predstavenstvo a kratšiu a jednotnú lehotu na výkon práva.</w:t>
      </w:r>
      <w:r w:rsidR="00D64434" w:rsidRPr="00F2249F">
        <w:t xml:space="preserve"> </w:t>
      </w:r>
    </w:p>
    <w:p w14:paraId="41174BBC" w14:textId="717932B6" w:rsidR="00EB1051" w:rsidRDefault="00EB1051" w:rsidP="00EB1051">
      <w:pPr>
        <w:pStyle w:val="Pta"/>
        <w:tabs>
          <w:tab w:val="clear" w:pos="4536"/>
          <w:tab w:val="clear" w:pos="9072"/>
        </w:tabs>
        <w:overflowPunct w:val="0"/>
        <w:autoSpaceDE w:val="0"/>
        <w:autoSpaceDN w:val="0"/>
        <w:adjustRightInd w:val="0"/>
        <w:jc w:val="both"/>
        <w:textAlignment w:val="baseline"/>
        <w:rPr>
          <w:i/>
        </w:rPr>
      </w:pPr>
      <w:r w:rsidRPr="00F2249F">
        <w:rPr>
          <w:i/>
        </w:rPr>
        <w:t>Slovenská republika nemá k zneniu ustanovenia výhrady.</w:t>
      </w:r>
    </w:p>
    <w:p w14:paraId="519B5D49" w14:textId="5056AC62" w:rsidR="000A1088" w:rsidRDefault="000A1088" w:rsidP="00EB1051">
      <w:pPr>
        <w:pStyle w:val="Pta"/>
        <w:tabs>
          <w:tab w:val="clear" w:pos="4536"/>
          <w:tab w:val="clear" w:pos="9072"/>
        </w:tabs>
        <w:overflowPunct w:val="0"/>
        <w:autoSpaceDE w:val="0"/>
        <w:autoSpaceDN w:val="0"/>
        <w:adjustRightInd w:val="0"/>
        <w:jc w:val="both"/>
        <w:textAlignment w:val="baseline"/>
        <w:rPr>
          <w:i/>
        </w:rPr>
      </w:pPr>
    </w:p>
    <w:p w14:paraId="282016E7" w14:textId="721B5396" w:rsidR="000A1088" w:rsidRDefault="000A1088" w:rsidP="00EB1051">
      <w:pPr>
        <w:pStyle w:val="Pta"/>
        <w:tabs>
          <w:tab w:val="clear" w:pos="4536"/>
          <w:tab w:val="clear" w:pos="9072"/>
        </w:tabs>
        <w:overflowPunct w:val="0"/>
        <w:autoSpaceDE w:val="0"/>
        <w:autoSpaceDN w:val="0"/>
        <w:adjustRightInd w:val="0"/>
        <w:jc w:val="both"/>
        <w:textAlignment w:val="baseline"/>
        <w:rPr>
          <w:i/>
        </w:rPr>
      </w:pPr>
    </w:p>
    <w:p w14:paraId="1D62A020" w14:textId="77777777" w:rsidR="000A1088" w:rsidRPr="00F2249F" w:rsidRDefault="000A1088" w:rsidP="00EB1051">
      <w:pPr>
        <w:pStyle w:val="Pta"/>
        <w:tabs>
          <w:tab w:val="clear" w:pos="4536"/>
          <w:tab w:val="clear" w:pos="9072"/>
        </w:tabs>
        <w:overflowPunct w:val="0"/>
        <w:autoSpaceDE w:val="0"/>
        <w:autoSpaceDN w:val="0"/>
        <w:adjustRightInd w:val="0"/>
        <w:jc w:val="both"/>
        <w:textAlignment w:val="baseline"/>
        <w:rPr>
          <w:i/>
        </w:rPr>
      </w:pPr>
    </w:p>
    <w:p w14:paraId="35C13F5E"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pPr>
    </w:p>
    <w:p w14:paraId="51A8CB58"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rPr>
          <w:u w:val="single"/>
        </w:rPr>
      </w:pPr>
      <w:r w:rsidRPr="00F2249F">
        <w:rPr>
          <w:b/>
          <w:u w:val="single"/>
        </w:rPr>
        <w:lastRenderedPageBreak/>
        <w:t>Článok 70 Zvýšenie základného imania</w:t>
      </w:r>
      <w:r w:rsidRPr="00F2249F">
        <w:rPr>
          <w:u w:val="single"/>
        </w:rPr>
        <w:t xml:space="preserve"> </w:t>
      </w:r>
    </w:p>
    <w:p w14:paraId="538DD2C6"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pPr>
    </w:p>
    <w:p w14:paraId="02DBCDAD"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pPr>
      <w:r w:rsidRPr="00F2249F">
        <w:t xml:space="preserve">Ustanovenie upravuje možné spôsoby zvýšenia základného imania spoločnosti a to vydaním nových akcií za protiplnenie vo forme vkladu do základného imania alebo premenou rezervných fondov na základné imanie. Ustanovuje sa moment účinnosti zvýšenia, ktorým je zverejnenie v obchodnom registri. </w:t>
      </w:r>
    </w:p>
    <w:p w14:paraId="2A168A9D" w14:textId="77777777" w:rsidR="00EB1051" w:rsidRPr="00F2249F" w:rsidRDefault="00EB1051" w:rsidP="00EB1051">
      <w:pPr>
        <w:pStyle w:val="Pta"/>
        <w:rPr>
          <w:b/>
          <w:u w:val="single"/>
        </w:rPr>
      </w:pPr>
    </w:p>
    <w:p w14:paraId="790FE4FF" w14:textId="1B3AFB39" w:rsidR="00D64434" w:rsidRPr="00F2249F" w:rsidRDefault="00EB1051" w:rsidP="00D64434">
      <w:pPr>
        <w:pStyle w:val="Pta"/>
        <w:tabs>
          <w:tab w:val="clear" w:pos="4536"/>
          <w:tab w:val="clear" w:pos="9072"/>
        </w:tabs>
        <w:overflowPunct w:val="0"/>
        <w:autoSpaceDE w:val="0"/>
        <w:autoSpaceDN w:val="0"/>
        <w:adjustRightInd w:val="0"/>
        <w:jc w:val="both"/>
        <w:textAlignment w:val="baseline"/>
      </w:pPr>
      <w:r w:rsidRPr="00F2249F">
        <w:rPr>
          <w:b/>
          <w:u w:val="single"/>
        </w:rPr>
        <w:t>Pozícia SR</w:t>
      </w:r>
      <w:r w:rsidRPr="00F2249F">
        <w:rPr>
          <w:b/>
        </w:rPr>
        <w:t>:</w:t>
      </w:r>
      <w:r w:rsidRPr="00F2249F">
        <w:t xml:space="preserve"> </w:t>
      </w:r>
      <w:r w:rsidR="00D64434" w:rsidRPr="00F2249F">
        <w:rPr>
          <w:i/>
        </w:rPr>
        <w:t>Slovenská úprava zvýšenia základného imania sa nachádza v § 202-210 ObZ. Aj slovenské právo pozná zvýšenie základného imania upisovaním nových akcií alebo z vlastných zdrojov spoločnosti (§ 208 ObZ). Účinky zvýšenia nastávajú odo dňa jeho zápisu do obchodného registra (§ 202 ods. 4 ObZ)</w:t>
      </w:r>
      <w:r w:rsidR="003A23B7" w:rsidRPr="00F2249F">
        <w:rPr>
          <w:i/>
        </w:rPr>
        <w:t>.</w:t>
      </w:r>
      <w:r w:rsidR="00D64434" w:rsidRPr="00F2249F">
        <w:t xml:space="preserve"> </w:t>
      </w:r>
    </w:p>
    <w:p w14:paraId="3DD083C6" w14:textId="77777777" w:rsidR="00EB1051" w:rsidRPr="00F2249F" w:rsidRDefault="00EB1051" w:rsidP="00EB1051">
      <w:pPr>
        <w:pStyle w:val="Pta"/>
        <w:rPr>
          <w:i/>
        </w:rPr>
      </w:pPr>
      <w:r w:rsidRPr="00F2249F">
        <w:rPr>
          <w:i/>
        </w:rPr>
        <w:t>Slovenská republika nemá k zneniu ustanovenia výhrady.</w:t>
      </w:r>
    </w:p>
    <w:p w14:paraId="035C1B80"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pPr>
    </w:p>
    <w:p w14:paraId="7F97A56F"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pPr>
      <w:r w:rsidRPr="00F2249F">
        <w:rPr>
          <w:b/>
          <w:u w:val="single"/>
        </w:rPr>
        <w:t>Článok 71 Zvýšenie z kapitálových rezerv</w:t>
      </w:r>
      <w:r w:rsidRPr="00F2249F">
        <w:t xml:space="preserve"> </w:t>
      </w:r>
    </w:p>
    <w:p w14:paraId="77B28C68"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pPr>
    </w:p>
    <w:p w14:paraId="17C16001" w14:textId="3C0329C9" w:rsidR="00EB1051" w:rsidRPr="00F2249F" w:rsidRDefault="00EB1051" w:rsidP="00EB1051">
      <w:pPr>
        <w:pStyle w:val="Pta"/>
        <w:tabs>
          <w:tab w:val="clear" w:pos="4536"/>
          <w:tab w:val="clear" w:pos="9072"/>
        </w:tabs>
        <w:overflowPunct w:val="0"/>
        <w:autoSpaceDE w:val="0"/>
        <w:autoSpaceDN w:val="0"/>
        <w:adjustRightInd w:val="0"/>
        <w:jc w:val="both"/>
        <w:textAlignment w:val="baseline"/>
      </w:pPr>
      <w:r w:rsidRPr="00F2249F">
        <w:t xml:space="preserve">Článok upravuje podmienky zvýšenia základného imania z kapitálových rezerv. V zásade o zvýšení rozhoduje valné zhromaždenie, stanovy však môžu delegovať rozhodnutie na </w:t>
      </w:r>
      <w:r w:rsidR="0038241A" w:rsidRPr="00F2249F">
        <w:t xml:space="preserve">správnu radu </w:t>
      </w:r>
      <w:r w:rsidRPr="00F2249F">
        <w:t xml:space="preserve">alebo iný orgán. Rozhodnutie musí určiť výšku zvýšenia a rezervy, ktoré sa použijú. Rezervy určené na osobitné použitie sa na zvýšenie nesmú použiť. </w:t>
      </w:r>
      <w:r w:rsidR="0038241A" w:rsidRPr="00F2249F">
        <w:t xml:space="preserve">Správna rada </w:t>
      </w:r>
      <w:r w:rsidRPr="00F2249F">
        <w:t xml:space="preserve">musí aktualizovať výšku základného imania a nominálnu hodnotu akcií v stanovách. </w:t>
      </w:r>
    </w:p>
    <w:p w14:paraId="62E1B1D8" w14:textId="77777777" w:rsidR="00EB1051" w:rsidRPr="00F2249F" w:rsidRDefault="00EB1051" w:rsidP="00EB1051">
      <w:pPr>
        <w:pStyle w:val="Pta"/>
        <w:rPr>
          <w:b/>
          <w:u w:val="single"/>
        </w:rPr>
      </w:pPr>
    </w:p>
    <w:p w14:paraId="057725FA" w14:textId="77777777" w:rsidR="00D64434" w:rsidRPr="00F2249F" w:rsidRDefault="00EB1051" w:rsidP="00D64434">
      <w:pPr>
        <w:pStyle w:val="Pta"/>
        <w:tabs>
          <w:tab w:val="clear" w:pos="4536"/>
          <w:tab w:val="clear" w:pos="9072"/>
        </w:tabs>
        <w:overflowPunct w:val="0"/>
        <w:autoSpaceDE w:val="0"/>
        <w:autoSpaceDN w:val="0"/>
        <w:adjustRightInd w:val="0"/>
        <w:jc w:val="both"/>
        <w:textAlignment w:val="baseline"/>
      </w:pPr>
      <w:r w:rsidRPr="00F2249F">
        <w:rPr>
          <w:b/>
          <w:u w:val="single"/>
        </w:rPr>
        <w:t>Pozícia SR</w:t>
      </w:r>
      <w:r w:rsidRPr="00F2249F">
        <w:rPr>
          <w:b/>
        </w:rPr>
        <w:t>:</w:t>
      </w:r>
      <w:r w:rsidRPr="00F2249F">
        <w:t xml:space="preserve"> </w:t>
      </w:r>
      <w:r w:rsidR="00D64434" w:rsidRPr="00F2249F">
        <w:rPr>
          <w:i/>
        </w:rPr>
        <w:t>V slovenskom práve sa obdobná úprava nachádza v § 208 ObZ (zvýšenie základného imania z majetku spoločnosti), pričom o zvýšení rozhoduje valné zhromaždenie. Slovenská úprava však vyžaduje formálnejší a podrobnejší proces vrátane schválenej individuálnej závierky s </w:t>
      </w:r>
      <w:proofErr w:type="spellStart"/>
      <w:r w:rsidR="00D64434" w:rsidRPr="00F2249F">
        <w:rPr>
          <w:i/>
        </w:rPr>
        <w:t>mandatórne</w:t>
      </w:r>
      <w:proofErr w:type="spellEnd"/>
      <w:r w:rsidR="00D64434" w:rsidRPr="00F2249F">
        <w:rPr>
          <w:i/>
        </w:rPr>
        <w:t xml:space="preserve"> predpísaným obsahom.</w:t>
      </w:r>
      <w:r w:rsidR="00D64434" w:rsidRPr="00F2249F">
        <w:t xml:space="preserve"> </w:t>
      </w:r>
    </w:p>
    <w:p w14:paraId="07708EE7" w14:textId="77777777" w:rsidR="00EB1051" w:rsidRPr="00F2249F" w:rsidRDefault="00EB1051" w:rsidP="00EB1051">
      <w:pPr>
        <w:pStyle w:val="Pta"/>
        <w:rPr>
          <w:i/>
        </w:rPr>
      </w:pPr>
      <w:r w:rsidRPr="00F2249F">
        <w:rPr>
          <w:i/>
        </w:rPr>
        <w:t>Slovenská republika nemá k zneniu ustanovenia výhrady.</w:t>
      </w:r>
    </w:p>
    <w:p w14:paraId="0426E8D2"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pPr>
    </w:p>
    <w:p w14:paraId="63BE7CE7"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rPr>
          <w:u w:val="single"/>
        </w:rPr>
      </w:pPr>
      <w:r w:rsidRPr="00F2249F">
        <w:rPr>
          <w:b/>
          <w:u w:val="single"/>
        </w:rPr>
        <w:t>Článok 72  Rozdeľovanie (zisku)</w:t>
      </w:r>
      <w:r w:rsidRPr="00F2249F">
        <w:rPr>
          <w:u w:val="single"/>
        </w:rPr>
        <w:t xml:space="preserve"> </w:t>
      </w:r>
    </w:p>
    <w:p w14:paraId="1DCAA81A"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pPr>
    </w:p>
    <w:p w14:paraId="029F9C6E" w14:textId="494FDDDB" w:rsidR="00EB1051" w:rsidRPr="00F2249F" w:rsidRDefault="00EB1051" w:rsidP="00EB1051">
      <w:pPr>
        <w:pStyle w:val="Pta"/>
        <w:tabs>
          <w:tab w:val="clear" w:pos="4536"/>
          <w:tab w:val="clear" w:pos="9072"/>
        </w:tabs>
        <w:overflowPunct w:val="0"/>
        <w:autoSpaceDE w:val="0"/>
        <w:autoSpaceDN w:val="0"/>
        <w:adjustRightInd w:val="0"/>
        <w:jc w:val="both"/>
        <w:textAlignment w:val="baseline"/>
      </w:pPr>
      <w:r w:rsidRPr="00F2249F">
        <w:t xml:space="preserve">Článok upravuje pravidlá rozdeľovania zisku v spoločnosti EÚ </w:t>
      </w:r>
      <w:proofErr w:type="spellStart"/>
      <w:r w:rsidRPr="00F2249F">
        <w:t>Inc</w:t>
      </w:r>
      <w:proofErr w:type="spellEnd"/>
      <w:r w:rsidRPr="00F2249F">
        <w:t xml:space="preserve">. Rozdelenie zisku sa vníma v širšom zmysle, ako akékoľvek vyplatenie prostriedkov zo spoločnosti. Rozhodnutie o rozdelení prijíma valné zhromaždenie, stanovy však môžu rozhodnutie preniesť na </w:t>
      </w:r>
      <w:r w:rsidR="0038241A" w:rsidRPr="00F2249F">
        <w:t xml:space="preserve">správnu radu </w:t>
      </w:r>
      <w:r w:rsidRPr="00F2249F">
        <w:t xml:space="preserve">alebo iný orgán. Každé rozdelenie je však podmienené dvojvrstvovým testom solventnosti – všetci členovia </w:t>
      </w:r>
      <w:r w:rsidR="0038241A" w:rsidRPr="00F2249F">
        <w:t xml:space="preserve">správnej rady </w:t>
      </w:r>
      <w:r w:rsidRPr="00F2249F">
        <w:t xml:space="preserve">musia na základe účtovných a ostatných dokumentov vydať vyhlásenie, že spoločnosť nie je v predĺžení a že sa v budúcich 12 mesiacoch nestane platobne neschopnou. Porušenie pravidiel spôsobuje spoločnú a nerozdielnu zodpovednosť členov </w:t>
      </w:r>
      <w:r w:rsidR="007F64D1" w:rsidRPr="00F2249F">
        <w:t xml:space="preserve">správnej rady </w:t>
      </w:r>
      <w:r w:rsidRPr="00F2249F">
        <w:t xml:space="preserve">za škodu spôsobenú rozdelením. Zároveň vzniká akcionárom povinnosť vrátiť prijaté plnenia v rozsahu veriteľských záväzkov. </w:t>
      </w:r>
    </w:p>
    <w:p w14:paraId="05A50B0D" w14:textId="77777777" w:rsidR="00EB1051" w:rsidRPr="00F2249F" w:rsidRDefault="00EB1051" w:rsidP="00EB1051">
      <w:pPr>
        <w:pStyle w:val="Pta"/>
        <w:jc w:val="both"/>
        <w:rPr>
          <w:b/>
          <w:u w:val="single"/>
        </w:rPr>
      </w:pPr>
    </w:p>
    <w:p w14:paraId="2271A704" w14:textId="6FEC6002" w:rsidR="00D64434" w:rsidRPr="00F2249F" w:rsidRDefault="00EB1051" w:rsidP="00D64434">
      <w:pPr>
        <w:pStyle w:val="Pta"/>
        <w:tabs>
          <w:tab w:val="clear" w:pos="4536"/>
          <w:tab w:val="clear" w:pos="9072"/>
        </w:tabs>
        <w:overflowPunct w:val="0"/>
        <w:autoSpaceDE w:val="0"/>
        <w:autoSpaceDN w:val="0"/>
        <w:adjustRightInd w:val="0"/>
        <w:jc w:val="both"/>
        <w:textAlignment w:val="baseline"/>
        <w:rPr>
          <w:i/>
        </w:rPr>
      </w:pPr>
      <w:r w:rsidRPr="00F2249F">
        <w:rPr>
          <w:b/>
          <w:u w:val="single"/>
        </w:rPr>
        <w:t>Pozícia SR</w:t>
      </w:r>
      <w:r w:rsidRPr="00F2249F">
        <w:rPr>
          <w:b/>
        </w:rPr>
        <w:t>:</w:t>
      </w:r>
      <w:r w:rsidRPr="00F2249F">
        <w:t xml:space="preserve"> </w:t>
      </w:r>
      <w:r w:rsidR="00D64434" w:rsidRPr="00F2249F">
        <w:rPr>
          <w:i/>
        </w:rPr>
        <w:t xml:space="preserve">Slovenské právo upravuje rozdelenie zisku a iných vlastných zdrojov v akciovej spoločnosti najmä v § 178 a 179 ObZ. Slovenská úprava rovnako ako návrh vychádza z princípu ochrany veriteľov a rovnako viaže výplatu zisku na </w:t>
      </w:r>
      <w:r w:rsidR="007F64D1" w:rsidRPr="00F2249F">
        <w:rPr>
          <w:i/>
        </w:rPr>
        <w:t>test čistých prebytkov a test solventnosti</w:t>
      </w:r>
      <w:r w:rsidR="00D64434" w:rsidRPr="00F2249F">
        <w:rPr>
          <w:i/>
        </w:rPr>
        <w:t xml:space="preserve">. Test je však v návrhu nariadenia formulovaný prísnejšie, zahŕňa i platobnú schopnosť </w:t>
      </w:r>
      <w:proofErr w:type="spellStart"/>
      <w:r w:rsidR="00D64434" w:rsidRPr="00F2249F">
        <w:rPr>
          <w:i/>
        </w:rPr>
        <w:t>predikovanú</w:t>
      </w:r>
      <w:proofErr w:type="spellEnd"/>
      <w:r w:rsidR="00D64434" w:rsidRPr="00F2249F">
        <w:rPr>
          <w:i/>
        </w:rPr>
        <w:t xml:space="preserve"> na najbližších 12 mesiacov, zatiaľ čo slovenské právo hovorí o historicko-účtovnom teste. Návrh sa tak blíži skôr slovenským ustanoveniam o spoločnosti v kríze. </w:t>
      </w:r>
    </w:p>
    <w:p w14:paraId="7D20F83A" w14:textId="77777777" w:rsidR="00D64434" w:rsidRPr="00F2249F" w:rsidRDefault="00D64434" w:rsidP="00D64434">
      <w:pPr>
        <w:pStyle w:val="Pta"/>
        <w:tabs>
          <w:tab w:val="clear" w:pos="4536"/>
          <w:tab w:val="clear" w:pos="9072"/>
        </w:tabs>
        <w:overflowPunct w:val="0"/>
        <w:autoSpaceDE w:val="0"/>
        <w:autoSpaceDN w:val="0"/>
        <w:adjustRightInd w:val="0"/>
        <w:jc w:val="both"/>
        <w:textAlignment w:val="baseline"/>
        <w:rPr>
          <w:i/>
        </w:rPr>
      </w:pPr>
      <w:r w:rsidRPr="00F2249F">
        <w:rPr>
          <w:i/>
        </w:rPr>
        <w:t>Slovenské právo nemá konštrukciu zodpovednosti členov orgánov formulovanú v súvislosti s výplatou zisku, ale všeobecnejšie v ustanoveniach § 194 ods. 5 a 6 ObZ a § 373 ObZ. Zodpovednosť akcionárov vrátiť neoprávnene vyplatené plnenia je upravená v § 179 ods. 1 a 9, ale prísnejšie ako v návrhu.</w:t>
      </w:r>
    </w:p>
    <w:p w14:paraId="27A5A187" w14:textId="77777777" w:rsidR="00EB1051" w:rsidRPr="00F2249F" w:rsidRDefault="00EB1051" w:rsidP="00EB1051">
      <w:pPr>
        <w:pStyle w:val="Pta"/>
        <w:jc w:val="both"/>
        <w:rPr>
          <w:b/>
          <w:i/>
        </w:rPr>
      </w:pPr>
      <w:r w:rsidRPr="00F2249F">
        <w:rPr>
          <w:i/>
        </w:rPr>
        <w:lastRenderedPageBreak/>
        <w:t xml:space="preserve">Slovenská republika považuje za vhodné zvážiť predovšetkým spresnenie obsahu a metodiky testu solventnosti, najmä s cieľom zabezpečiť jeho jednotný výklad a aplikáciu naprieč EÚ. Samotný odkaz na účtovné a iné dokumenty môže byť v praxi nedostatočný a na účely posúdenia solventnosti je potrebné jednoznačne vymedziť, aké údaje a v akej kvalite budú základom testu, vrátane spôsobu overenia skutočnej existencie a likvidity aktív a reálnej vykonateľnosti záväzkov spoločnosti. Navrhujeme preto spresniť, že test solventnosti by mal zahŕňať nielen formálne účtovné údaje, ale aj </w:t>
      </w:r>
      <w:r w:rsidRPr="00F2249F">
        <w:rPr>
          <w:b/>
          <w:i/>
        </w:rPr>
        <w:t xml:space="preserve">overenie ekonomickej reality týchto údajov. </w:t>
      </w:r>
    </w:p>
    <w:p w14:paraId="18328D8A" w14:textId="77777777" w:rsidR="00EB1051" w:rsidRPr="00F2249F" w:rsidRDefault="00EB1051" w:rsidP="00EB1051">
      <w:pPr>
        <w:pStyle w:val="Pta"/>
        <w:jc w:val="both"/>
        <w:rPr>
          <w:b/>
          <w:i/>
        </w:rPr>
      </w:pPr>
      <w:r w:rsidRPr="00F2249F">
        <w:rPr>
          <w:i/>
        </w:rPr>
        <w:t>SR zastáva názor, že pre správne posúdenie dopadov rozdelenia prostriedkov zo spoločnosti je nevyhnutné vychádzať z ekonomického konceptu vlastného imania ako celku, t. j. rozdielu medzi aktívami a záväzkami spoločnosti, a posúdiť, či po uspokojení všetkých veriteľov a vrátení všetkých poskytnutých plnení spoločníkom zostáva v spoločnosti zvyšková hodnota vlastných zdrojov.</w:t>
      </w:r>
    </w:p>
    <w:p w14:paraId="666CA446" w14:textId="77777777" w:rsidR="00EB1051" w:rsidRPr="00F2249F" w:rsidRDefault="00EB1051" w:rsidP="00EB1051">
      <w:pPr>
        <w:pStyle w:val="Pta"/>
        <w:jc w:val="both"/>
        <w:rPr>
          <w:i/>
        </w:rPr>
      </w:pPr>
      <w:r w:rsidRPr="00F2249F">
        <w:rPr>
          <w:i/>
        </w:rPr>
        <w:t xml:space="preserve">Slovenská republika zároveň poukazuje na úzky vecný súvis medzi čl. 72 a čl. 105 návrhu nariadenia, keďže posúdenie solventnosti a ochrany veriteľov je priamo závislé od kvality, porovnateľnosti a metodiky účtovných údajov. </w:t>
      </w:r>
    </w:p>
    <w:p w14:paraId="70E6F3A8" w14:textId="77777777" w:rsidR="00EB1051" w:rsidRPr="00F2249F" w:rsidRDefault="00EB1051" w:rsidP="00EB1051">
      <w:pPr>
        <w:pStyle w:val="Pta"/>
        <w:jc w:val="both"/>
        <w:rPr>
          <w:i/>
        </w:rPr>
      </w:pPr>
      <w:r w:rsidRPr="00F2249F">
        <w:rPr>
          <w:i/>
        </w:rPr>
        <w:t>Zo znenia čl. 72 ods. 3 napríklad nie je zrejmé, či sa má pojem „</w:t>
      </w:r>
      <w:proofErr w:type="spellStart"/>
      <w:r w:rsidRPr="00F2249F">
        <w:rPr>
          <w:i/>
        </w:rPr>
        <w:t>liabilities</w:t>
      </w:r>
      <w:proofErr w:type="spellEnd"/>
      <w:r w:rsidRPr="00F2249F">
        <w:rPr>
          <w:i/>
        </w:rPr>
        <w:t>“ vykladať široko alebo úzko, najmä či zahŕňa iba záväzky alebo aj rezervy (</w:t>
      </w:r>
      <w:proofErr w:type="spellStart"/>
      <w:r w:rsidRPr="00F2249F">
        <w:rPr>
          <w:i/>
        </w:rPr>
        <w:t>provisions</w:t>
      </w:r>
      <w:proofErr w:type="spellEnd"/>
      <w:r w:rsidRPr="00F2249F">
        <w:rPr>
          <w:i/>
        </w:rPr>
        <w:t>) a účty časového rozlíšenia na strane pasív (</w:t>
      </w:r>
      <w:proofErr w:type="spellStart"/>
      <w:r w:rsidRPr="00F2249F">
        <w:rPr>
          <w:i/>
        </w:rPr>
        <w:t>accruals</w:t>
      </w:r>
      <w:proofErr w:type="spellEnd"/>
      <w:r w:rsidRPr="00F2249F">
        <w:rPr>
          <w:i/>
        </w:rPr>
        <w:t xml:space="preserve"> and </w:t>
      </w:r>
      <w:proofErr w:type="spellStart"/>
      <w:r w:rsidRPr="00F2249F">
        <w:rPr>
          <w:i/>
        </w:rPr>
        <w:t>deferred</w:t>
      </w:r>
      <w:proofErr w:type="spellEnd"/>
      <w:r w:rsidRPr="00F2249F">
        <w:rPr>
          <w:i/>
        </w:rPr>
        <w:t xml:space="preserve"> </w:t>
      </w:r>
      <w:proofErr w:type="spellStart"/>
      <w:r w:rsidRPr="00F2249F">
        <w:rPr>
          <w:i/>
        </w:rPr>
        <w:t>income</w:t>
      </w:r>
      <w:proofErr w:type="spellEnd"/>
      <w:r w:rsidRPr="00F2249F">
        <w:rPr>
          <w:i/>
        </w:rPr>
        <w:t xml:space="preserve">). </w:t>
      </w:r>
    </w:p>
    <w:p w14:paraId="671E7940" w14:textId="77777777" w:rsidR="00EB1051" w:rsidRPr="00F2249F" w:rsidRDefault="00EB1051" w:rsidP="00EB1051">
      <w:pPr>
        <w:pStyle w:val="Pta"/>
        <w:jc w:val="both"/>
        <w:rPr>
          <w:i/>
        </w:rPr>
      </w:pPr>
      <w:r w:rsidRPr="00F2249F">
        <w:rPr>
          <w:i/>
        </w:rPr>
        <w:t xml:space="preserve">Slovenská republika preto navrhuje zvážiť, či by pre EU </w:t>
      </w:r>
      <w:proofErr w:type="spellStart"/>
      <w:r w:rsidRPr="00F2249F">
        <w:rPr>
          <w:i/>
        </w:rPr>
        <w:t>Inc</w:t>
      </w:r>
      <w:proofErr w:type="spellEnd"/>
      <w:r w:rsidRPr="00F2249F">
        <w:rPr>
          <w:i/>
        </w:rPr>
        <w:t>. nebolo vhodné zaviesť aspoň minimálny spoločný účtovný rámec alebo jednotné metodické pravidlá pre účely uplatňovania harmonizovaných ustanovení. Zároveň považujeme za potrebné, aby návrh obsahoval aspoň základné definície pojmov používaných v nariadení, ako sú základné imanie (</w:t>
      </w:r>
      <w:proofErr w:type="spellStart"/>
      <w:r w:rsidRPr="00F2249F">
        <w:rPr>
          <w:i/>
        </w:rPr>
        <w:t>capital</w:t>
      </w:r>
      <w:proofErr w:type="spellEnd"/>
      <w:r w:rsidRPr="00F2249F">
        <w:rPr>
          <w:i/>
        </w:rPr>
        <w:t>), vlastné imanie (</w:t>
      </w:r>
      <w:proofErr w:type="spellStart"/>
      <w:r w:rsidRPr="00F2249F">
        <w:rPr>
          <w:i/>
        </w:rPr>
        <w:t>equity</w:t>
      </w:r>
      <w:proofErr w:type="spellEnd"/>
      <w:r w:rsidRPr="00F2249F">
        <w:rPr>
          <w:i/>
        </w:rPr>
        <w:t>), majetok (</w:t>
      </w:r>
      <w:proofErr w:type="spellStart"/>
      <w:r w:rsidRPr="00F2249F">
        <w:rPr>
          <w:i/>
        </w:rPr>
        <w:t>assets</w:t>
      </w:r>
      <w:proofErr w:type="spellEnd"/>
      <w:r w:rsidRPr="00F2249F">
        <w:rPr>
          <w:i/>
        </w:rPr>
        <w:t>), rezervné fondy (</w:t>
      </w:r>
      <w:proofErr w:type="spellStart"/>
      <w:r w:rsidRPr="00F2249F">
        <w:rPr>
          <w:i/>
        </w:rPr>
        <w:t>reserves</w:t>
      </w:r>
      <w:proofErr w:type="spellEnd"/>
      <w:r w:rsidRPr="00F2249F">
        <w:rPr>
          <w:i/>
        </w:rPr>
        <w:t xml:space="preserve">), </w:t>
      </w:r>
      <w:proofErr w:type="spellStart"/>
      <w:r w:rsidRPr="00F2249F">
        <w:rPr>
          <w:i/>
        </w:rPr>
        <w:t>liabilities</w:t>
      </w:r>
      <w:proofErr w:type="spellEnd"/>
      <w:r w:rsidRPr="00F2249F">
        <w:rPr>
          <w:i/>
        </w:rPr>
        <w:t xml:space="preserve">, prípadne </w:t>
      </w:r>
      <w:proofErr w:type="spellStart"/>
      <w:r w:rsidRPr="00F2249F">
        <w:rPr>
          <w:i/>
        </w:rPr>
        <w:t>the</w:t>
      </w:r>
      <w:proofErr w:type="spellEnd"/>
      <w:r w:rsidRPr="00F2249F">
        <w:rPr>
          <w:i/>
        </w:rPr>
        <w:t xml:space="preserve"> most </w:t>
      </w:r>
      <w:proofErr w:type="spellStart"/>
      <w:r w:rsidRPr="00F2249F">
        <w:rPr>
          <w:i/>
        </w:rPr>
        <w:t>recent</w:t>
      </w:r>
      <w:proofErr w:type="spellEnd"/>
      <w:r w:rsidRPr="00F2249F">
        <w:rPr>
          <w:i/>
        </w:rPr>
        <w:t xml:space="preserve"> </w:t>
      </w:r>
      <w:proofErr w:type="spellStart"/>
      <w:r w:rsidRPr="00F2249F">
        <w:rPr>
          <w:i/>
        </w:rPr>
        <w:t>financial</w:t>
      </w:r>
      <w:proofErr w:type="spellEnd"/>
      <w:r w:rsidRPr="00F2249F">
        <w:rPr>
          <w:i/>
        </w:rPr>
        <w:t xml:space="preserve"> </w:t>
      </w:r>
      <w:proofErr w:type="spellStart"/>
      <w:r w:rsidRPr="00F2249F">
        <w:rPr>
          <w:i/>
        </w:rPr>
        <w:t>statements</w:t>
      </w:r>
      <w:proofErr w:type="spellEnd"/>
      <w:r w:rsidRPr="00F2249F">
        <w:rPr>
          <w:i/>
        </w:rPr>
        <w:t xml:space="preserve"> a obdobné pojmy, pričom tieto definície by mali nadviazať na účtovnícku smernicu tam kde je to možné, a to aj v prípade, že sa táto smernica nebude pre EU </w:t>
      </w:r>
      <w:proofErr w:type="spellStart"/>
      <w:r w:rsidRPr="00F2249F">
        <w:rPr>
          <w:i/>
        </w:rPr>
        <w:t>Inc</w:t>
      </w:r>
      <w:proofErr w:type="spellEnd"/>
      <w:r w:rsidRPr="00F2249F">
        <w:rPr>
          <w:i/>
        </w:rPr>
        <w:t xml:space="preserve">. priamo uplatňovať. </w:t>
      </w:r>
    </w:p>
    <w:p w14:paraId="171E8AF5" w14:textId="77777777" w:rsidR="00EB1051" w:rsidRPr="00F2249F" w:rsidRDefault="00EB1051" w:rsidP="00EB1051">
      <w:pPr>
        <w:pStyle w:val="Pta"/>
        <w:jc w:val="both"/>
        <w:rPr>
          <w:i/>
        </w:rPr>
      </w:pPr>
      <w:r w:rsidRPr="00F2249F">
        <w:rPr>
          <w:i/>
        </w:rPr>
        <w:t xml:space="preserve">Je tiež potrebné vyjasniť </w:t>
      </w:r>
      <w:proofErr w:type="spellStart"/>
      <w:r w:rsidRPr="00F2249F">
        <w:rPr>
          <w:i/>
        </w:rPr>
        <w:t>nekonzistentnosť</w:t>
      </w:r>
      <w:proofErr w:type="spellEnd"/>
      <w:r w:rsidRPr="00F2249F">
        <w:rPr>
          <w:i/>
        </w:rPr>
        <w:t xml:space="preserve"> používaných pojmov pre označenie účtovnej závierky v návrhu (čl. 21/4 </w:t>
      </w:r>
      <w:proofErr w:type="spellStart"/>
      <w:r w:rsidRPr="00F2249F">
        <w:rPr>
          <w:i/>
        </w:rPr>
        <w:t>annual</w:t>
      </w:r>
      <w:proofErr w:type="spellEnd"/>
      <w:r w:rsidRPr="00F2249F">
        <w:rPr>
          <w:i/>
        </w:rPr>
        <w:t xml:space="preserve"> </w:t>
      </w:r>
      <w:proofErr w:type="spellStart"/>
      <w:r w:rsidRPr="00F2249F">
        <w:rPr>
          <w:i/>
        </w:rPr>
        <w:t>accounts</w:t>
      </w:r>
      <w:proofErr w:type="spellEnd"/>
      <w:r w:rsidRPr="00F2249F">
        <w:rPr>
          <w:i/>
        </w:rPr>
        <w:t xml:space="preserve"> a čl. 72/3 </w:t>
      </w:r>
      <w:proofErr w:type="spellStart"/>
      <w:r w:rsidRPr="00F2249F">
        <w:rPr>
          <w:i/>
        </w:rPr>
        <w:t>financial</w:t>
      </w:r>
      <w:proofErr w:type="spellEnd"/>
      <w:r w:rsidRPr="00F2249F">
        <w:rPr>
          <w:i/>
        </w:rPr>
        <w:t xml:space="preserve"> </w:t>
      </w:r>
      <w:proofErr w:type="spellStart"/>
      <w:r w:rsidRPr="00F2249F">
        <w:rPr>
          <w:i/>
        </w:rPr>
        <w:t>statements</w:t>
      </w:r>
      <w:proofErr w:type="spellEnd"/>
      <w:r w:rsidRPr="00F2249F">
        <w:rPr>
          <w:i/>
        </w:rPr>
        <w:t xml:space="preserve">). Najmä je potrebné vyjasniť, či ide o rôzne dokumenty, alebo je len potrebné zjednotiť terminológiu. </w:t>
      </w:r>
    </w:p>
    <w:p w14:paraId="09C59267" w14:textId="2484EFD0" w:rsidR="00EB1051" w:rsidRPr="00F2249F" w:rsidRDefault="00EB1051" w:rsidP="00EB1051">
      <w:pPr>
        <w:pStyle w:val="Pta"/>
        <w:jc w:val="both"/>
        <w:rPr>
          <w:i/>
        </w:rPr>
      </w:pPr>
      <w:r w:rsidRPr="00F2249F">
        <w:rPr>
          <w:i/>
        </w:rPr>
        <w:t xml:space="preserve">Slovenská republika tiež považuje za vhodné zvážiť doplnenie podrobnejšej úpravy povinností členov </w:t>
      </w:r>
      <w:r w:rsidR="007F64D1" w:rsidRPr="00F2249F">
        <w:rPr>
          <w:i/>
        </w:rPr>
        <w:t xml:space="preserve">správnej rady </w:t>
      </w:r>
      <w:r w:rsidRPr="00F2249F">
        <w:rPr>
          <w:i/>
        </w:rPr>
        <w:t xml:space="preserve">pri vykonávaní testu uvedeného v tomto ustanovení, najmä pokiaľ ide o rozsah informácií a podkladov, z ktorých môžu členovia </w:t>
      </w:r>
      <w:r w:rsidR="007F64D1" w:rsidRPr="00F2249F">
        <w:rPr>
          <w:i/>
        </w:rPr>
        <w:t xml:space="preserve">správnej rady </w:t>
      </w:r>
      <w:r w:rsidRPr="00F2249F">
        <w:rPr>
          <w:i/>
        </w:rPr>
        <w:t xml:space="preserve">vychádzať, možnosť spoliehania sa na odborné stanoviská a finančné údaje pripravené tretími osobami, obsah požadovaného posúdenia budúcej solventnosti spoločnosti, ako aj štandard odbornej starostlivosti pri prijímaní rozhodnutia o distribúcii. </w:t>
      </w:r>
    </w:p>
    <w:p w14:paraId="7B8E3223" w14:textId="70932612" w:rsidR="00EB1051" w:rsidRPr="00F2249F" w:rsidRDefault="00587BEC" w:rsidP="00EB1051">
      <w:pPr>
        <w:pStyle w:val="Pta"/>
        <w:jc w:val="both"/>
        <w:rPr>
          <w:i/>
        </w:rPr>
      </w:pPr>
      <w:r w:rsidRPr="00F2249F">
        <w:rPr>
          <w:i/>
        </w:rPr>
        <w:t>Je potrebné vyjasniť aj</w:t>
      </w:r>
      <w:r w:rsidR="00EB1051" w:rsidRPr="00F2249F">
        <w:rPr>
          <w:i/>
        </w:rPr>
        <w:t xml:space="preserve"> vzťah navrhovanej zodpovednosti k zásade podnikateľského úsudku a určenie, či na vznik zodpovednosti členov </w:t>
      </w:r>
      <w:r w:rsidR="007F64D1" w:rsidRPr="00F2249F">
        <w:rPr>
          <w:i/>
        </w:rPr>
        <w:t xml:space="preserve">správnej rady </w:t>
      </w:r>
      <w:r w:rsidR="00EB1051" w:rsidRPr="00F2249F">
        <w:rPr>
          <w:i/>
        </w:rPr>
        <w:t xml:space="preserve">postačuje už samotný nesprávny ekonomický odhad (napríklad ak spoločnosť nebude schopná splácať dlhy počas nasledujúcich 12 mesiacov), alebo musí ísť o nedostatočne informovaný alebo nedbanlivý postup pri vykonávaní testu. </w:t>
      </w:r>
    </w:p>
    <w:p w14:paraId="192655D0" w14:textId="0348E579" w:rsidR="00EB1051" w:rsidRPr="00F2249F" w:rsidRDefault="00EB1051" w:rsidP="00EB1051">
      <w:pPr>
        <w:pStyle w:val="Pta"/>
        <w:jc w:val="both"/>
        <w:rPr>
          <w:i/>
        </w:rPr>
      </w:pPr>
      <w:r w:rsidRPr="00F2249F">
        <w:rPr>
          <w:i/>
        </w:rPr>
        <w:t xml:space="preserve">Súčasne by bolo vhodné bližšie upraviť rozsah škody uhrádzanej </w:t>
      </w:r>
      <w:r w:rsidR="007F64D1" w:rsidRPr="00F2249F">
        <w:rPr>
          <w:i/>
        </w:rPr>
        <w:t>členmi správnej rady</w:t>
      </w:r>
      <w:r w:rsidRPr="00F2249F">
        <w:rPr>
          <w:i/>
        </w:rPr>
        <w:t xml:space="preserve">, podmienky regresu medzi nimi a vzťah navrhovanej zodpovednosti k ochrane veriteľov spoločnosti. Táto otázka súvisí i s čl. 42 a spresnením, ako riešiť situáciu, keď jeden orgán spoločnosti  zahŕňa výkonných i nevýkonných členov. </w:t>
      </w:r>
    </w:p>
    <w:p w14:paraId="6EB6D205" w14:textId="77777777" w:rsidR="00EB1051" w:rsidRPr="00F2249F" w:rsidRDefault="00EB1051" w:rsidP="00EB1051">
      <w:pPr>
        <w:pStyle w:val="Pta"/>
        <w:jc w:val="both"/>
        <w:rPr>
          <w:i/>
        </w:rPr>
      </w:pPr>
      <w:r w:rsidRPr="00F2249F">
        <w:rPr>
          <w:i/>
        </w:rPr>
        <w:t>Zároveň je potrebné preskúmať koexistenciu tohto článku s existujúcimi ustanoveniami v </w:t>
      </w:r>
      <w:r w:rsidRPr="00F2249F">
        <w:t xml:space="preserve">smernici Európskeho parlamentu a Rady (EÚ) č. 2019/1023 z 20.6.2019 o rámcoch preventívnej reštrukturalizácie, o oddlžení a diskvalifikácii a o opatreniach na zvýšenie účinnosti reštrukturalizačných, konkurzných a </w:t>
      </w:r>
      <w:proofErr w:type="spellStart"/>
      <w:r w:rsidRPr="00F2249F">
        <w:t>oddlžovacích</w:t>
      </w:r>
      <w:proofErr w:type="spellEnd"/>
      <w:r w:rsidRPr="00F2249F">
        <w:t xml:space="preserve"> konaní a o zmene smernice (EÚ) 2017/1132 (Ú. v. EÚ L 172, 26.6.2019)</w:t>
      </w:r>
      <w:r w:rsidRPr="00F2249F">
        <w:rPr>
          <w:i/>
        </w:rPr>
        <w:t xml:space="preserve">, osobitne s kapitolou 5 (povinnosti štatutárnych orgánov pri hrozbe úpadku). Je tiež potrebné preskúmať koexistenciu tohto článku (a čl. 44) so </w:t>
      </w:r>
      <w:r w:rsidRPr="00F2249F">
        <w:lastRenderedPageBreak/>
        <w:t xml:space="preserve">smernicou Európskeho parlamentu a Rady (EÚ) 2026/799 z 30. marca 2026, ktorou sa harmonizujú určité aspekty </w:t>
      </w:r>
      <w:proofErr w:type="spellStart"/>
      <w:r w:rsidRPr="00F2249F">
        <w:t>insolvenčného</w:t>
      </w:r>
      <w:proofErr w:type="spellEnd"/>
      <w:r w:rsidRPr="00F2249F">
        <w:t xml:space="preserve"> práv</w:t>
      </w:r>
      <w:r w:rsidRPr="00F2249F">
        <w:rPr>
          <w:i/>
        </w:rPr>
        <w:t xml:space="preserve">a (Ú. v. EÚ L, 2026/799), osobitne s hlavou V., ktorá sa týka povinnosti štatutárnych orgánov podať návrh na začatie </w:t>
      </w:r>
      <w:proofErr w:type="spellStart"/>
      <w:r w:rsidRPr="00F2249F">
        <w:rPr>
          <w:i/>
        </w:rPr>
        <w:t>insolvenčného</w:t>
      </w:r>
      <w:proofErr w:type="spellEnd"/>
      <w:r w:rsidRPr="00F2249F">
        <w:rPr>
          <w:i/>
        </w:rPr>
        <w:t xml:space="preserve"> konania a zodpovednosti štatutárnych orgánov v prípade, že tak neurobia.</w:t>
      </w:r>
    </w:p>
    <w:p w14:paraId="76A3F243"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pPr>
    </w:p>
    <w:p w14:paraId="0A91FCA3"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rPr>
          <w:b/>
          <w:u w:val="single"/>
        </w:rPr>
      </w:pPr>
      <w:r w:rsidRPr="00F2249F">
        <w:rPr>
          <w:b/>
          <w:u w:val="single"/>
        </w:rPr>
        <w:t>Článok 73 Upísanie vlastných akcií</w:t>
      </w:r>
    </w:p>
    <w:p w14:paraId="1D95BC47"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rPr>
          <w:b/>
          <w:u w:val="single"/>
        </w:rPr>
      </w:pPr>
      <w:r w:rsidRPr="00F2249F">
        <w:rPr>
          <w:b/>
          <w:u w:val="single"/>
        </w:rPr>
        <w:t>Článok 74 Nadobúdanie vlastných akcií</w:t>
      </w:r>
    </w:p>
    <w:p w14:paraId="1464B913"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rPr>
          <w:u w:val="single"/>
        </w:rPr>
      </w:pPr>
      <w:r w:rsidRPr="00F2249F">
        <w:rPr>
          <w:b/>
          <w:u w:val="single"/>
        </w:rPr>
        <w:t>Článok 75 Držanie vlastných akcií</w:t>
      </w:r>
    </w:p>
    <w:p w14:paraId="771CDA1A"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pPr>
    </w:p>
    <w:p w14:paraId="28E80D3C"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pPr>
      <w:r w:rsidRPr="00F2249F">
        <w:t xml:space="preserve">Články upravujú zákaz upisovania vlastných akcií, stanovujú zodpovednosť za splatenie protiplnenia za akcie v prípade porušenia zákazu, upravujú podmienky nadobúdania vlastných akcií, prijatia vlastných akcií ako zálohu a napokon zavádzajú podmienky zaobchádzania s vlastnými akciami spoločnosti. Ustanovenia sú inšpirované úpravou v smernici (EÚ) 2017/1132). </w:t>
      </w:r>
    </w:p>
    <w:p w14:paraId="50232D68"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rPr>
          <w:b/>
          <w:u w:val="single"/>
        </w:rPr>
      </w:pPr>
    </w:p>
    <w:p w14:paraId="43B5C91C" w14:textId="77777777" w:rsidR="00587BEC" w:rsidRPr="00F2249F" w:rsidRDefault="00EB1051" w:rsidP="00587BEC">
      <w:pPr>
        <w:pStyle w:val="Pta"/>
        <w:tabs>
          <w:tab w:val="clear" w:pos="4536"/>
          <w:tab w:val="clear" w:pos="9072"/>
        </w:tabs>
        <w:overflowPunct w:val="0"/>
        <w:autoSpaceDE w:val="0"/>
        <w:autoSpaceDN w:val="0"/>
        <w:adjustRightInd w:val="0"/>
        <w:jc w:val="both"/>
        <w:textAlignment w:val="baseline"/>
      </w:pPr>
      <w:r w:rsidRPr="00F2249F">
        <w:rPr>
          <w:b/>
          <w:u w:val="single"/>
        </w:rPr>
        <w:t>Pozícia SR</w:t>
      </w:r>
      <w:r w:rsidRPr="00F2249F">
        <w:rPr>
          <w:i/>
        </w:rPr>
        <w:t xml:space="preserve">: </w:t>
      </w:r>
      <w:r w:rsidR="00587BEC" w:rsidRPr="00F2249F">
        <w:rPr>
          <w:i/>
        </w:rPr>
        <w:t xml:space="preserve">Slovenské právo obsahuje obdobný princíp zákazu nadobúdania vlastných akcií (§ 161 ObZ), možnosti nadobúdania vlastných akcií (§ 161a-c) a zaobchádzania s vlastnými akciami (§161d ObZ), ide o transpozíciu smernice (EÚ) 2017/1132. </w:t>
      </w:r>
    </w:p>
    <w:p w14:paraId="7091D5A8"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pPr>
      <w:r w:rsidRPr="00F2249F">
        <w:rPr>
          <w:i/>
        </w:rPr>
        <w:t>Slovenská republika nemá k zneniu ustanovenia výhrady.</w:t>
      </w:r>
    </w:p>
    <w:p w14:paraId="25BE76EF"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pPr>
    </w:p>
    <w:p w14:paraId="16E56DB1"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rPr>
          <w:b/>
        </w:rPr>
      </w:pPr>
      <w:r w:rsidRPr="00F2249F">
        <w:rPr>
          <w:b/>
          <w:u w:val="single"/>
        </w:rPr>
        <w:t xml:space="preserve">Článok 76 Právo spätnej kúpy k akciám </w:t>
      </w:r>
    </w:p>
    <w:p w14:paraId="7AADE1FC"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pPr>
    </w:p>
    <w:p w14:paraId="7BC373B5" w14:textId="48726371" w:rsidR="00EB1051" w:rsidRPr="00F2249F" w:rsidRDefault="00EB1051" w:rsidP="00EB1051">
      <w:pPr>
        <w:pStyle w:val="Pta"/>
        <w:tabs>
          <w:tab w:val="clear" w:pos="4536"/>
          <w:tab w:val="clear" w:pos="9072"/>
        </w:tabs>
        <w:overflowPunct w:val="0"/>
        <w:autoSpaceDE w:val="0"/>
        <w:autoSpaceDN w:val="0"/>
        <w:adjustRightInd w:val="0"/>
        <w:jc w:val="both"/>
        <w:textAlignment w:val="baseline"/>
      </w:pPr>
      <w:r w:rsidRPr="00F2249F">
        <w:t>Článok upravuje inštitút akcií, ktoré môže spoločnosť za vopred určených podmienok spätne odkúpiť a zrušiť. O emisii sa rozhoduje podľa pravidiel o vydávaní nových akcií (čl. 67), pričom v spoločnosti musia existovať aj</w:t>
      </w:r>
      <w:r w:rsidR="00CE5EEF" w:rsidRPr="00F2249F">
        <w:t xml:space="preserve"> akcie, ktoré nie sú spätne </w:t>
      </w:r>
      <w:proofErr w:type="spellStart"/>
      <w:r w:rsidR="00CE5EEF" w:rsidRPr="00F2249F">
        <w:t>odkú</w:t>
      </w:r>
      <w:r w:rsidRPr="00F2249F">
        <w:t>piteľné</w:t>
      </w:r>
      <w:proofErr w:type="spellEnd"/>
      <w:r w:rsidRPr="00F2249F">
        <w:t xml:space="preserve"> a sú plne splatené. Po odkúpení sa akcie zrušia a cena sa vyplatí z disponibilných zdrojov spoločnosti za uplatnenia testu solventnosti podľa čl. 72 návrhu. </w:t>
      </w:r>
    </w:p>
    <w:p w14:paraId="33C94A98"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rPr>
          <w:b/>
          <w:u w:val="single"/>
        </w:rPr>
      </w:pPr>
    </w:p>
    <w:p w14:paraId="54ECEE75" w14:textId="42EED487" w:rsidR="00587BEC" w:rsidRPr="00F2249F" w:rsidRDefault="00EB1051" w:rsidP="00587BEC">
      <w:pPr>
        <w:pStyle w:val="Pta"/>
        <w:tabs>
          <w:tab w:val="clear" w:pos="4536"/>
          <w:tab w:val="clear" w:pos="9072"/>
        </w:tabs>
        <w:overflowPunct w:val="0"/>
        <w:autoSpaceDE w:val="0"/>
        <w:autoSpaceDN w:val="0"/>
        <w:adjustRightInd w:val="0"/>
        <w:jc w:val="both"/>
        <w:textAlignment w:val="baseline"/>
      </w:pPr>
      <w:r w:rsidRPr="00F2249F">
        <w:rPr>
          <w:b/>
          <w:u w:val="single"/>
        </w:rPr>
        <w:t>Pozícia SR</w:t>
      </w:r>
      <w:r w:rsidRPr="00F2249F">
        <w:rPr>
          <w:b/>
        </w:rPr>
        <w:t>:</w:t>
      </w:r>
      <w:r w:rsidRPr="00F2249F">
        <w:t xml:space="preserve"> </w:t>
      </w:r>
      <w:r w:rsidR="00587BEC" w:rsidRPr="00F2249F">
        <w:rPr>
          <w:i/>
        </w:rPr>
        <w:t>Pri klasickej akciovej spoločnosti slovenská úprava obdobný inštitút ako je právo na odkúpenie akcie na účet spoločnosti nepozná. Akcionár má síce právo na odkúpenie akcie spoločnosťou podľa § 156 ods. 9 ObZ, ale toto právo vzniká za špecifických okolností. Takéto právo je upravené pre osobitný druh akciovej spoločnosti ako je akciová spoločnosť s premenlivým základným imaním (§220c ods. 1)</w:t>
      </w:r>
      <w:r w:rsidR="003A23B7" w:rsidRPr="00F2249F">
        <w:rPr>
          <w:i/>
        </w:rPr>
        <w:t>.</w:t>
      </w:r>
      <w:r w:rsidR="00587BEC" w:rsidRPr="00F2249F">
        <w:t xml:space="preserve"> </w:t>
      </w:r>
    </w:p>
    <w:p w14:paraId="4C3F85D4" w14:textId="0DE12689" w:rsidR="00EB1051" w:rsidRDefault="00EB1051" w:rsidP="00EB1051">
      <w:pPr>
        <w:pStyle w:val="Pta"/>
        <w:tabs>
          <w:tab w:val="clear" w:pos="4536"/>
          <w:tab w:val="clear" w:pos="9072"/>
        </w:tabs>
        <w:overflowPunct w:val="0"/>
        <w:autoSpaceDE w:val="0"/>
        <w:autoSpaceDN w:val="0"/>
        <w:adjustRightInd w:val="0"/>
        <w:jc w:val="both"/>
        <w:textAlignment w:val="baseline"/>
        <w:rPr>
          <w:i/>
        </w:rPr>
      </w:pPr>
      <w:r w:rsidRPr="00F2249F">
        <w:rPr>
          <w:i/>
        </w:rPr>
        <w:t xml:space="preserve">Slovenská republika nemá k zneniu ustanovenia výhrady, navrhne však doplnenie, aby skutočnosť, že EU </w:t>
      </w:r>
      <w:proofErr w:type="spellStart"/>
      <w:r w:rsidRPr="00F2249F">
        <w:rPr>
          <w:i/>
        </w:rPr>
        <w:t>Inc</w:t>
      </w:r>
      <w:proofErr w:type="spellEnd"/>
      <w:r w:rsidRPr="00F2249F">
        <w:rPr>
          <w:i/>
        </w:rPr>
        <w:t xml:space="preserve">. vydala spätne </w:t>
      </w:r>
      <w:proofErr w:type="spellStart"/>
      <w:r w:rsidRPr="00F2249F">
        <w:rPr>
          <w:i/>
        </w:rPr>
        <w:t>odkúpiteľné</w:t>
      </w:r>
      <w:proofErr w:type="spellEnd"/>
      <w:r w:rsidRPr="00F2249F">
        <w:rPr>
          <w:i/>
        </w:rPr>
        <w:t xml:space="preserve"> akcie, bola zverejnená v obchodnom alebo inom verejne prístupnom registri. Zverejnenie by malo zahŕňať aspoň informáciu o existencii takéhoto práva, o triede akcií, základných podmienkach odkúpenia a rozsahu, v akom môže odkúpenie viesť k platbe zo strany spoločnosti. Zverejnenie posilní ochranu veriteľov a umožní tretím osobám lepšie posúdiť riziko budúcich odlevov majetku zo spoločnosti. </w:t>
      </w:r>
    </w:p>
    <w:p w14:paraId="11901995" w14:textId="60322B5D" w:rsidR="00031EB4" w:rsidRDefault="00031EB4" w:rsidP="00EB1051">
      <w:pPr>
        <w:pStyle w:val="Pta"/>
        <w:tabs>
          <w:tab w:val="clear" w:pos="4536"/>
          <w:tab w:val="clear" w:pos="9072"/>
        </w:tabs>
        <w:overflowPunct w:val="0"/>
        <w:autoSpaceDE w:val="0"/>
        <w:autoSpaceDN w:val="0"/>
        <w:adjustRightInd w:val="0"/>
        <w:jc w:val="both"/>
        <w:textAlignment w:val="baseline"/>
        <w:rPr>
          <w:i/>
        </w:rPr>
      </w:pPr>
    </w:p>
    <w:p w14:paraId="1AD2D49C"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rPr>
          <w:u w:val="single"/>
        </w:rPr>
      </w:pPr>
      <w:r w:rsidRPr="00F2249F">
        <w:rPr>
          <w:b/>
          <w:u w:val="single"/>
        </w:rPr>
        <w:t>Článok 77 Zníženie základného imania</w:t>
      </w:r>
      <w:r w:rsidRPr="00F2249F">
        <w:rPr>
          <w:u w:val="single"/>
        </w:rPr>
        <w:t xml:space="preserve"> </w:t>
      </w:r>
    </w:p>
    <w:p w14:paraId="25331A66"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pPr>
    </w:p>
    <w:p w14:paraId="34887799" w14:textId="6F64FA51" w:rsidR="00EB1051" w:rsidRPr="00F2249F" w:rsidRDefault="00EB1051" w:rsidP="00EB1051">
      <w:pPr>
        <w:pStyle w:val="Pta"/>
        <w:tabs>
          <w:tab w:val="clear" w:pos="4536"/>
          <w:tab w:val="clear" w:pos="9072"/>
        </w:tabs>
        <w:overflowPunct w:val="0"/>
        <w:autoSpaceDE w:val="0"/>
        <w:autoSpaceDN w:val="0"/>
        <w:adjustRightInd w:val="0"/>
        <w:jc w:val="both"/>
        <w:textAlignment w:val="baseline"/>
      </w:pPr>
      <w:r w:rsidRPr="00F2249F">
        <w:t xml:space="preserve">Ustanovenie upravuje podmienky a možnosti zníženia základného imania spoločnosti EU </w:t>
      </w:r>
      <w:proofErr w:type="spellStart"/>
      <w:r w:rsidRPr="00F2249F">
        <w:t>Inc</w:t>
      </w:r>
      <w:proofErr w:type="spellEnd"/>
      <w:r w:rsidRPr="00F2249F">
        <w:t xml:space="preserve">. O znížení rozhoduje valné zhromaždenie, ale jeho účinnosť je podmienená vyhlásením </w:t>
      </w:r>
      <w:r w:rsidR="007F64D1" w:rsidRPr="00F2249F">
        <w:t xml:space="preserve">správnej rad </w:t>
      </w:r>
      <w:r w:rsidRPr="00F2249F">
        <w:t xml:space="preserve">o splnení úpadkového testu (test platobnej schopnosti je opäť projektovaný na 12 mesiacov dopredu). Vyhlásenie musí byť podporené aj správou nezávislého znalca. Výnimka zo sprísneného režimu sa uplatní, ak sa zníženie robí výlučne na krytie strát alebo súčasne na jeho okamžité zvýšenie minimálne o rovnakú sumu. Porušenie pravidiel zakladá solidárnu zodpovednosť členov </w:t>
      </w:r>
      <w:r w:rsidR="007F64D1" w:rsidRPr="00F2249F">
        <w:t xml:space="preserve">správnej rady </w:t>
      </w:r>
      <w:r w:rsidRPr="00F2249F">
        <w:t xml:space="preserve">za škodu. Okrem toho vytvára i povinnosť akcionárov vrátiť neoprávnene prijaté plnenia. </w:t>
      </w:r>
    </w:p>
    <w:p w14:paraId="60117B97" w14:textId="373FE685" w:rsidR="00587BEC" w:rsidRPr="00F2249F" w:rsidRDefault="00EB1051" w:rsidP="00587BEC">
      <w:pPr>
        <w:pStyle w:val="Pta"/>
        <w:tabs>
          <w:tab w:val="clear" w:pos="4536"/>
          <w:tab w:val="clear" w:pos="9072"/>
        </w:tabs>
        <w:overflowPunct w:val="0"/>
        <w:autoSpaceDE w:val="0"/>
        <w:autoSpaceDN w:val="0"/>
        <w:adjustRightInd w:val="0"/>
        <w:jc w:val="both"/>
        <w:textAlignment w:val="baseline"/>
      </w:pPr>
      <w:r w:rsidRPr="00F2249F">
        <w:rPr>
          <w:b/>
          <w:u w:val="single"/>
        </w:rPr>
        <w:lastRenderedPageBreak/>
        <w:t>Pozícia SR</w:t>
      </w:r>
      <w:r w:rsidRPr="00F2249F">
        <w:rPr>
          <w:b/>
        </w:rPr>
        <w:t>:</w:t>
      </w:r>
      <w:r w:rsidRPr="00F2249F">
        <w:t xml:space="preserve"> </w:t>
      </w:r>
      <w:r w:rsidR="00587BEC" w:rsidRPr="00F2249F">
        <w:rPr>
          <w:i/>
        </w:rPr>
        <w:t xml:space="preserve">Úprava sa odlišuje od obchodnoprávnej smernice (EÚ) 2017/1132 ako aj od slovenského práva, ktoré zníženie základného imania upravuje v § 211 až 216 ObZ. Slovenská úprava však nepracuje s dvojitým úpadkovým testom ani s povinným vyhlásením </w:t>
      </w:r>
      <w:r w:rsidR="007F64D1" w:rsidRPr="00F2249F">
        <w:rPr>
          <w:i/>
        </w:rPr>
        <w:t>správnej rady</w:t>
      </w:r>
      <w:r w:rsidR="00587BEC" w:rsidRPr="00F2249F">
        <w:rPr>
          <w:i/>
        </w:rPr>
        <w:t xml:space="preserve"> v kombinácii so správou znalca. Ochrana veriteľov je realizovaná najmä prostredníctvom možnosti veriteľov požadovať dostatočné zabezpečenie ich neuhradených nesplatných pohľadávok (§ 215 ods. 3).</w:t>
      </w:r>
      <w:r w:rsidR="00587BEC" w:rsidRPr="00F2249F">
        <w:t xml:space="preserve"> </w:t>
      </w:r>
    </w:p>
    <w:p w14:paraId="7C5B8CF0"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rPr>
          <w:i/>
        </w:rPr>
      </w:pPr>
      <w:r w:rsidRPr="00F2249F">
        <w:rPr>
          <w:i/>
        </w:rPr>
        <w:t>Slovenská republika nemá k zneniu ustanovenia výhrady.</w:t>
      </w:r>
    </w:p>
    <w:p w14:paraId="5F3ACF1E"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pPr>
    </w:p>
    <w:p w14:paraId="6E289C85" w14:textId="77777777" w:rsidR="00EB1051" w:rsidRPr="00F2249F" w:rsidRDefault="00EB1051" w:rsidP="00EB1051">
      <w:pPr>
        <w:pStyle w:val="Pta"/>
        <w:tabs>
          <w:tab w:val="clear" w:pos="4536"/>
          <w:tab w:val="clear" w:pos="9072"/>
        </w:tabs>
        <w:overflowPunct w:val="0"/>
        <w:autoSpaceDE w:val="0"/>
        <w:autoSpaceDN w:val="0"/>
        <w:adjustRightInd w:val="0"/>
        <w:jc w:val="center"/>
        <w:textAlignment w:val="baseline"/>
        <w:rPr>
          <w:b/>
        </w:rPr>
      </w:pPr>
      <w:r w:rsidRPr="00F2249F">
        <w:rPr>
          <w:b/>
        </w:rPr>
        <w:t>KAPITOLA VIII – ESO ESOP</w:t>
      </w:r>
    </w:p>
    <w:p w14:paraId="2709865D"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pPr>
    </w:p>
    <w:p w14:paraId="337474EE" w14:textId="77777777" w:rsidR="00EB1051" w:rsidRPr="00F2249F" w:rsidRDefault="00EB1051" w:rsidP="00EB1051">
      <w:pPr>
        <w:pStyle w:val="Pta"/>
        <w:overflowPunct w:val="0"/>
        <w:autoSpaceDE w:val="0"/>
        <w:autoSpaceDN w:val="0"/>
        <w:adjustRightInd w:val="0"/>
        <w:jc w:val="both"/>
        <w:textAlignment w:val="baseline"/>
      </w:pPr>
      <w:r w:rsidRPr="00F2249F">
        <w:rPr>
          <w:b/>
        </w:rPr>
        <w:t>Všeobecne o kapitole:</w:t>
      </w:r>
      <w:r w:rsidRPr="00F2249F">
        <w:t xml:space="preserve">  Kapitola obsahuje dva články  (78-79), ktoré zavádzajú možnosť spoločnosti zaviesť opčný program pre zamestnancov a členov orgánov spoločnosti a dcérskych spoločností. O jeho zavedení rozhoduje valné zhromaždenie. Ono určí oprávnené osoby, maximálny počet opcií, druh budúcich akcií a minimálnu dobu viazanosti (čakacia doba, počas ktorej sa opcia nevykoná). Opcie sú neprevoditeľné, poskytujú sa bezodplatne (samotné akcie sa nadobúdajú za peňažnú odplatu) a existujúci akcionári nemajú na budúce akcie prednostné právo. Kapitola </w:t>
      </w:r>
      <w:r w:rsidRPr="00F2249F">
        <w:rPr>
          <w:b/>
        </w:rPr>
        <w:t>harmonizuje dobu zdanenia</w:t>
      </w:r>
      <w:r w:rsidRPr="00F2249F">
        <w:t xml:space="preserve"> – toto nastáva až pri predaji akcií získaných z opcie.  Za zdaniteľný prijem sa nepovažuje nadobudnutie opčného listu ani jeho uplatnenie (získanie akcií). Okrem toho musia členské štáty zabezpečiť pre takéto zdanenie aspoň rovnako priaznivý režim ako pri domácich opčných programoch. </w:t>
      </w:r>
    </w:p>
    <w:p w14:paraId="15B68B75" w14:textId="77777777" w:rsidR="00EB1051" w:rsidRPr="00F2249F" w:rsidRDefault="00EB1051" w:rsidP="00EB1051">
      <w:pPr>
        <w:pStyle w:val="Pta"/>
        <w:overflowPunct w:val="0"/>
        <w:autoSpaceDE w:val="0"/>
        <w:autoSpaceDN w:val="0"/>
        <w:adjustRightInd w:val="0"/>
        <w:jc w:val="both"/>
        <w:textAlignment w:val="baseline"/>
      </w:pPr>
    </w:p>
    <w:p w14:paraId="1710B570" w14:textId="6F60D344" w:rsidR="00EB1051" w:rsidRPr="00F2249F" w:rsidRDefault="00EB1051" w:rsidP="00EB1051">
      <w:pPr>
        <w:pStyle w:val="Pta"/>
        <w:overflowPunct w:val="0"/>
        <w:autoSpaceDE w:val="0"/>
        <w:autoSpaceDN w:val="0"/>
        <w:adjustRightInd w:val="0"/>
        <w:jc w:val="both"/>
        <w:textAlignment w:val="baseline"/>
      </w:pPr>
      <w:r w:rsidRPr="00F2249F">
        <w:t>Slovenská úprava upravuje podľa zák. č.</w:t>
      </w:r>
      <w:r w:rsidR="00587BEC" w:rsidRPr="00F2249F">
        <w:t xml:space="preserve"> </w:t>
      </w:r>
      <w:r w:rsidRPr="00F2249F">
        <w:t xml:space="preserve">595/2003 Z. z. o dani z príjmov v znení neskorších predpisov dva režimy zdanenia. Pri štandardnom vzniká daňová povinnosť v momente realizácie opcie a príjmom je rozdiel medzi trhovou hodnotou akcie a sumou, ktorú zamestnanec zaplatil za získanie opcie. Osobitný </w:t>
      </w:r>
      <w:proofErr w:type="spellStart"/>
      <w:r w:rsidRPr="00F2249F">
        <w:t>start-upový</w:t>
      </w:r>
      <w:proofErr w:type="spellEnd"/>
      <w:r w:rsidRPr="00F2249F">
        <w:t xml:space="preserve"> daňový režim nepovažuje akciu za daňový príjem, ak spoločnosť nevyplácala dividendy a akcie nie sú obchodované na regulovanom trhu. </w:t>
      </w:r>
    </w:p>
    <w:p w14:paraId="770D4A6C" w14:textId="77777777" w:rsidR="00EB1051" w:rsidRPr="00F2249F" w:rsidRDefault="00EB1051" w:rsidP="00EB1051">
      <w:pPr>
        <w:pStyle w:val="Pta"/>
        <w:overflowPunct w:val="0"/>
        <w:autoSpaceDE w:val="0"/>
        <w:autoSpaceDN w:val="0"/>
        <w:adjustRightInd w:val="0"/>
        <w:jc w:val="both"/>
        <w:textAlignment w:val="baseline"/>
        <w:rPr>
          <w:u w:val="single"/>
        </w:rPr>
      </w:pPr>
    </w:p>
    <w:p w14:paraId="53ED0F0A" w14:textId="77777777" w:rsidR="00EB1051" w:rsidRPr="00F2249F" w:rsidRDefault="00EB1051" w:rsidP="00EB1051">
      <w:pPr>
        <w:pStyle w:val="Pta"/>
        <w:overflowPunct w:val="0"/>
        <w:autoSpaceDE w:val="0"/>
        <w:autoSpaceDN w:val="0"/>
        <w:adjustRightInd w:val="0"/>
        <w:jc w:val="both"/>
        <w:textAlignment w:val="baseline"/>
        <w:rPr>
          <w:b/>
          <w:i/>
          <w:u w:val="single"/>
        </w:rPr>
      </w:pPr>
      <w:r w:rsidRPr="00F2249F">
        <w:rPr>
          <w:b/>
          <w:i/>
          <w:u w:val="single"/>
        </w:rPr>
        <w:t xml:space="preserve">Pozícia SR ku kapitole 8: </w:t>
      </w:r>
    </w:p>
    <w:p w14:paraId="4866CB93" w14:textId="77777777" w:rsidR="00EB1051" w:rsidRPr="00F2249F" w:rsidRDefault="00EB1051" w:rsidP="00EB1051">
      <w:pPr>
        <w:pStyle w:val="Pta"/>
        <w:overflowPunct w:val="0"/>
        <w:autoSpaceDE w:val="0"/>
        <w:autoSpaceDN w:val="0"/>
        <w:adjustRightInd w:val="0"/>
        <w:jc w:val="both"/>
        <w:textAlignment w:val="baseline"/>
        <w:rPr>
          <w:b/>
          <w:i/>
          <w:u w:val="single"/>
        </w:rPr>
      </w:pPr>
    </w:p>
    <w:p w14:paraId="2A9C912F" w14:textId="77777777" w:rsidR="00EB1051" w:rsidRPr="00F2249F" w:rsidRDefault="00EB1051" w:rsidP="00EB1051">
      <w:pPr>
        <w:pStyle w:val="Pta"/>
        <w:overflowPunct w:val="0"/>
        <w:autoSpaceDE w:val="0"/>
        <w:autoSpaceDN w:val="0"/>
        <w:adjustRightInd w:val="0"/>
        <w:jc w:val="both"/>
        <w:textAlignment w:val="baseline"/>
        <w:rPr>
          <w:i/>
        </w:rPr>
      </w:pPr>
      <w:r w:rsidRPr="00F2249F">
        <w:rPr>
          <w:i/>
        </w:rPr>
        <w:t>Slovenská republika požaduje preskúmať právny základ celého návrhu, ale osobitne je potrebné preskúmať vhodnosť právneho základu pre túto kapitolu. Oblasť zdaňovania má v zmluvách EÚ osobitné postavenie a osobitné právne základy pre harmonizáciu daňových pravidiel. Slovenská republika tiež navrhne, aby sa táto kapitola vyňala na samostatné rokovanie na skupine pre daňové otázky, čo by bolo z pohľadu danej problematiky efektívnejšie.</w:t>
      </w:r>
    </w:p>
    <w:p w14:paraId="537A7630" w14:textId="77777777" w:rsidR="00EB1051" w:rsidRPr="00F2249F" w:rsidRDefault="00EB1051" w:rsidP="00EB1051">
      <w:pPr>
        <w:pStyle w:val="Pta"/>
        <w:overflowPunct w:val="0"/>
        <w:autoSpaceDE w:val="0"/>
        <w:autoSpaceDN w:val="0"/>
        <w:adjustRightInd w:val="0"/>
        <w:jc w:val="both"/>
        <w:textAlignment w:val="baseline"/>
        <w:rPr>
          <w:i/>
        </w:rPr>
      </w:pPr>
    </w:p>
    <w:p w14:paraId="6C9BD40D" w14:textId="77777777" w:rsidR="00EB1051" w:rsidRPr="00F2249F" w:rsidRDefault="00EB1051" w:rsidP="00EB1051">
      <w:pPr>
        <w:pStyle w:val="Pta"/>
        <w:overflowPunct w:val="0"/>
        <w:autoSpaceDE w:val="0"/>
        <w:autoSpaceDN w:val="0"/>
        <w:adjustRightInd w:val="0"/>
        <w:jc w:val="both"/>
        <w:textAlignment w:val="baseline"/>
        <w:rPr>
          <w:i/>
        </w:rPr>
      </w:pPr>
      <w:r w:rsidRPr="00F2249F">
        <w:rPr>
          <w:i/>
        </w:rPr>
        <w:t xml:space="preserve">Na základe požiadaviek z praxe navrhne Slovenská republika počas diskusií doplniť medzi oprávnené osoby i dlhodobých zmluvných partnerov, ako je napríklad dlhodobý </w:t>
      </w:r>
      <w:proofErr w:type="spellStart"/>
      <w:r w:rsidRPr="00F2249F">
        <w:rPr>
          <w:i/>
        </w:rPr>
        <w:t>kontraktor</w:t>
      </w:r>
      <w:proofErr w:type="spellEnd"/>
      <w:r w:rsidRPr="00F2249F">
        <w:rPr>
          <w:i/>
        </w:rPr>
        <w:t xml:space="preserve">, ktorý spoločnosti poskytuje potrebné služby Klasickým prípadom IT </w:t>
      </w:r>
      <w:proofErr w:type="spellStart"/>
      <w:r w:rsidRPr="00F2249F">
        <w:rPr>
          <w:i/>
        </w:rPr>
        <w:t>kontraktor</w:t>
      </w:r>
      <w:proofErr w:type="spellEnd"/>
      <w:r w:rsidRPr="00F2249F">
        <w:rPr>
          <w:i/>
        </w:rPr>
        <w:t xml:space="preserve">, ktorého služby sú úzko spojené s činnosťou spoločnosti. </w:t>
      </w:r>
    </w:p>
    <w:p w14:paraId="3122FA26" w14:textId="6BA59E33" w:rsidR="00EB1051" w:rsidRDefault="00EB1051" w:rsidP="00EB1051">
      <w:pPr>
        <w:pStyle w:val="Pta"/>
        <w:overflowPunct w:val="0"/>
        <w:autoSpaceDE w:val="0"/>
        <w:autoSpaceDN w:val="0"/>
        <w:adjustRightInd w:val="0"/>
        <w:jc w:val="both"/>
        <w:textAlignment w:val="baseline"/>
        <w:rPr>
          <w:i/>
        </w:rPr>
      </w:pPr>
      <w:r w:rsidRPr="00F2249F">
        <w:rPr>
          <w:i/>
        </w:rPr>
        <w:t xml:space="preserve">Slovenská republika preskúma v diskusiách limity zákazu prevoditeľnosti opcií EU-ESO. Je pochopiteľné, že zákaz prevoditeľnosti má osobitný účel z hľadiska motivácie opčného plánu pre zamestnancov. Návrh by však mal stanoviť pravidlá nielen pre prevod, ale i pre prechod (dedenie) opcií – či je povolené, v akej lehote má byť opcia uplatnená, či je rozdiel v tom, či boli alebo neboli splnené podmienky na uplatnenie opcie, informačné povinnosti dedičov a podrobnosti technického zápisu dedičov do registra. </w:t>
      </w:r>
    </w:p>
    <w:p w14:paraId="4BB2FBAB" w14:textId="2C6DB3C0" w:rsidR="000A1088" w:rsidRDefault="000A1088" w:rsidP="00EB1051">
      <w:pPr>
        <w:pStyle w:val="Pta"/>
        <w:overflowPunct w:val="0"/>
        <w:autoSpaceDE w:val="0"/>
        <w:autoSpaceDN w:val="0"/>
        <w:adjustRightInd w:val="0"/>
        <w:jc w:val="both"/>
        <w:textAlignment w:val="baseline"/>
        <w:rPr>
          <w:i/>
        </w:rPr>
      </w:pPr>
    </w:p>
    <w:p w14:paraId="0795A46B" w14:textId="12D16448" w:rsidR="000A1088" w:rsidRDefault="000A1088" w:rsidP="00EB1051">
      <w:pPr>
        <w:pStyle w:val="Pta"/>
        <w:overflowPunct w:val="0"/>
        <w:autoSpaceDE w:val="0"/>
        <w:autoSpaceDN w:val="0"/>
        <w:adjustRightInd w:val="0"/>
        <w:jc w:val="both"/>
        <w:textAlignment w:val="baseline"/>
        <w:rPr>
          <w:i/>
        </w:rPr>
      </w:pPr>
    </w:p>
    <w:p w14:paraId="0600D59B" w14:textId="77777777" w:rsidR="000A1088" w:rsidRPr="00F2249F" w:rsidRDefault="000A1088" w:rsidP="00EB1051">
      <w:pPr>
        <w:pStyle w:val="Pta"/>
        <w:overflowPunct w:val="0"/>
        <w:autoSpaceDE w:val="0"/>
        <w:autoSpaceDN w:val="0"/>
        <w:adjustRightInd w:val="0"/>
        <w:jc w:val="both"/>
        <w:textAlignment w:val="baseline"/>
        <w:rPr>
          <w:i/>
        </w:rPr>
      </w:pPr>
    </w:p>
    <w:p w14:paraId="25E34E5C"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pPr>
    </w:p>
    <w:p w14:paraId="1C41EF00" w14:textId="77777777" w:rsidR="00EB1051" w:rsidRPr="00F2249F" w:rsidRDefault="00EB1051" w:rsidP="00EB1051">
      <w:pPr>
        <w:pStyle w:val="Pta"/>
        <w:tabs>
          <w:tab w:val="clear" w:pos="4536"/>
          <w:tab w:val="clear" w:pos="9072"/>
        </w:tabs>
        <w:overflowPunct w:val="0"/>
        <w:autoSpaceDE w:val="0"/>
        <w:autoSpaceDN w:val="0"/>
        <w:adjustRightInd w:val="0"/>
        <w:jc w:val="center"/>
        <w:textAlignment w:val="baseline"/>
        <w:rPr>
          <w:b/>
        </w:rPr>
      </w:pPr>
      <w:r w:rsidRPr="00F2249F">
        <w:rPr>
          <w:b/>
        </w:rPr>
        <w:lastRenderedPageBreak/>
        <w:t xml:space="preserve">KAPITOLA IX – Zrušenie EU </w:t>
      </w:r>
      <w:proofErr w:type="spellStart"/>
      <w:r w:rsidRPr="00F2249F">
        <w:rPr>
          <w:b/>
        </w:rPr>
        <w:t>Inc</w:t>
      </w:r>
      <w:proofErr w:type="spellEnd"/>
      <w:r w:rsidRPr="00F2249F">
        <w:rPr>
          <w:b/>
        </w:rPr>
        <w:t>. spoločností</w:t>
      </w:r>
    </w:p>
    <w:p w14:paraId="287A82BB" w14:textId="77777777" w:rsidR="00EB1051" w:rsidRPr="00F2249F" w:rsidRDefault="00EB1051" w:rsidP="00EB1051">
      <w:pPr>
        <w:pStyle w:val="Pta"/>
        <w:tabs>
          <w:tab w:val="clear" w:pos="4536"/>
          <w:tab w:val="clear" w:pos="9072"/>
        </w:tabs>
        <w:overflowPunct w:val="0"/>
        <w:autoSpaceDE w:val="0"/>
        <w:autoSpaceDN w:val="0"/>
        <w:adjustRightInd w:val="0"/>
        <w:jc w:val="center"/>
        <w:textAlignment w:val="baseline"/>
        <w:rPr>
          <w:b/>
        </w:rPr>
      </w:pPr>
    </w:p>
    <w:p w14:paraId="7EF60E74"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rPr>
          <w:b/>
        </w:rPr>
      </w:pPr>
      <w:r w:rsidRPr="00F2249F">
        <w:rPr>
          <w:b/>
        </w:rPr>
        <w:t>Všeobecne o kapitole</w:t>
      </w:r>
    </w:p>
    <w:p w14:paraId="40958621"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pPr>
      <w:r w:rsidRPr="00F2249F">
        <w:t xml:space="preserve">Kapitola upravuje zrušenie, (čiastočne) likvidáciu a výmaz EU </w:t>
      </w:r>
      <w:proofErr w:type="spellStart"/>
      <w:r w:rsidRPr="00F2249F">
        <w:t>Inc</w:t>
      </w:r>
      <w:proofErr w:type="spellEnd"/>
      <w:r w:rsidRPr="00F2249F">
        <w:t xml:space="preserve">. z obchodného registra. Pre túto formu spoločnosti sa zavádza v týchto fázach možnosť plnej elektronickej komunikácie s obchodným registrom. Predstavujú sa tiež vybrané črty zrýchleného likvidačného konania pre túto formu spoločnosti v prípade, že nie je už ekonomicky aktívna a nemá dlhy, ani majetok. </w:t>
      </w:r>
    </w:p>
    <w:p w14:paraId="434781EB"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rPr>
          <w:i/>
        </w:rPr>
      </w:pPr>
    </w:p>
    <w:p w14:paraId="77DAC750" w14:textId="77777777" w:rsidR="0095558C" w:rsidRPr="00F2249F" w:rsidRDefault="00EB1051" w:rsidP="0095558C">
      <w:pPr>
        <w:pStyle w:val="Pta"/>
        <w:tabs>
          <w:tab w:val="clear" w:pos="4536"/>
          <w:tab w:val="clear" w:pos="9072"/>
        </w:tabs>
        <w:overflowPunct w:val="0"/>
        <w:autoSpaceDE w:val="0"/>
        <w:autoSpaceDN w:val="0"/>
        <w:adjustRightInd w:val="0"/>
        <w:jc w:val="both"/>
        <w:textAlignment w:val="baseline"/>
        <w:rPr>
          <w:i/>
        </w:rPr>
      </w:pPr>
      <w:r w:rsidRPr="00F2249F">
        <w:rPr>
          <w:b/>
          <w:u w:val="single"/>
        </w:rPr>
        <w:t>Pozícia SR</w:t>
      </w:r>
      <w:r w:rsidRPr="00F2249F">
        <w:rPr>
          <w:b/>
        </w:rPr>
        <w:t>:</w:t>
      </w:r>
      <w:r w:rsidRPr="00F2249F">
        <w:t xml:space="preserve"> </w:t>
      </w:r>
      <w:r w:rsidR="0095558C" w:rsidRPr="00F2249F">
        <w:rPr>
          <w:i/>
        </w:rPr>
        <w:t xml:space="preserve">Slovenské právo upravuje zrušenie, </w:t>
      </w:r>
      <w:r w:rsidR="0095558C" w:rsidRPr="00F2249F">
        <w:rPr>
          <w:i/>
          <w:u w:val="single"/>
        </w:rPr>
        <w:t>neplatnosť a zánik</w:t>
      </w:r>
      <w:r w:rsidR="0095558C" w:rsidRPr="00F2249F">
        <w:rPr>
          <w:i/>
        </w:rPr>
        <w:t xml:space="preserve"> spoločnosti čiastočne v § 68-69 ObZ a osobitne pre </w:t>
      </w:r>
      <w:proofErr w:type="spellStart"/>
      <w:r w:rsidR="0095558C" w:rsidRPr="00F2249F">
        <w:rPr>
          <w:i/>
        </w:rPr>
        <w:t>s.r.o</w:t>
      </w:r>
      <w:proofErr w:type="spellEnd"/>
      <w:r w:rsidR="0095558C" w:rsidRPr="00F2249F">
        <w:rPr>
          <w:i/>
        </w:rPr>
        <w:t xml:space="preserve">. v § 151-152 ObZ, </w:t>
      </w:r>
      <w:r w:rsidR="0095558C" w:rsidRPr="00F2249F">
        <w:rPr>
          <w:i/>
          <w:u w:val="single"/>
        </w:rPr>
        <w:t>likvidačné</w:t>
      </w:r>
      <w:r w:rsidR="0095558C" w:rsidRPr="00F2249F">
        <w:rPr>
          <w:i/>
        </w:rPr>
        <w:t xml:space="preserve"> konanie pre obchodné spoločnosti v § 70-75k ObZ a osobitne pre </w:t>
      </w:r>
      <w:proofErr w:type="spellStart"/>
      <w:r w:rsidR="0095558C" w:rsidRPr="00F2249F">
        <w:rPr>
          <w:i/>
        </w:rPr>
        <w:t>s.r.o</w:t>
      </w:r>
      <w:proofErr w:type="spellEnd"/>
      <w:r w:rsidR="0095558C" w:rsidRPr="00F2249F">
        <w:rPr>
          <w:i/>
        </w:rPr>
        <w:t xml:space="preserve">. v § 153 ObZ a pre akciovú spoločnosť v § 219-220a. Procesné a registračné normy k týmto fázam života obchodnej spoločnosti sú upravené i v zákone č. 29/2026 Z. Z. a to najmä v § 26, § 27 a vo všeobecných ustanoveniach zákona o spôsobe komunikácie a o vedení zbierky listín v registri. Pre likvidáciu je dôležitá i procesná úprava v § 304, 308a, 309, 309a-309j Civilného </w:t>
      </w:r>
      <w:proofErr w:type="spellStart"/>
      <w:r w:rsidR="0095558C" w:rsidRPr="00F2249F">
        <w:rPr>
          <w:i/>
        </w:rPr>
        <w:t>mimosporového</w:t>
      </w:r>
      <w:proofErr w:type="spellEnd"/>
      <w:r w:rsidR="0095558C" w:rsidRPr="00F2249F">
        <w:rPr>
          <w:i/>
        </w:rPr>
        <w:t xml:space="preserve"> poriadku. </w:t>
      </w:r>
      <w:r w:rsidR="0095558C" w:rsidRPr="00F2249F">
        <w:rPr>
          <w:i/>
          <w:u w:val="single"/>
        </w:rPr>
        <w:t xml:space="preserve">Všetky likvidačné konania v Slovenskej republike prebiehajú za účasti likvidátora. </w:t>
      </w:r>
    </w:p>
    <w:p w14:paraId="3F987F67" w14:textId="77777777" w:rsidR="0095558C" w:rsidRPr="00F2249F" w:rsidRDefault="0095558C" w:rsidP="00EB1051">
      <w:pPr>
        <w:pStyle w:val="Pta"/>
        <w:tabs>
          <w:tab w:val="clear" w:pos="4536"/>
          <w:tab w:val="clear" w:pos="9072"/>
        </w:tabs>
        <w:overflowPunct w:val="0"/>
        <w:autoSpaceDE w:val="0"/>
        <w:autoSpaceDN w:val="0"/>
        <w:adjustRightInd w:val="0"/>
        <w:jc w:val="both"/>
        <w:textAlignment w:val="baseline"/>
        <w:rPr>
          <w:i/>
        </w:rPr>
      </w:pPr>
    </w:p>
    <w:p w14:paraId="3BAE12A4" w14:textId="1F1D3C21" w:rsidR="00EB1051" w:rsidRPr="00F2249F" w:rsidRDefault="00EB1051" w:rsidP="00EB1051">
      <w:pPr>
        <w:pStyle w:val="Pta"/>
        <w:tabs>
          <w:tab w:val="clear" w:pos="4536"/>
          <w:tab w:val="clear" w:pos="9072"/>
        </w:tabs>
        <w:overflowPunct w:val="0"/>
        <w:autoSpaceDE w:val="0"/>
        <w:autoSpaceDN w:val="0"/>
        <w:adjustRightInd w:val="0"/>
        <w:jc w:val="both"/>
        <w:textAlignment w:val="baseline"/>
        <w:rPr>
          <w:i/>
        </w:rPr>
      </w:pPr>
      <w:r w:rsidRPr="00F2249F">
        <w:rPr>
          <w:i/>
        </w:rPr>
        <w:t xml:space="preserve">Normy kapitoly buď zodpovedajú existujúcej slovenskej úprave (možnosť elektronickej komunikácie pri podávaní návrhov cez registračný súd), alebo predstavujú osobitnú úpravu pre novovznikajúcu pre EU </w:t>
      </w:r>
      <w:proofErr w:type="spellStart"/>
      <w:r w:rsidRPr="00F2249F">
        <w:rPr>
          <w:i/>
        </w:rPr>
        <w:t>Inc</w:t>
      </w:r>
      <w:proofErr w:type="spellEnd"/>
      <w:r w:rsidRPr="00F2249F">
        <w:rPr>
          <w:i/>
        </w:rPr>
        <w:t xml:space="preserve">., ktoré nemajú v slovenskej úprave obdobu. Koexistencia pravidiel o slovenskom likvidačnom konaní s pravidlami na  likvidáciu EU </w:t>
      </w:r>
      <w:proofErr w:type="spellStart"/>
      <w:r w:rsidRPr="00F2249F">
        <w:rPr>
          <w:i/>
        </w:rPr>
        <w:t>Inc</w:t>
      </w:r>
      <w:proofErr w:type="spellEnd"/>
      <w:r w:rsidRPr="00F2249F">
        <w:rPr>
          <w:i/>
        </w:rPr>
        <w:t xml:space="preserve">., najmä v zrýchlenom likvidačnom konaní, bude náročná. Návrh totiž predpokladá likvidačné konanie bez likvidátora, čo prinesie viaceré právne i praktické otázky.  </w:t>
      </w:r>
    </w:p>
    <w:p w14:paraId="200DECA1"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pPr>
    </w:p>
    <w:p w14:paraId="513BA82A"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rPr>
          <w:u w:val="single"/>
        </w:rPr>
      </w:pPr>
      <w:r w:rsidRPr="00F2249F">
        <w:rPr>
          <w:b/>
          <w:u w:val="single"/>
        </w:rPr>
        <w:t>Článok 2 ods. 13, 29 a 30</w:t>
      </w:r>
      <w:r w:rsidRPr="00F2249F">
        <w:rPr>
          <w:u w:val="single"/>
        </w:rPr>
        <w:t xml:space="preserve"> </w:t>
      </w:r>
    </w:p>
    <w:p w14:paraId="78AF3EA0"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pPr>
    </w:p>
    <w:p w14:paraId="76028B7D"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pPr>
      <w:r w:rsidRPr="00F2249F">
        <w:t>Ustanovenia sa týkajú definícií pojmu likvidácia, zrušenie a solventná likvidácia. Návrh nariadenia však uvádza, že zrušenie je „rozhodnutie alebo udalosť vrátane rozhodnutia valného zhromaždenia, uplynutia lehoty alebo výskytu udalosti uvedenej v stanovách spoločnosti, resp. súdneho rozhodnutia, ktorou sa končí bežná obchodná činnosť spoločnosti a ktorou sa .... začína proces likvidácie“.</w:t>
      </w:r>
    </w:p>
    <w:p w14:paraId="5AAE34EB"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rPr>
          <w:b/>
          <w:u w:val="single"/>
        </w:rPr>
      </w:pPr>
    </w:p>
    <w:p w14:paraId="6830F49C"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pPr>
      <w:r w:rsidRPr="00F2249F">
        <w:rPr>
          <w:b/>
          <w:u w:val="single"/>
        </w:rPr>
        <w:t>Pozícia SR</w:t>
      </w:r>
      <w:r w:rsidRPr="00F2249F">
        <w:rPr>
          <w:b/>
        </w:rPr>
        <w:t>:</w:t>
      </w:r>
      <w:r w:rsidRPr="00F2249F">
        <w:t xml:space="preserve"> </w:t>
      </w:r>
      <w:r w:rsidRPr="00F2249F">
        <w:rPr>
          <w:i/>
        </w:rPr>
        <w:t>Slovenské právo upravuje v § 70, § 71 a 75 ObZ, že, spoločnosť vstupuje do likvidácie zápisom likvidátora do obchodného registra, pričom  zápis likvidátora predpokladá (predchádzajúce) ustanovenie likvidátora a zloženie preddavku na likvidáciu. Definícia zrušenia spoločnosti podľa návrhu je teda v rozpore s koncepčným nastavením likvidácie podľa slovenského práva</w:t>
      </w:r>
      <w:r w:rsidRPr="00F2249F">
        <w:t xml:space="preserve">.  </w:t>
      </w:r>
    </w:p>
    <w:p w14:paraId="3924EB53" w14:textId="171FEE09" w:rsidR="00EB1051" w:rsidRDefault="00EB1051" w:rsidP="00EB1051">
      <w:pPr>
        <w:pStyle w:val="Pta"/>
        <w:tabs>
          <w:tab w:val="clear" w:pos="4536"/>
          <w:tab w:val="clear" w:pos="9072"/>
        </w:tabs>
        <w:overflowPunct w:val="0"/>
        <w:autoSpaceDE w:val="0"/>
        <w:autoSpaceDN w:val="0"/>
        <w:adjustRightInd w:val="0"/>
        <w:jc w:val="both"/>
        <w:textAlignment w:val="baseline"/>
        <w:rPr>
          <w:i/>
        </w:rPr>
      </w:pPr>
      <w:r w:rsidRPr="00F2249F">
        <w:rPr>
          <w:i/>
        </w:rPr>
        <w:t xml:space="preserve">Definíciu zrušenia bude </w:t>
      </w:r>
      <w:r w:rsidR="00E01EC7" w:rsidRPr="00F2249F">
        <w:rPr>
          <w:i/>
        </w:rPr>
        <w:t xml:space="preserve">vhodné </w:t>
      </w:r>
      <w:r w:rsidRPr="00F2249F">
        <w:rPr>
          <w:i/>
        </w:rPr>
        <w:t xml:space="preserve">preformulovať tak, aby bola všeobecnejšia. </w:t>
      </w:r>
    </w:p>
    <w:p w14:paraId="5864A325"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pPr>
    </w:p>
    <w:p w14:paraId="27D3B409"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rPr>
          <w:u w:val="single"/>
        </w:rPr>
      </w:pPr>
      <w:r w:rsidRPr="00F2249F">
        <w:rPr>
          <w:b/>
          <w:u w:val="single"/>
        </w:rPr>
        <w:t>Článok 80</w:t>
      </w:r>
      <w:r w:rsidRPr="00F2249F">
        <w:rPr>
          <w:u w:val="single"/>
        </w:rPr>
        <w:t xml:space="preserve"> </w:t>
      </w:r>
      <w:r w:rsidRPr="00F2249F">
        <w:rPr>
          <w:b/>
          <w:u w:val="single"/>
        </w:rPr>
        <w:t>Zrušenie spoločnosti</w:t>
      </w:r>
    </w:p>
    <w:p w14:paraId="7FAE7ED4"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pPr>
    </w:p>
    <w:p w14:paraId="644488BE"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pPr>
      <w:r w:rsidRPr="00F2249F">
        <w:t xml:space="preserve">Ustanovenie sa týka registrácie zrušenia spoločnosti EU </w:t>
      </w:r>
      <w:proofErr w:type="spellStart"/>
      <w:r w:rsidRPr="00F2249F">
        <w:t>Inc</w:t>
      </w:r>
      <w:proofErr w:type="spellEnd"/>
      <w:r w:rsidRPr="00F2249F">
        <w:t xml:space="preserve">. do obchodného registra. Spoločnosť musí mať možnosť podať túto informáciu do registra elektronickým spôsobom a ten musí status ihneď aktualizovať a zverejniť. </w:t>
      </w:r>
    </w:p>
    <w:p w14:paraId="6A284D31"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rPr>
          <w:b/>
          <w:u w:val="single"/>
        </w:rPr>
      </w:pPr>
    </w:p>
    <w:p w14:paraId="30DB5B34" w14:textId="77777777" w:rsidR="00E01EC7" w:rsidRPr="00F2249F" w:rsidRDefault="00EB1051" w:rsidP="00E01EC7">
      <w:pPr>
        <w:pStyle w:val="Pta"/>
        <w:tabs>
          <w:tab w:val="clear" w:pos="4536"/>
          <w:tab w:val="clear" w:pos="9072"/>
        </w:tabs>
        <w:overflowPunct w:val="0"/>
        <w:autoSpaceDE w:val="0"/>
        <w:autoSpaceDN w:val="0"/>
        <w:adjustRightInd w:val="0"/>
        <w:jc w:val="both"/>
        <w:textAlignment w:val="baseline"/>
      </w:pPr>
      <w:r w:rsidRPr="00F2249F">
        <w:rPr>
          <w:b/>
          <w:u w:val="single"/>
        </w:rPr>
        <w:t>Pozícia SR</w:t>
      </w:r>
      <w:r w:rsidRPr="00F2249F">
        <w:rPr>
          <w:b/>
        </w:rPr>
        <w:t>:</w:t>
      </w:r>
      <w:r w:rsidRPr="00F2249F">
        <w:t xml:space="preserve"> </w:t>
      </w:r>
      <w:r w:rsidR="00E01EC7" w:rsidRPr="00F2249F">
        <w:t>Slovenské právo upravuje túto možnosť v zákone č. 29/2026 Z. z.  (§ 26 a27, druhá hlava – registrácia).</w:t>
      </w:r>
    </w:p>
    <w:p w14:paraId="272630C9"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rPr>
          <w:i/>
        </w:rPr>
      </w:pPr>
      <w:r w:rsidRPr="00F2249F">
        <w:rPr>
          <w:i/>
        </w:rPr>
        <w:t xml:space="preserve">Slovenská republika má pochybnosti o podávaní návrhov cez EU interface v prípade zmien v spoločnosti (článok 27), najmä o funkčnosti a pridanej hodnote takejto formy podávania. Do obchodného registra prúdia rôzne dáta a rôzne dokumenty cez štandardizované formuláre na </w:t>
      </w:r>
      <w:r w:rsidRPr="00F2249F">
        <w:rPr>
          <w:i/>
        </w:rPr>
        <w:lastRenderedPageBreak/>
        <w:t xml:space="preserve">každú zmenu. Formulár umožňuje automatické stiahnutie dát pre súdneho úradníka, čo zamedzuje chybovosti. Okrem toho sa tým umožňujú automatické kontroly a zrýchľuje registrácia zmien. V diskusiách bude potrebné doriešiť, či je efektívne presadzovať podávanie návrhov touto formou a ak áno, ako sa vyriešia praktické aspekty takéhoto podávania. </w:t>
      </w:r>
    </w:p>
    <w:p w14:paraId="7F2A5CA4"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rPr>
          <w:i/>
        </w:rPr>
      </w:pPr>
      <w:r w:rsidRPr="00F2249F">
        <w:rPr>
          <w:i/>
        </w:rPr>
        <w:t xml:space="preserve"> </w:t>
      </w:r>
    </w:p>
    <w:p w14:paraId="173106AD"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rPr>
          <w:b/>
          <w:u w:val="single"/>
        </w:rPr>
      </w:pPr>
      <w:r w:rsidRPr="00F2249F">
        <w:rPr>
          <w:b/>
          <w:u w:val="single"/>
        </w:rPr>
        <w:t>Článok 81 Neplatnosť</w:t>
      </w:r>
    </w:p>
    <w:p w14:paraId="4ED9E181"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pPr>
    </w:p>
    <w:p w14:paraId="17ACF6B8"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pPr>
      <w:r w:rsidRPr="00F2249F">
        <w:t xml:space="preserve">Ustanovenie sa týka neplatnosti spoločnosti EU </w:t>
      </w:r>
      <w:proofErr w:type="spellStart"/>
      <w:r w:rsidRPr="00F2249F">
        <w:t>Inc</w:t>
      </w:r>
      <w:proofErr w:type="spellEnd"/>
      <w:r w:rsidRPr="00F2249F">
        <w:t xml:space="preserve">. a vychádza z čl. 11 a 12 smernice (EÚ) 2017/1132 v aktuálnom znení, konkrétne normy sú však prispôsobené forme EU </w:t>
      </w:r>
      <w:proofErr w:type="spellStart"/>
      <w:r w:rsidRPr="00F2249F">
        <w:t>Inc</w:t>
      </w:r>
      <w:proofErr w:type="spellEnd"/>
      <w:r w:rsidRPr="00F2249F">
        <w:t>.</w:t>
      </w:r>
    </w:p>
    <w:p w14:paraId="6181B70D"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pPr>
      <w:r w:rsidRPr="00F2249F">
        <w:t xml:space="preserve">Slovenské právo upravuje obdobné situácie v § 68a, ktoré predstavuje transpozíciu cit. smernice. </w:t>
      </w:r>
    </w:p>
    <w:p w14:paraId="48584F21" w14:textId="77777777" w:rsidR="00EB1051" w:rsidRPr="00F2249F" w:rsidRDefault="00EB1051" w:rsidP="00EB1051">
      <w:pPr>
        <w:rPr>
          <w:b/>
          <w:u w:val="single"/>
        </w:rPr>
      </w:pPr>
    </w:p>
    <w:p w14:paraId="7EE083EB" w14:textId="77777777" w:rsidR="00EB1051" w:rsidRPr="00F2249F" w:rsidRDefault="00EB1051" w:rsidP="00EB1051">
      <w:pPr>
        <w:rPr>
          <w:i/>
        </w:rPr>
      </w:pPr>
      <w:r w:rsidRPr="00F2249F">
        <w:rPr>
          <w:b/>
          <w:u w:val="single"/>
        </w:rPr>
        <w:t>Pozícia SR</w:t>
      </w:r>
      <w:r w:rsidRPr="00F2249F">
        <w:rPr>
          <w:b/>
        </w:rPr>
        <w:t>:</w:t>
      </w:r>
      <w:r w:rsidRPr="00F2249F">
        <w:t xml:space="preserve"> </w:t>
      </w:r>
      <w:r w:rsidRPr="00F2249F">
        <w:rPr>
          <w:i/>
        </w:rPr>
        <w:t xml:space="preserve">Slovenská republika nemá voči zneniu článku výhrady. </w:t>
      </w:r>
    </w:p>
    <w:p w14:paraId="0631D3E6"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pPr>
    </w:p>
    <w:p w14:paraId="409AC60B"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rPr>
          <w:b/>
          <w:u w:val="single"/>
        </w:rPr>
      </w:pPr>
      <w:r w:rsidRPr="00F2249F">
        <w:rPr>
          <w:b/>
          <w:u w:val="single"/>
        </w:rPr>
        <w:t>Článok 82 Predloženie dát iba raz a digitálna komunikácia počas likvidácie</w:t>
      </w:r>
    </w:p>
    <w:p w14:paraId="0CAC6346"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pPr>
    </w:p>
    <w:p w14:paraId="4C692EA6" w14:textId="2DD4A147" w:rsidR="00EB1051" w:rsidRPr="00F2249F" w:rsidRDefault="00EB1051" w:rsidP="00EB1051">
      <w:pPr>
        <w:pStyle w:val="Pta"/>
        <w:tabs>
          <w:tab w:val="clear" w:pos="4536"/>
          <w:tab w:val="clear" w:pos="9072"/>
        </w:tabs>
        <w:overflowPunct w:val="0"/>
        <w:autoSpaceDE w:val="0"/>
        <w:autoSpaceDN w:val="0"/>
        <w:adjustRightInd w:val="0"/>
        <w:jc w:val="both"/>
        <w:textAlignment w:val="baseline"/>
      </w:pPr>
      <w:r w:rsidRPr="00F2249F">
        <w:t xml:space="preserve">Ustanovenie sa týka povinnej elektronickej formy a aplikácie princípu „iba raz“ pri predkladaní informácií a dokumentov obchodnému registru počas likvidácie. Obchodný register (nie spoločnosť), je povinný bez meškania elektronicky informovať všetky vnútroštátne orgány o zmene statusu spoločnosti a to bez meškania. Článok zavádza i povinnosť umožniť elektronické prihlasovanie pohľadávok veriteľov (postačí na príklad aj e-mailová forma), pričom vnútroštátne ustanovenia o papierovej forme, alebo forme notárskej zápisnice, sa neuplatnia. </w:t>
      </w:r>
    </w:p>
    <w:p w14:paraId="09B46432"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rPr>
          <w:b/>
          <w:u w:val="single"/>
        </w:rPr>
      </w:pPr>
    </w:p>
    <w:p w14:paraId="07A41604" w14:textId="77777777" w:rsidR="00E01EC7" w:rsidRPr="00F2249F" w:rsidRDefault="00EB1051" w:rsidP="00E01EC7">
      <w:pPr>
        <w:pStyle w:val="Pta"/>
        <w:tabs>
          <w:tab w:val="clear" w:pos="4536"/>
          <w:tab w:val="clear" w:pos="9072"/>
        </w:tabs>
        <w:overflowPunct w:val="0"/>
        <w:autoSpaceDE w:val="0"/>
        <w:autoSpaceDN w:val="0"/>
        <w:adjustRightInd w:val="0"/>
        <w:jc w:val="both"/>
        <w:textAlignment w:val="baseline"/>
      </w:pPr>
      <w:r w:rsidRPr="00F2249F">
        <w:rPr>
          <w:b/>
          <w:u w:val="single"/>
        </w:rPr>
        <w:t>Pozícia SR</w:t>
      </w:r>
      <w:r w:rsidRPr="00F2249F">
        <w:rPr>
          <w:b/>
        </w:rPr>
        <w:t>:</w:t>
      </w:r>
      <w:r w:rsidRPr="00F2249F">
        <w:t xml:space="preserve"> </w:t>
      </w:r>
      <w:r w:rsidR="00E01EC7" w:rsidRPr="00F2249F">
        <w:rPr>
          <w:i/>
        </w:rPr>
        <w:t>Slovenské právo upravuje prihlasovanie pohľadávok do likvidácie v  §  75d ObZ , avšak slovenské právo neobsahuje povinnosť informovať vnútroštátne orgány osobitne (inak ako zverejnením v obchodnom registri) informovať štátne orgány o likvidácii. Slovenské právo takisto v súčasnosti nemá povinnú možnosť elektronického prihlasovania pohľadávok veriteľov a závisí od likvidátora, či má aktivovanú elektronickú schránku a umožňuje túto formu doručovania. § 75d  ObZ uprednostňuje doručovanie prihlášok na bydlisko likvidátora.</w:t>
      </w:r>
    </w:p>
    <w:p w14:paraId="68747574" w14:textId="62B73307" w:rsidR="00EB1051" w:rsidRPr="00F2249F" w:rsidRDefault="00EB1051" w:rsidP="00EB1051">
      <w:pPr>
        <w:pStyle w:val="Pta"/>
        <w:tabs>
          <w:tab w:val="clear" w:pos="4536"/>
          <w:tab w:val="clear" w:pos="9072"/>
        </w:tabs>
        <w:overflowPunct w:val="0"/>
        <w:autoSpaceDE w:val="0"/>
        <w:autoSpaceDN w:val="0"/>
        <w:adjustRightInd w:val="0"/>
        <w:jc w:val="both"/>
        <w:textAlignment w:val="baseline"/>
        <w:rPr>
          <w:i/>
        </w:rPr>
      </w:pPr>
      <w:r w:rsidRPr="00F2249F">
        <w:rPr>
          <w:i/>
        </w:rPr>
        <w:t xml:space="preserve">Pokiaľ ide o online komunikáciu s obchodným registrom, </w:t>
      </w:r>
      <w:r w:rsidR="00E01EC7" w:rsidRPr="00F2249F">
        <w:rPr>
          <w:i/>
        </w:rPr>
        <w:t xml:space="preserve">slovenská </w:t>
      </w:r>
      <w:r w:rsidRPr="00F2249F">
        <w:rPr>
          <w:i/>
        </w:rPr>
        <w:t xml:space="preserve">úprava takúto formu už pozná a preferuje. Otázne sú praktické aspekty podávania cez EU rozhranie (viď čl. 80 vyššie). Pokiaľ ide o informovanie ostatných orgánov o začatí likvidácie, zodpovedá úprava princípu „jeden krát a dosť“ a Slovenská republika nemá k návrhu výhrady. Pokiaľ ide o formu elektronického prihlasovania pohľadávok veriteľov, príliš flexibilná forma bez identifikácie veriteľa vzbudzuje obavy zo zneužitia systému. </w:t>
      </w:r>
    </w:p>
    <w:p w14:paraId="25B21BB6" w14:textId="77777777" w:rsidR="00031EB4" w:rsidRPr="00F2249F" w:rsidRDefault="00031EB4" w:rsidP="00EB1051">
      <w:pPr>
        <w:pStyle w:val="Pta"/>
        <w:tabs>
          <w:tab w:val="clear" w:pos="4536"/>
          <w:tab w:val="clear" w:pos="9072"/>
        </w:tabs>
        <w:overflowPunct w:val="0"/>
        <w:autoSpaceDE w:val="0"/>
        <w:autoSpaceDN w:val="0"/>
        <w:adjustRightInd w:val="0"/>
        <w:jc w:val="both"/>
        <w:textAlignment w:val="baseline"/>
      </w:pPr>
    </w:p>
    <w:p w14:paraId="3DEE3642"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rPr>
          <w:b/>
          <w:u w:val="single"/>
        </w:rPr>
      </w:pPr>
      <w:r w:rsidRPr="00F2249F">
        <w:rPr>
          <w:b/>
          <w:u w:val="single"/>
        </w:rPr>
        <w:t>Článok 83 Zrýchlená likvidácia</w:t>
      </w:r>
    </w:p>
    <w:p w14:paraId="76A44C01" w14:textId="292D90E6" w:rsidR="00EB1051" w:rsidRPr="00F2249F" w:rsidRDefault="00EB1051" w:rsidP="00EB1051">
      <w:pPr>
        <w:pStyle w:val="Pta"/>
        <w:tabs>
          <w:tab w:val="clear" w:pos="4536"/>
          <w:tab w:val="clear" w:pos="9072"/>
        </w:tabs>
        <w:overflowPunct w:val="0"/>
        <w:autoSpaceDE w:val="0"/>
        <w:autoSpaceDN w:val="0"/>
        <w:adjustRightInd w:val="0"/>
        <w:jc w:val="both"/>
        <w:textAlignment w:val="baseline"/>
      </w:pPr>
      <w:r w:rsidRPr="00F2249F">
        <w:t xml:space="preserve">Ustanovenie sa týka zavedenia zrýchleného likvidačného konania, ktoré môže byť nariadené pri zrušení spoločnosti rozhodnutím valného zhromaždenia ako aj zrušení súdom. Podmienky, za ktorých je zrýchlené konanie možné uskutočniť, sa týkajú spoločností so skončenou hospodárskou činnosťou, bez majetku, záväzkov či prebiehajúcich konaní. Pokiaľ tieto podmienky nie sú splnené, vyžaduje sa súhlas všetkých známych veriteľov. V prípade podvodu sa zavádza zodpovednosť </w:t>
      </w:r>
      <w:r w:rsidR="007F64D1" w:rsidRPr="00F2249F">
        <w:t>riaditeľov</w:t>
      </w:r>
      <w:r w:rsidRPr="00F2249F">
        <w:t xml:space="preserve"> voči veriteľom. Na pracovnej skupine KOM vyjasnila, že v zrýchlenom likvidačnom konaní nebude figurovať žiadny likvidátor. </w:t>
      </w:r>
    </w:p>
    <w:p w14:paraId="1804ADE3" w14:textId="52ADF20C" w:rsidR="00EB1051" w:rsidRPr="00F2249F" w:rsidRDefault="00EB1051" w:rsidP="00EB1051">
      <w:pPr>
        <w:pStyle w:val="Pta"/>
        <w:tabs>
          <w:tab w:val="clear" w:pos="4536"/>
          <w:tab w:val="clear" w:pos="9072"/>
        </w:tabs>
        <w:overflowPunct w:val="0"/>
        <w:autoSpaceDE w:val="0"/>
        <w:autoSpaceDN w:val="0"/>
        <w:adjustRightInd w:val="0"/>
        <w:jc w:val="both"/>
        <w:textAlignment w:val="baseline"/>
      </w:pPr>
    </w:p>
    <w:p w14:paraId="068FAA1F" w14:textId="11EDC722" w:rsidR="00EB1051" w:rsidRPr="00F2249F" w:rsidRDefault="00EB1051" w:rsidP="00EB1051">
      <w:pPr>
        <w:pStyle w:val="Pta"/>
        <w:tabs>
          <w:tab w:val="clear" w:pos="4536"/>
          <w:tab w:val="clear" w:pos="9072"/>
        </w:tabs>
        <w:overflowPunct w:val="0"/>
        <w:autoSpaceDE w:val="0"/>
        <w:autoSpaceDN w:val="0"/>
        <w:adjustRightInd w:val="0"/>
        <w:jc w:val="both"/>
        <w:textAlignment w:val="baseline"/>
        <w:rPr>
          <w:i/>
        </w:rPr>
      </w:pPr>
      <w:r w:rsidRPr="00F2249F">
        <w:rPr>
          <w:b/>
          <w:u w:val="single"/>
        </w:rPr>
        <w:t>Pozícia SR</w:t>
      </w:r>
      <w:r w:rsidRPr="00F2249F">
        <w:rPr>
          <w:b/>
        </w:rPr>
        <w:t>:</w:t>
      </w:r>
      <w:r w:rsidRPr="00F2249F">
        <w:t xml:space="preserve"> </w:t>
      </w:r>
      <w:r w:rsidR="00E01EC7" w:rsidRPr="00F2249F">
        <w:rPr>
          <w:i/>
        </w:rPr>
        <w:t>Slovenské právo nepredpokladá ani likvidačné konanie bez likvidátora, ani zodpovednosť štatutárnych orgánov za nesprávne informácie v osobitnom likvidačnom konaní.</w:t>
      </w:r>
      <w:r w:rsidR="00CE5EEF" w:rsidRPr="00F2249F">
        <w:rPr>
          <w:i/>
        </w:rPr>
        <w:t xml:space="preserve"> </w:t>
      </w:r>
      <w:r w:rsidRPr="00F2249F">
        <w:rPr>
          <w:i/>
        </w:rPr>
        <w:t>Pozícia Slovenskej republiky k ustanoveniu je neutrálna, považujeme však za potr</w:t>
      </w:r>
      <w:r w:rsidR="00E01EC7" w:rsidRPr="00F2249F">
        <w:rPr>
          <w:i/>
        </w:rPr>
        <w:t>ebné byť v tejto oblasti opatrní</w:t>
      </w:r>
      <w:r w:rsidRPr="00F2249F">
        <w:rPr>
          <w:i/>
        </w:rPr>
        <w:t xml:space="preserve">. V diskusiách bude potrebné podrobnejšie preskúmať nastavenie </w:t>
      </w:r>
      <w:r w:rsidRPr="00F2249F">
        <w:rPr>
          <w:i/>
        </w:rPr>
        <w:lastRenderedPageBreak/>
        <w:t xml:space="preserve">zodpovednosti </w:t>
      </w:r>
      <w:r w:rsidR="007F64D1" w:rsidRPr="00F2249F">
        <w:rPr>
          <w:i/>
        </w:rPr>
        <w:t>riaditeľov</w:t>
      </w:r>
      <w:r w:rsidRPr="00F2249F">
        <w:rPr>
          <w:i/>
        </w:rPr>
        <w:t xml:space="preserve"> ako hlavnej zábezpeky legitímnosti zrýchleného likvidačného konania, najmä s ohľadom na článok 42 ods. 2 návrhu, ktorý stanovuje, že aspoň jeden z </w:t>
      </w:r>
      <w:r w:rsidR="00137FD0" w:rsidRPr="00F2249F">
        <w:rPr>
          <w:i/>
        </w:rPr>
        <w:t xml:space="preserve">členov správnej rady </w:t>
      </w:r>
      <w:r w:rsidRPr="00F2249F">
        <w:rPr>
          <w:i/>
        </w:rPr>
        <w:t xml:space="preserve">musí mať pobyt v EÚ. Bude vhodné zvážiť, či navrhovaná úprava dostatočne zohľadňuje potrebu efektívnej ochrany veriteľov a vymožiteľnosti ich právaj v prípadoch, keď budú </w:t>
      </w:r>
      <w:r w:rsidR="007F64D1" w:rsidRPr="00F2249F">
        <w:rPr>
          <w:i/>
        </w:rPr>
        <w:t>riaditelia</w:t>
      </w:r>
      <w:r w:rsidR="00CE5EEF" w:rsidRPr="00F2249F">
        <w:rPr>
          <w:i/>
        </w:rPr>
        <w:t xml:space="preserve"> </w:t>
      </w:r>
      <w:r w:rsidRPr="00F2249F">
        <w:rPr>
          <w:i/>
        </w:rPr>
        <w:t>pôsobiť prevažne mimo EÚ a </w:t>
      </w:r>
      <w:r w:rsidR="007F64D1" w:rsidRPr="00F2249F">
        <w:rPr>
          <w:i/>
        </w:rPr>
        <w:t xml:space="preserve">riaditeľom </w:t>
      </w:r>
      <w:r w:rsidRPr="00F2249F">
        <w:rPr>
          <w:i/>
        </w:rPr>
        <w:t xml:space="preserve">v EÚ bude napríklad biely kôň, či ak sa jeho bydlisko po registrácii spoločnosti presunie mimo EÚ. Rovnako bude potrebné bližšie vyjasniť praktické aspekty dokazovania skutočností uvedených v čl. 46 najmä vo vzťahu k preukazovaniu transakcií so spriaznenými osobami a uplatnenia ručenia spoločníkov v situáciách, keď spoločnosť nevedie účtovníctvo riadne.  </w:t>
      </w:r>
    </w:p>
    <w:p w14:paraId="507E13C5"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rPr>
          <w:i/>
        </w:rPr>
      </w:pPr>
      <w:r w:rsidRPr="00F2249F">
        <w:rPr>
          <w:i/>
        </w:rPr>
        <w:t>Koncept likvidačného konania bez likvidátora vykonávajúceho dohľad nad priebehom likvidácie slovenská právna úprava nepozná a preto bude potrebné posúdiť jeho vzťah k existujúcej koncepcii likvidačného konania podľa slovenského práva a zabezpečiť primeranú úroveň ochrany veriteľov. Slovenské právo pozná  osobitné konanie o zrušení obchodnej spoločnosti podľa §§ 309 až 309i CMP, v rámci ktorého dochádza v osobitnom postupe k zrušeniu obchodnej spoločnosti a jej výmazu z obchodného registra bez likvidácie (a teda i likvidátora). Toto konanie však obsahuje osobitnú ochrannú poistku v podobe zákonnej domnienky úpadku spoločnosti, ktorá sa zverejňuje v Obchodnom vestníku a umožňuje veriteľom v dlhšej lehote (šesť mesiacov) iniciovať likvidáciu spoločnosti. K výmazu spoločnosti z obchodného registra sa pristupuje až v prípade absencie reakcie zo strany veriteľov.</w:t>
      </w:r>
    </w:p>
    <w:p w14:paraId="0FC9425D" w14:textId="6B2E581B" w:rsidR="00EB1051" w:rsidRPr="00F2249F" w:rsidRDefault="00EB1051" w:rsidP="00EB1051">
      <w:pPr>
        <w:pStyle w:val="Pta"/>
        <w:tabs>
          <w:tab w:val="clear" w:pos="4536"/>
          <w:tab w:val="clear" w:pos="9072"/>
        </w:tabs>
        <w:overflowPunct w:val="0"/>
        <w:autoSpaceDE w:val="0"/>
        <w:autoSpaceDN w:val="0"/>
        <w:adjustRightInd w:val="0"/>
        <w:jc w:val="both"/>
        <w:textAlignment w:val="baseline"/>
        <w:rPr>
          <w:i/>
        </w:rPr>
      </w:pPr>
      <w:r w:rsidRPr="00F2249F">
        <w:rPr>
          <w:i/>
        </w:rPr>
        <w:t xml:space="preserve">Kriticky možno hodnotiť, že takúto zrýchlenú likvidáciu má vykonávať obchodný register. Je možné uvažovať nad likvidáciou solventnej EU </w:t>
      </w:r>
      <w:proofErr w:type="spellStart"/>
      <w:r w:rsidRPr="00F2249F">
        <w:rPr>
          <w:i/>
        </w:rPr>
        <w:t>Inc</w:t>
      </w:r>
      <w:proofErr w:type="spellEnd"/>
      <w:r w:rsidRPr="00F2249F">
        <w:rPr>
          <w:i/>
        </w:rPr>
        <w:t xml:space="preserve">., ale rozhodnutím súdu, ktoré sa následne zapíše do obchodného registra a spoločnosť sa vymaže. Je však otázne, či má byť takáto povinnosť prenášaná z likvidátora na súd/obchodný register. Opätovne ide o prenos nákladov na členské štáty, čo považujeme za problematické.  </w:t>
      </w:r>
    </w:p>
    <w:p w14:paraId="37039C70"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pPr>
    </w:p>
    <w:p w14:paraId="20954670"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rPr>
          <w:b/>
          <w:u w:val="single"/>
        </w:rPr>
      </w:pPr>
      <w:r w:rsidRPr="00F2249F">
        <w:rPr>
          <w:b/>
          <w:u w:val="single"/>
        </w:rPr>
        <w:t>Článok 84 Zrýchlené likvidačné konanie</w:t>
      </w:r>
    </w:p>
    <w:p w14:paraId="19BBF0AF"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pPr>
    </w:p>
    <w:p w14:paraId="5A0D33AD"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pPr>
      <w:r w:rsidRPr="00F2249F">
        <w:t xml:space="preserve">Ustanovenie sa týka procesných otázok zrýchleného likvidačného konania pre EU </w:t>
      </w:r>
      <w:proofErr w:type="spellStart"/>
      <w:r w:rsidRPr="00F2249F">
        <w:t>Inc</w:t>
      </w:r>
      <w:proofErr w:type="spellEnd"/>
      <w:r w:rsidRPr="00F2249F">
        <w:t xml:space="preserve">., od podmienok jeho začatia, cez povinné náležitosti a prílohy, až po povinnosti obchodného registra umožniť celú komunikáciu elektronicky a uvedené dáta a prílohy zverejniť podľa čl. 25 návrhu. </w:t>
      </w:r>
    </w:p>
    <w:p w14:paraId="3D56E010"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rPr>
          <w:b/>
          <w:u w:val="single"/>
        </w:rPr>
      </w:pPr>
    </w:p>
    <w:p w14:paraId="46003B60" w14:textId="77777777" w:rsidR="00E01EC7" w:rsidRPr="00F2249F" w:rsidRDefault="00EB1051" w:rsidP="00E01EC7">
      <w:pPr>
        <w:pStyle w:val="Pta"/>
        <w:tabs>
          <w:tab w:val="clear" w:pos="4536"/>
          <w:tab w:val="clear" w:pos="9072"/>
        </w:tabs>
        <w:overflowPunct w:val="0"/>
        <w:autoSpaceDE w:val="0"/>
        <w:autoSpaceDN w:val="0"/>
        <w:adjustRightInd w:val="0"/>
        <w:jc w:val="both"/>
        <w:textAlignment w:val="baseline"/>
        <w:rPr>
          <w:i/>
        </w:rPr>
      </w:pPr>
      <w:r w:rsidRPr="00F2249F">
        <w:rPr>
          <w:b/>
          <w:u w:val="single"/>
        </w:rPr>
        <w:t>Pozícia SR</w:t>
      </w:r>
      <w:r w:rsidRPr="00F2249F">
        <w:rPr>
          <w:b/>
        </w:rPr>
        <w:t>:</w:t>
      </w:r>
      <w:r w:rsidRPr="00F2249F">
        <w:t xml:space="preserve"> </w:t>
      </w:r>
      <w:r w:rsidR="00E01EC7" w:rsidRPr="00F2249F">
        <w:rPr>
          <w:i/>
        </w:rPr>
        <w:t xml:space="preserve">Slovenské právo takýto proces neupravuje, keďže zrýchlený proces je osobitným likvidačným postupom pre EU </w:t>
      </w:r>
      <w:proofErr w:type="spellStart"/>
      <w:r w:rsidR="00E01EC7" w:rsidRPr="00F2249F">
        <w:rPr>
          <w:i/>
        </w:rPr>
        <w:t>Inc</w:t>
      </w:r>
      <w:proofErr w:type="spellEnd"/>
      <w:r w:rsidR="00E01EC7" w:rsidRPr="00F2249F">
        <w:rPr>
          <w:i/>
        </w:rPr>
        <w:t xml:space="preserve">. </w:t>
      </w:r>
    </w:p>
    <w:p w14:paraId="48DE9217"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pPr>
      <w:r w:rsidRPr="00F2249F">
        <w:rPr>
          <w:i/>
        </w:rPr>
        <w:t>Slovenská republika nemá voči zneniu článku výhrady, finálna pozícia bude však závisieť od znenia príslušných článkov od ktorých sa odvíja.</w:t>
      </w:r>
      <w:r w:rsidRPr="00F2249F">
        <w:t xml:space="preserve"> </w:t>
      </w:r>
    </w:p>
    <w:p w14:paraId="1D9752C0"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pPr>
    </w:p>
    <w:p w14:paraId="514E53C9"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rPr>
          <w:b/>
          <w:u w:val="single"/>
        </w:rPr>
      </w:pPr>
      <w:r w:rsidRPr="00F2249F">
        <w:rPr>
          <w:b/>
          <w:u w:val="single"/>
        </w:rPr>
        <w:t>Článok 85 Námietky veriteľov</w:t>
      </w:r>
    </w:p>
    <w:p w14:paraId="44F11D29"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pPr>
    </w:p>
    <w:p w14:paraId="70F8913F" w14:textId="6A099153" w:rsidR="00EB1051" w:rsidRPr="00F2249F" w:rsidRDefault="00EB1051" w:rsidP="00EB1051">
      <w:pPr>
        <w:pStyle w:val="Pta"/>
        <w:tabs>
          <w:tab w:val="clear" w:pos="4536"/>
          <w:tab w:val="clear" w:pos="9072"/>
        </w:tabs>
        <w:overflowPunct w:val="0"/>
        <w:autoSpaceDE w:val="0"/>
        <w:autoSpaceDN w:val="0"/>
        <w:adjustRightInd w:val="0"/>
        <w:jc w:val="both"/>
        <w:textAlignment w:val="baseline"/>
      </w:pPr>
      <w:r w:rsidRPr="00F2249F">
        <w:t xml:space="preserve">Ustanovenie sa týka námietok veriteľov voči zrýchlenému likvidačnému konaniu EU </w:t>
      </w:r>
      <w:proofErr w:type="spellStart"/>
      <w:r w:rsidRPr="00F2249F">
        <w:t>Inc</w:t>
      </w:r>
      <w:proofErr w:type="spellEnd"/>
      <w:r w:rsidRPr="00F2249F">
        <w:t xml:space="preserve">. Odôvodnené námietky môžu veritelia podať elektronicky obchodnému registru (v lehote 30 dní odo dňa zverejnenia údajov a dokumentov podľa čl. 84; ale aj po tejto lehote pred výmazom spoločnosti). Ak obchodný register vezme do úvahy námietky veriteľov, zmení proces likvidácie na obyčajný. Nesplatené neprihlásené pohľadávky si veriteľ môže uplatniť proti </w:t>
      </w:r>
      <w:r w:rsidR="00137FD0" w:rsidRPr="00F2249F">
        <w:t xml:space="preserve">členovi správnej rady </w:t>
      </w:r>
      <w:r w:rsidRPr="00F2249F">
        <w:t xml:space="preserve">i po výmaze spoločnosti, na ten účel má prístup k účtovníctvu spoločnosti. </w:t>
      </w:r>
    </w:p>
    <w:p w14:paraId="2B5F73AD"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rPr>
          <w:b/>
          <w:u w:val="single"/>
        </w:rPr>
      </w:pPr>
    </w:p>
    <w:p w14:paraId="06DE5CD8" w14:textId="7894FD63" w:rsidR="00CD6A29" w:rsidRPr="00F2249F" w:rsidRDefault="00EB1051" w:rsidP="00CD6A29">
      <w:pPr>
        <w:pStyle w:val="Pta"/>
        <w:tabs>
          <w:tab w:val="clear" w:pos="4536"/>
          <w:tab w:val="clear" w:pos="9072"/>
        </w:tabs>
        <w:overflowPunct w:val="0"/>
        <w:autoSpaceDE w:val="0"/>
        <w:autoSpaceDN w:val="0"/>
        <w:adjustRightInd w:val="0"/>
        <w:jc w:val="both"/>
        <w:textAlignment w:val="baseline"/>
        <w:rPr>
          <w:i/>
        </w:rPr>
      </w:pPr>
      <w:r w:rsidRPr="00F2249F">
        <w:rPr>
          <w:b/>
          <w:u w:val="single"/>
        </w:rPr>
        <w:t>Pozícia SR</w:t>
      </w:r>
      <w:r w:rsidRPr="00F2249F">
        <w:rPr>
          <w:b/>
        </w:rPr>
        <w:t>:</w:t>
      </w:r>
      <w:r w:rsidRPr="00F2249F">
        <w:t xml:space="preserve"> </w:t>
      </w:r>
      <w:r w:rsidR="00CD6A29" w:rsidRPr="00F2249F">
        <w:rPr>
          <w:i/>
        </w:rPr>
        <w:t xml:space="preserve">Slovenská úprava postavenia veriteľov v likvidačnom konaní sa nachádza v § 75d ObZ, návrhu však nezodpovedá, pretože predpokladá prihlasovanie pohľadávok veriteľmi. Návrh zasahuje i do slovenskej úpravy dodatočnej likvidácie, ku ktorej pristupuje z iného </w:t>
      </w:r>
      <w:r w:rsidR="00CD6A29" w:rsidRPr="00F2249F">
        <w:rPr>
          <w:i/>
        </w:rPr>
        <w:lastRenderedPageBreak/>
        <w:t xml:space="preserve">hľadiska – neobnovuje spoločnosť, ale zachováva zodpovednosť </w:t>
      </w:r>
      <w:r w:rsidR="00137FD0" w:rsidRPr="00F2249F">
        <w:rPr>
          <w:i/>
        </w:rPr>
        <w:t>riaditeľov</w:t>
      </w:r>
      <w:r w:rsidR="00CD6A29" w:rsidRPr="00F2249F">
        <w:rPr>
          <w:i/>
        </w:rPr>
        <w:t xml:space="preserve"> a veriteľom sprístupňuje na ten účel účtovníctvo EU </w:t>
      </w:r>
      <w:proofErr w:type="spellStart"/>
      <w:r w:rsidR="00CD6A29" w:rsidRPr="00F2249F">
        <w:rPr>
          <w:i/>
        </w:rPr>
        <w:t>Inc</w:t>
      </w:r>
      <w:proofErr w:type="spellEnd"/>
      <w:r w:rsidR="00CD6A29" w:rsidRPr="00F2249F">
        <w:rPr>
          <w:i/>
        </w:rPr>
        <w:t xml:space="preserve">. Bude potrebné vyjasniť, či môžu veritelia uplatniť pohľadávky voči riaditeľom a zároveň v prípade nového majetku obnoviť spoločnosť podľa slovenského práva. </w:t>
      </w:r>
    </w:p>
    <w:p w14:paraId="07E56BE6" w14:textId="67E12D44" w:rsidR="00EB1051" w:rsidRPr="00F2249F" w:rsidRDefault="00CD6A29" w:rsidP="00EB1051">
      <w:pPr>
        <w:pStyle w:val="Pta"/>
        <w:tabs>
          <w:tab w:val="clear" w:pos="4536"/>
          <w:tab w:val="clear" w:pos="9072"/>
        </w:tabs>
        <w:overflowPunct w:val="0"/>
        <w:autoSpaceDE w:val="0"/>
        <w:autoSpaceDN w:val="0"/>
        <w:adjustRightInd w:val="0"/>
        <w:jc w:val="both"/>
        <w:textAlignment w:val="baseline"/>
        <w:rPr>
          <w:i/>
        </w:rPr>
      </w:pPr>
      <w:r w:rsidRPr="00F2249F">
        <w:rPr>
          <w:i/>
        </w:rPr>
        <w:t xml:space="preserve">V ostatných aspektoch môže </w:t>
      </w:r>
      <w:r w:rsidR="00EB1051" w:rsidRPr="00F2249F">
        <w:rPr>
          <w:i/>
        </w:rPr>
        <w:t xml:space="preserve">Slovenská republika s návrhom súhlasiť. Ide síce o cudzí spôsob riešenia postavenia veriteľa v likvidácii a dodatočnej likvidácie, javí sa však ako efektívne opatrenie na ochranu veriteľských práv. Otáznym – rovnako ako v čl. 83 – zostáva vymožiteľnosť práva od </w:t>
      </w:r>
      <w:r w:rsidR="00137FD0" w:rsidRPr="00F2249F">
        <w:rPr>
          <w:i/>
        </w:rPr>
        <w:t>riaditeľov</w:t>
      </w:r>
      <w:r w:rsidR="00EB1051" w:rsidRPr="00F2249F">
        <w:rPr>
          <w:i/>
        </w:rPr>
        <w:t xml:space="preserve">, z ktorých iba jeden sa musí nachádzať v EÚ. Finálna pozícia k článku bude závisieť od doriešenia tejto otázky. </w:t>
      </w:r>
    </w:p>
    <w:p w14:paraId="076904F0"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pPr>
    </w:p>
    <w:p w14:paraId="62EF2F5F"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rPr>
          <w:u w:val="single"/>
        </w:rPr>
      </w:pPr>
      <w:r w:rsidRPr="00F2249F">
        <w:rPr>
          <w:b/>
          <w:u w:val="single"/>
        </w:rPr>
        <w:t>Článok 86 Lehoty pre skončenie konania</w:t>
      </w:r>
      <w:r w:rsidRPr="00F2249F">
        <w:rPr>
          <w:u w:val="single"/>
        </w:rPr>
        <w:t xml:space="preserve"> </w:t>
      </w:r>
    </w:p>
    <w:p w14:paraId="0CF93498"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pPr>
    </w:p>
    <w:p w14:paraId="4F635FF8"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pPr>
      <w:r w:rsidRPr="00F2249F">
        <w:t>Ustanovenie sa týka postavenia daňových orgánov ako veriteľov spoločnosti v likvidácii. Článok pre nich stanovuje lehotu 30 dní (s možnosťou predĺženia o ďalších 30 dní) na vyjadrenie o </w:t>
      </w:r>
      <w:proofErr w:type="spellStart"/>
      <w:r w:rsidRPr="00F2249F">
        <w:t>ne</w:t>
      </w:r>
      <w:proofErr w:type="spellEnd"/>
      <w:r w:rsidRPr="00F2249F">
        <w:t xml:space="preserve">/súhlase s likvidáciou dlžníka. V prípade absencie vyjadrenia sa uplynutím lehoty súhlas predpokladá. </w:t>
      </w:r>
    </w:p>
    <w:p w14:paraId="7B3E58C5"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rPr>
          <w:b/>
          <w:u w:val="single"/>
        </w:rPr>
      </w:pPr>
    </w:p>
    <w:p w14:paraId="496EEDBE" w14:textId="77777777" w:rsidR="00CD6A29" w:rsidRPr="00F2249F" w:rsidRDefault="00EB1051" w:rsidP="00CD6A29">
      <w:pPr>
        <w:pStyle w:val="Pta"/>
        <w:tabs>
          <w:tab w:val="clear" w:pos="4536"/>
          <w:tab w:val="clear" w:pos="9072"/>
        </w:tabs>
        <w:overflowPunct w:val="0"/>
        <w:autoSpaceDE w:val="0"/>
        <w:autoSpaceDN w:val="0"/>
        <w:adjustRightInd w:val="0"/>
        <w:jc w:val="both"/>
        <w:textAlignment w:val="baseline"/>
        <w:rPr>
          <w:i/>
        </w:rPr>
      </w:pPr>
      <w:r w:rsidRPr="00F2249F">
        <w:rPr>
          <w:b/>
          <w:u w:val="single"/>
        </w:rPr>
        <w:t>Pozícia SR</w:t>
      </w:r>
      <w:r w:rsidRPr="00F2249F">
        <w:rPr>
          <w:b/>
        </w:rPr>
        <w:t>:</w:t>
      </w:r>
      <w:r w:rsidRPr="00F2249F">
        <w:t xml:space="preserve"> </w:t>
      </w:r>
      <w:r w:rsidR="00CD6A29" w:rsidRPr="00F2249F">
        <w:rPr>
          <w:i/>
        </w:rPr>
        <w:t xml:space="preserve">Slovenská republika nemá obdobnú úpravu, absencia daňového dlhu či kontroly sa preukazuje v likvidácii prostredníctvom vyhlásenia likvidátora (§ 75j ods. 2 a 6 ObZ). </w:t>
      </w:r>
    </w:p>
    <w:p w14:paraId="21E07887"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rPr>
          <w:i/>
        </w:rPr>
      </w:pPr>
      <w:r w:rsidRPr="00F2249F">
        <w:rPr>
          <w:i/>
        </w:rPr>
        <w:t xml:space="preserve">Slovenská republika nemá voči zneniu článku výhrady, v diskusiách je však nutné spresniť praktickú aplikáciu čl. 24 (subjekt na digitálne podávanie návrhov) a čl. 86 - najmä či subjekt na digitálne podávanie návrhov môže byť elektronicky splnomocnený na konanie za spoločnosť aj v likvidačnom konaní. </w:t>
      </w:r>
    </w:p>
    <w:p w14:paraId="3B7C895E"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pPr>
    </w:p>
    <w:p w14:paraId="33AEA913"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rPr>
          <w:b/>
          <w:u w:val="single"/>
        </w:rPr>
      </w:pPr>
      <w:r w:rsidRPr="00F2249F">
        <w:rPr>
          <w:b/>
          <w:u w:val="single"/>
        </w:rPr>
        <w:t>Článok 87 Výmaz z obchodného registra</w:t>
      </w:r>
    </w:p>
    <w:p w14:paraId="4E991425"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pPr>
    </w:p>
    <w:p w14:paraId="61A6ABE7"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pPr>
      <w:r w:rsidRPr="00F2249F">
        <w:t xml:space="preserve">Ustanovenie sa týka výmazu spoločnosti, ktorý môže obchodný register uskutočniť po uplynutí lehôt podľa čl. 85 a 86 v prípade, že žiadni (ani daňoví) veritelia nepodali námietky v určených lehotách. Výmaz znamená stratu právnej subjektivity a musí byť zverejnený podľa čl. 25 návrhu. </w:t>
      </w:r>
    </w:p>
    <w:p w14:paraId="55021894"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rPr>
          <w:b/>
          <w:u w:val="single"/>
        </w:rPr>
      </w:pPr>
    </w:p>
    <w:p w14:paraId="1B9EF27B" w14:textId="77777777" w:rsidR="00CD6A29" w:rsidRPr="00F2249F" w:rsidRDefault="00EB1051" w:rsidP="00CD6A29">
      <w:pPr>
        <w:pStyle w:val="Pta"/>
        <w:tabs>
          <w:tab w:val="clear" w:pos="4536"/>
          <w:tab w:val="clear" w:pos="9072"/>
        </w:tabs>
        <w:overflowPunct w:val="0"/>
        <w:autoSpaceDE w:val="0"/>
        <w:autoSpaceDN w:val="0"/>
        <w:adjustRightInd w:val="0"/>
        <w:jc w:val="both"/>
        <w:textAlignment w:val="baseline"/>
        <w:rPr>
          <w:i/>
        </w:rPr>
      </w:pPr>
      <w:r w:rsidRPr="00F2249F">
        <w:rPr>
          <w:b/>
          <w:u w:val="single"/>
        </w:rPr>
        <w:t>Pozícia SR</w:t>
      </w:r>
      <w:r w:rsidRPr="00F2249F">
        <w:rPr>
          <w:b/>
        </w:rPr>
        <w:t>:</w:t>
      </w:r>
      <w:r w:rsidRPr="00F2249F">
        <w:t xml:space="preserve"> </w:t>
      </w:r>
      <w:r w:rsidR="00CD6A29" w:rsidRPr="00F2249F">
        <w:rPr>
          <w:i/>
        </w:rPr>
        <w:t>Slovenská republika upravuje výmaz spoločnosti v § 68 ObZ, § 75j a osobitne pre akciovú spoločnosť (§ 220a zničenie a neplatnosť všetkých akcií ako podmienka výmazu). Výmaz upravuje i zákon č. 29/2026 Z. z., ktorý má k výmazu odlišnú koncepciu ako návrh nariadenia: navrhovateľom na registráciu výmazu je likvidátor, zatiaľ čo v podľa nariadenia by mal obchodný register po uplynutí lehoty vyvinúť aktivitu sám („</w:t>
      </w:r>
      <w:proofErr w:type="spellStart"/>
      <w:r w:rsidR="00CD6A29" w:rsidRPr="00F2249F">
        <w:rPr>
          <w:i/>
        </w:rPr>
        <w:t>the</w:t>
      </w:r>
      <w:proofErr w:type="spellEnd"/>
      <w:r w:rsidR="00CD6A29" w:rsidRPr="00F2249F">
        <w:rPr>
          <w:i/>
        </w:rPr>
        <w:t xml:space="preserve"> business register </w:t>
      </w:r>
      <w:proofErr w:type="spellStart"/>
      <w:r w:rsidR="00CD6A29" w:rsidRPr="00F2249F">
        <w:rPr>
          <w:i/>
        </w:rPr>
        <w:t>shall</w:t>
      </w:r>
      <w:proofErr w:type="spellEnd"/>
      <w:r w:rsidR="00CD6A29" w:rsidRPr="00F2249F">
        <w:rPr>
          <w:i/>
        </w:rPr>
        <w:t xml:space="preserve"> update“). Takýto postup predpokladá zákon č. 29/2026 Z. z. iba v § 91 po zrušení spoločnosti súdom. Zverejnenie údajov upravuje § 100 zákona č. 29/2026 Z. z.. </w:t>
      </w:r>
    </w:p>
    <w:p w14:paraId="4C75C11A"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pPr>
      <w:r w:rsidRPr="00F2249F">
        <w:rPr>
          <w:i/>
        </w:rPr>
        <w:t>Slovenská republika nemá voči zneniu článku výhrady</w:t>
      </w:r>
      <w:r w:rsidRPr="00F2249F">
        <w:t xml:space="preserve">. </w:t>
      </w:r>
    </w:p>
    <w:p w14:paraId="5C7DEC64"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pPr>
    </w:p>
    <w:p w14:paraId="65E2B262"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rPr>
          <w:b/>
        </w:rPr>
      </w:pPr>
    </w:p>
    <w:p w14:paraId="44E255AF" w14:textId="77777777" w:rsidR="00EB1051" w:rsidRPr="00F2249F" w:rsidRDefault="00EB1051" w:rsidP="00EB1051">
      <w:pPr>
        <w:pStyle w:val="Pta"/>
        <w:tabs>
          <w:tab w:val="clear" w:pos="4536"/>
          <w:tab w:val="clear" w:pos="9072"/>
        </w:tabs>
        <w:overflowPunct w:val="0"/>
        <w:autoSpaceDE w:val="0"/>
        <w:autoSpaceDN w:val="0"/>
        <w:adjustRightInd w:val="0"/>
        <w:jc w:val="center"/>
        <w:textAlignment w:val="baseline"/>
        <w:rPr>
          <w:b/>
        </w:rPr>
      </w:pPr>
      <w:r w:rsidRPr="00F2249F">
        <w:rPr>
          <w:b/>
        </w:rPr>
        <w:t>KAPITOLA X – Konkurzné konania</w:t>
      </w:r>
    </w:p>
    <w:p w14:paraId="39FDEC9F"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pPr>
      <w:r w:rsidRPr="00F2249F">
        <w:rPr>
          <w:b/>
        </w:rPr>
        <w:t>Všeobecne o kapitole:</w:t>
      </w:r>
      <w:r w:rsidRPr="00F2249F">
        <w:t xml:space="preserve"> </w:t>
      </w:r>
    </w:p>
    <w:p w14:paraId="5D6B65A1"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pPr>
      <w:r w:rsidRPr="00F2249F">
        <w:t xml:space="preserve">Ustanovenia kapitoly upravujú črty, ktoré musí spĺňať zjednodušené konkurzné konanie pre inovatívne </w:t>
      </w:r>
      <w:proofErr w:type="spellStart"/>
      <w:r w:rsidRPr="00F2249F">
        <w:t>startup</w:t>
      </w:r>
      <w:proofErr w:type="spellEnd"/>
      <w:r w:rsidRPr="00F2249F">
        <w:t>-y</w:t>
      </w:r>
      <w:r w:rsidRPr="00F2249F">
        <w:rPr>
          <w:rStyle w:val="Odkaznapoznmkupodiarou"/>
        </w:rPr>
        <w:footnoteReference w:id="4"/>
      </w:r>
      <w:r w:rsidRPr="00F2249F">
        <w:t xml:space="preserve">. Kapitola nevytvára plnohodnotné konanie, ale upravuje  len vybrané otázky, ktoré považuje KOM za potrebné na rýchle a efektívne konanie. Kľúčovým prvkom je tu predaj majetku prostredníctvom elektronického aukčného systému, ktorý majú členské štáty vyvinúť a prevádzkovať na vlastné náklady. KOM má vyvinúť, prevádzkovať a </w:t>
      </w:r>
      <w:r w:rsidRPr="00F2249F">
        <w:lastRenderedPageBreak/>
        <w:t xml:space="preserve">hradiť prepojenie týchto systémov na úrovni EÚ. Ďalšie prvky, ktoré kapitola upravuje sú kritériá vstupu do konania, osobitná úprava postavenia správcu, plná digitalizácia konania, zavedenie formulárového návrhu na začatie konania, povinné moratórium exekúcií, osobitný spôsob prihlasovania pohľadávok, postup na riešenie sporných pohľadávok, rýchle skončenie konania v prípade absencie majetku alebo majetku s nízkou hodnotou a lehota na celkovú dĺžku konania. </w:t>
      </w:r>
    </w:p>
    <w:p w14:paraId="7C26B178"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rPr>
          <w:b/>
          <w:u w:val="single"/>
        </w:rPr>
      </w:pPr>
    </w:p>
    <w:p w14:paraId="73733C94"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rPr>
          <w:i/>
        </w:rPr>
      </w:pPr>
      <w:r w:rsidRPr="00F2249F">
        <w:rPr>
          <w:b/>
          <w:u w:val="single"/>
        </w:rPr>
        <w:t>Pozícia SR k celej kapitole</w:t>
      </w:r>
      <w:r w:rsidRPr="00F2249F">
        <w:rPr>
          <w:i/>
        </w:rPr>
        <w:t xml:space="preserve">: Slovenská republika s ustanoveniami tejto kapitoly </w:t>
      </w:r>
      <w:r w:rsidRPr="00F2249F">
        <w:rPr>
          <w:b/>
          <w:i/>
        </w:rPr>
        <w:t>nesúhlasí</w:t>
      </w:r>
      <w:r w:rsidRPr="00F2249F">
        <w:rPr>
          <w:i/>
        </w:rPr>
        <w:t xml:space="preserve"> a navrhuje jej vypustenie, alebo širšie prepracovanie. Pozícia ku každému článku kapitoly je negatívna a bude zhrnutá len v tejto časti. </w:t>
      </w:r>
    </w:p>
    <w:p w14:paraId="26E800DD"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rPr>
          <w:i/>
        </w:rPr>
      </w:pPr>
      <w:r w:rsidRPr="00F2249F">
        <w:rPr>
          <w:i/>
        </w:rPr>
        <w:t xml:space="preserve"> </w:t>
      </w:r>
    </w:p>
    <w:p w14:paraId="517F31FD" w14:textId="02A161A4" w:rsidR="00AC46DC" w:rsidRPr="00F2249F" w:rsidRDefault="00AC46DC" w:rsidP="00EB1051">
      <w:pPr>
        <w:pStyle w:val="Pta"/>
        <w:tabs>
          <w:tab w:val="clear" w:pos="4536"/>
          <w:tab w:val="clear" w:pos="9072"/>
        </w:tabs>
        <w:overflowPunct w:val="0"/>
        <w:autoSpaceDE w:val="0"/>
        <w:autoSpaceDN w:val="0"/>
        <w:adjustRightInd w:val="0"/>
        <w:jc w:val="both"/>
        <w:textAlignment w:val="baseline"/>
        <w:rPr>
          <w:i/>
        </w:rPr>
      </w:pPr>
      <w:r w:rsidRPr="00F2249F">
        <w:rPr>
          <w:i/>
        </w:rPr>
        <w:t xml:space="preserve">Kľúčovým a zásadným problémom kapitoly je </w:t>
      </w:r>
      <w:r w:rsidR="003A23B7" w:rsidRPr="00F2249F">
        <w:rPr>
          <w:i/>
        </w:rPr>
        <w:t>nástrojov, ktoré ustanovujú</w:t>
      </w:r>
      <w:r w:rsidRPr="00F2249F">
        <w:rPr>
          <w:i/>
        </w:rPr>
        <w:t xml:space="preserve"> rozhodného práv</w:t>
      </w:r>
      <w:r w:rsidR="003A23B7" w:rsidRPr="00F2249F">
        <w:rPr>
          <w:i/>
        </w:rPr>
        <w:t>o</w:t>
      </w:r>
      <w:r w:rsidRPr="00F2249F">
        <w:rPr>
          <w:i/>
        </w:rPr>
        <w:t xml:space="preserve">. </w:t>
      </w:r>
      <w:r w:rsidRPr="00F2249F">
        <w:t>Nariadenie Európskeho parlamentu a Rady (EÚ) 2015/848 z 20. mája 2015 o </w:t>
      </w:r>
      <w:proofErr w:type="spellStart"/>
      <w:r w:rsidRPr="00F2249F">
        <w:t>insolvenčnom</w:t>
      </w:r>
      <w:proofErr w:type="spellEnd"/>
      <w:r w:rsidRPr="00F2249F">
        <w:t xml:space="preserve"> konaní (prepracované znenie)</w:t>
      </w:r>
      <w:r w:rsidRPr="00F2249F">
        <w:rPr>
          <w:i/>
        </w:rPr>
        <w:t xml:space="preserve"> (ďalej iba ako „Nariadenie o insolvencii“) stanovuje rozhodné právo založené na práve skutočného sídla (centrum hlavných záujmov dlžníka). Návrh nariadenia o 28. režime pracuje s rozhodným právom založeným na práve registrovaného sídla. Zaradenie tejto kapitoly do návrhu preto vytvára rozpor s európskym právom – Nariadením o insolvencii. </w:t>
      </w:r>
    </w:p>
    <w:p w14:paraId="3687EADC" w14:textId="77777777" w:rsidR="00AC46DC" w:rsidRPr="00F2249F" w:rsidRDefault="00AC46DC" w:rsidP="00EB1051">
      <w:pPr>
        <w:pStyle w:val="Pta"/>
        <w:tabs>
          <w:tab w:val="clear" w:pos="4536"/>
          <w:tab w:val="clear" w:pos="9072"/>
        </w:tabs>
        <w:overflowPunct w:val="0"/>
        <w:autoSpaceDE w:val="0"/>
        <w:autoSpaceDN w:val="0"/>
        <w:adjustRightInd w:val="0"/>
        <w:jc w:val="both"/>
        <w:textAlignment w:val="baseline"/>
        <w:rPr>
          <w:i/>
        </w:rPr>
      </w:pPr>
    </w:p>
    <w:p w14:paraId="2D75E4F2" w14:textId="7C45C578" w:rsidR="00EB1051" w:rsidRPr="00F2249F" w:rsidRDefault="00AC46DC" w:rsidP="00EB1051">
      <w:pPr>
        <w:pStyle w:val="Pta"/>
        <w:tabs>
          <w:tab w:val="clear" w:pos="4536"/>
          <w:tab w:val="clear" w:pos="9072"/>
        </w:tabs>
        <w:overflowPunct w:val="0"/>
        <w:autoSpaceDE w:val="0"/>
        <w:autoSpaceDN w:val="0"/>
        <w:adjustRightInd w:val="0"/>
        <w:jc w:val="both"/>
        <w:textAlignment w:val="baseline"/>
        <w:rPr>
          <w:i/>
        </w:rPr>
      </w:pPr>
      <w:r w:rsidRPr="00F2249F">
        <w:rPr>
          <w:i/>
        </w:rPr>
        <w:t>Okrem toho k</w:t>
      </w:r>
      <w:r w:rsidR="00EB1051" w:rsidRPr="00F2249F">
        <w:rPr>
          <w:i/>
        </w:rPr>
        <w:t xml:space="preserve">apitola obsahuje niekoľko prvkov, ktoré sa významnou mierou líšia od základných princípov </w:t>
      </w:r>
      <w:proofErr w:type="spellStart"/>
      <w:r w:rsidR="00EB1051" w:rsidRPr="00F2249F">
        <w:rPr>
          <w:i/>
        </w:rPr>
        <w:t>insolvenčného</w:t>
      </w:r>
      <w:proofErr w:type="spellEnd"/>
      <w:r w:rsidR="00EB1051" w:rsidRPr="00F2249F">
        <w:rPr>
          <w:i/>
        </w:rPr>
        <w:t xml:space="preserve"> konania na Slovensku. Kapitola obsahuje tiež niekoľko efektívnych pravidiel, ktoré je vhodné aplikovať na malé podniky, tak ako je to pre Slovensko upravené v osobitnej úprave malého konkurzu (§§ 106-107 ZKR). Je však otázne, či je vhodné na podniky, tak ako sú definované v odporúčaní KOM – ako sú napríklad </w:t>
      </w:r>
      <w:proofErr w:type="spellStart"/>
      <w:r w:rsidR="00EB1051" w:rsidRPr="00F2249F">
        <w:rPr>
          <w:i/>
        </w:rPr>
        <w:t>startup</w:t>
      </w:r>
      <w:proofErr w:type="spellEnd"/>
      <w:r w:rsidR="00EB1051" w:rsidRPr="00F2249F">
        <w:rPr>
          <w:i/>
        </w:rPr>
        <w:t>-y s obratom v blízkosti 10 miliónov EUR a počtom pracovníkov blížiacim sa 100 – aplikovať takéto ustanovenia. V podmienkach Slovenskej republiky by sa normy malého konkurzu na takto veľké firmy uplatniť nemohli</w:t>
      </w:r>
      <w:r w:rsidR="00EB1051" w:rsidRPr="00F2249F">
        <w:rPr>
          <w:rStyle w:val="Odkaznapoznmkupodiarou"/>
          <w:i/>
        </w:rPr>
        <w:footnoteReference w:id="5"/>
      </w:r>
      <w:r w:rsidR="00EB1051" w:rsidRPr="00F2249F">
        <w:rPr>
          <w:i/>
        </w:rPr>
        <w:t xml:space="preserve">. </w:t>
      </w:r>
    </w:p>
    <w:p w14:paraId="1EDCD668"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rPr>
          <w:i/>
        </w:rPr>
      </w:pPr>
    </w:p>
    <w:p w14:paraId="191A19FE"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rPr>
          <w:i/>
        </w:rPr>
      </w:pPr>
      <w:r w:rsidRPr="00F2249F">
        <w:rPr>
          <w:i/>
        </w:rPr>
        <w:t xml:space="preserve">Prvky, ktoré sa extrémne líšia od základných princípov insolvencie na Slovensku sú </w:t>
      </w:r>
    </w:p>
    <w:p w14:paraId="1963E052" w14:textId="77777777" w:rsidR="00EB1051" w:rsidRPr="00F2249F" w:rsidRDefault="00EB1051" w:rsidP="004A471E">
      <w:pPr>
        <w:pStyle w:val="Pta"/>
        <w:numPr>
          <w:ilvl w:val="0"/>
          <w:numId w:val="3"/>
        </w:numPr>
        <w:tabs>
          <w:tab w:val="clear" w:pos="4536"/>
          <w:tab w:val="clear" w:pos="9072"/>
        </w:tabs>
        <w:overflowPunct w:val="0"/>
        <w:autoSpaceDE w:val="0"/>
        <w:autoSpaceDN w:val="0"/>
        <w:adjustRightInd w:val="0"/>
        <w:jc w:val="both"/>
        <w:textAlignment w:val="baseline"/>
        <w:rPr>
          <w:i/>
        </w:rPr>
      </w:pPr>
      <w:r w:rsidRPr="00F2249F">
        <w:rPr>
          <w:i/>
        </w:rPr>
        <w:t xml:space="preserve">rozsiahle zdržanie pri overovaní, či je úpadca </w:t>
      </w:r>
      <w:proofErr w:type="spellStart"/>
      <w:r w:rsidRPr="00F2249F">
        <w:rPr>
          <w:i/>
        </w:rPr>
        <w:t>start-upom</w:t>
      </w:r>
      <w:proofErr w:type="spellEnd"/>
      <w:r w:rsidRPr="00F2249F">
        <w:rPr>
          <w:i/>
        </w:rPr>
        <w:t xml:space="preserve"> resp. nemožnosť takéhoto overenia </w:t>
      </w:r>
    </w:p>
    <w:p w14:paraId="27A1625D" w14:textId="77777777" w:rsidR="00EB1051" w:rsidRPr="00F2249F" w:rsidRDefault="00EB1051" w:rsidP="004A471E">
      <w:pPr>
        <w:pStyle w:val="Pta"/>
        <w:numPr>
          <w:ilvl w:val="0"/>
          <w:numId w:val="3"/>
        </w:numPr>
        <w:tabs>
          <w:tab w:val="clear" w:pos="4536"/>
          <w:tab w:val="clear" w:pos="9072"/>
        </w:tabs>
        <w:overflowPunct w:val="0"/>
        <w:autoSpaceDE w:val="0"/>
        <w:autoSpaceDN w:val="0"/>
        <w:adjustRightInd w:val="0"/>
        <w:jc w:val="both"/>
        <w:textAlignment w:val="baseline"/>
        <w:rPr>
          <w:i/>
        </w:rPr>
      </w:pPr>
      <w:r w:rsidRPr="00F2249F">
        <w:rPr>
          <w:i/>
        </w:rPr>
        <w:t xml:space="preserve">limitácia dôvodov úpadku právnickej spoločnosti  len na platobnú neschopnosť </w:t>
      </w:r>
    </w:p>
    <w:p w14:paraId="75474294" w14:textId="77777777" w:rsidR="00EB1051" w:rsidRPr="00F2249F" w:rsidRDefault="00EB1051" w:rsidP="004A471E">
      <w:pPr>
        <w:pStyle w:val="Pta"/>
        <w:numPr>
          <w:ilvl w:val="0"/>
          <w:numId w:val="3"/>
        </w:numPr>
        <w:tabs>
          <w:tab w:val="clear" w:pos="4536"/>
          <w:tab w:val="clear" w:pos="9072"/>
        </w:tabs>
        <w:overflowPunct w:val="0"/>
        <w:autoSpaceDE w:val="0"/>
        <w:autoSpaceDN w:val="0"/>
        <w:adjustRightInd w:val="0"/>
        <w:jc w:val="both"/>
        <w:textAlignment w:val="baseline"/>
        <w:rPr>
          <w:i/>
        </w:rPr>
      </w:pPr>
      <w:r w:rsidRPr="00F2249F">
        <w:rPr>
          <w:i/>
        </w:rPr>
        <w:t>možnosť viesť konanie bez správcu, ktoré v slovenskom práve nie je známe</w:t>
      </w:r>
    </w:p>
    <w:p w14:paraId="49D21BD4" w14:textId="77777777" w:rsidR="00EB1051" w:rsidRPr="00F2249F" w:rsidRDefault="00EB1051" w:rsidP="004A471E">
      <w:pPr>
        <w:pStyle w:val="Pta"/>
        <w:numPr>
          <w:ilvl w:val="0"/>
          <w:numId w:val="3"/>
        </w:numPr>
        <w:tabs>
          <w:tab w:val="clear" w:pos="4536"/>
          <w:tab w:val="clear" w:pos="9072"/>
        </w:tabs>
        <w:overflowPunct w:val="0"/>
        <w:autoSpaceDE w:val="0"/>
        <w:autoSpaceDN w:val="0"/>
        <w:adjustRightInd w:val="0"/>
        <w:jc w:val="both"/>
        <w:textAlignment w:val="baseline"/>
        <w:rPr>
          <w:i/>
        </w:rPr>
      </w:pPr>
      <w:r w:rsidRPr="00F2249F">
        <w:rPr>
          <w:i/>
        </w:rPr>
        <w:t xml:space="preserve">informovanie veriteľov úpadcu individuálnymi oznámeniami </w:t>
      </w:r>
    </w:p>
    <w:p w14:paraId="1C827BCB" w14:textId="77777777" w:rsidR="00EB1051" w:rsidRPr="00F2249F" w:rsidRDefault="00EB1051" w:rsidP="00EB1051">
      <w:pPr>
        <w:pStyle w:val="Pta"/>
        <w:tabs>
          <w:tab w:val="clear" w:pos="4536"/>
          <w:tab w:val="clear" w:pos="9072"/>
        </w:tabs>
        <w:overflowPunct w:val="0"/>
        <w:autoSpaceDE w:val="0"/>
        <w:autoSpaceDN w:val="0"/>
        <w:adjustRightInd w:val="0"/>
        <w:ind w:left="720"/>
        <w:jc w:val="both"/>
        <w:textAlignment w:val="baseline"/>
        <w:rPr>
          <w:i/>
        </w:rPr>
      </w:pPr>
    </w:p>
    <w:p w14:paraId="54D3E42D" w14:textId="1DF2EAED" w:rsidR="00EB1051" w:rsidRPr="00F2249F" w:rsidRDefault="00EB1051" w:rsidP="00EB1051">
      <w:pPr>
        <w:pStyle w:val="Pta"/>
        <w:tabs>
          <w:tab w:val="clear" w:pos="4536"/>
          <w:tab w:val="clear" w:pos="9072"/>
        </w:tabs>
        <w:overflowPunct w:val="0"/>
        <w:autoSpaceDE w:val="0"/>
        <w:autoSpaceDN w:val="0"/>
        <w:adjustRightInd w:val="0"/>
        <w:jc w:val="both"/>
        <w:textAlignment w:val="baseline"/>
        <w:rPr>
          <w:i/>
        </w:rPr>
      </w:pPr>
      <w:r w:rsidRPr="00F2249F">
        <w:rPr>
          <w:i/>
        </w:rPr>
        <w:t xml:space="preserve">Najproblematickejšou časťou návrhu je definícia úpadcov, ktorí do konkurzného konania môžu vstúpiť. Prvým dôvodom je komplikovanosť definície inovatívnych </w:t>
      </w:r>
      <w:proofErr w:type="spellStart"/>
      <w:r w:rsidRPr="00F2249F">
        <w:rPr>
          <w:i/>
        </w:rPr>
        <w:t>startup-ov</w:t>
      </w:r>
      <w:proofErr w:type="spellEnd"/>
      <w:r w:rsidRPr="00F2249F">
        <w:rPr>
          <w:i/>
        </w:rPr>
        <w:t xml:space="preserve"> a (pozri najmä bod 2.1 a 3 odporúčania KOM)</w:t>
      </w:r>
      <w:r w:rsidRPr="00F2249F">
        <w:rPr>
          <w:rStyle w:val="Odkaznapoznmkupodiarou"/>
          <w:i/>
        </w:rPr>
        <w:footnoteReference w:id="6"/>
      </w:r>
      <w:r w:rsidRPr="00F2249F">
        <w:rPr>
          <w:i/>
        </w:rPr>
        <w:t xml:space="preserve">. Druhým dôvodom je </w:t>
      </w:r>
      <w:proofErr w:type="spellStart"/>
      <w:r w:rsidRPr="00F2249F">
        <w:rPr>
          <w:i/>
        </w:rPr>
        <w:t>nekompatibilnosť</w:t>
      </w:r>
      <w:proofErr w:type="spellEnd"/>
      <w:r w:rsidRPr="00F2249F">
        <w:rPr>
          <w:i/>
        </w:rPr>
        <w:t xml:space="preserve"> takejto definície so slovenským právom, ktoré pracuje s kategóriou úpadcov v rozmedzí právnická osoba – fyzická osoba a „veľký“ úpadca – „malý“ úpadca</w:t>
      </w:r>
      <w:r w:rsidRPr="00F2249F">
        <w:rPr>
          <w:rStyle w:val="Odkaznapoznmkupodiarou"/>
          <w:i/>
        </w:rPr>
        <w:footnoteReference w:id="7"/>
      </w:r>
      <w:r w:rsidRPr="00F2249F">
        <w:rPr>
          <w:i/>
        </w:rPr>
        <w:t xml:space="preserve"> na základe veľkostných kategórií úpadkovej spoločnosti. Definícia KOM spracuje aj s kategóriou veľkosti podniku, ale je založená na </w:t>
      </w:r>
      <w:r w:rsidRPr="00F2249F">
        <w:rPr>
          <w:i/>
          <w:u w:val="single"/>
        </w:rPr>
        <w:t>hlavne</w:t>
      </w:r>
      <w:r w:rsidRPr="00F2249F">
        <w:rPr>
          <w:i/>
        </w:rPr>
        <w:t xml:space="preserve"> nákladoch, ktoré spoločnosť investovala do výskumu a vývoja, či na existencii </w:t>
      </w:r>
      <w:r w:rsidRPr="00F2249F">
        <w:rPr>
          <w:i/>
        </w:rPr>
        <w:lastRenderedPageBreak/>
        <w:t>inovatívnych produktov či služieb. Takúto kategóriu slovenské právo zohľadňuje len do istej miery</w:t>
      </w:r>
      <w:r w:rsidRPr="00F2249F">
        <w:rPr>
          <w:rStyle w:val="Odkaznapoznmkupodiarou"/>
          <w:i/>
        </w:rPr>
        <w:footnoteReference w:id="8"/>
      </w:r>
      <w:r w:rsidRPr="00F2249F">
        <w:rPr>
          <w:i/>
        </w:rPr>
        <w:t xml:space="preserve"> a vôbec nie v </w:t>
      </w:r>
      <w:proofErr w:type="spellStart"/>
      <w:r w:rsidRPr="00F2249F">
        <w:rPr>
          <w:i/>
        </w:rPr>
        <w:t>insolvenčnom</w:t>
      </w:r>
      <w:proofErr w:type="spellEnd"/>
      <w:r w:rsidRPr="00F2249F">
        <w:rPr>
          <w:i/>
        </w:rPr>
        <w:t xml:space="preserve"> práve. Slovenská republika takéto prvky nebude vedieť plne overiť (pozri bližšie pozíciu ku kapitole 8), resp. overenie by zabralo dlhší čas a neprimerane zaťažilo </w:t>
      </w:r>
      <w:proofErr w:type="spellStart"/>
      <w:r w:rsidRPr="00F2249F">
        <w:rPr>
          <w:i/>
        </w:rPr>
        <w:t>insolvenčný</w:t>
      </w:r>
      <w:proofErr w:type="spellEnd"/>
      <w:r w:rsidRPr="00F2249F">
        <w:rPr>
          <w:i/>
        </w:rPr>
        <w:t xml:space="preserve"> súd. V spojení s prísnymi lehotami v návrhu je pravdepodobné, že  slovenské súdy nebudú môcť ani pri najlepšej vôli dodržať ustanovenie kapitoly. Istá forma kontroly úpadcov by pritom bola zrejme nutná, pretože niektorí úpadcovia môžu byť motivovaní (nie vždy korektne) </w:t>
      </w:r>
      <w:r w:rsidR="00AC46DC" w:rsidRPr="00F2249F">
        <w:rPr>
          <w:i/>
        </w:rPr>
        <w:t xml:space="preserve">vstupovať </w:t>
      </w:r>
      <w:r w:rsidRPr="00F2249F">
        <w:rPr>
          <w:i/>
        </w:rPr>
        <w:t xml:space="preserve">do </w:t>
      </w:r>
      <w:r w:rsidR="00AC46DC" w:rsidRPr="00F2249F">
        <w:rPr>
          <w:i/>
        </w:rPr>
        <w:t xml:space="preserve">zjednodušeného </w:t>
      </w:r>
      <w:r w:rsidRPr="00F2249F">
        <w:rPr>
          <w:i/>
        </w:rPr>
        <w:t xml:space="preserve">konania. Posledným argumentom je efektivita vytvorenia osobitného druhu konania pre firmy, ktoré tvoria nízke percento úpadcov vstupujúcich do konania. </w:t>
      </w:r>
    </w:p>
    <w:p w14:paraId="5FE56C7C"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rPr>
          <w:i/>
        </w:rPr>
      </w:pPr>
    </w:p>
    <w:p w14:paraId="7F7FBE97" w14:textId="75535125" w:rsidR="00EB1051" w:rsidRPr="00F2249F" w:rsidRDefault="00EB1051" w:rsidP="00EB1051">
      <w:pPr>
        <w:pStyle w:val="Pta"/>
        <w:tabs>
          <w:tab w:val="clear" w:pos="4536"/>
          <w:tab w:val="clear" w:pos="9072"/>
        </w:tabs>
        <w:overflowPunct w:val="0"/>
        <w:autoSpaceDE w:val="0"/>
        <w:autoSpaceDN w:val="0"/>
        <w:adjustRightInd w:val="0"/>
        <w:jc w:val="both"/>
        <w:textAlignment w:val="baseline"/>
        <w:rPr>
          <w:i/>
        </w:rPr>
      </w:pPr>
      <w:r w:rsidRPr="00F2249F">
        <w:rPr>
          <w:i/>
        </w:rPr>
        <w:t xml:space="preserve">Pôsobnosťou sa kapitola odlišuje od zvyšku návrhu. Nie všetky EU </w:t>
      </w:r>
      <w:proofErr w:type="spellStart"/>
      <w:r w:rsidRPr="00F2249F">
        <w:rPr>
          <w:i/>
        </w:rPr>
        <w:t>Inc</w:t>
      </w:r>
      <w:proofErr w:type="spellEnd"/>
      <w:r w:rsidRPr="00F2249F">
        <w:rPr>
          <w:i/>
        </w:rPr>
        <w:t xml:space="preserve">. spoločnosti budú môcť profitovať z navrhnutej úpravy. Je teda otázne, aký je vôbec dôvod tejto kapitoly do návrhu. Nemôže ním byť urýchlenie exitu alebo efektívnosť konkurzného konania pre EU </w:t>
      </w:r>
      <w:proofErr w:type="spellStart"/>
      <w:r w:rsidRPr="00F2249F">
        <w:rPr>
          <w:i/>
        </w:rPr>
        <w:t>Inc</w:t>
      </w:r>
      <w:proofErr w:type="spellEnd"/>
      <w:r w:rsidRPr="00F2249F">
        <w:rPr>
          <w:i/>
        </w:rPr>
        <w:t>. ako také</w:t>
      </w:r>
      <w:r w:rsidR="00AC46DC" w:rsidRPr="00F2249F">
        <w:rPr>
          <w:i/>
        </w:rPr>
        <w:t>ho</w:t>
      </w:r>
      <w:r w:rsidRPr="00F2249F">
        <w:rPr>
          <w:i/>
        </w:rPr>
        <w:t xml:space="preserve">. </w:t>
      </w:r>
    </w:p>
    <w:p w14:paraId="62BF961F"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rPr>
          <w:i/>
        </w:rPr>
      </w:pPr>
    </w:p>
    <w:p w14:paraId="6AEF196C"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rPr>
          <w:i/>
        </w:rPr>
      </w:pPr>
      <w:r w:rsidRPr="00F2249F">
        <w:rPr>
          <w:i/>
        </w:rPr>
        <w:t xml:space="preserve">Limitácia dôvodov úpadku na platobnú neschopnosť je pre právnické osoby v konkurznom práve novotou a Slovenská republika ju nepovažuje za odôvodnenú. Zrýchlené konanie (malého konkurzu) v slovenskom práve je postavené na obmedzení navrhovateľov na začatie konania (len úpadca, nie veritelia) a nie na limitácii dôvodov úpadku. </w:t>
      </w:r>
    </w:p>
    <w:p w14:paraId="71AF2F3B"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rPr>
          <w:i/>
        </w:rPr>
      </w:pPr>
    </w:p>
    <w:p w14:paraId="68B3D2F5"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rPr>
          <w:i/>
        </w:rPr>
      </w:pPr>
      <w:r w:rsidRPr="00F2249F">
        <w:rPr>
          <w:i/>
        </w:rPr>
        <w:t xml:space="preserve">Možnosť vedenia konkurzného konania bez správcu je pre konkurzné konanie úplne cudzia a odstraňuje z konania významný kontrolný a dozorný prvok. Nie je zrejmé, aké by boli praktické dopady takéhoto odstránenia. </w:t>
      </w:r>
    </w:p>
    <w:p w14:paraId="55B0E9D4"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rPr>
          <w:i/>
        </w:rPr>
      </w:pPr>
      <w:r w:rsidRPr="00F2249F">
        <w:rPr>
          <w:i/>
        </w:rPr>
        <w:t xml:space="preserve"> </w:t>
      </w:r>
    </w:p>
    <w:p w14:paraId="7F074846" w14:textId="0B2B4C16" w:rsidR="00EB1051" w:rsidRPr="00F2249F" w:rsidRDefault="00EB1051" w:rsidP="00EB1051">
      <w:pPr>
        <w:pStyle w:val="Pta"/>
        <w:jc w:val="both"/>
        <w:rPr>
          <w:i/>
        </w:rPr>
      </w:pPr>
      <w:r w:rsidRPr="00F2249F">
        <w:rPr>
          <w:i/>
        </w:rPr>
        <w:t xml:space="preserve">Informovanie veriteľov úpadcu individuálnymi oznámeniami (čl. 95 ods. 2) je v slovenskom práve umožnené len pri zahraničných veriteľoch na základe </w:t>
      </w:r>
      <w:r w:rsidR="00AC46DC" w:rsidRPr="00F2249F">
        <w:rPr>
          <w:i/>
        </w:rPr>
        <w:t>Nariadenia o insolvencii</w:t>
      </w:r>
      <w:r w:rsidRPr="00F2249F">
        <w:rPr>
          <w:i/>
        </w:rPr>
        <w:t xml:space="preserve"> a v spojení s prísnou lehotou na maximálnu celkovú dĺžku konania v rozsahu 6 mesiacov je takéto konanie neuskutočniteľné</w:t>
      </w:r>
      <w:r w:rsidR="005C3EE6" w:rsidRPr="00F2249F">
        <w:rPr>
          <w:i/>
        </w:rPr>
        <w:t>.</w:t>
      </w:r>
    </w:p>
    <w:p w14:paraId="556C9299"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rPr>
          <w:i/>
        </w:rPr>
      </w:pPr>
    </w:p>
    <w:p w14:paraId="4140EA73"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rPr>
          <w:i/>
        </w:rPr>
      </w:pPr>
      <w:r w:rsidRPr="00F2249F">
        <w:rPr>
          <w:i/>
        </w:rPr>
        <w:t>Z pohľadu Slovenskej republiky sú najzaujímavejšou časťou návrhu ustanovenia o elektronickej aukcii majetku a prepojení systémov na elektronickú aukciu majetku na úrovni EÚ. Slovenskí praktici dlhodobo žiadajú vytvorenie systému elektronickej aukcie</w:t>
      </w:r>
      <w:r w:rsidRPr="00F2249F">
        <w:rPr>
          <w:rStyle w:val="Odkaznapoznmkupodiarou"/>
          <w:i/>
        </w:rPr>
        <w:footnoteReference w:id="9"/>
      </w:r>
      <w:r w:rsidRPr="00F2249F">
        <w:rPr>
          <w:i/>
        </w:rPr>
        <w:t xml:space="preserve"> za účelom umožnenia širšieho a efektívneho predaja majetku v konkurze. Na druhej strane je otázna efektivita vytvorenia takéhoto systému  v porovnaní s jeho nákladmi, ktoré budú vysoké. </w:t>
      </w:r>
    </w:p>
    <w:p w14:paraId="27C7DE27" w14:textId="3CDDE5E4" w:rsidR="00EB1051" w:rsidRPr="00F2249F" w:rsidRDefault="00EB1051" w:rsidP="00EB1051">
      <w:pPr>
        <w:pStyle w:val="Pta"/>
        <w:tabs>
          <w:tab w:val="clear" w:pos="4536"/>
          <w:tab w:val="clear" w:pos="9072"/>
        </w:tabs>
        <w:overflowPunct w:val="0"/>
        <w:autoSpaceDE w:val="0"/>
        <w:autoSpaceDN w:val="0"/>
        <w:adjustRightInd w:val="0"/>
        <w:jc w:val="both"/>
        <w:textAlignment w:val="baseline"/>
        <w:rPr>
          <w:b/>
        </w:rPr>
      </w:pPr>
    </w:p>
    <w:p w14:paraId="39A25682"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rPr>
          <w:b/>
          <w:u w:val="single"/>
        </w:rPr>
      </w:pPr>
      <w:r w:rsidRPr="00F2249F">
        <w:rPr>
          <w:b/>
          <w:u w:val="single"/>
        </w:rPr>
        <w:t xml:space="preserve">Článok 88 Rozsah pôsobnosti zjednodušeného konkurzného konania pre EU </w:t>
      </w:r>
      <w:proofErr w:type="spellStart"/>
      <w:r w:rsidRPr="00F2249F">
        <w:rPr>
          <w:b/>
          <w:u w:val="single"/>
        </w:rPr>
        <w:t>Inc</w:t>
      </w:r>
      <w:proofErr w:type="spellEnd"/>
      <w:r w:rsidRPr="00F2249F">
        <w:rPr>
          <w:b/>
          <w:u w:val="single"/>
        </w:rPr>
        <w:t xml:space="preserve">. inovatívny </w:t>
      </w:r>
      <w:proofErr w:type="spellStart"/>
      <w:r w:rsidRPr="00F2249F">
        <w:rPr>
          <w:b/>
          <w:u w:val="single"/>
        </w:rPr>
        <w:t>startup</w:t>
      </w:r>
      <w:proofErr w:type="spellEnd"/>
    </w:p>
    <w:p w14:paraId="23DD98FD" w14:textId="17128E22" w:rsidR="00EB1051" w:rsidRPr="00F2249F" w:rsidRDefault="00EB1051" w:rsidP="00EB1051">
      <w:pPr>
        <w:pStyle w:val="Pta"/>
        <w:tabs>
          <w:tab w:val="clear" w:pos="4536"/>
          <w:tab w:val="clear" w:pos="9072"/>
        </w:tabs>
        <w:overflowPunct w:val="0"/>
        <w:autoSpaceDE w:val="0"/>
        <w:autoSpaceDN w:val="0"/>
        <w:adjustRightInd w:val="0"/>
        <w:jc w:val="both"/>
        <w:textAlignment w:val="baseline"/>
      </w:pPr>
      <w:r w:rsidRPr="00F2249F">
        <w:t xml:space="preserve">Ustanovenie sa týka rozsahu pôsobnosti kapitoly – teda osôb, ktoré budú mať prístup k zjednodušenému konkurznému konaniu podľa tejto kapitoly. Odkazuje sa na </w:t>
      </w:r>
      <w:r w:rsidR="005C3EE6" w:rsidRPr="00F2249F">
        <w:t>Odporúčanie KOM k definícii inovatívnych podnikov</w:t>
      </w:r>
      <w:r w:rsidR="005C3EE6" w:rsidRPr="00F2249F" w:rsidDel="005C3EE6">
        <w:t xml:space="preserve"> </w:t>
      </w:r>
      <w:r w:rsidRPr="00F2249F">
        <w:t xml:space="preserve">, ktoré v prílohe obsahuje rozsiahlu a komplikovanú definíciu takýchto podnikov. Medzi takéto podniky patria podniky fyzických i právnických osôb.  </w:t>
      </w:r>
    </w:p>
    <w:p w14:paraId="0742DAA2"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rPr>
          <w:i/>
        </w:rPr>
      </w:pPr>
      <w:r w:rsidRPr="00F2249F">
        <w:rPr>
          <w:i/>
        </w:rPr>
        <w:t xml:space="preserve">Obdobné ustanovenie (definícia </w:t>
      </w:r>
      <w:proofErr w:type="spellStart"/>
      <w:r w:rsidRPr="00F2249F">
        <w:rPr>
          <w:i/>
        </w:rPr>
        <w:t>startup</w:t>
      </w:r>
      <w:proofErr w:type="spellEnd"/>
      <w:r w:rsidRPr="00F2249F">
        <w:rPr>
          <w:i/>
        </w:rPr>
        <w:t xml:space="preserve">-u) sa v slovenskom práve nenachádza, slovenské konkurzné právo upravuje iba podmienky na otvorenie malého konkurzu. </w:t>
      </w:r>
    </w:p>
    <w:p w14:paraId="2ACA3F96"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pPr>
    </w:p>
    <w:p w14:paraId="2BF622F4"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rPr>
          <w:b/>
          <w:u w:val="single"/>
        </w:rPr>
      </w:pPr>
      <w:r w:rsidRPr="00F2249F">
        <w:rPr>
          <w:b/>
          <w:u w:val="single"/>
        </w:rPr>
        <w:lastRenderedPageBreak/>
        <w:t xml:space="preserve">Článok 89 Pravidlá konkurzu pre inovatívny </w:t>
      </w:r>
      <w:proofErr w:type="spellStart"/>
      <w:r w:rsidRPr="00F2249F">
        <w:rPr>
          <w:b/>
          <w:u w:val="single"/>
        </w:rPr>
        <w:t>startup</w:t>
      </w:r>
      <w:proofErr w:type="spellEnd"/>
    </w:p>
    <w:p w14:paraId="394F2BF1" w14:textId="77777777" w:rsidR="005C3EE6" w:rsidRPr="00F2249F" w:rsidRDefault="00EB1051" w:rsidP="00EB1051">
      <w:pPr>
        <w:pStyle w:val="Pta"/>
        <w:tabs>
          <w:tab w:val="clear" w:pos="4536"/>
          <w:tab w:val="clear" w:pos="9072"/>
        </w:tabs>
        <w:overflowPunct w:val="0"/>
        <w:autoSpaceDE w:val="0"/>
        <w:autoSpaceDN w:val="0"/>
        <w:adjustRightInd w:val="0"/>
        <w:jc w:val="both"/>
        <w:textAlignment w:val="baseline"/>
      </w:pPr>
      <w:r w:rsidRPr="00F2249F">
        <w:t xml:space="preserve">Ustanovenie sa týka osobitných pravidiel pre konkurz inovatívnych </w:t>
      </w:r>
      <w:proofErr w:type="spellStart"/>
      <w:r w:rsidRPr="00F2249F">
        <w:t>startup-ov</w:t>
      </w:r>
      <w:proofErr w:type="spellEnd"/>
      <w:r w:rsidRPr="00F2249F">
        <w:t xml:space="preserve">, ktoré môžu vstúpiť do konkurzného konania podľa tejto kapitoly za podmienky, že sú v úpadku z dôvodu platobnej neschopnosti. </w:t>
      </w:r>
    </w:p>
    <w:p w14:paraId="1CA7ACBB" w14:textId="7BF64BA4" w:rsidR="00EB1051" w:rsidRPr="00F2249F" w:rsidRDefault="00EB1051" w:rsidP="00EB1051">
      <w:pPr>
        <w:pStyle w:val="Pta"/>
        <w:tabs>
          <w:tab w:val="clear" w:pos="4536"/>
          <w:tab w:val="clear" w:pos="9072"/>
        </w:tabs>
        <w:overflowPunct w:val="0"/>
        <w:autoSpaceDE w:val="0"/>
        <w:autoSpaceDN w:val="0"/>
        <w:adjustRightInd w:val="0"/>
        <w:jc w:val="both"/>
        <w:textAlignment w:val="baseline"/>
        <w:rPr>
          <w:i/>
        </w:rPr>
      </w:pPr>
      <w:r w:rsidRPr="00F2249F">
        <w:rPr>
          <w:i/>
        </w:rPr>
        <w:t>Tu nastáva ďalšie štiepenie právnej úpravy, pretože tieto spoločnosti by v prípade konkurzu z dôvodu predlženia vstupovali do malého alebo klasického konkurzného konania podľa súčasných</w:t>
      </w:r>
      <w:r w:rsidR="005C3EE6" w:rsidRPr="00F2249F">
        <w:rPr>
          <w:i/>
        </w:rPr>
        <w:t xml:space="preserve"> slovenských</w:t>
      </w:r>
      <w:r w:rsidRPr="00F2249F">
        <w:rPr>
          <w:i/>
        </w:rPr>
        <w:t xml:space="preserve"> </w:t>
      </w:r>
      <w:proofErr w:type="spellStart"/>
      <w:r w:rsidRPr="00F2249F">
        <w:rPr>
          <w:i/>
        </w:rPr>
        <w:t>insolvenčných</w:t>
      </w:r>
      <w:proofErr w:type="spellEnd"/>
      <w:r w:rsidRPr="00F2249F">
        <w:rPr>
          <w:i/>
        </w:rPr>
        <w:t xml:space="preserve"> predpisov. </w:t>
      </w:r>
    </w:p>
    <w:p w14:paraId="679A3D5A"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pPr>
    </w:p>
    <w:p w14:paraId="2330811C"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rPr>
          <w:b/>
          <w:u w:val="single"/>
        </w:rPr>
      </w:pPr>
      <w:r w:rsidRPr="00F2249F">
        <w:rPr>
          <w:b/>
          <w:u w:val="single"/>
        </w:rPr>
        <w:t>Článok 90 Správca</w:t>
      </w:r>
    </w:p>
    <w:p w14:paraId="2871CADA" w14:textId="4BD840DA" w:rsidR="005C3EE6" w:rsidRPr="00F2249F" w:rsidRDefault="00EB1051" w:rsidP="00EB1051">
      <w:pPr>
        <w:pStyle w:val="Pta"/>
        <w:tabs>
          <w:tab w:val="clear" w:pos="4536"/>
          <w:tab w:val="clear" w:pos="9072"/>
        </w:tabs>
        <w:overflowPunct w:val="0"/>
        <w:autoSpaceDE w:val="0"/>
        <w:autoSpaceDN w:val="0"/>
        <w:adjustRightInd w:val="0"/>
        <w:jc w:val="both"/>
        <w:textAlignment w:val="baseline"/>
      </w:pPr>
      <w:r w:rsidRPr="00F2249F">
        <w:t xml:space="preserve">Ustanovenie stanovuje pravidlá pre konkurzných správcov, ktorí zodpovedať definícii podľa čl. 2 ods. 5 </w:t>
      </w:r>
      <w:r w:rsidR="00AC46DC" w:rsidRPr="00F2249F">
        <w:t>Nariadenia o insolvencii</w:t>
      </w:r>
      <w:r w:rsidRPr="00F2249F">
        <w:t xml:space="preserve">. </w:t>
      </w:r>
    </w:p>
    <w:p w14:paraId="16D5D9BA" w14:textId="32C0C5D2" w:rsidR="00EB1051" w:rsidRPr="00F2249F" w:rsidRDefault="00EB1051" w:rsidP="00EB1051">
      <w:pPr>
        <w:pStyle w:val="Pta"/>
        <w:tabs>
          <w:tab w:val="clear" w:pos="4536"/>
          <w:tab w:val="clear" w:pos="9072"/>
        </w:tabs>
        <w:overflowPunct w:val="0"/>
        <w:autoSpaceDE w:val="0"/>
        <w:autoSpaceDN w:val="0"/>
        <w:adjustRightInd w:val="0"/>
        <w:jc w:val="both"/>
        <w:textAlignment w:val="baseline"/>
        <w:rPr>
          <w:i/>
        </w:rPr>
      </w:pPr>
      <w:r w:rsidRPr="00F2249F">
        <w:rPr>
          <w:i/>
        </w:rPr>
        <w:t xml:space="preserve">Tomu v súčasnosti zodpovedajú všetci slovenskí správcovia. Na žiadosť úpadcu, veriteľa alebo skupiny veriteľov je možné viesť konkurz n EU </w:t>
      </w:r>
      <w:proofErr w:type="spellStart"/>
      <w:r w:rsidRPr="00F2249F">
        <w:rPr>
          <w:i/>
        </w:rPr>
        <w:t>Inc</w:t>
      </w:r>
      <w:proofErr w:type="spellEnd"/>
      <w:r w:rsidRPr="00F2249F">
        <w:rPr>
          <w:i/>
        </w:rPr>
        <w:t>. bez stanovenia správcu. Uvedená úprava by bola v slovenskom práve nóvum. I malý konkurz, ktorý limituje úlohu správcu, predpokladá jeho (aspoň) predbežné skúmanie veci (§ 106b ZKR). Hlavný „hráč“ v </w:t>
      </w:r>
      <w:proofErr w:type="spellStart"/>
      <w:r w:rsidRPr="00F2249F">
        <w:rPr>
          <w:i/>
        </w:rPr>
        <w:t>insolvenčnom</w:t>
      </w:r>
      <w:proofErr w:type="spellEnd"/>
      <w:r w:rsidRPr="00F2249F">
        <w:rPr>
          <w:i/>
        </w:rPr>
        <w:t xml:space="preserve"> procese, ktorý dozerá a spravuje záležitosti úpadcu, by tak bol z úpravy odstránený. </w:t>
      </w:r>
    </w:p>
    <w:p w14:paraId="250E8425"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pPr>
    </w:p>
    <w:p w14:paraId="38F05589"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rPr>
          <w:b/>
          <w:u w:val="single"/>
        </w:rPr>
      </w:pPr>
      <w:r w:rsidRPr="00F2249F">
        <w:rPr>
          <w:b/>
          <w:u w:val="single"/>
        </w:rPr>
        <w:t>Článok 91 Spôsoby komunikácie</w:t>
      </w:r>
    </w:p>
    <w:p w14:paraId="770E374B" w14:textId="30377DC1" w:rsidR="00EB1051" w:rsidRPr="00F2249F" w:rsidRDefault="00EB1051" w:rsidP="00EB1051">
      <w:pPr>
        <w:pStyle w:val="Pta"/>
        <w:tabs>
          <w:tab w:val="clear" w:pos="4536"/>
          <w:tab w:val="clear" w:pos="9072"/>
        </w:tabs>
        <w:overflowPunct w:val="0"/>
        <w:autoSpaceDE w:val="0"/>
        <w:autoSpaceDN w:val="0"/>
        <w:adjustRightInd w:val="0"/>
        <w:jc w:val="both"/>
        <w:textAlignment w:val="baseline"/>
      </w:pPr>
      <w:r w:rsidRPr="00F2249F">
        <w:t xml:space="preserve">Ustanovenie stanovuje povinnú formu komunikácie medzi súdom, správcom a stranami, ktorá musí byť elektronická. </w:t>
      </w:r>
    </w:p>
    <w:p w14:paraId="776C1FDE"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pPr>
    </w:p>
    <w:p w14:paraId="0A0F8FF2"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rPr>
          <w:u w:val="single"/>
        </w:rPr>
      </w:pPr>
      <w:r w:rsidRPr="00F2249F">
        <w:rPr>
          <w:b/>
          <w:u w:val="single"/>
        </w:rPr>
        <w:t>Článok 92 Návrh na začatie zjednodušeného konkurzného konania</w:t>
      </w:r>
      <w:r w:rsidRPr="00F2249F">
        <w:rPr>
          <w:u w:val="single"/>
        </w:rPr>
        <w:t xml:space="preserve"> </w:t>
      </w:r>
    </w:p>
    <w:p w14:paraId="1211F9FA" w14:textId="5BE01B78" w:rsidR="00EB1051" w:rsidRPr="00F2249F" w:rsidRDefault="00EB1051" w:rsidP="00EB1051">
      <w:pPr>
        <w:pStyle w:val="Pta"/>
        <w:tabs>
          <w:tab w:val="clear" w:pos="4536"/>
          <w:tab w:val="clear" w:pos="9072"/>
        </w:tabs>
        <w:overflowPunct w:val="0"/>
        <w:autoSpaceDE w:val="0"/>
        <w:autoSpaceDN w:val="0"/>
        <w:adjustRightInd w:val="0"/>
        <w:jc w:val="both"/>
        <w:textAlignment w:val="baseline"/>
      </w:pPr>
      <w:r w:rsidRPr="00F2249F">
        <w:t xml:space="preserve">Ustanovenie upravuje detaily súvisiace s návrhom o začatie zjednodušeného konkurzného konania podľa tejto kapitoly. Spresňuje ktoré osoby môžu dať návrh na začatie (dlžník i veriteľ), kam sa návrh podáva (v prípade SR ide vždy o súd), ako sa podáva (štandardizovaným formulárom) a stanovuje jeho obsahové náležitosti. Štandardizovaný formulár vypracuje KOM do 24 mesiacov po účinnosti Nariadenia. Zaujímavým ustanovením je písm. b) odseku 3 z ktorého je výslovne zrejmé, že kapitola sa týka nielen právnických osôb, ale aj fyzických osôb – podnikateľov s inovatívnym </w:t>
      </w:r>
      <w:proofErr w:type="spellStart"/>
      <w:r w:rsidRPr="00F2249F">
        <w:t>startupovým</w:t>
      </w:r>
      <w:proofErr w:type="spellEnd"/>
      <w:r w:rsidRPr="00F2249F">
        <w:t xml:space="preserve"> podnikom. Z ustanovenia nie je zrejmé, ako má pri podaní žiadosti veriteľ mať vedomosť o majetku úpadcu či jeho pohľadávkach a ďalších detailoch, ktoré formulár vyžaduje. </w:t>
      </w:r>
    </w:p>
    <w:p w14:paraId="56AFB519"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pPr>
      <w:r w:rsidRPr="00F2249F">
        <w:t xml:space="preserve"> </w:t>
      </w:r>
    </w:p>
    <w:p w14:paraId="2DC372A6"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rPr>
          <w:b/>
          <w:u w:val="single"/>
        </w:rPr>
      </w:pPr>
      <w:r w:rsidRPr="00F2249F">
        <w:rPr>
          <w:b/>
          <w:u w:val="single"/>
        </w:rPr>
        <w:t xml:space="preserve">Článok 93 Rozhodnutie o návrhu na </w:t>
      </w:r>
      <w:proofErr w:type="spellStart"/>
      <w:r w:rsidRPr="00F2249F">
        <w:rPr>
          <w:b/>
          <w:u w:val="single"/>
        </w:rPr>
        <w:t>začtie</w:t>
      </w:r>
      <w:proofErr w:type="spellEnd"/>
      <w:r w:rsidRPr="00F2249F">
        <w:rPr>
          <w:b/>
          <w:u w:val="single"/>
        </w:rPr>
        <w:t xml:space="preserve"> zjednodušeného konkurzného konania</w:t>
      </w:r>
    </w:p>
    <w:p w14:paraId="2D75F18D" w14:textId="77777777" w:rsidR="005C3EE6" w:rsidRPr="00F2249F" w:rsidRDefault="00EB1051" w:rsidP="00EB1051">
      <w:pPr>
        <w:pStyle w:val="Pta"/>
        <w:tabs>
          <w:tab w:val="clear" w:pos="4536"/>
          <w:tab w:val="clear" w:pos="9072"/>
        </w:tabs>
        <w:overflowPunct w:val="0"/>
        <w:autoSpaceDE w:val="0"/>
        <w:autoSpaceDN w:val="0"/>
        <w:adjustRightInd w:val="0"/>
        <w:jc w:val="both"/>
        <w:textAlignment w:val="baseline"/>
      </w:pPr>
      <w:r w:rsidRPr="00F2249F">
        <w:t xml:space="preserve">Ustanovenie sa týka začatia konkurzného konania, ktoré sa má uskutočniť „bez meškania“. </w:t>
      </w:r>
    </w:p>
    <w:p w14:paraId="3E1219BB" w14:textId="35703A36" w:rsidR="00EB1051" w:rsidRPr="00F2249F" w:rsidRDefault="00EB1051" w:rsidP="00EB1051">
      <w:pPr>
        <w:pStyle w:val="Pta"/>
        <w:tabs>
          <w:tab w:val="clear" w:pos="4536"/>
          <w:tab w:val="clear" w:pos="9072"/>
        </w:tabs>
        <w:overflowPunct w:val="0"/>
        <w:autoSpaceDE w:val="0"/>
        <w:autoSpaceDN w:val="0"/>
        <w:adjustRightInd w:val="0"/>
        <w:jc w:val="both"/>
        <w:textAlignment w:val="baseline"/>
        <w:rPr>
          <w:i/>
        </w:rPr>
      </w:pPr>
      <w:r w:rsidRPr="00F2249F">
        <w:rPr>
          <w:i/>
        </w:rPr>
        <w:t xml:space="preserve">Slovenské právo má osobitné lehoty na prijatie rozhodnutia o začatí konkurzného konania (§ 19 a 106 ods. 2 ZKR), je však nutné na pracovnej skupine vyjasniť, či sa pod slovami „bez meškania“ predpokladá i prípadné pojednávanie, ktoré má súd právo určiť v prípade začatia konkurzného konania na návrh veriteľa. </w:t>
      </w:r>
    </w:p>
    <w:p w14:paraId="5771E317"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pPr>
    </w:p>
    <w:p w14:paraId="4721C01F"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rPr>
          <w:u w:val="single"/>
        </w:rPr>
      </w:pPr>
      <w:r w:rsidRPr="00F2249F">
        <w:rPr>
          <w:b/>
          <w:u w:val="single"/>
        </w:rPr>
        <w:t>Článok 94 Prerušenie vykonávacích konaní</w:t>
      </w:r>
      <w:r w:rsidRPr="00F2249F">
        <w:rPr>
          <w:u w:val="single"/>
        </w:rPr>
        <w:t xml:space="preserve"> </w:t>
      </w:r>
    </w:p>
    <w:p w14:paraId="74D44C23"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pPr>
      <w:r w:rsidRPr="00F2249F">
        <w:t xml:space="preserve">Ustanovenie sa týka prerušenia vykonávacích konaní proti majetku úpadcu a zodpovedá § 48 ZKR. </w:t>
      </w:r>
    </w:p>
    <w:p w14:paraId="0F79C39E"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pPr>
    </w:p>
    <w:p w14:paraId="4D524343"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rPr>
          <w:b/>
          <w:u w:val="single"/>
        </w:rPr>
      </w:pPr>
      <w:r w:rsidRPr="00F2249F">
        <w:rPr>
          <w:b/>
          <w:u w:val="single"/>
        </w:rPr>
        <w:t>Článok 95 Prihlásenie a prijatie pohľadávok</w:t>
      </w:r>
    </w:p>
    <w:p w14:paraId="67EB4A63"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pPr>
      <w:r w:rsidRPr="00F2249F">
        <w:t xml:space="preserve">Ustanovenie zavádza osobitné pravidlá pre prihlasovanie pohľadávok veriteľov úpadcu. Prvotný zoznam pohľadávok vytvára úpadca, správca alebo súd však musí informovať veriteľov individuálnymi oznámeniami, ktorými ich vyzve v stanovenej lehote podať námietky proti zoznamu. Rovnako môže postupovať i veriteľ, ktorý sa na zozname vôbec nenachádza. Ustanovenie stanovuje povinnosť rýchleho riešenia sporných pohľadávok, hoci jeho znenie bude potrebné vyjasniť na pracovnej skupine. </w:t>
      </w:r>
    </w:p>
    <w:p w14:paraId="4891AB21"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pPr>
    </w:p>
    <w:p w14:paraId="175EF1CC"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rPr>
          <w:b/>
          <w:u w:val="single"/>
        </w:rPr>
      </w:pPr>
      <w:r w:rsidRPr="00F2249F">
        <w:rPr>
          <w:b/>
          <w:u w:val="single"/>
        </w:rPr>
        <w:t>Článok 96 Rozhodnutie o druhu konania</w:t>
      </w:r>
    </w:p>
    <w:p w14:paraId="1198C8DF" w14:textId="77777777" w:rsidR="005C3EE6" w:rsidRPr="00F2249F" w:rsidRDefault="00EB1051" w:rsidP="00EB1051">
      <w:pPr>
        <w:pStyle w:val="Pta"/>
        <w:tabs>
          <w:tab w:val="clear" w:pos="4536"/>
          <w:tab w:val="clear" w:pos="9072"/>
        </w:tabs>
        <w:overflowPunct w:val="0"/>
        <w:autoSpaceDE w:val="0"/>
        <w:autoSpaceDN w:val="0"/>
        <w:adjustRightInd w:val="0"/>
        <w:jc w:val="both"/>
        <w:textAlignment w:val="baseline"/>
      </w:pPr>
      <w:r w:rsidRPr="00F2249F">
        <w:t xml:space="preserve">Ustanovenie upravuje podrobnosti o rozhodnutí o zrušení konkurzného konania z dôvodu nedostatku majetku. V prípade, že sa konkurzné konanie z tohto dôvodu nezruší, správca alebo súd rozhodne o spôsobe speňažovania majetku. Prednostným spôsobom je elektronická aukcia. </w:t>
      </w:r>
    </w:p>
    <w:p w14:paraId="306EECA9" w14:textId="20C07016" w:rsidR="00EB1051" w:rsidRPr="00F2249F" w:rsidRDefault="00EB1051" w:rsidP="00EB1051">
      <w:pPr>
        <w:pStyle w:val="Pta"/>
        <w:tabs>
          <w:tab w:val="clear" w:pos="4536"/>
          <w:tab w:val="clear" w:pos="9072"/>
        </w:tabs>
        <w:overflowPunct w:val="0"/>
        <w:autoSpaceDE w:val="0"/>
        <w:autoSpaceDN w:val="0"/>
        <w:adjustRightInd w:val="0"/>
        <w:jc w:val="both"/>
        <w:textAlignment w:val="baseline"/>
        <w:rPr>
          <w:i/>
        </w:rPr>
      </w:pPr>
      <w:r w:rsidRPr="00F2249F">
        <w:rPr>
          <w:i/>
        </w:rPr>
        <w:t xml:space="preserve">Slovenské právo upravuje zrušenie konkurzu pre nedostatok majetku v § 102 ZKR. </w:t>
      </w:r>
    </w:p>
    <w:p w14:paraId="2A79E929"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pPr>
    </w:p>
    <w:p w14:paraId="21F2949A"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rPr>
          <w:b/>
          <w:u w:val="single"/>
        </w:rPr>
      </w:pPr>
      <w:r w:rsidRPr="00F2249F">
        <w:rPr>
          <w:b/>
          <w:u w:val="single"/>
        </w:rPr>
        <w:t>Články 97-100 Elektronický aukčný systém, jeho prepojenie, náklady a úlohy Komisie</w:t>
      </w:r>
    </w:p>
    <w:p w14:paraId="2A082307" w14:textId="77777777" w:rsidR="005C3EE6" w:rsidRPr="00F2249F" w:rsidRDefault="00EB1051" w:rsidP="00EB1051">
      <w:pPr>
        <w:pStyle w:val="Pta"/>
        <w:tabs>
          <w:tab w:val="clear" w:pos="4536"/>
          <w:tab w:val="clear" w:pos="9072"/>
        </w:tabs>
        <w:overflowPunct w:val="0"/>
        <w:autoSpaceDE w:val="0"/>
        <w:autoSpaceDN w:val="0"/>
        <w:adjustRightInd w:val="0"/>
        <w:jc w:val="both"/>
        <w:textAlignment w:val="baseline"/>
      </w:pPr>
      <w:r w:rsidRPr="00F2249F">
        <w:t xml:space="preserve">Tieto ustanovenia zavádzajú celoeurópsky elektronický aukčný systém na speňaženie majetku úpadcu. Každý členský štát je povinný na svoje náklady zaviesť svoj vnútroštátny elektronický aukčný systém, ktorý môže využívať na speňaženie majetku v akomkoľvek </w:t>
      </w:r>
      <w:proofErr w:type="spellStart"/>
      <w:r w:rsidRPr="00F2249F">
        <w:t>insolvenčnom</w:t>
      </w:r>
      <w:proofErr w:type="spellEnd"/>
      <w:r w:rsidRPr="00F2249F">
        <w:t xml:space="preserve"> konaní. Systémy musia byť dostupné i pre entity z iných členských štátov. Komisia na svoje náklady vytvorí systém prepojenia týchto registrov, nariadenie obsahuje úvodnú technickú špecifikáciu, ktorú KOM spresní implementačnými aktami. Tento systém bude na svoje náklady spravovať a inovovať. </w:t>
      </w:r>
    </w:p>
    <w:p w14:paraId="723B8F17" w14:textId="2D5ED46D" w:rsidR="00EB1051" w:rsidRPr="00F2249F" w:rsidRDefault="00EB1051" w:rsidP="00EB1051">
      <w:pPr>
        <w:pStyle w:val="Pta"/>
        <w:tabs>
          <w:tab w:val="clear" w:pos="4536"/>
          <w:tab w:val="clear" w:pos="9072"/>
        </w:tabs>
        <w:overflowPunct w:val="0"/>
        <w:autoSpaceDE w:val="0"/>
        <w:autoSpaceDN w:val="0"/>
        <w:adjustRightInd w:val="0"/>
        <w:jc w:val="both"/>
        <w:textAlignment w:val="baseline"/>
        <w:rPr>
          <w:i/>
        </w:rPr>
      </w:pPr>
      <w:r w:rsidRPr="00F2249F">
        <w:rPr>
          <w:i/>
        </w:rPr>
        <w:t xml:space="preserve">Obdobné ustanovenia slovenské právo nepozná. </w:t>
      </w:r>
    </w:p>
    <w:p w14:paraId="71ED5991"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pPr>
    </w:p>
    <w:p w14:paraId="39920564"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rPr>
          <w:b/>
          <w:u w:val="single"/>
        </w:rPr>
      </w:pPr>
      <w:r w:rsidRPr="00F2249F">
        <w:rPr>
          <w:b/>
          <w:u w:val="single"/>
        </w:rPr>
        <w:t>Článok 101 Predaj majetku v elektronickej aukcii</w:t>
      </w:r>
    </w:p>
    <w:p w14:paraId="31E58E98"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pPr>
      <w:r w:rsidRPr="00F2249F">
        <w:t xml:space="preserve">Ustanovenie upravuje základné princípy predaja majetku v elektronickej aukcii, ktorými sú dostatočne včasné informovanie o predaji, individuálne informovanie veriteľov o predaji, umožnenie participácie všetkým osobám s možnosťou obmedzenia práv akcionárov alebo manažérov úpadcu. </w:t>
      </w:r>
    </w:p>
    <w:p w14:paraId="4E9C18B6"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pPr>
    </w:p>
    <w:p w14:paraId="556CE07F"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rPr>
          <w:b/>
          <w:u w:val="single"/>
        </w:rPr>
      </w:pPr>
      <w:r w:rsidRPr="00F2249F">
        <w:rPr>
          <w:b/>
          <w:u w:val="single"/>
        </w:rPr>
        <w:t>Článok 102 Rozhodnutie o skončení konania</w:t>
      </w:r>
    </w:p>
    <w:p w14:paraId="4CED54EF" w14:textId="3F8AB9F0" w:rsidR="00EB1051" w:rsidRPr="00F2249F" w:rsidRDefault="00EB1051" w:rsidP="00EB1051">
      <w:pPr>
        <w:pStyle w:val="Pta"/>
        <w:tabs>
          <w:tab w:val="clear" w:pos="4536"/>
          <w:tab w:val="clear" w:pos="9072"/>
        </w:tabs>
        <w:overflowPunct w:val="0"/>
        <w:autoSpaceDE w:val="0"/>
        <w:autoSpaceDN w:val="0"/>
        <w:adjustRightInd w:val="0"/>
        <w:jc w:val="both"/>
        <w:textAlignment w:val="baseline"/>
      </w:pPr>
      <w:r w:rsidRPr="00F2249F">
        <w:t>Posledné ustanovenie kapitoly stanovuje 6 mesačnú lehotu na celé zjednodušené konanie s možnosťou jedného predĺženia o </w:t>
      </w:r>
      <w:r w:rsidR="005C3EE6" w:rsidRPr="00F2249F">
        <w:t>ď</w:t>
      </w:r>
      <w:r w:rsidRPr="00F2249F">
        <w:t xml:space="preserve">alších 6 mesiacov. Po vypršaní tohto času sa konanie automatický zmení na klasické konkurzné konanie. Ustanovenie upravuje i zrušenie právnickej osoby – úpadcu po skončení konkurzu. </w:t>
      </w:r>
    </w:p>
    <w:p w14:paraId="47E024C6"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pPr>
    </w:p>
    <w:p w14:paraId="0DD418C9" w14:textId="77777777" w:rsidR="00EB1051" w:rsidRPr="00F2249F" w:rsidRDefault="00EB1051" w:rsidP="00EB1051">
      <w:pPr>
        <w:overflowPunct w:val="0"/>
        <w:autoSpaceDE w:val="0"/>
        <w:autoSpaceDN w:val="0"/>
        <w:adjustRightInd w:val="0"/>
        <w:jc w:val="center"/>
        <w:textAlignment w:val="baseline"/>
        <w:rPr>
          <w:b/>
        </w:rPr>
      </w:pPr>
      <w:r w:rsidRPr="00F2249F">
        <w:rPr>
          <w:b/>
        </w:rPr>
        <w:t>KAPITOLA XI – Neprípustné požiadavky</w:t>
      </w:r>
    </w:p>
    <w:p w14:paraId="1CC79A3C" w14:textId="77777777" w:rsidR="00EB1051" w:rsidRPr="00F2249F" w:rsidRDefault="00EB1051" w:rsidP="00EB1051">
      <w:pPr>
        <w:overflowPunct w:val="0"/>
        <w:autoSpaceDE w:val="0"/>
        <w:autoSpaceDN w:val="0"/>
        <w:adjustRightInd w:val="0"/>
        <w:jc w:val="both"/>
        <w:textAlignment w:val="baseline"/>
        <w:rPr>
          <w:b/>
        </w:rPr>
      </w:pPr>
    </w:p>
    <w:p w14:paraId="3074A0A7" w14:textId="77777777" w:rsidR="00EB1051" w:rsidRPr="00F2249F" w:rsidRDefault="00EB1051" w:rsidP="00EB1051">
      <w:pPr>
        <w:overflowPunct w:val="0"/>
        <w:autoSpaceDE w:val="0"/>
        <w:autoSpaceDN w:val="0"/>
        <w:adjustRightInd w:val="0"/>
        <w:jc w:val="both"/>
        <w:textAlignment w:val="baseline"/>
      </w:pPr>
      <w:r w:rsidRPr="00F2249F">
        <w:rPr>
          <w:b/>
        </w:rPr>
        <w:t>Všeobecne o kapitole:</w:t>
      </w:r>
      <w:r w:rsidRPr="00F2249F">
        <w:t xml:space="preserve"> Kapitola pozostáva z jediného článku (čl. 103), ktorý spresňuje zaobchádzanie členských štátov so spoločnosťami EU </w:t>
      </w:r>
      <w:proofErr w:type="spellStart"/>
      <w:r w:rsidRPr="00F2249F">
        <w:t>Inc</w:t>
      </w:r>
      <w:proofErr w:type="spellEnd"/>
      <w:r w:rsidRPr="00F2249F">
        <w:t xml:space="preserve">. Článok stanovuje všeobecnú antidiskriminačnú normu v odseku 1 - členské štáty nesmú spoločnosť diskriminovať oproti iným kapitálovým spoločnostiam. Ustanovenie má široký rozsah pôsobnosti a vzťahuje sa na všetky aspekty činnosti spoločnosti, nielen </w:t>
      </w:r>
      <w:proofErr w:type="spellStart"/>
      <w:r w:rsidRPr="00F2249F">
        <w:t>korporátne</w:t>
      </w:r>
      <w:proofErr w:type="spellEnd"/>
      <w:r w:rsidRPr="00F2249F">
        <w:t xml:space="preserve">. Ustanovenie je potom spresnené  výslovnými príkladmi v odseku 2, ktoré sa vzťahujú na zaobchádzanie s EU </w:t>
      </w:r>
      <w:proofErr w:type="spellStart"/>
      <w:r w:rsidRPr="00F2249F">
        <w:t>Inc</w:t>
      </w:r>
      <w:proofErr w:type="spellEnd"/>
      <w:r w:rsidRPr="00F2249F">
        <w:t xml:space="preserve">. z iného členského štátu. Ide o uplatnenie pravidiel o štátnej pomoci, výkon hospodárskej činnosti (zrejme podnikania), požiadavky na osobnú prítomnosť alebo založenie účtu v členskom štáte. V odseku 3 sa definuje pojem povolenie (vlastnou definíciou) a pojem požiadavka (odkazom na </w:t>
      </w:r>
      <w:r w:rsidRPr="00F2249F">
        <w:rPr>
          <w:i/>
        </w:rPr>
        <w:t>smernicu Európskeho parlamentu a Rady  2006/123/ES z 12. decembra 2006 o službách na vnútornom trhu</w:t>
      </w:r>
      <w:r w:rsidRPr="00F2249F">
        <w:t xml:space="preserve"> (Ú. v. EÚ L 376, 27.12.2006). </w:t>
      </w:r>
    </w:p>
    <w:p w14:paraId="0543EAA2" w14:textId="39B21DF4" w:rsidR="00EB1051" w:rsidRPr="00F2249F" w:rsidRDefault="00EB1051" w:rsidP="00EB1051">
      <w:pPr>
        <w:overflowPunct w:val="0"/>
        <w:autoSpaceDE w:val="0"/>
        <w:autoSpaceDN w:val="0"/>
        <w:adjustRightInd w:val="0"/>
        <w:jc w:val="both"/>
        <w:textAlignment w:val="baseline"/>
      </w:pPr>
      <w:r w:rsidRPr="00F2249F">
        <w:t xml:space="preserve">Návrh sa snaží zabezpečiť, aby EU </w:t>
      </w:r>
      <w:proofErr w:type="spellStart"/>
      <w:r w:rsidRPr="00F2249F">
        <w:t>Inc</w:t>
      </w:r>
      <w:proofErr w:type="spellEnd"/>
      <w:r w:rsidRPr="00F2249F">
        <w:t xml:space="preserve">. nebola členskými štátmi síce formálne uznaná, ale prakticky znevýhodnená administratívnymi podmienkami či inak fakticky diskriminovaná. Článok 103 návrhu EU </w:t>
      </w:r>
      <w:proofErr w:type="spellStart"/>
      <w:r w:rsidRPr="00F2249F">
        <w:t>Inc</w:t>
      </w:r>
      <w:proofErr w:type="spellEnd"/>
      <w:r w:rsidRPr="00F2249F">
        <w:t>. je v zásade kodifikáciou judikatúry Súdneho dvora k zákazu diskriminácie a obmedzení slobody usadiť sa, najmä pokiaľ ide o nepriamu diskrimináciu a hostiteľské prekážky výkonu hospodárskej činnosti. V odseku 2 sú uvedené najčastejšie príklady diskriminačných opatrení, inšpirované nariadením IMERA (</w:t>
      </w:r>
      <w:r w:rsidRPr="00F2249F">
        <w:rPr>
          <w:i/>
        </w:rPr>
        <w:t xml:space="preserve">Nariadenie EP a Rady (EÚ) 2024/2747 z 9. októbra 2024, ktorým sa stanovuje rámec opatrení týkajúcich sa núdzovej situácie na vnútornom trhu a jeho odolnosti a ktorým sa mení nariadenie Rady (ES) č. 2679/98 </w:t>
      </w:r>
      <w:r w:rsidRPr="00F2249F">
        <w:rPr>
          <w:i/>
        </w:rPr>
        <w:lastRenderedPageBreak/>
        <w:t>(akt o núdzovej situácii na vnútornom trhu a jeho odolnosti</w:t>
      </w:r>
      <w:r w:rsidRPr="00F2249F">
        <w:t xml:space="preserve">) Návrh nepredstavuje zavedenie priaznivejšieho zaobchádzania s EU </w:t>
      </w:r>
      <w:proofErr w:type="spellStart"/>
      <w:r w:rsidRPr="00F2249F">
        <w:t>Inc</w:t>
      </w:r>
      <w:proofErr w:type="spellEnd"/>
      <w:r w:rsidRPr="00F2249F">
        <w:t xml:space="preserve">. v porovnaní s vnútroštátnymi formami, len antidiskriminačnú klauzulu.  Európska komisia argumentuje, že pretavenie normy do nariadenia ako sekundárneho právneho aktu pre EU </w:t>
      </w:r>
      <w:proofErr w:type="spellStart"/>
      <w:r w:rsidRPr="00F2249F">
        <w:t>Inc</w:t>
      </w:r>
      <w:proofErr w:type="spellEnd"/>
      <w:r w:rsidRPr="00F2249F">
        <w:t xml:space="preserve">. zabezpečuje rýchlejšie a jednotnejšie uplatňovanie pravidiel. V prípade nesprávneho vykonávania alebo neodstraňovania prekážok pri jeho aplikácii môže dôjsť k porušeniu povinností členského štátu podľa práva Únie, čo môže viesť k konaniu o porušení zmlúv a prípadne k finančným sankciám. Tento </w:t>
      </w:r>
      <w:proofErr w:type="spellStart"/>
      <w:r w:rsidRPr="00F2249F">
        <w:t>vynucovací</w:t>
      </w:r>
      <w:proofErr w:type="spellEnd"/>
      <w:r w:rsidRPr="00F2249F">
        <w:t xml:space="preserve"> mechanizmus bude pre EU </w:t>
      </w:r>
      <w:proofErr w:type="spellStart"/>
      <w:r w:rsidRPr="00F2249F">
        <w:t>Inc</w:t>
      </w:r>
      <w:proofErr w:type="spellEnd"/>
      <w:r w:rsidRPr="00F2249F">
        <w:t xml:space="preserve">. efektívnejší ako antidiskriminačná žaloba o porušenie ZFEÚ. </w:t>
      </w:r>
    </w:p>
    <w:p w14:paraId="198CF2AA" w14:textId="77777777" w:rsidR="00EB1051" w:rsidRPr="00F2249F" w:rsidRDefault="00EB1051" w:rsidP="00EB1051">
      <w:pPr>
        <w:overflowPunct w:val="0"/>
        <w:autoSpaceDE w:val="0"/>
        <w:autoSpaceDN w:val="0"/>
        <w:adjustRightInd w:val="0"/>
        <w:jc w:val="both"/>
        <w:textAlignment w:val="baseline"/>
        <w:rPr>
          <w:b/>
          <w:u w:val="single"/>
        </w:rPr>
      </w:pPr>
    </w:p>
    <w:p w14:paraId="3F80F955" w14:textId="77777777" w:rsidR="005C3EE6" w:rsidRPr="00F2249F" w:rsidRDefault="00EB1051" w:rsidP="00EB1051">
      <w:pPr>
        <w:overflowPunct w:val="0"/>
        <w:autoSpaceDE w:val="0"/>
        <w:autoSpaceDN w:val="0"/>
        <w:adjustRightInd w:val="0"/>
        <w:jc w:val="both"/>
        <w:textAlignment w:val="baseline"/>
        <w:rPr>
          <w:i/>
        </w:rPr>
      </w:pPr>
      <w:r w:rsidRPr="00F2249F">
        <w:rPr>
          <w:b/>
          <w:u w:val="single"/>
        </w:rPr>
        <w:t>Pozícia SR:</w:t>
      </w:r>
      <w:r w:rsidRPr="00F2249F">
        <w:rPr>
          <w:i/>
        </w:rPr>
        <w:t xml:space="preserve"> Slovenská republika víta cieľ návrhu, ktorým je odstránenie neodôvodnených prekážok voľného pohybu spoločností v rámci vnútorného trhu a zjednodušenie cezhraničného podnikania. </w:t>
      </w:r>
    </w:p>
    <w:p w14:paraId="1A5A9449" w14:textId="77777777" w:rsidR="005C3EE6" w:rsidRPr="00F2249F" w:rsidRDefault="005C3EE6" w:rsidP="00EB1051">
      <w:pPr>
        <w:overflowPunct w:val="0"/>
        <w:autoSpaceDE w:val="0"/>
        <w:autoSpaceDN w:val="0"/>
        <w:adjustRightInd w:val="0"/>
        <w:jc w:val="both"/>
        <w:textAlignment w:val="baseline"/>
        <w:rPr>
          <w:i/>
        </w:rPr>
      </w:pPr>
    </w:p>
    <w:p w14:paraId="4F4624DF" w14:textId="51EA08A5" w:rsidR="00EB1051" w:rsidRPr="00F2249F" w:rsidRDefault="00EB1051" w:rsidP="00EB1051">
      <w:pPr>
        <w:overflowPunct w:val="0"/>
        <w:autoSpaceDE w:val="0"/>
        <w:autoSpaceDN w:val="0"/>
        <w:adjustRightInd w:val="0"/>
        <w:jc w:val="both"/>
        <w:textAlignment w:val="baseline"/>
        <w:rPr>
          <w:i/>
        </w:rPr>
      </w:pPr>
      <w:r w:rsidRPr="00F2249F">
        <w:rPr>
          <w:i/>
        </w:rPr>
        <w:t xml:space="preserve">Zároveň sa však obávame, že súčasné znenie čl. 103 môže vytvoriť príliš široký a neurčitý rámec neprípustných požiadaviek a môže zasahovať aj do opatrení, ktoré sú v súčasnosti považované za legitímne a nevyhnutné pre výkon regulačných a </w:t>
      </w:r>
      <w:proofErr w:type="spellStart"/>
      <w:r w:rsidRPr="00F2249F">
        <w:rPr>
          <w:i/>
        </w:rPr>
        <w:t>dohľadových</w:t>
      </w:r>
      <w:proofErr w:type="spellEnd"/>
      <w:r w:rsidRPr="00F2249F">
        <w:rPr>
          <w:i/>
        </w:rPr>
        <w:t xml:space="preserve"> kompetencií členských štátov. SR sa obáva oslabenia jasného rozlíšenia medzi slobodou cezhraničného poskytovania služieb a usadením, keďže niektoré požiadavky, ktoré sú v súčasnom práve EÚ štandardne spájané s ustanovením a výkonom stálej hospodárskej činnosti na území členského štátu (napr. požiadavky na organizačnú prítomnosť alebo miestne administratívne zabezpečenie), môžu byť podľa navrhovaného článku 103 kvalifikované ako zakázané obmedzenia. </w:t>
      </w:r>
    </w:p>
    <w:p w14:paraId="726BA726" w14:textId="77777777" w:rsidR="005C3EE6" w:rsidRPr="00F2249F" w:rsidRDefault="005C3EE6" w:rsidP="00EB1051">
      <w:pPr>
        <w:overflowPunct w:val="0"/>
        <w:autoSpaceDE w:val="0"/>
        <w:autoSpaceDN w:val="0"/>
        <w:adjustRightInd w:val="0"/>
        <w:jc w:val="both"/>
        <w:textAlignment w:val="baseline"/>
        <w:rPr>
          <w:i/>
        </w:rPr>
      </w:pPr>
    </w:p>
    <w:p w14:paraId="510152EE" w14:textId="1FF76F0A" w:rsidR="00EB1051" w:rsidRPr="00F2249F" w:rsidRDefault="00EB1051" w:rsidP="00EB1051">
      <w:pPr>
        <w:overflowPunct w:val="0"/>
        <w:autoSpaceDE w:val="0"/>
        <w:autoSpaceDN w:val="0"/>
        <w:adjustRightInd w:val="0"/>
        <w:jc w:val="both"/>
        <w:textAlignment w:val="baseline"/>
        <w:rPr>
          <w:i/>
        </w:rPr>
      </w:pPr>
      <w:r w:rsidRPr="00F2249F">
        <w:rPr>
          <w:i/>
        </w:rPr>
        <w:t xml:space="preserve">SR sa tiež obáva nedostatočnej právnej určitosti v súvislosti s pojmami „no </w:t>
      </w:r>
      <w:proofErr w:type="spellStart"/>
      <w:r w:rsidRPr="00F2249F">
        <w:rPr>
          <w:i/>
        </w:rPr>
        <w:t>less</w:t>
      </w:r>
      <w:proofErr w:type="spellEnd"/>
      <w:r w:rsidRPr="00F2249F">
        <w:rPr>
          <w:i/>
        </w:rPr>
        <w:t xml:space="preserve"> </w:t>
      </w:r>
      <w:proofErr w:type="spellStart"/>
      <w:r w:rsidRPr="00F2249F">
        <w:rPr>
          <w:i/>
        </w:rPr>
        <w:t>favourable</w:t>
      </w:r>
      <w:proofErr w:type="spellEnd"/>
      <w:r w:rsidRPr="00F2249F">
        <w:rPr>
          <w:i/>
        </w:rPr>
        <w:t xml:space="preserve"> </w:t>
      </w:r>
      <w:proofErr w:type="spellStart"/>
      <w:r w:rsidRPr="00F2249F">
        <w:rPr>
          <w:i/>
        </w:rPr>
        <w:t>treatment</w:t>
      </w:r>
      <w:proofErr w:type="spellEnd"/>
      <w:r w:rsidRPr="00F2249F">
        <w:rPr>
          <w:i/>
        </w:rPr>
        <w:t>“ a „</w:t>
      </w:r>
      <w:proofErr w:type="spellStart"/>
      <w:r w:rsidRPr="00F2249F">
        <w:rPr>
          <w:i/>
        </w:rPr>
        <w:t>objectively</w:t>
      </w:r>
      <w:proofErr w:type="spellEnd"/>
      <w:r w:rsidRPr="00F2249F">
        <w:rPr>
          <w:i/>
        </w:rPr>
        <w:t xml:space="preserve"> </w:t>
      </w:r>
      <w:proofErr w:type="spellStart"/>
      <w:r w:rsidRPr="00F2249F">
        <w:rPr>
          <w:i/>
        </w:rPr>
        <w:t>justified</w:t>
      </w:r>
      <w:proofErr w:type="spellEnd"/>
      <w:r w:rsidRPr="00F2249F">
        <w:rPr>
          <w:i/>
        </w:rPr>
        <w:t xml:space="preserve"> and </w:t>
      </w:r>
      <w:proofErr w:type="spellStart"/>
      <w:r w:rsidRPr="00F2249F">
        <w:rPr>
          <w:i/>
        </w:rPr>
        <w:t>proportionate</w:t>
      </w:r>
      <w:proofErr w:type="spellEnd"/>
      <w:r w:rsidRPr="00F2249F">
        <w:rPr>
          <w:i/>
        </w:rPr>
        <w:t xml:space="preserve">“, ktoré v spojení s otvoreným rozsahom pôsobnosti môžu viesť k rozdielnym výkladom a zvýšenej miere sporov, pričom rozhodujúca interpretačná úloha by bola presunutá na Súdny dvor EÚ. </w:t>
      </w:r>
    </w:p>
    <w:p w14:paraId="3AD75F16" w14:textId="77777777" w:rsidR="00EB1051" w:rsidRPr="00F2249F" w:rsidRDefault="00EB1051" w:rsidP="00BC2B2C">
      <w:pPr>
        <w:overflowPunct w:val="0"/>
        <w:autoSpaceDE w:val="0"/>
        <w:autoSpaceDN w:val="0"/>
        <w:adjustRightInd w:val="0"/>
        <w:spacing w:line="20" w:lineRule="atLeast"/>
        <w:jc w:val="both"/>
        <w:textAlignment w:val="baseline"/>
        <w:rPr>
          <w:i/>
        </w:rPr>
      </w:pPr>
      <w:r w:rsidRPr="00F2249F">
        <w:rPr>
          <w:i/>
        </w:rPr>
        <w:t>SR preto považuje za potrebné ďalšie spresnenie návrhu tak, aby bolo jednoznačne zrejmé, že:</w:t>
      </w:r>
    </w:p>
    <w:p w14:paraId="736794AC" w14:textId="77777777" w:rsidR="00EB1051" w:rsidRPr="00F2249F" w:rsidRDefault="00EB1051" w:rsidP="00BC2B2C">
      <w:pPr>
        <w:pStyle w:val="Odsekzoznamu"/>
        <w:numPr>
          <w:ilvl w:val="0"/>
          <w:numId w:val="5"/>
        </w:numPr>
        <w:overflowPunct w:val="0"/>
        <w:autoSpaceDE w:val="0"/>
        <w:autoSpaceDN w:val="0"/>
        <w:adjustRightInd w:val="0"/>
        <w:spacing w:line="20" w:lineRule="atLeast"/>
        <w:contextualSpacing w:val="0"/>
        <w:jc w:val="both"/>
        <w:textAlignment w:val="baseline"/>
        <w:rPr>
          <w:i/>
        </w:rPr>
      </w:pPr>
      <w:r w:rsidRPr="00F2249F">
        <w:rPr>
          <w:i/>
        </w:rPr>
        <w:t xml:space="preserve">členský štát môže vyžadovať verejné povolenia na vykonávanie podnikateľskej činnosti vrátane živnostenských oprávnení či iných licencií alebo profesijných skúšok. </w:t>
      </w:r>
    </w:p>
    <w:p w14:paraId="5896D9E1" w14:textId="4058DBB8" w:rsidR="005C3EE6" w:rsidRPr="00F2249F" w:rsidRDefault="00EB1051" w:rsidP="00BC2B2C">
      <w:pPr>
        <w:pStyle w:val="Odsekzoznamu"/>
        <w:numPr>
          <w:ilvl w:val="0"/>
          <w:numId w:val="5"/>
        </w:numPr>
        <w:overflowPunct w:val="0"/>
        <w:autoSpaceDE w:val="0"/>
        <w:autoSpaceDN w:val="0"/>
        <w:adjustRightInd w:val="0"/>
        <w:spacing w:line="20" w:lineRule="atLeast"/>
        <w:contextualSpacing w:val="0"/>
        <w:jc w:val="both"/>
        <w:textAlignment w:val="baseline"/>
        <w:rPr>
          <w:i/>
        </w:rPr>
      </w:pPr>
      <w:r w:rsidRPr="00F2249F">
        <w:rPr>
          <w:i/>
        </w:rPr>
        <w:t>článok 103 nemá dopad na žiadny aspekt ochrany spotrebiteľa</w:t>
      </w:r>
    </w:p>
    <w:p w14:paraId="1117745A" w14:textId="2123725F" w:rsidR="005C3EE6" w:rsidRPr="00F2249F" w:rsidRDefault="005C3EE6" w:rsidP="00BC2B2C">
      <w:pPr>
        <w:overflowPunct w:val="0"/>
        <w:autoSpaceDE w:val="0"/>
        <w:autoSpaceDN w:val="0"/>
        <w:adjustRightInd w:val="0"/>
        <w:spacing w:line="20" w:lineRule="atLeast"/>
        <w:jc w:val="both"/>
        <w:textAlignment w:val="baseline"/>
        <w:rPr>
          <w:i/>
        </w:rPr>
      </w:pPr>
    </w:p>
    <w:p w14:paraId="67E76659" w14:textId="77777777" w:rsidR="005C3EE6" w:rsidRPr="00F2249F" w:rsidRDefault="005C3EE6" w:rsidP="00BC2B2C">
      <w:pPr>
        <w:overflowPunct w:val="0"/>
        <w:autoSpaceDE w:val="0"/>
        <w:autoSpaceDN w:val="0"/>
        <w:adjustRightInd w:val="0"/>
        <w:spacing w:line="20" w:lineRule="atLeast"/>
        <w:jc w:val="both"/>
        <w:textAlignment w:val="baseline"/>
        <w:rPr>
          <w:i/>
        </w:rPr>
      </w:pPr>
    </w:p>
    <w:p w14:paraId="39CB1899" w14:textId="334E5B3F" w:rsidR="00EB1051" w:rsidRPr="00F2249F" w:rsidRDefault="00EB1051" w:rsidP="00EB1051">
      <w:pPr>
        <w:pStyle w:val="Pta"/>
        <w:overflowPunct w:val="0"/>
        <w:autoSpaceDE w:val="0"/>
        <w:autoSpaceDN w:val="0"/>
        <w:adjustRightInd w:val="0"/>
        <w:jc w:val="both"/>
        <w:textAlignment w:val="baseline"/>
        <w:rPr>
          <w:i/>
        </w:rPr>
      </w:pPr>
      <w:r w:rsidRPr="00F2249F">
        <w:rPr>
          <w:i/>
        </w:rPr>
        <w:t xml:space="preserve">Pokiaľ ide o režim registra partnerov verejného sektora, ide o všeobecný mechanizmus zameraný na transparentnosť transakcií s verejným sektorom. Uplatňuje sa na všetky subjekty vstupujúce do vzťahov s verejným sektorom bez ohľadu na ich právnu formu alebo členský štát sídla. Podmienky zápisu sú viazané na účasť vo verejných finančných vzťahoch, nie na skutočnosť, že ide o EU </w:t>
      </w:r>
      <w:proofErr w:type="spellStart"/>
      <w:r w:rsidRPr="00F2249F">
        <w:rPr>
          <w:i/>
        </w:rPr>
        <w:t>Inc</w:t>
      </w:r>
      <w:proofErr w:type="spellEnd"/>
      <w:r w:rsidRPr="00F2249F">
        <w:rPr>
          <w:i/>
        </w:rPr>
        <w:t xml:space="preserve">. alebo o spoločnosť založenú podľa vnútroštátneho práva. Preto máme za to, že tento režim nepredstavuje opatrenie, ktoré by spadalo do pôsobnosti zákazu podľa článku 103 návrhu nariadenia. </w:t>
      </w:r>
    </w:p>
    <w:p w14:paraId="600F3D7A" w14:textId="77777777" w:rsidR="005C3EE6" w:rsidRPr="00F2249F" w:rsidRDefault="005C3EE6" w:rsidP="00EB1051">
      <w:pPr>
        <w:pStyle w:val="Pta"/>
        <w:overflowPunct w:val="0"/>
        <w:autoSpaceDE w:val="0"/>
        <w:autoSpaceDN w:val="0"/>
        <w:adjustRightInd w:val="0"/>
        <w:jc w:val="both"/>
        <w:textAlignment w:val="baseline"/>
        <w:rPr>
          <w:i/>
        </w:rPr>
      </w:pPr>
    </w:p>
    <w:p w14:paraId="3F7B8916" w14:textId="690F5EAB" w:rsidR="00EB1051" w:rsidRDefault="00EB1051" w:rsidP="00EB1051">
      <w:pPr>
        <w:pStyle w:val="Pta"/>
        <w:overflowPunct w:val="0"/>
        <w:autoSpaceDE w:val="0"/>
        <w:autoSpaceDN w:val="0"/>
        <w:adjustRightInd w:val="0"/>
        <w:jc w:val="both"/>
        <w:textAlignment w:val="baseline"/>
        <w:rPr>
          <w:i/>
        </w:rPr>
      </w:pPr>
      <w:r w:rsidRPr="00F2249F">
        <w:rPr>
          <w:i/>
        </w:rPr>
        <w:t xml:space="preserve">Je potrebné upozorniť na to, že čl.  103 môže čiastočne obmedziť preventívne nástroje členských štátov zamerané na „schránkové spoločnosti“, najmä ak sú založené na všeobecných požiadavkách lokálnej prítomnosti alebo sídla. Nezabraňuje však cieleným a </w:t>
      </w:r>
      <w:proofErr w:type="spellStart"/>
      <w:r w:rsidRPr="00F2249F">
        <w:rPr>
          <w:i/>
        </w:rPr>
        <w:t>proporcionalným</w:t>
      </w:r>
      <w:proofErr w:type="spellEnd"/>
      <w:r w:rsidRPr="00F2249F">
        <w:rPr>
          <w:i/>
        </w:rPr>
        <w:t xml:space="preserve"> opatreniam proti zneužívaniu práva, keďže tie ostávajú prípustné v rámci výnimky objektívneho odôvodnenia a existujúcich režimov finančnej a daňovej kontroly.</w:t>
      </w:r>
    </w:p>
    <w:p w14:paraId="0DAFAB47" w14:textId="274A7E83" w:rsidR="000A1088" w:rsidRDefault="000A1088" w:rsidP="00EB1051">
      <w:pPr>
        <w:pStyle w:val="Pta"/>
        <w:overflowPunct w:val="0"/>
        <w:autoSpaceDE w:val="0"/>
        <w:autoSpaceDN w:val="0"/>
        <w:adjustRightInd w:val="0"/>
        <w:jc w:val="both"/>
        <w:textAlignment w:val="baseline"/>
        <w:rPr>
          <w:i/>
        </w:rPr>
      </w:pPr>
    </w:p>
    <w:p w14:paraId="6FE43883" w14:textId="2158DA06" w:rsidR="000A1088" w:rsidRDefault="000A1088" w:rsidP="00EB1051">
      <w:pPr>
        <w:pStyle w:val="Pta"/>
        <w:overflowPunct w:val="0"/>
        <w:autoSpaceDE w:val="0"/>
        <w:autoSpaceDN w:val="0"/>
        <w:adjustRightInd w:val="0"/>
        <w:jc w:val="both"/>
        <w:textAlignment w:val="baseline"/>
        <w:rPr>
          <w:i/>
        </w:rPr>
      </w:pPr>
    </w:p>
    <w:p w14:paraId="68B0E953" w14:textId="65F40A7D" w:rsidR="000A1088" w:rsidRDefault="000A1088" w:rsidP="00EB1051">
      <w:pPr>
        <w:pStyle w:val="Pta"/>
        <w:overflowPunct w:val="0"/>
        <w:autoSpaceDE w:val="0"/>
        <w:autoSpaceDN w:val="0"/>
        <w:adjustRightInd w:val="0"/>
        <w:jc w:val="both"/>
        <w:textAlignment w:val="baseline"/>
        <w:rPr>
          <w:i/>
        </w:rPr>
      </w:pPr>
    </w:p>
    <w:p w14:paraId="5E43487B" w14:textId="77777777" w:rsidR="000A1088" w:rsidRPr="00F2249F" w:rsidRDefault="000A1088" w:rsidP="00EB1051">
      <w:pPr>
        <w:pStyle w:val="Pta"/>
        <w:overflowPunct w:val="0"/>
        <w:autoSpaceDE w:val="0"/>
        <w:autoSpaceDN w:val="0"/>
        <w:adjustRightInd w:val="0"/>
        <w:jc w:val="both"/>
        <w:textAlignment w:val="baseline"/>
        <w:rPr>
          <w:b/>
        </w:rPr>
      </w:pPr>
    </w:p>
    <w:p w14:paraId="0146F33A"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rPr>
          <w:b/>
        </w:rPr>
      </w:pPr>
    </w:p>
    <w:p w14:paraId="19EDB092" w14:textId="77777777" w:rsidR="00EB1051" w:rsidRPr="00F2249F" w:rsidRDefault="00EB1051" w:rsidP="00EB1051">
      <w:pPr>
        <w:pStyle w:val="Pta"/>
        <w:tabs>
          <w:tab w:val="clear" w:pos="4536"/>
          <w:tab w:val="clear" w:pos="9072"/>
        </w:tabs>
        <w:overflowPunct w:val="0"/>
        <w:autoSpaceDE w:val="0"/>
        <w:autoSpaceDN w:val="0"/>
        <w:adjustRightInd w:val="0"/>
        <w:jc w:val="center"/>
        <w:textAlignment w:val="baseline"/>
        <w:rPr>
          <w:b/>
        </w:rPr>
      </w:pPr>
      <w:r w:rsidRPr="00F2249F">
        <w:rPr>
          <w:b/>
        </w:rPr>
        <w:lastRenderedPageBreak/>
        <w:t>KAPITOLA XII – Záverečné ustanovenia</w:t>
      </w:r>
    </w:p>
    <w:p w14:paraId="4E9B82DE" w14:textId="77777777" w:rsidR="00EB1051" w:rsidRPr="00F2249F" w:rsidRDefault="00EB1051" w:rsidP="00EB1051">
      <w:pPr>
        <w:pStyle w:val="Pta"/>
        <w:tabs>
          <w:tab w:val="clear" w:pos="4536"/>
          <w:tab w:val="clear" w:pos="9072"/>
        </w:tabs>
        <w:overflowPunct w:val="0"/>
        <w:autoSpaceDE w:val="0"/>
        <w:autoSpaceDN w:val="0"/>
        <w:adjustRightInd w:val="0"/>
        <w:jc w:val="center"/>
        <w:textAlignment w:val="baseline"/>
        <w:rPr>
          <w:b/>
        </w:rPr>
      </w:pPr>
    </w:p>
    <w:p w14:paraId="3EF85BF9"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rPr>
          <w:b/>
        </w:rPr>
      </w:pPr>
      <w:r w:rsidRPr="00F2249F">
        <w:rPr>
          <w:b/>
        </w:rPr>
        <w:t>Všeobecne o kapitole:</w:t>
      </w:r>
    </w:p>
    <w:p w14:paraId="58ED2F08"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pPr>
      <w:r w:rsidRPr="00F2249F">
        <w:t xml:space="preserve">Kapitola XII stanovuje pravidlá ochrany osobných údajov, účtovníctvo, ktorým sa má EU </w:t>
      </w:r>
      <w:proofErr w:type="spellStart"/>
      <w:r w:rsidRPr="00F2249F">
        <w:t>Inc</w:t>
      </w:r>
      <w:proofErr w:type="spellEnd"/>
      <w:r w:rsidRPr="00F2249F">
        <w:t xml:space="preserve">. spravovať. Členské štáty majú v zmysle návrhu stanoviť sankcie za nedodržanie relevantných ustanovení návrhu. Európska komisia bude pri príprave vykonávacích aktov asistovaná relevantnými komisiami. </w:t>
      </w:r>
    </w:p>
    <w:p w14:paraId="1E321C00" w14:textId="77777777" w:rsidR="00EB1051" w:rsidRPr="00F2249F" w:rsidRDefault="00EB1051" w:rsidP="00EB1051">
      <w:pPr>
        <w:tabs>
          <w:tab w:val="left" w:pos="1786"/>
        </w:tabs>
        <w:jc w:val="both"/>
        <w:rPr>
          <w:b/>
        </w:rPr>
      </w:pPr>
    </w:p>
    <w:p w14:paraId="0368FA87" w14:textId="77777777" w:rsidR="00EB1051" w:rsidRPr="00F2249F" w:rsidRDefault="00EB1051" w:rsidP="00EB1051">
      <w:pPr>
        <w:tabs>
          <w:tab w:val="left" w:pos="1786"/>
        </w:tabs>
        <w:jc w:val="both"/>
        <w:rPr>
          <w:b/>
          <w:u w:val="single"/>
        </w:rPr>
      </w:pPr>
      <w:r w:rsidRPr="00F2249F">
        <w:rPr>
          <w:b/>
          <w:u w:val="single"/>
        </w:rPr>
        <w:t>Článok 104 – Ochrana údajov</w:t>
      </w:r>
    </w:p>
    <w:p w14:paraId="6D5FCE4E" w14:textId="77777777" w:rsidR="00EB1051" w:rsidRPr="00F2249F" w:rsidRDefault="00EB1051" w:rsidP="00EB1051">
      <w:pPr>
        <w:tabs>
          <w:tab w:val="left" w:pos="1786"/>
        </w:tabs>
        <w:spacing w:line="20" w:lineRule="atLeast"/>
        <w:jc w:val="both"/>
      </w:pPr>
      <w:r w:rsidRPr="00F2249F">
        <w:t>Návrh stanovuje, že na spracúvanie osobných údajov uskutočňované v kontexte tohto nariadenia sa vzťahuje:</w:t>
      </w:r>
    </w:p>
    <w:p w14:paraId="0F7A6832" w14:textId="77777777" w:rsidR="00EB1051" w:rsidRPr="00F2249F" w:rsidRDefault="00EB1051" w:rsidP="004A471E">
      <w:pPr>
        <w:pStyle w:val="Odsekzoznamu"/>
        <w:numPr>
          <w:ilvl w:val="0"/>
          <w:numId w:val="4"/>
        </w:numPr>
        <w:tabs>
          <w:tab w:val="left" w:pos="1786"/>
        </w:tabs>
        <w:spacing w:line="20" w:lineRule="atLeast"/>
        <w:contextualSpacing w:val="0"/>
        <w:jc w:val="both"/>
      </w:pPr>
      <w:r w:rsidRPr="00F2249F">
        <w:t xml:space="preserve"> nariadenie Európskeho parlamentu a Rady (EÚ) 2016/679 z 27. apríla 2016 o ochrane fyzických osôb pri spracúvaní osobných údajov a o voľnom pohybe takýchto údajov, ktorým sa zrušuje smernica 95/46/ES (všeobecné nariadenie o ochrane údajov) (Ú. v. EÚ L 119, 4.5.2016), </w:t>
      </w:r>
    </w:p>
    <w:p w14:paraId="65FC0254" w14:textId="77777777" w:rsidR="00EB1051" w:rsidRPr="00F2249F" w:rsidRDefault="00EB1051" w:rsidP="004A471E">
      <w:pPr>
        <w:pStyle w:val="Odsekzoznamu"/>
        <w:numPr>
          <w:ilvl w:val="0"/>
          <w:numId w:val="4"/>
        </w:numPr>
        <w:tabs>
          <w:tab w:val="left" w:pos="1786"/>
        </w:tabs>
        <w:spacing w:line="20" w:lineRule="atLeast"/>
        <w:contextualSpacing w:val="0"/>
        <w:jc w:val="both"/>
      </w:pPr>
      <w:r w:rsidRPr="00F2249F">
        <w:t>nariadenie Európskeho parlamentu a Rady (EÚ) 2018/1725 z 23. októbra 2018 o ochrane fyzických osôb pri spracúvaní osobných údajov inštitúciami, orgánmi, úradmi a agentúrami Únie a o voľnom pohybe takýchto údajov, ktorým sa zrušuje nariadenie (ES) č. 45/2001 a rozhodnutie č. 1247/2002/ES (Ú. v. EÚ L 295, 21.11.2018).</w:t>
      </w:r>
    </w:p>
    <w:p w14:paraId="0FF24B40"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rPr>
          <w:b/>
          <w:u w:val="single"/>
        </w:rPr>
      </w:pPr>
    </w:p>
    <w:p w14:paraId="5D3D9DF4"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rPr>
          <w:i/>
        </w:rPr>
      </w:pPr>
      <w:r w:rsidRPr="00F2249F">
        <w:rPr>
          <w:b/>
          <w:u w:val="single"/>
        </w:rPr>
        <w:t xml:space="preserve">Pozícia SR: </w:t>
      </w:r>
      <w:r w:rsidRPr="00F2249F">
        <w:rPr>
          <w:i/>
        </w:rPr>
        <w:t>Slovenská republika nemá pripomienky k predmetnému ustanoveniu.</w:t>
      </w:r>
      <w:r w:rsidRPr="00F2249F">
        <w:t xml:space="preserve"> </w:t>
      </w:r>
    </w:p>
    <w:p w14:paraId="1FE19354"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pPr>
    </w:p>
    <w:p w14:paraId="2BDDB065"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pPr>
      <w:r w:rsidRPr="00F2249F">
        <w:rPr>
          <w:b/>
          <w:u w:val="single"/>
        </w:rPr>
        <w:t>Článok 105 Účtovníctvo</w:t>
      </w:r>
      <w:r w:rsidRPr="00F2249F">
        <w:t xml:space="preserve"> Ustanovenie upravuje režim účtovníctva pre EU </w:t>
      </w:r>
      <w:proofErr w:type="spellStart"/>
      <w:r w:rsidRPr="00F2249F">
        <w:t>Inc</w:t>
      </w:r>
      <w:proofErr w:type="spellEnd"/>
      <w:r w:rsidRPr="00F2249F">
        <w:t xml:space="preserve">, ktorý sa nebude riadiť unifikovaným účtovným režimom, ale účtovným právom toho členského štátu, v ktorom má EU </w:t>
      </w:r>
      <w:proofErr w:type="spellStart"/>
      <w:r w:rsidRPr="00F2249F">
        <w:t>Inc</w:t>
      </w:r>
      <w:proofErr w:type="spellEnd"/>
      <w:r w:rsidRPr="00F2249F">
        <w:t xml:space="preserve">. registrované sídlo. Podávanie a zverejňovanie účtovných závierok podľa čl.  25 a 26 sa uplatní v režime 28 režimu – teda dokumenty majú byť dostupné aj prostredníctvom systému BRIS (viď pozíciu SR k týmto článkom). </w:t>
      </w:r>
    </w:p>
    <w:p w14:paraId="72C4D2FA"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pPr>
    </w:p>
    <w:p w14:paraId="12BF9F04" w14:textId="27C92E53" w:rsidR="00EB1051" w:rsidRPr="00F2249F" w:rsidRDefault="00EB1051" w:rsidP="00EB1051">
      <w:pPr>
        <w:pStyle w:val="Pta"/>
        <w:tabs>
          <w:tab w:val="clear" w:pos="4536"/>
          <w:tab w:val="clear" w:pos="9072"/>
        </w:tabs>
        <w:overflowPunct w:val="0"/>
        <w:autoSpaceDE w:val="0"/>
        <w:autoSpaceDN w:val="0"/>
        <w:adjustRightInd w:val="0"/>
        <w:jc w:val="both"/>
        <w:textAlignment w:val="baseline"/>
        <w:rPr>
          <w:i/>
        </w:rPr>
      </w:pPr>
      <w:r w:rsidRPr="00F2249F">
        <w:rPr>
          <w:b/>
          <w:u w:val="single"/>
        </w:rPr>
        <w:t>Pozícia SR</w:t>
      </w:r>
      <w:r w:rsidRPr="00F2249F">
        <w:rPr>
          <w:b/>
        </w:rPr>
        <w:t>:</w:t>
      </w:r>
      <w:r w:rsidRPr="00F2249F">
        <w:t xml:space="preserve"> </w:t>
      </w:r>
      <w:r w:rsidRPr="00F2249F">
        <w:rPr>
          <w:i/>
        </w:rPr>
        <w:t>Slovenská republika vníma toto ustanovenie ako nejasné</w:t>
      </w:r>
      <w:r w:rsidRPr="00F2249F">
        <w:t>.</w:t>
      </w:r>
      <w:r w:rsidRPr="00F2249F">
        <w:rPr>
          <w:i/>
        </w:rPr>
        <w:t xml:space="preserve"> Právo každého členského štátu obsahuje transponované ustanovenia účtovnej smernice (smernica Európskeho parlamentu a Rady 2013/34/EÚ z 26. júna 2013 o ročných účtovných závierkach, konsolidovaných účtovných závierkach a súvisiacich správach určitých druhov podnikov, ktorou sa mení smernica Európskeho parlamentu a Rady 2006/43/ES a zrušujú smernice Rady 78/660/EHS a 83/349/EHS) a  IFRS nariadenie (Nariadenie Európskeho parlamentu a Rady (ES) č. 1606/2002 z 19. júla 2002 o uplatňovaní medzinárodných účtovných noriem), ktoré sa uplatňuje na niektoré subjekty.</w:t>
      </w:r>
    </w:p>
    <w:p w14:paraId="5C4424FB"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rPr>
          <w:i/>
        </w:rPr>
      </w:pPr>
    </w:p>
    <w:p w14:paraId="3D4BAACB"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rPr>
          <w:i/>
        </w:rPr>
      </w:pPr>
      <w:r w:rsidRPr="00F2249F">
        <w:rPr>
          <w:i/>
        </w:rPr>
        <w:t xml:space="preserve">Z návrhu nie je jednoznačné, či má EU </w:t>
      </w:r>
      <w:proofErr w:type="spellStart"/>
      <w:r w:rsidRPr="00F2249F">
        <w:rPr>
          <w:i/>
        </w:rPr>
        <w:t>Inc</w:t>
      </w:r>
      <w:proofErr w:type="spellEnd"/>
      <w:r w:rsidRPr="00F2249F">
        <w:rPr>
          <w:i/>
        </w:rPr>
        <w:t xml:space="preserve">. podliehať výlučne účtovným pravidlám členského štátu, alebo či sa na </w:t>
      </w:r>
      <w:proofErr w:type="spellStart"/>
      <w:r w:rsidRPr="00F2249F">
        <w:rPr>
          <w:i/>
        </w:rPr>
        <w:t>ne</w:t>
      </w:r>
      <w:proofErr w:type="spellEnd"/>
      <w:r w:rsidRPr="00F2249F">
        <w:rPr>
          <w:i/>
        </w:rPr>
        <w:t xml:space="preserve"> majú uplatňovať aj harmonizované požiadavky vyplývajúce zo smernice o účtovných závierkach. SR upozorňuje, že rozdiely medzi členskými štátmi môžu viesť k rozdielnej aplikácii pravidiel a zníženiu právnej istoty. </w:t>
      </w:r>
    </w:p>
    <w:p w14:paraId="1AE40005"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rPr>
          <w:i/>
        </w:rPr>
      </w:pPr>
    </w:p>
    <w:p w14:paraId="37E1843A"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rPr>
          <w:i/>
        </w:rPr>
      </w:pPr>
      <w:r w:rsidRPr="00F2249F">
        <w:rPr>
          <w:i/>
        </w:rPr>
        <w:t xml:space="preserve">Slovenská republika zároveň upozorňuje, že EU </w:t>
      </w:r>
      <w:proofErr w:type="spellStart"/>
      <w:r w:rsidRPr="00F2249F">
        <w:rPr>
          <w:i/>
        </w:rPr>
        <w:t>Inc</w:t>
      </w:r>
      <w:proofErr w:type="spellEnd"/>
      <w:r w:rsidRPr="00F2249F">
        <w:rPr>
          <w:i/>
        </w:rPr>
        <w:t xml:space="preserve">. ako nová právna forma by mala byť zohľadnená v relevantných ustanoveniach práva EÚ, najmä tam, kde právne akty odkazujú na kategórie a definície podľa účtovnej smernice a nadväzujúcich predpisov (najmä v oblasti auditu, vykazovania udržateľnosti  práva obchodných spoločností). </w:t>
      </w:r>
    </w:p>
    <w:p w14:paraId="619A78B0"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rPr>
          <w:i/>
        </w:rPr>
      </w:pPr>
    </w:p>
    <w:p w14:paraId="7E14ED0C"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rPr>
          <w:i/>
        </w:rPr>
      </w:pPr>
      <w:r w:rsidRPr="00F2249F">
        <w:rPr>
          <w:i/>
        </w:rPr>
        <w:t xml:space="preserve">Slovenská republika preto navrhuje spresniť znenie článku tak, aby bolo jasné postavenie EU </w:t>
      </w:r>
      <w:proofErr w:type="spellStart"/>
      <w:r w:rsidRPr="00F2249F">
        <w:rPr>
          <w:i/>
        </w:rPr>
        <w:t>Inc</w:t>
      </w:r>
      <w:proofErr w:type="spellEnd"/>
      <w:r w:rsidRPr="00F2249F">
        <w:rPr>
          <w:i/>
        </w:rPr>
        <w:t xml:space="preserve">. v systéme účtovného a nadväzujúceho </w:t>
      </w:r>
      <w:proofErr w:type="spellStart"/>
      <w:r w:rsidRPr="00F2249F">
        <w:rPr>
          <w:i/>
        </w:rPr>
        <w:t>výkazníckeho</w:t>
      </w:r>
      <w:proofErr w:type="spellEnd"/>
      <w:r w:rsidRPr="00F2249F">
        <w:rPr>
          <w:i/>
        </w:rPr>
        <w:t xml:space="preserve"> práva EÚ a zvážiť potrebu prípadných doplnení príslušných právnych aktov. </w:t>
      </w:r>
    </w:p>
    <w:p w14:paraId="03D6E1E5"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rPr>
          <w:i/>
        </w:rPr>
      </w:pPr>
    </w:p>
    <w:p w14:paraId="65A4BD78"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rPr>
          <w:i/>
        </w:rPr>
      </w:pPr>
      <w:r w:rsidRPr="00F2249F">
        <w:rPr>
          <w:i/>
        </w:rPr>
        <w:t xml:space="preserve">Slovenská republika by privítala naviac aj zváženie zavedenia minimálneho spoločného rámca alebo metodických usmernení na úrovni EÚ na účely jednotného uplatňovania harmonizovaných ustanovení vo vzťahu k EU </w:t>
      </w:r>
      <w:proofErr w:type="spellStart"/>
      <w:r w:rsidRPr="00F2249F">
        <w:rPr>
          <w:i/>
        </w:rPr>
        <w:t>Inc</w:t>
      </w:r>
      <w:proofErr w:type="spellEnd"/>
      <w:r w:rsidRPr="00F2249F">
        <w:rPr>
          <w:i/>
        </w:rPr>
        <w:t>., najmä pokiaľ ide o interakciu účtovných a </w:t>
      </w:r>
      <w:proofErr w:type="spellStart"/>
      <w:r w:rsidRPr="00F2249F">
        <w:rPr>
          <w:i/>
        </w:rPr>
        <w:t>korporátnych</w:t>
      </w:r>
      <w:proofErr w:type="spellEnd"/>
      <w:r w:rsidRPr="00F2249F">
        <w:rPr>
          <w:i/>
        </w:rPr>
        <w:t xml:space="preserve"> pravidiel, vrátane úpravy akcií bez nominálnej hodnoty, testu solventnosti, rozdeľovania zisku a ochrany veriteľov. </w:t>
      </w:r>
    </w:p>
    <w:p w14:paraId="7C059608"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rPr>
          <w:i/>
        </w:rPr>
      </w:pPr>
    </w:p>
    <w:p w14:paraId="74F210A8" w14:textId="77777777" w:rsidR="00EB1051" w:rsidRPr="00F2249F" w:rsidRDefault="00EB1051" w:rsidP="00EB1051">
      <w:pPr>
        <w:tabs>
          <w:tab w:val="left" w:pos="1786"/>
        </w:tabs>
        <w:jc w:val="both"/>
        <w:rPr>
          <w:b/>
          <w:u w:val="single"/>
        </w:rPr>
      </w:pPr>
      <w:r w:rsidRPr="00F2249F">
        <w:rPr>
          <w:b/>
          <w:u w:val="single"/>
        </w:rPr>
        <w:t xml:space="preserve">Článok 106 – Sankcie </w:t>
      </w:r>
    </w:p>
    <w:p w14:paraId="0575FB97" w14:textId="77777777" w:rsidR="00EB1051" w:rsidRPr="00F2249F" w:rsidRDefault="00EB1051" w:rsidP="00EB1051">
      <w:pPr>
        <w:tabs>
          <w:tab w:val="left" w:pos="1786"/>
        </w:tabs>
        <w:jc w:val="both"/>
      </w:pPr>
      <w:r w:rsidRPr="00F2249F">
        <w:t xml:space="preserve">Ustanovenie predstavuje štandardné ustanovenie adresované členským štátom s cieľom zabezpečiť účinné, primerané a odrádzajúce sankcie za nedodržanie pravidiel nariadenia. Ustanovenie obsahuje zoznam článkov, pre ktoré musí štát sankcie zaviesť. Členské štáty však môžu zaviesť sankcie i za ďalšie porušenia nariadenia. </w:t>
      </w:r>
    </w:p>
    <w:p w14:paraId="1A417B64" w14:textId="77777777" w:rsidR="00EB1051" w:rsidRPr="00F2249F" w:rsidRDefault="00EB1051" w:rsidP="00EB1051">
      <w:pPr>
        <w:tabs>
          <w:tab w:val="left" w:pos="1786"/>
        </w:tabs>
        <w:jc w:val="both"/>
      </w:pPr>
    </w:p>
    <w:p w14:paraId="4D7D9334" w14:textId="4BC32C25" w:rsidR="00EB1051" w:rsidRPr="00F2249F" w:rsidRDefault="00EB1051" w:rsidP="00EB1051">
      <w:pPr>
        <w:pStyle w:val="Pta"/>
        <w:tabs>
          <w:tab w:val="clear" w:pos="4536"/>
          <w:tab w:val="clear" w:pos="9072"/>
        </w:tabs>
        <w:overflowPunct w:val="0"/>
        <w:autoSpaceDE w:val="0"/>
        <w:autoSpaceDN w:val="0"/>
        <w:adjustRightInd w:val="0"/>
        <w:jc w:val="both"/>
        <w:textAlignment w:val="baseline"/>
        <w:rPr>
          <w:b/>
          <w:u w:val="single"/>
        </w:rPr>
      </w:pPr>
      <w:r w:rsidRPr="00F2249F">
        <w:rPr>
          <w:b/>
          <w:u w:val="single"/>
        </w:rPr>
        <w:t>Pozícia SR</w:t>
      </w:r>
      <w:r w:rsidR="00031EB4">
        <w:rPr>
          <w:b/>
          <w:u w:val="single"/>
        </w:rPr>
        <w:t>:</w:t>
      </w:r>
      <w:r w:rsidR="00031EB4" w:rsidRPr="000A1088">
        <w:t xml:space="preserve"> </w:t>
      </w:r>
      <w:r w:rsidRPr="00F2249F">
        <w:rPr>
          <w:i/>
        </w:rPr>
        <w:t>Slovenská republika nemá k ustanoveniu výhrady.</w:t>
      </w:r>
      <w:r w:rsidRPr="00F2249F">
        <w:t xml:space="preserve"> </w:t>
      </w:r>
      <w:r w:rsidRPr="00F2249F">
        <w:rPr>
          <w:i/>
        </w:rPr>
        <w:t>Bude však potrebné spresniť, či sankciou môže byť i zrušenie spoločnosti, ktoré Obchodný zákonník v niektorých prípadoch predpokladá (§ 66/3, 68, 68b a ďalšie).</w:t>
      </w:r>
    </w:p>
    <w:p w14:paraId="6584FEC4"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pPr>
    </w:p>
    <w:p w14:paraId="3A2E8CFB" w14:textId="77777777" w:rsidR="00EB1051" w:rsidRPr="00F2249F" w:rsidRDefault="00EB1051" w:rsidP="00EB1051">
      <w:pPr>
        <w:tabs>
          <w:tab w:val="left" w:pos="1786"/>
        </w:tabs>
        <w:jc w:val="both"/>
        <w:rPr>
          <w:b/>
          <w:u w:val="single"/>
        </w:rPr>
      </w:pPr>
      <w:r w:rsidRPr="00F2249F">
        <w:rPr>
          <w:b/>
          <w:u w:val="single"/>
        </w:rPr>
        <w:t>Článok 107 – Výbory</w:t>
      </w:r>
    </w:p>
    <w:p w14:paraId="26E3429D" w14:textId="77777777" w:rsidR="00EB1051" w:rsidRPr="00F2249F" w:rsidRDefault="00EB1051" w:rsidP="00EB1051">
      <w:pPr>
        <w:tabs>
          <w:tab w:val="left" w:pos="1786"/>
        </w:tabs>
        <w:jc w:val="both"/>
      </w:pPr>
      <w:r w:rsidRPr="00F2249F">
        <w:t xml:space="preserve">Ustanovenie predstavuje štandardné ustanovenie o stanovení výborov, ktoré asistujú Európskej komisii. </w:t>
      </w:r>
    </w:p>
    <w:p w14:paraId="777F5B2C" w14:textId="77777777" w:rsidR="00EB1051" w:rsidRPr="00F2249F" w:rsidRDefault="00EB1051" w:rsidP="00EB1051">
      <w:pPr>
        <w:tabs>
          <w:tab w:val="left" w:pos="1786"/>
        </w:tabs>
        <w:jc w:val="both"/>
      </w:pPr>
    </w:p>
    <w:p w14:paraId="6BD99487" w14:textId="480C02E1" w:rsidR="00EB1051" w:rsidRPr="00F2249F" w:rsidRDefault="00EB1051" w:rsidP="00EB1051">
      <w:pPr>
        <w:pStyle w:val="Pta"/>
        <w:tabs>
          <w:tab w:val="clear" w:pos="4536"/>
          <w:tab w:val="clear" w:pos="9072"/>
        </w:tabs>
        <w:overflowPunct w:val="0"/>
        <w:autoSpaceDE w:val="0"/>
        <w:autoSpaceDN w:val="0"/>
        <w:adjustRightInd w:val="0"/>
        <w:jc w:val="both"/>
        <w:textAlignment w:val="baseline"/>
      </w:pPr>
      <w:r w:rsidRPr="00F2249F">
        <w:rPr>
          <w:b/>
          <w:u w:val="single"/>
        </w:rPr>
        <w:t>Pozícia SR:</w:t>
      </w:r>
      <w:r w:rsidRPr="000A1088">
        <w:rPr>
          <w:i/>
        </w:rPr>
        <w:t xml:space="preserve"> </w:t>
      </w:r>
      <w:r w:rsidRPr="00F2249F">
        <w:rPr>
          <w:i/>
        </w:rPr>
        <w:t>Slovenská republika nemá k ustanoveniu výhrady vo vzťahu k výboru BRIS. Vo vzťahu k </w:t>
      </w:r>
      <w:proofErr w:type="spellStart"/>
      <w:r w:rsidRPr="00F2249F">
        <w:rPr>
          <w:i/>
        </w:rPr>
        <w:t>insolvenčnému</w:t>
      </w:r>
      <w:proofErr w:type="spellEnd"/>
      <w:r w:rsidRPr="00F2249F">
        <w:rPr>
          <w:i/>
        </w:rPr>
        <w:t xml:space="preserve"> výboru pozícia Slovenskej republiky je spojená s pozíciou ku kapitole X návrhu. </w:t>
      </w:r>
    </w:p>
    <w:p w14:paraId="1523EE77"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pPr>
    </w:p>
    <w:p w14:paraId="1E80029B" w14:textId="77777777" w:rsidR="00EB1051" w:rsidRPr="00F2249F" w:rsidRDefault="00EB1051" w:rsidP="00EB1051">
      <w:pPr>
        <w:tabs>
          <w:tab w:val="left" w:pos="1786"/>
        </w:tabs>
        <w:jc w:val="both"/>
        <w:rPr>
          <w:b/>
          <w:u w:val="single"/>
        </w:rPr>
      </w:pPr>
      <w:r w:rsidRPr="00F2249F">
        <w:rPr>
          <w:b/>
          <w:u w:val="single"/>
        </w:rPr>
        <w:t>Článok 108 – Podávanie správ a preskúmanie</w:t>
      </w:r>
    </w:p>
    <w:p w14:paraId="2FF0B0B4" w14:textId="77777777" w:rsidR="00EB1051" w:rsidRPr="00F2249F" w:rsidRDefault="00EB1051" w:rsidP="00EB1051">
      <w:pPr>
        <w:tabs>
          <w:tab w:val="left" w:pos="1786"/>
        </w:tabs>
        <w:jc w:val="both"/>
      </w:pPr>
      <w:r w:rsidRPr="00F2249F">
        <w:t xml:space="preserve">Európska komisia má v zmysle návrhu nariadenia po piatich rokoch od dátumu uplatňovania návrhu zhodnotiť aplikáciu nariadenia v rozsahu spôsobov zakladania EU </w:t>
      </w:r>
      <w:proofErr w:type="spellStart"/>
      <w:r w:rsidRPr="00F2249F">
        <w:t>Inc</w:t>
      </w:r>
      <w:proofErr w:type="spellEnd"/>
      <w:r w:rsidRPr="00F2249F">
        <w:t xml:space="preserve">., využívania centrálneho rozhrania a vzorov. </w:t>
      </w:r>
    </w:p>
    <w:p w14:paraId="3FB7AC4D" w14:textId="77777777" w:rsidR="00EB1051" w:rsidRPr="00F2249F" w:rsidRDefault="00EB1051" w:rsidP="00EB1051">
      <w:pPr>
        <w:tabs>
          <w:tab w:val="left" w:pos="1786"/>
        </w:tabs>
        <w:jc w:val="both"/>
      </w:pPr>
    </w:p>
    <w:p w14:paraId="0459E7AF" w14:textId="19815A04" w:rsidR="00EB1051" w:rsidRDefault="00EB1051" w:rsidP="00EB1051">
      <w:pPr>
        <w:pStyle w:val="Pta"/>
        <w:tabs>
          <w:tab w:val="clear" w:pos="4536"/>
          <w:tab w:val="clear" w:pos="9072"/>
        </w:tabs>
        <w:overflowPunct w:val="0"/>
        <w:autoSpaceDE w:val="0"/>
        <w:autoSpaceDN w:val="0"/>
        <w:adjustRightInd w:val="0"/>
        <w:jc w:val="both"/>
        <w:textAlignment w:val="baseline"/>
      </w:pPr>
      <w:r w:rsidRPr="00F2249F">
        <w:rPr>
          <w:b/>
          <w:u w:val="single"/>
        </w:rPr>
        <w:t>Pozícia SR:</w:t>
      </w:r>
      <w:r w:rsidRPr="000A1088">
        <w:t xml:space="preserve"> </w:t>
      </w:r>
      <w:r w:rsidRPr="00F2249F">
        <w:rPr>
          <w:i/>
        </w:rPr>
        <w:t>Slovenská republika nemá k ustanoveniu výhrady, uvíta však spresnenie obsahu vyhodnotenia. Toto by sa malo zamerať nie len na využívanie novej právnej formy, spôsob zakladania a využitie centrálneho rozhrania a harmonizovaných vzorov, ale aj na prípady AML zneužitia, vyhodnotenie počtu podvodov, či postavenie veriteľov.</w:t>
      </w:r>
      <w:r w:rsidRPr="00F2249F">
        <w:t xml:space="preserve"> </w:t>
      </w:r>
    </w:p>
    <w:p w14:paraId="12670560" w14:textId="1545F704" w:rsidR="00031EB4" w:rsidRDefault="00031EB4" w:rsidP="00EB1051">
      <w:pPr>
        <w:pStyle w:val="Pta"/>
        <w:tabs>
          <w:tab w:val="clear" w:pos="4536"/>
          <w:tab w:val="clear" w:pos="9072"/>
        </w:tabs>
        <w:overflowPunct w:val="0"/>
        <w:autoSpaceDE w:val="0"/>
        <w:autoSpaceDN w:val="0"/>
        <w:adjustRightInd w:val="0"/>
        <w:jc w:val="both"/>
        <w:textAlignment w:val="baseline"/>
      </w:pPr>
    </w:p>
    <w:p w14:paraId="61B345B4" w14:textId="77777777" w:rsidR="00EB1051" w:rsidRPr="00F2249F" w:rsidRDefault="00EB1051" w:rsidP="00EB1051">
      <w:pPr>
        <w:tabs>
          <w:tab w:val="left" w:pos="1786"/>
        </w:tabs>
        <w:jc w:val="both"/>
        <w:rPr>
          <w:b/>
          <w:u w:val="single"/>
        </w:rPr>
      </w:pPr>
      <w:r w:rsidRPr="00F2249F">
        <w:rPr>
          <w:b/>
          <w:u w:val="single"/>
        </w:rPr>
        <w:t>Článok 109 – Nadobudnutie účinnosti a dátum uplatňovania</w:t>
      </w:r>
    </w:p>
    <w:p w14:paraId="3585FFF4"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pPr>
      <w:r w:rsidRPr="00F2249F">
        <w:t>Návrh nariadenia, v prípade jeho prijatia, nadobúda účinnosť dvadsiatym dňom nasledujúcim po jeho uverejnení v Úradnom vestníku Európskej únie a uplatňuje sa od. posledného dňa 12. mesiaca odo dňa nadobudnutia účinnosti.</w:t>
      </w:r>
    </w:p>
    <w:p w14:paraId="70B90D41"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rPr>
          <w:b/>
          <w:u w:val="single"/>
        </w:rPr>
      </w:pPr>
    </w:p>
    <w:p w14:paraId="063E59BF"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rPr>
          <w:i/>
        </w:rPr>
      </w:pPr>
      <w:r w:rsidRPr="00F2249F">
        <w:rPr>
          <w:b/>
          <w:u w:val="single"/>
        </w:rPr>
        <w:t>Pozícia SR:</w:t>
      </w:r>
      <w:r w:rsidRPr="000A1088">
        <w:t xml:space="preserve"> </w:t>
      </w:r>
      <w:r w:rsidRPr="00F2249F">
        <w:rPr>
          <w:i/>
        </w:rPr>
        <w:t xml:space="preserve">Slovenská republika považuje za zásadné pri stanovení účinnosti brať do úvahy skúsenosti s vývojom technických riešení pri už používaných, ale aj aktuálne vyvíjaných riešeniach v oblasti digitalizácie práva obchodných spoločností a systému prepojenia obchodných registrov. Lehota aktuálne stanovená návrhom (12 mesiacov od nadobudnutia účinnosti nariadenia) objektívne spôsobí praktické problémy pri implementácii nariadenia. </w:t>
      </w:r>
    </w:p>
    <w:p w14:paraId="2105B3DA"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rPr>
          <w:i/>
        </w:rPr>
      </w:pPr>
      <w:r w:rsidRPr="00F2249F">
        <w:rPr>
          <w:i/>
        </w:rPr>
        <w:t xml:space="preserve">V oblasti obchodných registrov je takáto lehota krátka, o to viac ak vykonávacie akty komisie v zmysle článku 35 návrhu majú byť prijaté do deviatich mesiacov od nadobudnutia účinnosti nariadenia. Uvedené je zásadné aj z toho pohľadu, že návrh nariadenia sa zásadne spolieha na Európsku podnikovú peňaženku, ktorej legislatívne zakotvenie je v štádiu diskusií v pracovnej skupine Rady Európskej únie, ako aj skutočnosť, že iné digitálne riešenia (napr. notifikácie </w:t>
      </w:r>
      <w:r w:rsidRPr="00F2249F">
        <w:rPr>
          <w:i/>
        </w:rPr>
        <w:lastRenderedPageBreak/>
        <w:t xml:space="preserve">prostredníctvom systému BRIS pri cezhraničných transakciách) nie sú členskými štátmi dostatočne prebraté a funkčné. </w:t>
      </w:r>
    </w:p>
    <w:p w14:paraId="72D18643"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rPr>
          <w:i/>
        </w:rPr>
      </w:pPr>
      <w:r w:rsidRPr="00F2249F">
        <w:rPr>
          <w:i/>
        </w:rPr>
        <w:t>Hoci sa môže zdať, že vyvíjanie technických riešení v zmysle návrhu nariadenia je hlavne úlohou Európskej komisie, členské štáty budú musieť zosúladiť svoje systémy, rovnako ako upraviť relevantnú legislatívu. Napriek priamej účinnosti nariadenia bude potrebné prijať legislatívne zmeny na jej doplnenie (napríklad učenie relevantnej právnej formy v zmysle čl. 4), prípadne naviazanie na existujúce inštitúty (napríklad likvidácia).</w:t>
      </w:r>
    </w:p>
    <w:p w14:paraId="6B18B0E6" w14:textId="526413F6" w:rsidR="00EB1051" w:rsidRPr="00F2249F" w:rsidRDefault="00EB1051" w:rsidP="00EB1051">
      <w:pPr>
        <w:pStyle w:val="Pta"/>
        <w:tabs>
          <w:tab w:val="clear" w:pos="4536"/>
          <w:tab w:val="clear" w:pos="9072"/>
        </w:tabs>
        <w:overflowPunct w:val="0"/>
        <w:autoSpaceDE w:val="0"/>
        <w:autoSpaceDN w:val="0"/>
        <w:adjustRightInd w:val="0"/>
        <w:jc w:val="both"/>
        <w:textAlignment w:val="baseline"/>
        <w:rPr>
          <w:i/>
        </w:rPr>
      </w:pPr>
      <w:r w:rsidRPr="00F2249F">
        <w:rPr>
          <w:i/>
        </w:rPr>
        <w:t xml:space="preserve">Okrem toho, spomenuté technické riešenia alebo nové právne inštitúty nadväzujú na transpozíciu smernice </w:t>
      </w:r>
      <w:r w:rsidR="00F96C44" w:rsidRPr="00F2249F">
        <w:rPr>
          <w:i/>
        </w:rPr>
        <w:t xml:space="preserve">(EÚ) </w:t>
      </w:r>
      <w:r w:rsidRPr="00F2249F">
        <w:rPr>
          <w:i/>
        </w:rPr>
        <w:t>25/2025</w:t>
      </w:r>
      <w:r w:rsidR="00F96C44" w:rsidRPr="00F2249F">
        <w:rPr>
          <w:i/>
        </w:rPr>
        <w:t>.</w:t>
      </w:r>
      <w:r w:rsidRPr="00F2249F">
        <w:rPr>
          <w:i/>
        </w:rPr>
        <w:t xml:space="preserve"> Jej transpozícia sa má dokončiť do 31.júla 2027, avšak opatrenia ktoré sa ňou zavádzajú sa majú uplatniť až od 31. júla 2028, niektoré dokonca až od 1. augusta 2029. Pred konečným stanovením aplikácie nariadenia bude potrebné vziať do úvahy aj to, či už je táto smernica transponovaná</w:t>
      </w:r>
      <w:r w:rsidR="00F96C44" w:rsidRPr="00F2249F">
        <w:rPr>
          <w:i/>
        </w:rPr>
        <w:t xml:space="preserve"> a technické riešenia implementované</w:t>
      </w:r>
      <w:r w:rsidRPr="00F2249F">
        <w:rPr>
          <w:i/>
        </w:rPr>
        <w:t xml:space="preserve">. </w:t>
      </w:r>
    </w:p>
    <w:p w14:paraId="2D474B70" w14:textId="77777777" w:rsidR="00EB1051" w:rsidRPr="00F2249F" w:rsidRDefault="00EB1051" w:rsidP="00EB1051">
      <w:pPr>
        <w:pStyle w:val="Pta"/>
        <w:tabs>
          <w:tab w:val="clear" w:pos="4536"/>
          <w:tab w:val="clear" w:pos="9072"/>
        </w:tabs>
        <w:overflowPunct w:val="0"/>
        <w:autoSpaceDE w:val="0"/>
        <w:autoSpaceDN w:val="0"/>
        <w:adjustRightInd w:val="0"/>
        <w:jc w:val="both"/>
        <w:textAlignment w:val="baseline"/>
        <w:rPr>
          <w:i/>
        </w:rPr>
      </w:pPr>
      <w:r w:rsidRPr="00F2249F">
        <w:rPr>
          <w:i/>
        </w:rPr>
        <w:t xml:space="preserve">Pre riadne dosiahnutie cieľov návrhu nariadenia je nevyhnutné trvať na úprave tejto lehoty tak, aby bol cieľ návrhu nielen dosiahnutý, ale aby riešenia na jeho dosiahnutie boli v určenom časovom rámci aj reálne pripravené pre užívateľov, ktorým majú priniesť benefity.  </w:t>
      </w:r>
    </w:p>
    <w:p w14:paraId="67BA64ED" w14:textId="77777777" w:rsidR="00EB1051" w:rsidRPr="00F2249F" w:rsidRDefault="00EB1051" w:rsidP="006871D2">
      <w:pPr>
        <w:autoSpaceDE w:val="0"/>
        <w:autoSpaceDN w:val="0"/>
        <w:adjustRightInd w:val="0"/>
        <w:ind w:left="284"/>
        <w:rPr>
          <w:rFonts w:eastAsiaTheme="minorEastAsia"/>
          <w:highlight w:val="yellow"/>
          <w:lang w:eastAsia="zh-CN"/>
        </w:rPr>
      </w:pPr>
    </w:p>
    <w:p w14:paraId="137D3792" w14:textId="77777777" w:rsidR="006871D2" w:rsidRPr="00F2249F" w:rsidRDefault="006871D2" w:rsidP="004A471E">
      <w:pPr>
        <w:pStyle w:val="Vchodzie"/>
        <w:numPr>
          <w:ilvl w:val="0"/>
          <w:numId w:val="1"/>
        </w:numPr>
        <w:spacing w:after="0" w:line="240" w:lineRule="auto"/>
        <w:ind w:left="284"/>
        <w:jc w:val="both"/>
        <w:rPr>
          <w:rFonts w:ascii="Times New Roman" w:hAnsi="Times New Roman" w:cs="Times New Roman"/>
          <w:b/>
          <w:bCs/>
          <w:sz w:val="24"/>
          <w:szCs w:val="24"/>
        </w:rPr>
      </w:pPr>
      <w:r w:rsidRPr="00F2249F">
        <w:rPr>
          <w:rFonts w:ascii="Times New Roman" w:hAnsi="Times New Roman" w:cs="Times New Roman"/>
          <w:b/>
          <w:bCs/>
          <w:sz w:val="24"/>
          <w:szCs w:val="24"/>
        </w:rPr>
        <w:t xml:space="preserve">Druh rozhodovacieho procesu v EÚ </w:t>
      </w:r>
    </w:p>
    <w:p w14:paraId="45C9AA0A" w14:textId="02ACF9BD" w:rsidR="006871D2" w:rsidRPr="00F2249F" w:rsidRDefault="006871D2" w:rsidP="006871D2">
      <w:pPr>
        <w:pStyle w:val="Vchodzie"/>
        <w:spacing w:after="0" w:line="240" w:lineRule="auto"/>
        <w:ind w:left="284"/>
        <w:jc w:val="both"/>
        <w:rPr>
          <w:rFonts w:ascii="Times New Roman" w:hAnsi="Times New Roman" w:cs="Times New Roman"/>
          <w:sz w:val="24"/>
          <w:szCs w:val="24"/>
        </w:rPr>
      </w:pPr>
      <w:r w:rsidRPr="00F2249F">
        <w:rPr>
          <w:rFonts w:ascii="Times New Roman" w:hAnsi="Times New Roman" w:cs="Times New Roman"/>
          <w:sz w:val="24"/>
          <w:szCs w:val="24"/>
        </w:rPr>
        <w:t>Riadny legislatívny postup</w:t>
      </w:r>
    </w:p>
    <w:p w14:paraId="648D1ED7" w14:textId="77777777" w:rsidR="006871D2" w:rsidRPr="00F2249F" w:rsidRDefault="006871D2" w:rsidP="006871D2">
      <w:pPr>
        <w:pStyle w:val="Vchodzie"/>
        <w:spacing w:after="0" w:line="240" w:lineRule="auto"/>
        <w:ind w:left="284"/>
        <w:jc w:val="both"/>
        <w:rPr>
          <w:rFonts w:ascii="Times New Roman" w:hAnsi="Times New Roman" w:cs="Times New Roman"/>
          <w:sz w:val="24"/>
          <w:szCs w:val="24"/>
          <w:highlight w:val="yellow"/>
        </w:rPr>
      </w:pPr>
      <w:r w:rsidRPr="00F2249F">
        <w:rPr>
          <w:rFonts w:ascii="Times New Roman" w:hAnsi="Times New Roman" w:cs="Times New Roman"/>
          <w:sz w:val="24"/>
          <w:szCs w:val="24"/>
          <w:highlight w:val="yellow"/>
        </w:rPr>
        <w:t xml:space="preserve"> </w:t>
      </w:r>
    </w:p>
    <w:p w14:paraId="14E51CD0" w14:textId="77777777" w:rsidR="006871D2" w:rsidRPr="00F2249F" w:rsidRDefault="006871D2" w:rsidP="004A471E">
      <w:pPr>
        <w:pStyle w:val="Vchodzie"/>
        <w:numPr>
          <w:ilvl w:val="0"/>
          <w:numId w:val="1"/>
        </w:numPr>
        <w:spacing w:after="0" w:line="240" w:lineRule="auto"/>
        <w:ind w:left="284"/>
        <w:jc w:val="both"/>
        <w:rPr>
          <w:rFonts w:ascii="Times New Roman" w:hAnsi="Times New Roman" w:cs="Times New Roman"/>
          <w:b/>
          <w:bCs/>
          <w:sz w:val="24"/>
          <w:szCs w:val="24"/>
        </w:rPr>
      </w:pPr>
      <w:r w:rsidRPr="00F2249F">
        <w:rPr>
          <w:rFonts w:ascii="Times New Roman" w:hAnsi="Times New Roman" w:cs="Times New Roman"/>
          <w:b/>
          <w:bCs/>
          <w:sz w:val="24"/>
          <w:szCs w:val="24"/>
        </w:rPr>
        <w:t>Časový priebeh rozhodovacieho procesu v EÚ</w:t>
      </w:r>
    </w:p>
    <w:p w14:paraId="348F10F5" w14:textId="6E59825A" w:rsidR="006871D2" w:rsidRPr="00F2249F" w:rsidRDefault="00EB1051" w:rsidP="006871D2">
      <w:pPr>
        <w:pStyle w:val="Vchodzie"/>
        <w:spacing w:after="0" w:line="240" w:lineRule="auto"/>
        <w:ind w:left="284"/>
        <w:jc w:val="both"/>
        <w:rPr>
          <w:rFonts w:ascii="Times New Roman" w:hAnsi="Times New Roman" w:cs="Times New Roman"/>
          <w:sz w:val="24"/>
          <w:szCs w:val="24"/>
        </w:rPr>
      </w:pPr>
      <w:r w:rsidRPr="00F2249F">
        <w:rPr>
          <w:rFonts w:ascii="Times New Roman" w:hAnsi="Times New Roman" w:cs="Times New Roman"/>
          <w:sz w:val="24"/>
          <w:szCs w:val="24"/>
        </w:rPr>
        <w:t>Cieľom je dosiahnuť dohodu na texte návrhu s Európskym parlamentom do konca roka 2026.</w:t>
      </w:r>
    </w:p>
    <w:p w14:paraId="6F8A6616" w14:textId="77777777" w:rsidR="006871D2" w:rsidRPr="00F2249F" w:rsidRDefault="006871D2" w:rsidP="006871D2">
      <w:pPr>
        <w:pStyle w:val="Vchodzie"/>
        <w:spacing w:after="0" w:line="240" w:lineRule="auto"/>
        <w:ind w:left="284"/>
        <w:jc w:val="both"/>
        <w:rPr>
          <w:rFonts w:ascii="Times New Roman" w:hAnsi="Times New Roman" w:cs="Times New Roman"/>
          <w:b/>
          <w:bCs/>
          <w:sz w:val="24"/>
          <w:szCs w:val="24"/>
          <w:highlight w:val="yellow"/>
        </w:rPr>
      </w:pPr>
    </w:p>
    <w:p w14:paraId="2B7B4717" w14:textId="77777777" w:rsidR="006871D2" w:rsidRPr="00F2249F" w:rsidRDefault="006871D2" w:rsidP="004A471E">
      <w:pPr>
        <w:pStyle w:val="Vchodzie"/>
        <w:numPr>
          <w:ilvl w:val="0"/>
          <w:numId w:val="1"/>
        </w:numPr>
        <w:spacing w:after="0" w:line="240" w:lineRule="auto"/>
        <w:ind w:left="283" w:hanging="357"/>
        <w:jc w:val="both"/>
        <w:rPr>
          <w:rFonts w:ascii="Times New Roman" w:hAnsi="Times New Roman" w:cs="Times New Roman"/>
          <w:b/>
          <w:bCs/>
          <w:sz w:val="24"/>
          <w:szCs w:val="24"/>
        </w:rPr>
      </w:pPr>
      <w:r w:rsidRPr="00F2249F">
        <w:rPr>
          <w:rFonts w:ascii="Times New Roman" w:hAnsi="Times New Roman" w:cs="Times New Roman"/>
          <w:b/>
          <w:bCs/>
          <w:sz w:val="24"/>
          <w:szCs w:val="24"/>
        </w:rPr>
        <w:t>Hodnotenie vplyvu a dosahu návrhu na Slovenskú republiku</w:t>
      </w:r>
    </w:p>
    <w:p w14:paraId="336302D1" w14:textId="77777777" w:rsidR="006871D2" w:rsidRPr="00F2249F" w:rsidRDefault="006871D2" w:rsidP="006871D2">
      <w:pPr>
        <w:ind w:left="284"/>
        <w:jc w:val="both"/>
        <w:rPr>
          <w:color w:val="000000"/>
        </w:rPr>
      </w:pPr>
      <w:r w:rsidRPr="00F2249F">
        <w:rPr>
          <w:color w:val="000000"/>
        </w:rPr>
        <w:t>Hodnotenie z pohľadu politického, legislatívneho, ekonomického, sociálneho a environmentálneho dosahu návrhu na SR.</w:t>
      </w:r>
    </w:p>
    <w:p w14:paraId="786FCE02" w14:textId="77777777" w:rsidR="006871D2" w:rsidRPr="00F2249F" w:rsidRDefault="006871D2" w:rsidP="006871D2">
      <w:pPr>
        <w:ind w:left="284"/>
        <w:jc w:val="both"/>
        <w:rPr>
          <w:color w:val="000000"/>
        </w:rPr>
      </w:pPr>
    </w:p>
    <w:p w14:paraId="743F2ADE" w14:textId="77777777" w:rsidR="006871D2" w:rsidRPr="00F2249F" w:rsidRDefault="006871D2" w:rsidP="004A471E">
      <w:pPr>
        <w:pStyle w:val="Odsekzoznamu"/>
        <w:numPr>
          <w:ilvl w:val="0"/>
          <w:numId w:val="1"/>
        </w:numPr>
        <w:ind w:left="283" w:hanging="357"/>
        <w:jc w:val="both"/>
        <w:rPr>
          <w:b/>
          <w:color w:val="000000"/>
        </w:rPr>
      </w:pPr>
      <w:r w:rsidRPr="00F2249F">
        <w:rPr>
          <w:b/>
          <w:bCs/>
          <w:color w:val="000000"/>
          <w:u w:val="single"/>
        </w:rPr>
        <w:t>Vplyvy na vybrané oblasti</w:t>
      </w:r>
      <w:r w:rsidRPr="00F2249F">
        <w:rPr>
          <w:b/>
        </w:rPr>
        <w:t xml:space="preserve"> </w:t>
      </w:r>
    </w:p>
    <w:p w14:paraId="365C8880" w14:textId="77777777" w:rsidR="006871D2" w:rsidRPr="00F2249F" w:rsidRDefault="006871D2" w:rsidP="006871D2">
      <w:pPr>
        <w:pStyle w:val="Pta"/>
        <w:tabs>
          <w:tab w:val="left" w:pos="708"/>
        </w:tabs>
        <w:overflowPunct w:val="0"/>
        <w:autoSpaceDE w:val="0"/>
        <w:autoSpaceDN w:val="0"/>
        <w:adjustRightInd w:val="0"/>
        <w:ind w:left="425" w:hanging="425"/>
        <w:jc w:val="both"/>
        <w:textAlignment w:val="baseline"/>
        <w:rPr>
          <w:b/>
        </w:rPr>
      </w:pPr>
    </w:p>
    <w:tbl>
      <w:tblP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12"/>
        <w:gridCol w:w="541"/>
        <w:gridCol w:w="1281"/>
        <w:gridCol w:w="569"/>
        <w:gridCol w:w="1133"/>
        <w:gridCol w:w="547"/>
        <w:gridCol w:w="1297"/>
      </w:tblGrid>
      <w:tr w:rsidR="006871D2" w:rsidRPr="00F2249F" w14:paraId="2CBF5981" w14:textId="77777777" w:rsidTr="006871D2">
        <w:trPr>
          <w:trHeight w:val="577"/>
        </w:trPr>
        <w:tc>
          <w:tcPr>
            <w:tcW w:w="9180" w:type="dxa"/>
            <w:gridSpan w:val="7"/>
            <w:tcBorders>
              <w:top w:val="single" w:sz="4" w:space="0" w:color="auto"/>
              <w:left w:val="single" w:sz="4" w:space="0" w:color="auto"/>
              <w:bottom w:val="single" w:sz="4" w:space="0" w:color="FFFFFF"/>
              <w:right w:val="single" w:sz="4" w:space="0" w:color="auto"/>
            </w:tcBorders>
            <w:shd w:val="clear" w:color="auto" w:fill="E2E2E2"/>
            <w:vAlign w:val="center"/>
            <w:hideMark/>
          </w:tcPr>
          <w:p w14:paraId="16ED681A" w14:textId="77777777" w:rsidR="006871D2" w:rsidRPr="00F2249F" w:rsidRDefault="006871D2">
            <w:pPr>
              <w:spacing w:line="256" w:lineRule="auto"/>
              <w:rPr>
                <w:rFonts w:eastAsia="Calibri"/>
                <w:b/>
                <w:lang w:eastAsia="en-US"/>
              </w:rPr>
            </w:pPr>
            <w:r w:rsidRPr="00F2249F">
              <w:rPr>
                <w:rFonts w:eastAsia="Calibri"/>
                <w:b/>
                <w:lang w:eastAsia="en-US"/>
              </w:rPr>
              <w:t>Vybrané vplyvy materiálu</w:t>
            </w:r>
          </w:p>
        </w:tc>
      </w:tr>
      <w:tr w:rsidR="006871D2" w:rsidRPr="00F2249F" w14:paraId="664CFADC" w14:textId="77777777" w:rsidTr="006871D2">
        <w:tc>
          <w:tcPr>
            <w:tcW w:w="3812" w:type="dxa"/>
            <w:tcBorders>
              <w:top w:val="single" w:sz="4" w:space="0" w:color="auto"/>
              <w:left w:val="single" w:sz="4" w:space="0" w:color="auto"/>
              <w:bottom w:val="nil"/>
              <w:right w:val="single" w:sz="4" w:space="0" w:color="auto"/>
            </w:tcBorders>
            <w:shd w:val="clear" w:color="auto" w:fill="E2E2E2"/>
            <w:hideMark/>
          </w:tcPr>
          <w:p w14:paraId="43D97C36" w14:textId="77777777" w:rsidR="006871D2" w:rsidRPr="00F2249F" w:rsidRDefault="006871D2">
            <w:pPr>
              <w:spacing w:line="256" w:lineRule="auto"/>
              <w:rPr>
                <w:b/>
                <w:lang w:eastAsia="en-US"/>
              </w:rPr>
            </w:pPr>
            <w:r w:rsidRPr="00F2249F">
              <w:rPr>
                <w:b/>
                <w:lang w:eastAsia="en-US"/>
              </w:rPr>
              <w:t>Vplyvy na rozpočet verejnej správy</w:t>
            </w:r>
          </w:p>
        </w:tc>
        <w:sdt>
          <w:sdtPr>
            <w:rPr>
              <w:b/>
              <w:lang w:eastAsia="zh-CN"/>
            </w:rPr>
            <w:id w:val="1121575439"/>
            <w14:checkbox>
              <w14:checked w14:val="0"/>
              <w14:checkedState w14:val="2612" w14:font="MS Gothic"/>
              <w14:uncheckedState w14:val="2610" w14:font="MS Gothic"/>
            </w14:checkbox>
          </w:sdtPr>
          <w:sdtEndPr/>
          <w:sdtContent>
            <w:tc>
              <w:tcPr>
                <w:tcW w:w="541" w:type="dxa"/>
                <w:tcBorders>
                  <w:top w:val="single" w:sz="4" w:space="0" w:color="auto"/>
                  <w:left w:val="single" w:sz="4" w:space="0" w:color="auto"/>
                  <w:bottom w:val="single" w:sz="4" w:space="0" w:color="auto"/>
                  <w:right w:val="nil"/>
                </w:tcBorders>
                <w:hideMark/>
              </w:tcPr>
              <w:p w14:paraId="097EEF00" w14:textId="77777777" w:rsidR="006871D2" w:rsidRPr="00F2249F" w:rsidRDefault="006871D2">
                <w:pPr>
                  <w:spacing w:line="256" w:lineRule="auto"/>
                  <w:jc w:val="center"/>
                  <w:rPr>
                    <w:b/>
                    <w:lang w:eastAsia="zh-CN"/>
                  </w:rPr>
                </w:pPr>
                <w:r w:rsidRPr="00F2249F">
                  <w:rPr>
                    <w:rFonts w:ascii="Segoe UI Symbol" w:eastAsia="MS Gothic" w:hAnsi="Segoe UI Symbol" w:cs="Segoe UI Symbol"/>
                    <w:b/>
                    <w:lang w:eastAsia="zh-CN"/>
                  </w:rPr>
                  <w:t>☐</w:t>
                </w:r>
              </w:p>
            </w:tc>
          </w:sdtContent>
        </w:sdt>
        <w:tc>
          <w:tcPr>
            <w:tcW w:w="1281" w:type="dxa"/>
            <w:tcBorders>
              <w:top w:val="single" w:sz="4" w:space="0" w:color="auto"/>
              <w:left w:val="nil"/>
              <w:bottom w:val="single" w:sz="4" w:space="0" w:color="auto"/>
              <w:right w:val="nil"/>
            </w:tcBorders>
            <w:hideMark/>
          </w:tcPr>
          <w:p w14:paraId="65A37C22" w14:textId="77777777" w:rsidR="006871D2" w:rsidRPr="00F2249F" w:rsidRDefault="006871D2">
            <w:pPr>
              <w:spacing w:line="256" w:lineRule="auto"/>
              <w:rPr>
                <w:b/>
                <w:lang w:eastAsia="zh-CN"/>
              </w:rPr>
            </w:pPr>
            <w:r w:rsidRPr="00F2249F">
              <w:rPr>
                <w:b/>
                <w:lang w:eastAsia="zh-CN"/>
              </w:rPr>
              <w:t>Pozitívne</w:t>
            </w:r>
          </w:p>
        </w:tc>
        <w:sdt>
          <w:sdtPr>
            <w:rPr>
              <w:b/>
              <w:lang w:eastAsia="zh-CN"/>
            </w:rPr>
            <w:id w:val="1425071132"/>
            <w14:checkbox>
              <w14:checked w14:val="0"/>
              <w14:checkedState w14:val="2612" w14:font="MS Gothic"/>
              <w14:uncheckedState w14:val="2610" w14:font="MS Gothic"/>
            </w14:checkbox>
          </w:sdtPr>
          <w:sdtEndPr/>
          <w:sdtContent>
            <w:tc>
              <w:tcPr>
                <w:tcW w:w="569" w:type="dxa"/>
                <w:tcBorders>
                  <w:top w:val="single" w:sz="4" w:space="0" w:color="auto"/>
                  <w:left w:val="nil"/>
                  <w:bottom w:val="single" w:sz="4" w:space="0" w:color="auto"/>
                  <w:right w:val="nil"/>
                </w:tcBorders>
                <w:hideMark/>
              </w:tcPr>
              <w:p w14:paraId="4BDE19D7" w14:textId="77777777" w:rsidR="006871D2" w:rsidRPr="00F2249F" w:rsidRDefault="006871D2">
                <w:pPr>
                  <w:spacing w:line="256" w:lineRule="auto"/>
                  <w:jc w:val="center"/>
                  <w:rPr>
                    <w:b/>
                    <w:lang w:eastAsia="zh-CN"/>
                  </w:rPr>
                </w:pPr>
                <w:r w:rsidRPr="00F2249F">
                  <w:rPr>
                    <w:rFonts w:ascii="Segoe UI Symbol" w:eastAsia="MS Gothic" w:hAnsi="Segoe UI Symbol" w:cs="Segoe UI Symbol"/>
                    <w:b/>
                    <w:lang w:eastAsia="zh-CN"/>
                  </w:rPr>
                  <w:t>☐</w:t>
                </w:r>
              </w:p>
            </w:tc>
          </w:sdtContent>
        </w:sdt>
        <w:tc>
          <w:tcPr>
            <w:tcW w:w="1133" w:type="dxa"/>
            <w:tcBorders>
              <w:top w:val="single" w:sz="4" w:space="0" w:color="auto"/>
              <w:left w:val="nil"/>
              <w:bottom w:val="single" w:sz="4" w:space="0" w:color="auto"/>
              <w:right w:val="nil"/>
            </w:tcBorders>
            <w:hideMark/>
          </w:tcPr>
          <w:p w14:paraId="22921FC1" w14:textId="77777777" w:rsidR="006871D2" w:rsidRPr="00F2249F" w:rsidRDefault="006871D2">
            <w:pPr>
              <w:spacing w:line="256" w:lineRule="auto"/>
              <w:rPr>
                <w:b/>
                <w:lang w:eastAsia="zh-CN"/>
              </w:rPr>
            </w:pPr>
            <w:r w:rsidRPr="00F2249F">
              <w:rPr>
                <w:b/>
                <w:lang w:eastAsia="zh-CN"/>
              </w:rPr>
              <w:t>Žiadne</w:t>
            </w:r>
          </w:p>
        </w:tc>
        <w:sdt>
          <w:sdtPr>
            <w:rPr>
              <w:b/>
              <w:lang w:eastAsia="zh-CN"/>
            </w:rPr>
            <w:id w:val="-853649096"/>
            <w14:checkbox>
              <w14:checked w14:val="1"/>
              <w14:checkedState w14:val="2612" w14:font="MS Gothic"/>
              <w14:uncheckedState w14:val="2610" w14:font="MS Gothic"/>
            </w14:checkbox>
          </w:sdtPr>
          <w:sdtEndPr/>
          <w:sdtContent>
            <w:tc>
              <w:tcPr>
                <w:tcW w:w="547" w:type="dxa"/>
                <w:tcBorders>
                  <w:top w:val="single" w:sz="4" w:space="0" w:color="auto"/>
                  <w:left w:val="nil"/>
                  <w:bottom w:val="single" w:sz="4" w:space="0" w:color="auto"/>
                  <w:right w:val="nil"/>
                </w:tcBorders>
                <w:hideMark/>
              </w:tcPr>
              <w:p w14:paraId="5AD8F000" w14:textId="373B5158" w:rsidR="006871D2" w:rsidRPr="00F2249F" w:rsidRDefault="000945AD">
                <w:pPr>
                  <w:spacing w:line="256" w:lineRule="auto"/>
                  <w:ind w:left="-107" w:right="-108"/>
                  <w:jc w:val="center"/>
                  <w:rPr>
                    <w:b/>
                    <w:lang w:eastAsia="zh-CN"/>
                  </w:rPr>
                </w:pPr>
                <w:r w:rsidRPr="00F2249F">
                  <w:rPr>
                    <w:rFonts w:ascii="Segoe UI Symbol" w:eastAsia="MS Gothic" w:hAnsi="Segoe UI Symbol" w:cs="Segoe UI Symbol"/>
                    <w:b/>
                    <w:lang w:eastAsia="zh-CN"/>
                  </w:rPr>
                  <w:t>☒</w:t>
                </w:r>
              </w:p>
            </w:tc>
          </w:sdtContent>
        </w:sdt>
        <w:tc>
          <w:tcPr>
            <w:tcW w:w="1297" w:type="dxa"/>
            <w:tcBorders>
              <w:top w:val="single" w:sz="4" w:space="0" w:color="auto"/>
              <w:left w:val="nil"/>
              <w:bottom w:val="single" w:sz="4" w:space="0" w:color="auto"/>
              <w:right w:val="single" w:sz="4" w:space="0" w:color="auto"/>
            </w:tcBorders>
            <w:hideMark/>
          </w:tcPr>
          <w:p w14:paraId="4F7C1561" w14:textId="77777777" w:rsidR="006871D2" w:rsidRPr="00F2249F" w:rsidRDefault="006871D2">
            <w:pPr>
              <w:spacing w:line="256" w:lineRule="auto"/>
              <w:ind w:left="34"/>
              <w:rPr>
                <w:b/>
                <w:lang w:eastAsia="zh-CN"/>
              </w:rPr>
            </w:pPr>
            <w:r w:rsidRPr="00F2249F">
              <w:rPr>
                <w:b/>
                <w:lang w:eastAsia="zh-CN"/>
              </w:rPr>
              <w:t>Negatívne</w:t>
            </w:r>
          </w:p>
        </w:tc>
      </w:tr>
      <w:tr w:rsidR="006871D2" w:rsidRPr="00F2249F" w14:paraId="68DDA33C" w14:textId="77777777" w:rsidTr="006871D2">
        <w:trPr>
          <w:trHeight w:val="720"/>
        </w:trPr>
        <w:tc>
          <w:tcPr>
            <w:tcW w:w="3812" w:type="dxa"/>
            <w:tcBorders>
              <w:top w:val="nil"/>
              <w:left w:val="single" w:sz="4" w:space="0" w:color="auto"/>
              <w:bottom w:val="nil"/>
              <w:right w:val="single" w:sz="4" w:space="0" w:color="auto"/>
            </w:tcBorders>
            <w:shd w:val="clear" w:color="auto" w:fill="E2E2E2"/>
            <w:hideMark/>
          </w:tcPr>
          <w:p w14:paraId="3240B4D9" w14:textId="77777777" w:rsidR="006871D2" w:rsidRPr="00F2249F" w:rsidRDefault="006871D2">
            <w:pPr>
              <w:spacing w:line="256" w:lineRule="auto"/>
              <w:rPr>
                <w:lang w:eastAsia="en-US"/>
              </w:rPr>
            </w:pPr>
            <w:r w:rsidRPr="00F2249F">
              <w:rPr>
                <w:lang w:eastAsia="en-US"/>
              </w:rPr>
              <w:t>z toho rozpočtovo zabezpečené vplyvy, v prípade identifikovaného negatívneho vplyvu</w:t>
            </w:r>
          </w:p>
        </w:tc>
        <w:sdt>
          <w:sdtPr>
            <w:rPr>
              <w:lang w:eastAsia="zh-CN"/>
            </w:rPr>
            <w:id w:val="-54388876"/>
            <w14:checkbox>
              <w14:checked w14:val="0"/>
              <w14:checkedState w14:val="2612" w14:font="MS Gothic"/>
              <w14:uncheckedState w14:val="2610" w14:font="MS Gothic"/>
            </w14:checkbox>
          </w:sdtPr>
          <w:sdtEndPr/>
          <w:sdtContent>
            <w:tc>
              <w:tcPr>
                <w:tcW w:w="541" w:type="dxa"/>
                <w:tcBorders>
                  <w:top w:val="single" w:sz="4" w:space="0" w:color="auto"/>
                  <w:left w:val="single" w:sz="4" w:space="0" w:color="auto"/>
                  <w:bottom w:val="single" w:sz="4" w:space="0" w:color="auto"/>
                  <w:right w:val="nil"/>
                </w:tcBorders>
                <w:hideMark/>
              </w:tcPr>
              <w:p w14:paraId="7766A406" w14:textId="77777777" w:rsidR="006871D2" w:rsidRPr="00F2249F" w:rsidRDefault="006871D2">
                <w:pPr>
                  <w:spacing w:line="256" w:lineRule="auto"/>
                  <w:jc w:val="center"/>
                  <w:rPr>
                    <w:lang w:eastAsia="zh-CN"/>
                  </w:rPr>
                </w:pPr>
                <w:r w:rsidRPr="00F2249F">
                  <w:rPr>
                    <w:rFonts w:ascii="Segoe UI Symbol" w:eastAsia="MS Gothic" w:hAnsi="Segoe UI Symbol" w:cs="Segoe UI Symbol"/>
                    <w:lang w:eastAsia="zh-CN"/>
                  </w:rPr>
                  <w:t>☐</w:t>
                </w:r>
              </w:p>
            </w:tc>
          </w:sdtContent>
        </w:sdt>
        <w:tc>
          <w:tcPr>
            <w:tcW w:w="1281" w:type="dxa"/>
            <w:tcBorders>
              <w:top w:val="single" w:sz="4" w:space="0" w:color="auto"/>
              <w:left w:val="nil"/>
              <w:bottom w:val="single" w:sz="4" w:space="0" w:color="auto"/>
              <w:right w:val="nil"/>
            </w:tcBorders>
            <w:hideMark/>
          </w:tcPr>
          <w:p w14:paraId="37AF670D" w14:textId="77777777" w:rsidR="006871D2" w:rsidRPr="00F2249F" w:rsidRDefault="006871D2">
            <w:pPr>
              <w:spacing w:line="256" w:lineRule="auto"/>
              <w:rPr>
                <w:lang w:eastAsia="zh-CN"/>
              </w:rPr>
            </w:pPr>
            <w:r w:rsidRPr="00F2249F">
              <w:rPr>
                <w:lang w:eastAsia="zh-CN"/>
              </w:rPr>
              <w:t>Áno</w:t>
            </w:r>
          </w:p>
        </w:tc>
        <w:sdt>
          <w:sdtPr>
            <w:rPr>
              <w:lang w:eastAsia="zh-CN"/>
            </w:rPr>
            <w:id w:val="1430004482"/>
            <w14:checkbox>
              <w14:checked w14:val="1"/>
              <w14:checkedState w14:val="2612" w14:font="MS Gothic"/>
              <w14:uncheckedState w14:val="2610" w14:font="MS Gothic"/>
            </w14:checkbox>
          </w:sdtPr>
          <w:sdtEndPr/>
          <w:sdtContent>
            <w:tc>
              <w:tcPr>
                <w:tcW w:w="569" w:type="dxa"/>
                <w:tcBorders>
                  <w:top w:val="single" w:sz="4" w:space="0" w:color="auto"/>
                  <w:left w:val="nil"/>
                  <w:bottom w:val="single" w:sz="4" w:space="0" w:color="auto"/>
                  <w:right w:val="nil"/>
                </w:tcBorders>
                <w:hideMark/>
              </w:tcPr>
              <w:p w14:paraId="5F1134B6" w14:textId="6B0B023C" w:rsidR="006871D2" w:rsidRPr="00F2249F" w:rsidRDefault="000945AD">
                <w:pPr>
                  <w:spacing w:line="256" w:lineRule="auto"/>
                  <w:jc w:val="center"/>
                  <w:rPr>
                    <w:lang w:eastAsia="zh-CN"/>
                  </w:rPr>
                </w:pPr>
                <w:r w:rsidRPr="00F2249F">
                  <w:rPr>
                    <w:rFonts w:ascii="Segoe UI Symbol" w:eastAsia="MS Gothic" w:hAnsi="Segoe UI Symbol" w:cs="Segoe UI Symbol"/>
                    <w:lang w:eastAsia="zh-CN"/>
                  </w:rPr>
                  <w:t>☒</w:t>
                </w:r>
              </w:p>
            </w:tc>
          </w:sdtContent>
        </w:sdt>
        <w:tc>
          <w:tcPr>
            <w:tcW w:w="1133" w:type="dxa"/>
            <w:tcBorders>
              <w:top w:val="single" w:sz="4" w:space="0" w:color="auto"/>
              <w:left w:val="nil"/>
              <w:bottom w:val="single" w:sz="4" w:space="0" w:color="auto"/>
              <w:right w:val="nil"/>
            </w:tcBorders>
            <w:hideMark/>
          </w:tcPr>
          <w:p w14:paraId="322025E6" w14:textId="77777777" w:rsidR="006871D2" w:rsidRPr="00F2249F" w:rsidRDefault="006871D2">
            <w:pPr>
              <w:spacing w:line="256" w:lineRule="auto"/>
              <w:rPr>
                <w:lang w:eastAsia="zh-CN"/>
              </w:rPr>
            </w:pPr>
            <w:r w:rsidRPr="00F2249F">
              <w:rPr>
                <w:lang w:eastAsia="zh-CN"/>
              </w:rPr>
              <w:t>Nie</w:t>
            </w:r>
          </w:p>
        </w:tc>
        <w:sdt>
          <w:sdtPr>
            <w:rPr>
              <w:lang w:eastAsia="zh-CN"/>
            </w:rPr>
            <w:id w:val="907426424"/>
            <w14:checkbox>
              <w14:checked w14:val="0"/>
              <w14:checkedState w14:val="2612" w14:font="MS Gothic"/>
              <w14:uncheckedState w14:val="2610" w14:font="MS Gothic"/>
            </w14:checkbox>
          </w:sdtPr>
          <w:sdtEndPr/>
          <w:sdtContent>
            <w:tc>
              <w:tcPr>
                <w:tcW w:w="547" w:type="dxa"/>
                <w:tcBorders>
                  <w:top w:val="single" w:sz="4" w:space="0" w:color="auto"/>
                  <w:left w:val="nil"/>
                  <w:bottom w:val="single" w:sz="4" w:space="0" w:color="auto"/>
                  <w:right w:val="nil"/>
                </w:tcBorders>
                <w:hideMark/>
              </w:tcPr>
              <w:p w14:paraId="165AC518" w14:textId="77777777" w:rsidR="006871D2" w:rsidRPr="00F2249F" w:rsidRDefault="006871D2">
                <w:pPr>
                  <w:spacing w:line="256" w:lineRule="auto"/>
                  <w:jc w:val="center"/>
                  <w:rPr>
                    <w:lang w:eastAsia="zh-CN"/>
                  </w:rPr>
                </w:pPr>
                <w:r w:rsidRPr="00F2249F">
                  <w:rPr>
                    <w:rFonts w:ascii="Segoe UI Symbol" w:eastAsia="MS Gothic" w:hAnsi="Segoe UI Symbol" w:cs="Segoe UI Symbol"/>
                    <w:lang w:eastAsia="zh-CN"/>
                  </w:rPr>
                  <w:t>☐</w:t>
                </w:r>
              </w:p>
            </w:tc>
          </w:sdtContent>
        </w:sdt>
        <w:tc>
          <w:tcPr>
            <w:tcW w:w="1297" w:type="dxa"/>
            <w:tcBorders>
              <w:top w:val="single" w:sz="4" w:space="0" w:color="auto"/>
              <w:left w:val="nil"/>
              <w:bottom w:val="single" w:sz="4" w:space="0" w:color="auto"/>
              <w:right w:val="single" w:sz="4" w:space="0" w:color="auto"/>
            </w:tcBorders>
            <w:hideMark/>
          </w:tcPr>
          <w:p w14:paraId="3347E9B5" w14:textId="77777777" w:rsidR="006871D2" w:rsidRPr="00F2249F" w:rsidRDefault="006871D2">
            <w:pPr>
              <w:spacing w:line="256" w:lineRule="auto"/>
              <w:ind w:left="34"/>
              <w:rPr>
                <w:lang w:eastAsia="zh-CN"/>
              </w:rPr>
            </w:pPr>
            <w:r w:rsidRPr="00F2249F">
              <w:rPr>
                <w:lang w:eastAsia="zh-CN"/>
              </w:rPr>
              <w:t>Čiastočne</w:t>
            </w:r>
          </w:p>
        </w:tc>
      </w:tr>
      <w:tr w:rsidR="006871D2" w:rsidRPr="00F2249F" w14:paraId="5093697C" w14:textId="77777777" w:rsidTr="006871D2">
        <w:trPr>
          <w:trHeight w:val="540"/>
        </w:trPr>
        <w:tc>
          <w:tcPr>
            <w:tcW w:w="3812" w:type="dxa"/>
            <w:tcBorders>
              <w:top w:val="nil"/>
              <w:left w:val="single" w:sz="4" w:space="0" w:color="auto"/>
              <w:bottom w:val="nil"/>
              <w:right w:val="single" w:sz="4" w:space="0" w:color="auto"/>
            </w:tcBorders>
            <w:shd w:val="clear" w:color="auto" w:fill="E2E2E2"/>
            <w:hideMark/>
          </w:tcPr>
          <w:p w14:paraId="19CC36E0" w14:textId="77777777" w:rsidR="006871D2" w:rsidRPr="00F2249F" w:rsidRDefault="006871D2">
            <w:pPr>
              <w:spacing w:line="256" w:lineRule="auto"/>
              <w:rPr>
                <w:b/>
                <w:lang w:eastAsia="en-US"/>
              </w:rPr>
            </w:pPr>
            <w:r w:rsidRPr="00F2249F">
              <w:rPr>
                <w:b/>
                <w:lang w:eastAsia="en-US"/>
              </w:rPr>
              <w:t>v tom vplyvy na rozpočty obcí a vyšších územných celkov</w:t>
            </w:r>
          </w:p>
        </w:tc>
        <w:sdt>
          <w:sdtPr>
            <w:rPr>
              <w:b/>
              <w:lang w:eastAsia="zh-CN"/>
            </w:rPr>
            <w:id w:val="923999420"/>
            <w14:checkbox>
              <w14:checked w14:val="0"/>
              <w14:checkedState w14:val="2612" w14:font="MS Gothic"/>
              <w14:uncheckedState w14:val="2610" w14:font="MS Gothic"/>
            </w14:checkbox>
          </w:sdtPr>
          <w:sdtEndPr/>
          <w:sdtContent>
            <w:tc>
              <w:tcPr>
                <w:tcW w:w="541" w:type="dxa"/>
                <w:tcBorders>
                  <w:top w:val="single" w:sz="4" w:space="0" w:color="auto"/>
                  <w:left w:val="single" w:sz="4" w:space="0" w:color="auto"/>
                  <w:bottom w:val="single" w:sz="4" w:space="0" w:color="auto"/>
                  <w:right w:val="nil"/>
                </w:tcBorders>
                <w:hideMark/>
              </w:tcPr>
              <w:p w14:paraId="4A61EF70" w14:textId="77777777" w:rsidR="006871D2" w:rsidRPr="00F2249F" w:rsidRDefault="006871D2">
                <w:pPr>
                  <w:spacing w:line="256" w:lineRule="auto"/>
                  <w:jc w:val="center"/>
                  <w:rPr>
                    <w:b/>
                    <w:lang w:eastAsia="zh-CN"/>
                  </w:rPr>
                </w:pPr>
                <w:r w:rsidRPr="00F2249F">
                  <w:rPr>
                    <w:rFonts w:ascii="Segoe UI Symbol" w:eastAsia="MS Gothic" w:hAnsi="Segoe UI Symbol" w:cs="Segoe UI Symbol"/>
                    <w:b/>
                    <w:lang w:eastAsia="zh-CN"/>
                  </w:rPr>
                  <w:t>☐</w:t>
                </w:r>
              </w:p>
            </w:tc>
          </w:sdtContent>
        </w:sdt>
        <w:tc>
          <w:tcPr>
            <w:tcW w:w="1281" w:type="dxa"/>
            <w:tcBorders>
              <w:top w:val="single" w:sz="4" w:space="0" w:color="auto"/>
              <w:left w:val="nil"/>
              <w:bottom w:val="single" w:sz="4" w:space="0" w:color="auto"/>
              <w:right w:val="nil"/>
            </w:tcBorders>
            <w:hideMark/>
          </w:tcPr>
          <w:p w14:paraId="2A2B8124" w14:textId="77777777" w:rsidR="006871D2" w:rsidRPr="00F2249F" w:rsidRDefault="006871D2">
            <w:pPr>
              <w:spacing w:line="256" w:lineRule="auto"/>
              <w:rPr>
                <w:lang w:eastAsia="zh-CN"/>
              </w:rPr>
            </w:pPr>
            <w:r w:rsidRPr="00F2249F">
              <w:rPr>
                <w:b/>
                <w:lang w:eastAsia="zh-CN"/>
              </w:rPr>
              <w:t>Pozitívne</w:t>
            </w:r>
          </w:p>
        </w:tc>
        <w:sdt>
          <w:sdtPr>
            <w:rPr>
              <w:b/>
              <w:lang w:eastAsia="zh-CN"/>
            </w:rPr>
            <w:id w:val="-1459403992"/>
            <w14:checkbox>
              <w14:checked w14:val="1"/>
              <w14:checkedState w14:val="2612" w14:font="MS Gothic"/>
              <w14:uncheckedState w14:val="2610" w14:font="MS Gothic"/>
            </w14:checkbox>
          </w:sdtPr>
          <w:sdtEndPr/>
          <w:sdtContent>
            <w:tc>
              <w:tcPr>
                <w:tcW w:w="569" w:type="dxa"/>
                <w:tcBorders>
                  <w:top w:val="single" w:sz="4" w:space="0" w:color="auto"/>
                  <w:left w:val="nil"/>
                  <w:bottom w:val="single" w:sz="4" w:space="0" w:color="auto"/>
                  <w:right w:val="nil"/>
                </w:tcBorders>
                <w:hideMark/>
              </w:tcPr>
              <w:p w14:paraId="620619AB" w14:textId="38464BFB" w:rsidR="006871D2" w:rsidRPr="00F2249F" w:rsidRDefault="000945AD">
                <w:pPr>
                  <w:spacing w:line="256" w:lineRule="auto"/>
                  <w:jc w:val="center"/>
                  <w:rPr>
                    <w:b/>
                    <w:lang w:eastAsia="zh-CN"/>
                  </w:rPr>
                </w:pPr>
                <w:r w:rsidRPr="00F2249F">
                  <w:rPr>
                    <w:rFonts w:ascii="Segoe UI Symbol" w:eastAsia="MS Gothic" w:hAnsi="Segoe UI Symbol" w:cs="Segoe UI Symbol"/>
                    <w:b/>
                    <w:lang w:eastAsia="zh-CN"/>
                  </w:rPr>
                  <w:t>☒</w:t>
                </w:r>
              </w:p>
            </w:tc>
          </w:sdtContent>
        </w:sdt>
        <w:tc>
          <w:tcPr>
            <w:tcW w:w="1133" w:type="dxa"/>
            <w:tcBorders>
              <w:top w:val="single" w:sz="4" w:space="0" w:color="auto"/>
              <w:left w:val="nil"/>
              <w:bottom w:val="single" w:sz="4" w:space="0" w:color="auto"/>
              <w:right w:val="nil"/>
            </w:tcBorders>
            <w:hideMark/>
          </w:tcPr>
          <w:p w14:paraId="1F139BED" w14:textId="77777777" w:rsidR="006871D2" w:rsidRPr="00F2249F" w:rsidRDefault="006871D2">
            <w:pPr>
              <w:spacing w:line="256" w:lineRule="auto"/>
              <w:rPr>
                <w:lang w:eastAsia="zh-CN"/>
              </w:rPr>
            </w:pPr>
            <w:r w:rsidRPr="00F2249F">
              <w:rPr>
                <w:b/>
                <w:lang w:eastAsia="zh-CN"/>
              </w:rPr>
              <w:t>Žiadne</w:t>
            </w:r>
          </w:p>
        </w:tc>
        <w:sdt>
          <w:sdtPr>
            <w:rPr>
              <w:b/>
              <w:lang w:eastAsia="zh-CN"/>
            </w:rPr>
            <w:id w:val="-1703470194"/>
            <w14:checkbox>
              <w14:checked w14:val="0"/>
              <w14:checkedState w14:val="2612" w14:font="MS Gothic"/>
              <w14:uncheckedState w14:val="2610" w14:font="MS Gothic"/>
            </w14:checkbox>
          </w:sdtPr>
          <w:sdtEndPr/>
          <w:sdtContent>
            <w:tc>
              <w:tcPr>
                <w:tcW w:w="547" w:type="dxa"/>
                <w:tcBorders>
                  <w:top w:val="single" w:sz="4" w:space="0" w:color="auto"/>
                  <w:left w:val="nil"/>
                  <w:bottom w:val="single" w:sz="4" w:space="0" w:color="auto"/>
                  <w:right w:val="nil"/>
                </w:tcBorders>
                <w:hideMark/>
              </w:tcPr>
              <w:p w14:paraId="4E518EAA" w14:textId="77777777" w:rsidR="006871D2" w:rsidRPr="00F2249F" w:rsidRDefault="006871D2">
                <w:pPr>
                  <w:spacing w:line="256" w:lineRule="auto"/>
                  <w:jc w:val="center"/>
                  <w:rPr>
                    <w:b/>
                    <w:lang w:eastAsia="zh-CN"/>
                  </w:rPr>
                </w:pPr>
                <w:r w:rsidRPr="00F2249F">
                  <w:rPr>
                    <w:rFonts w:ascii="Segoe UI Symbol" w:eastAsia="MS Gothic" w:hAnsi="Segoe UI Symbol" w:cs="Segoe UI Symbol"/>
                    <w:b/>
                    <w:lang w:eastAsia="zh-CN"/>
                  </w:rPr>
                  <w:t>☐</w:t>
                </w:r>
              </w:p>
            </w:tc>
          </w:sdtContent>
        </w:sdt>
        <w:tc>
          <w:tcPr>
            <w:tcW w:w="1297" w:type="dxa"/>
            <w:tcBorders>
              <w:top w:val="single" w:sz="4" w:space="0" w:color="auto"/>
              <w:left w:val="nil"/>
              <w:bottom w:val="single" w:sz="4" w:space="0" w:color="auto"/>
              <w:right w:val="single" w:sz="4" w:space="0" w:color="auto"/>
            </w:tcBorders>
            <w:hideMark/>
          </w:tcPr>
          <w:p w14:paraId="29DAF91C" w14:textId="77777777" w:rsidR="006871D2" w:rsidRPr="00F2249F" w:rsidRDefault="006871D2">
            <w:pPr>
              <w:spacing w:line="256" w:lineRule="auto"/>
              <w:ind w:left="34"/>
              <w:rPr>
                <w:lang w:eastAsia="zh-CN"/>
              </w:rPr>
            </w:pPr>
            <w:r w:rsidRPr="00F2249F">
              <w:rPr>
                <w:b/>
                <w:lang w:eastAsia="zh-CN"/>
              </w:rPr>
              <w:t>Negatívne</w:t>
            </w:r>
          </w:p>
        </w:tc>
      </w:tr>
      <w:tr w:rsidR="006871D2" w:rsidRPr="00F2249F" w14:paraId="64C572A9" w14:textId="77777777" w:rsidTr="006871D2">
        <w:trPr>
          <w:trHeight w:val="675"/>
        </w:trPr>
        <w:tc>
          <w:tcPr>
            <w:tcW w:w="3812" w:type="dxa"/>
            <w:tcBorders>
              <w:top w:val="nil"/>
              <w:left w:val="single" w:sz="4" w:space="0" w:color="auto"/>
              <w:bottom w:val="single" w:sz="4" w:space="0" w:color="auto"/>
              <w:right w:val="single" w:sz="4" w:space="0" w:color="auto"/>
            </w:tcBorders>
            <w:shd w:val="clear" w:color="auto" w:fill="E2E2E2"/>
            <w:hideMark/>
          </w:tcPr>
          <w:p w14:paraId="42428A5F" w14:textId="77777777" w:rsidR="006871D2" w:rsidRPr="00F2249F" w:rsidRDefault="006871D2">
            <w:pPr>
              <w:spacing w:line="256" w:lineRule="auto"/>
              <w:rPr>
                <w:b/>
                <w:lang w:eastAsia="en-US"/>
              </w:rPr>
            </w:pPr>
            <w:r w:rsidRPr="00F2249F">
              <w:rPr>
                <w:lang w:eastAsia="en-US"/>
              </w:rPr>
              <w:t>z toho rozpočtovo zabezpečené vplyvy, v prípade identifikovaného negatívneho vplyvu</w:t>
            </w:r>
          </w:p>
        </w:tc>
        <w:sdt>
          <w:sdtPr>
            <w:rPr>
              <w:lang w:eastAsia="zh-CN"/>
            </w:rPr>
            <w:id w:val="-181364323"/>
            <w14:checkbox>
              <w14:checked w14:val="0"/>
              <w14:checkedState w14:val="2612" w14:font="MS Gothic"/>
              <w14:uncheckedState w14:val="2610" w14:font="MS Gothic"/>
            </w14:checkbox>
          </w:sdtPr>
          <w:sdtEndPr/>
          <w:sdtContent>
            <w:tc>
              <w:tcPr>
                <w:tcW w:w="541" w:type="dxa"/>
                <w:tcBorders>
                  <w:top w:val="single" w:sz="4" w:space="0" w:color="auto"/>
                  <w:left w:val="single" w:sz="4" w:space="0" w:color="auto"/>
                  <w:bottom w:val="single" w:sz="4" w:space="0" w:color="auto"/>
                  <w:right w:val="nil"/>
                </w:tcBorders>
                <w:hideMark/>
              </w:tcPr>
              <w:p w14:paraId="0DC32D91" w14:textId="77777777" w:rsidR="006871D2" w:rsidRPr="00F2249F" w:rsidRDefault="006871D2">
                <w:pPr>
                  <w:spacing w:line="256" w:lineRule="auto"/>
                  <w:jc w:val="center"/>
                  <w:rPr>
                    <w:lang w:eastAsia="zh-CN"/>
                  </w:rPr>
                </w:pPr>
                <w:r w:rsidRPr="00F2249F">
                  <w:rPr>
                    <w:rFonts w:ascii="Segoe UI Symbol" w:eastAsia="MS Gothic" w:hAnsi="Segoe UI Symbol" w:cs="Segoe UI Symbol"/>
                    <w:lang w:eastAsia="zh-CN"/>
                  </w:rPr>
                  <w:t>☐</w:t>
                </w:r>
              </w:p>
            </w:tc>
          </w:sdtContent>
        </w:sdt>
        <w:tc>
          <w:tcPr>
            <w:tcW w:w="1281" w:type="dxa"/>
            <w:tcBorders>
              <w:top w:val="single" w:sz="4" w:space="0" w:color="auto"/>
              <w:left w:val="nil"/>
              <w:bottom w:val="single" w:sz="4" w:space="0" w:color="auto"/>
              <w:right w:val="nil"/>
            </w:tcBorders>
            <w:hideMark/>
          </w:tcPr>
          <w:p w14:paraId="13B7B8FE" w14:textId="77777777" w:rsidR="006871D2" w:rsidRPr="00F2249F" w:rsidRDefault="006871D2">
            <w:pPr>
              <w:spacing w:line="256" w:lineRule="auto"/>
              <w:rPr>
                <w:lang w:eastAsia="zh-CN"/>
              </w:rPr>
            </w:pPr>
            <w:r w:rsidRPr="00F2249F">
              <w:rPr>
                <w:lang w:eastAsia="zh-CN"/>
              </w:rPr>
              <w:t>Áno</w:t>
            </w:r>
          </w:p>
        </w:tc>
        <w:sdt>
          <w:sdtPr>
            <w:rPr>
              <w:lang w:eastAsia="zh-CN"/>
            </w:rPr>
            <w:id w:val="2104288598"/>
            <w14:checkbox>
              <w14:checked w14:val="0"/>
              <w14:checkedState w14:val="2612" w14:font="MS Gothic"/>
              <w14:uncheckedState w14:val="2610" w14:font="MS Gothic"/>
            </w14:checkbox>
          </w:sdtPr>
          <w:sdtEndPr/>
          <w:sdtContent>
            <w:tc>
              <w:tcPr>
                <w:tcW w:w="569" w:type="dxa"/>
                <w:tcBorders>
                  <w:top w:val="single" w:sz="4" w:space="0" w:color="auto"/>
                  <w:left w:val="nil"/>
                  <w:bottom w:val="single" w:sz="4" w:space="0" w:color="auto"/>
                  <w:right w:val="nil"/>
                </w:tcBorders>
                <w:hideMark/>
              </w:tcPr>
              <w:p w14:paraId="0A40AD49" w14:textId="77777777" w:rsidR="006871D2" w:rsidRPr="00F2249F" w:rsidRDefault="006871D2">
                <w:pPr>
                  <w:spacing w:line="256" w:lineRule="auto"/>
                  <w:jc w:val="center"/>
                  <w:rPr>
                    <w:lang w:eastAsia="zh-CN"/>
                  </w:rPr>
                </w:pPr>
                <w:r w:rsidRPr="00F2249F">
                  <w:rPr>
                    <w:rFonts w:ascii="Segoe UI Symbol" w:eastAsia="MS Gothic" w:hAnsi="Segoe UI Symbol" w:cs="Segoe UI Symbol"/>
                    <w:lang w:eastAsia="zh-CN"/>
                  </w:rPr>
                  <w:t>☐</w:t>
                </w:r>
              </w:p>
            </w:tc>
          </w:sdtContent>
        </w:sdt>
        <w:tc>
          <w:tcPr>
            <w:tcW w:w="1133" w:type="dxa"/>
            <w:tcBorders>
              <w:top w:val="single" w:sz="4" w:space="0" w:color="auto"/>
              <w:left w:val="nil"/>
              <w:bottom w:val="single" w:sz="4" w:space="0" w:color="auto"/>
              <w:right w:val="nil"/>
            </w:tcBorders>
            <w:hideMark/>
          </w:tcPr>
          <w:p w14:paraId="6E448828" w14:textId="77777777" w:rsidR="006871D2" w:rsidRPr="00F2249F" w:rsidRDefault="006871D2">
            <w:pPr>
              <w:spacing w:line="256" w:lineRule="auto"/>
              <w:rPr>
                <w:lang w:eastAsia="zh-CN"/>
              </w:rPr>
            </w:pPr>
            <w:r w:rsidRPr="00F2249F">
              <w:rPr>
                <w:lang w:eastAsia="zh-CN"/>
              </w:rPr>
              <w:t>Nie</w:t>
            </w:r>
          </w:p>
        </w:tc>
        <w:sdt>
          <w:sdtPr>
            <w:rPr>
              <w:lang w:eastAsia="zh-CN"/>
            </w:rPr>
            <w:id w:val="-2123061125"/>
            <w14:checkbox>
              <w14:checked w14:val="0"/>
              <w14:checkedState w14:val="2612" w14:font="MS Gothic"/>
              <w14:uncheckedState w14:val="2610" w14:font="MS Gothic"/>
            </w14:checkbox>
          </w:sdtPr>
          <w:sdtEndPr/>
          <w:sdtContent>
            <w:tc>
              <w:tcPr>
                <w:tcW w:w="547" w:type="dxa"/>
                <w:tcBorders>
                  <w:top w:val="single" w:sz="4" w:space="0" w:color="auto"/>
                  <w:left w:val="nil"/>
                  <w:bottom w:val="single" w:sz="4" w:space="0" w:color="auto"/>
                  <w:right w:val="nil"/>
                </w:tcBorders>
                <w:hideMark/>
              </w:tcPr>
              <w:p w14:paraId="5628610A" w14:textId="77777777" w:rsidR="006871D2" w:rsidRPr="00F2249F" w:rsidRDefault="006871D2">
                <w:pPr>
                  <w:spacing w:line="256" w:lineRule="auto"/>
                  <w:jc w:val="center"/>
                  <w:rPr>
                    <w:lang w:eastAsia="zh-CN"/>
                  </w:rPr>
                </w:pPr>
                <w:r w:rsidRPr="00F2249F">
                  <w:rPr>
                    <w:rFonts w:ascii="Segoe UI Symbol" w:eastAsia="MS Gothic" w:hAnsi="Segoe UI Symbol" w:cs="Segoe UI Symbol"/>
                    <w:lang w:eastAsia="zh-CN"/>
                  </w:rPr>
                  <w:t>☐</w:t>
                </w:r>
              </w:p>
            </w:tc>
          </w:sdtContent>
        </w:sdt>
        <w:tc>
          <w:tcPr>
            <w:tcW w:w="1297" w:type="dxa"/>
            <w:tcBorders>
              <w:top w:val="single" w:sz="4" w:space="0" w:color="auto"/>
              <w:left w:val="nil"/>
              <w:bottom w:val="single" w:sz="4" w:space="0" w:color="auto"/>
              <w:right w:val="single" w:sz="4" w:space="0" w:color="auto"/>
            </w:tcBorders>
            <w:hideMark/>
          </w:tcPr>
          <w:p w14:paraId="661F95DF" w14:textId="77777777" w:rsidR="006871D2" w:rsidRPr="00F2249F" w:rsidRDefault="006871D2">
            <w:pPr>
              <w:spacing w:line="256" w:lineRule="auto"/>
              <w:ind w:left="34"/>
              <w:rPr>
                <w:lang w:eastAsia="zh-CN"/>
              </w:rPr>
            </w:pPr>
            <w:r w:rsidRPr="00F2249F">
              <w:rPr>
                <w:lang w:eastAsia="zh-CN"/>
              </w:rPr>
              <w:t>Čiastočne</w:t>
            </w:r>
          </w:p>
        </w:tc>
      </w:tr>
      <w:tr w:rsidR="006871D2" w:rsidRPr="00F2249F" w14:paraId="70F741F4" w14:textId="77777777" w:rsidTr="006871D2">
        <w:trPr>
          <w:trHeight w:val="675"/>
        </w:trPr>
        <w:tc>
          <w:tcPr>
            <w:tcW w:w="3812" w:type="dxa"/>
            <w:tcBorders>
              <w:top w:val="single" w:sz="4" w:space="0" w:color="auto"/>
              <w:left w:val="single" w:sz="4" w:space="0" w:color="auto"/>
              <w:bottom w:val="single" w:sz="4" w:space="0" w:color="auto"/>
              <w:right w:val="single" w:sz="4" w:space="0" w:color="auto"/>
            </w:tcBorders>
            <w:shd w:val="clear" w:color="auto" w:fill="E2E2E2"/>
            <w:hideMark/>
          </w:tcPr>
          <w:p w14:paraId="05CCB7C2" w14:textId="77777777" w:rsidR="006871D2" w:rsidRPr="00F2249F" w:rsidRDefault="006871D2">
            <w:pPr>
              <w:spacing w:line="256" w:lineRule="auto"/>
              <w:rPr>
                <w:lang w:eastAsia="en-US"/>
              </w:rPr>
            </w:pPr>
            <w:r w:rsidRPr="00F2249F">
              <w:rPr>
                <w:lang w:eastAsia="en-US"/>
              </w:rPr>
              <w:t>Vplyv na dlhodobú udržateľnosť verejných financií v prípade vybraných opatrení ***</w:t>
            </w:r>
          </w:p>
        </w:tc>
        <w:sdt>
          <w:sdtPr>
            <w:rPr>
              <w:lang w:eastAsia="zh-CN"/>
            </w:rPr>
            <w:id w:val="-923642026"/>
            <w14:checkbox>
              <w14:checked w14:val="0"/>
              <w14:checkedState w14:val="2612" w14:font="MS Gothic"/>
              <w14:uncheckedState w14:val="2610" w14:font="MS Gothic"/>
            </w14:checkbox>
          </w:sdtPr>
          <w:sdtEndPr/>
          <w:sdtContent>
            <w:tc>
              <w:tcPr>
                <w:tcW w:w="541" w:type="dxa"/>
                <w:tcBorders>
                  <w:top w:val="single" w:sz="4" w:space="0" w:color="auto"/>
                  <w:left w:val="single" w:sz="4" w:space="0" w:color="auto"/>
                  <w:bottom w:val="single" w:sz="4" w:space="0" w:color="auto"/>
                  <w:right w:val="nil"/>
                </w:tcBorders>
                <w:hideMark/>
              </w:tcPr>
              <w:p w14:paraId="19B23258" w14:textId="77777777" w:rsidR="006871D2" w:rsidRPr="00F2249F" w:rsidRDefault="006871D2">
                <w:pPr>
                  <w:spacing w:line="256" w:lineRule="auto"/>
                  <w:jc w:val="center"/>
                  <w:rPr>
                    <w:lang w:eastAsia="zh-CN"/>
                  </w:rPr>
                </w:pPr>
                <w:r w:rsidRPr="00F2249F">
                  <w:rPr>
                    <w:rFonts w:ascii="Segoe UI Symbol" w:eastAsia="MS Gothic" w:hAnsi="Segoe UI Symbol" w:cs="Segoe UI Symbol"/>
                    <w:lang w:eastAsia="zh-CN"/>
                  </w:rPr>
                  <w:t>☐</w:t>
                </w:r>
              </w:p>
            </w:tc>
          </w:sdtContent>
        </w:sdt>
        <w:tc>
          <w:tcPr>
            <w:tcW w:w="1281" w:type="dxa"/>
            <w:tcBorders>
              <w:top w:val="single" w:sz="4" w:space="0" w:color="auto"/>
              <w:left w:val="nil"/>
              <w:bottom w:val="single" w:sz="4" w:space="0" w:color="auto"/>
              <w:right w:val="nil"/>
            </w:tcBorders>
            <w:hideMark/>
          </w:tcPr>
          <w:p w14:paraId="64421B87" w14:textId="77777777" w:rsidR="006871D2" w:rsidRPr="00F2249F" w:rsidRDefault="006871D2">
            <w:pPr>
              <w:spacing w:line="256" w:lineRule="auto"/>
              <w:rPr>
                <w:lang w:eastAsia="zh-CN"/>
              </w:rPr>
            </w:pPr>
            <w:r w:rsidRPr="00F2249F">
              <w:rPr>
                <w:lang w:eastAsia="zh-CN"/>
              </w:rPr>
              <w:t>Áno</w:t>
            </w:r>
          </w:p>
        </w:tc>
        <w:tc>
          <w:tcPr>
            <w:tcW w:w="569" w:type="dxa"/>
            <w:tcBorders>
              <w:top w:val="single" w:sz="4" w:space="0" w:color="auto"/>
              <w:left w:val="nil"/>
              <w:bottom w:val="single" w:sz="4" w:space="0" w:color="auto"/>
              <w:right w:val="nil"/>
            </w:tcBorders>
          </w:tcPr>
          <w:p w14:paraId="572707C6" w14:textId="77777777" w:rsidR="006871D2" w:rsidRPr="00F2249F" w:rsidRDefault="006871D2">
            <w:pPr>
              <w:spacing w:line="256" w:lineRule="auto"/>
              <w:jc w:val="center"/>
              <w:rPr>
                <w:lang w:eastAsia="zh-CN"/>
              </w:rPr>
            </w:pPr>
          </w:p>
        </w:tc>
        <w:tc>
          <w:tcPr>
            <w:tcW w:w="1133" w:type="dxa"/>
            <w:tcBorders>
              <w:top w:val="single" w:sz="4" w:space="0" w:color="auto"/>
              <w:left w:val="nil"/>
              <w:bottom w:val="single" w:sz="4" w:space="0" w:color="auto"/>
              <w:right w:val="nil"/>
            </w:tcBorders>
          </w:tcPr>
          <w:p w14:paraId="0F6208D4" w14:textId="77777777" w:rsidR="006871D2" w:rsidRPr="00F2249F" w:rsidRDefault="006871D2">
            <w:pPr>
              <w:spacing w:line="256" w:lineRule="auto"/>
              <w:rPr>
                <w:lang w:eastAsia="zh-CN"/>
              </w:rPr>
            </w:pPr>
          </w:p>
        </w:tc>
        <w:sdt>
          <w:sdtPr>
            <w:rPr>
              <w:lang w:eastAsia="zh-CN"/>
            </w:rPr>
            <w:id w:val="-1283956911"/>
            <w14:checkbox>
              <w14:checked w14:val="0"/>
              <w14:checkedState w14:val="2612" w14:font="MS Gothic"/>
              <w14:uncheckedState w14:val="2610" w14:font="MS Gothic"/>
            </w14:checkbox>
          </w:sdtPr>
          <w:sdtEndPr/>
          <w:sdtContent>
            <w:tc>
              <w:tcPr>
                <w:tcW w:w="547" w:type="dxa"/>
                <w:tcBorders>
                  <w:top w:val="single" w:sz="4" w:space="0" w:color="auto"/>
                  <w:left w:val="nil"/>
                  <w:bottom w:val="single" w:sz="4" w:space="0" w:color="auto"/>
                  <w:right w:val="nil"/>
                </w:tcBorders>
                <w:hideMark/>
              </w:tcPr>
              <w:p w14:paraId="3EF974F2" w14:textId="77777777" w:rsidR="006871D2" w:rsidRPr="00F2249F" w:rsidRDefault="006871D2">
                <w:pPr>
                  <w:spacing w:line="256" w:lineRule="auto"/>
                  <w:jc w:val="center"/>
                  <w:rPr>
                    <w:lang w:eastAsia="zh-CN"/>
                  </w:rPr>
                </w:pPr>
                <w:r w:rsidRPr="00F2249F">
                  <w:rPr>
                    <w:rFonts w:ascii="Segoe UI Symbol" w:eastAsia="MS Gothic" w:hAnsi="Segoe UI Symbol" w:cs="Segoe UI Symbol"/>
                    <w:lang w:eastAsia="zh-CN"/>
                  </w:rPr>
                  <w:t>☐</w:t>
                </w:r>
              </w:p>
            </w:tc>
          </w:sdtContent>
        </w:sdt>
        <w:tc>
          <w:tcPr>
            <w:tcW w:w="1297" w:type="dxa"/>
            <w:tcBorders>
              <w:top w:val="single" w:sz="4" w:space="0" w:color="auto"/>
              <w:left w:val="nil"/>
              <w:bottom w:val="single" w:sz="4" w:space="0" w:color="auto"/>
              <w:right w:val="single" w:sz="4" w:space="0" w:color="auto"/>
            </w:tcBorders>
            <w:hideMark/>
          </w:tcPr>
          <w:p w14:paraId="03085025" w14:textId="77777777" w:rsidR="006871D2" w:rsidRPr="00F2249F" w:rsidRDefault="006871D2">
            <w:pPr>
              <w:spacing w:line="256" w:lineRule="auto"/>
              <w:ind w:left="34"/>
              <w:rPr>
                <w:lang w:eastAsia="zh-CN"/>
              </w:rPr>
            </w:pPr>
            <w:r w:rsidRPr="00F2249F">
              <w:rPr>
                <w:lang w:eastAsia="zh-CN"/>
              </w:rPr>
              <w:t>Nie</w:t>
            </w:r>
          </w:p>
        </w:tc>
      </w:tr>
      <w:tr w:rsidR="006871D2" w:rsidRPr="00F2249F" w14:paraId="2BF7D29D" w14:textId="77777777" w:rsidTr="006871D2">
        <w:trPr>
          <w:trHeight w:val="446"/>
        </w:trPr>
        <w:tc>
          <w:tcPr>
            <w:tcW w:w="3812" w:type="dxa"/>
            <w:tcBorders>
              <w:top w:val="single" w:sz="4" w:space="0" w:color="auto"/>
              <w:left w:val="single" w:sz="4" w:space="0" w:color="auto"/>
              <w:bottom w:val="single" w:sz="4" w:space="0" w:color="auto"/>
              <w:right w:val="single" w:sz="4" w:space="0" w:color="auto"/>
            </w:tcBorders>
            <w:shd w:val="clear" w:color="auto" w:fill="E2E2E2"/>
            <w:hideMark/>
          </w:tcPr>
          <w:p w14:paraId="58AA156B" w14:textId="77777777" w:rsidR="006871D2" w:rsidRPr="00F2249F" w:rsidRDefault="006871D2">
            <w:pPr>
              <w:spacing w:line="256" w:lineRule="auto"/>
              <w:rPr>
                <w:b/>
                <w:lang w:eastAsia="en-US"/>
              </w:rPr>
            </w:pPr>
            <w:r w:rsidRPr="00F2249F">
              <w:rPr>
                <w:b/>
                <w:lang w:eastAsia="en-US"/>
              </w:rPr>
              <w:t>Vplyvy na limit verejných výdavkov</w:t>
            </w:r>
          </w:p>
        </w:tc>
        <w:sdt>
          <w:sdtPr>
            <w:rPr>
              <w:b/>
              <w:lang w:eastAsia="zh-CN"/>
            </w:rPr>
            <w:id w:val="-2031087866"/>
            <w14:checkbox>
              <w14:checked w14:val="0"/>
              <w14:checkedState w14:val="2612" w14:font="MS Gothic"/>
              <w14:uncheckedState w14:val="2610" w14:font="MS Gothic"/>
            </w14:checkbox>
          </w:sdtPr>
          <w:sdtEndPr/>
          <w:sdtContent>
            <w:tc>
              <w:tcPr>
                <w:tcW w:w="541" w:type="dxa"/>
                <w:tcBorders>
                  <w:top w:val="single" w:sz="4" w:space="0" w:color="auto"/>
                  <w:left w:val="single" w:sz="4" w:space="0" w:color="auto"/>
                  <w:bottom w:val="single" w:sz="4" w:space="0" w:color="auto"/>
                  <w:right w:val="nil"/>
                </w:tcBorders>
                <w:hideMark/>
              </w:tcPr>
              <w:p w14:paraId="10048A4F" w14:textId="4F0365F8" w:rsidR="006871D2" w:rsidRPr="00F2249F" w:rsidRDefault="00F71BD6">
                <w:pPr>
                  <w:spacing w:line="256" w:lineRule="auto"/>
                  <w:jc w:val="center"/>
                  <w:rPr>
                    <w:b/>
                    <w:lang w:eastAsia="zh-CN"/>
                  </w:rPr>
                </w:pPr>
                <w:r>
                  <w:rPr>
                    <w:rFonts w:ascii="MS Gothic" w:eastAsia="MS Gothic" w:hAnsi="MS Gothic" w:cs="Segoe UI Symbol" w:hint="eastAsia"/>
                    <w:b/>
                    <w:lang w:eastAsia="zh-CN"/>
                  </w:rPr>
                  <w:t>☐</w:t>
                </w:r>
              </w:p>
            </w:tc>
          </w:sdtContent>
        </w:sdt>
        <w:tc>
          <w:tcPr>
            <w:tcW w:w="1281" w:type="dxa"/>
            <w:tcBorders>
              <w:top w:val="single" w:sz="4" w:space="0" w:color="auto"/>
              <w:left w:val="nil"/>
              <w:bottom w:val="single" w:sz="4" w:space="0" w:color="auto"/>
              <w:right w:val="nil"/>
            </w:tcBorders>
            <w:hideMark/>
          </w:tcPr>
          <w:p w14:paraId="193AA369" w14:textId="77777777" w:rsidR="006871D2" w:rsidRPr="00F2249F" w:rsidRDefault="006871D2">
            <w:pPr>
              <w:spacing w:line="256" w:lineRule="auto"/>
              <w:rPr>
                <w:lang w:eastAsia="zh-CN"/>
              </w:rPr>
            </w:pPr>
            <w:r w:rsidRPr="00F2249F">
              <w:rPr>
                <w:b/>
                <w:lang w:eastAsia="zh-CN"/>
              </w:rPr>
              <w:t>Pozitívne</w:t>
            </w:r>
          </w:p>
        </w:tc>
        <w:sdt>
          <w:sdtPr>
            <w:rPr>
              <w:b/>
              <w:lang w:eastAsia="zh-CN"/>
            </w:rPr>
            <w:id w:val="-1542202641"/>
            <w14:checkbox>
              <w14:checked w14:val="0"/>
              <w14:checkedState w14:val="2612" w14:font="MS Gothic"/>
              <w14:uncheckedState w14:val="2610" w14:font="MS Gothic"/>
            </w14:checkbox>
          </w:sdtPr>
          <w:sdtEndPr/>
          <w:sdtContent>
            <w:tc>
              <w:tcPr>
                <w:tcW w:w="569" w:type="dxa"/>
                <w:tcBorders>
                  <w:top w:val="single" w:sz="4" w:space="0" w:color="auto"/>
                  <w:left w:val="nil"/>
                  <w:bottom w:val="single" w:sz="4" w:space="0" w:color="auto"/>
                  <w:right w:val="nil"/>
                </w:tcBorders>
                <w:hideMark/>
              </w:tcPr>
              <w:p w14:paraId="799BBB26" w14:textId="77777777" w:rsidR="006871D2" w:rsidRPr="00F2249F" w:rsidRDefault="006871D2">
                <w:pPr>
                  <w:spacing w:line="256" w:lineRule="auto"/>
                  <w:jc w:val="center"/>
                  <w:rPr>
                    <w:b/>
                    <w:lang w:eastAsia="zh-CN"/>
                  </w:rPr>
                </w:pPr>
                <w:r w:rsidRPr="00F2249F">
                  <w:rPr>
                    <w:rFonts w:ascii="Segoe UI Symbol" w:eastAsia="MS Gothic" w:hAnsi="Segoe UI Symbol" w:cs="Segoe UI Symbol"/>
                    <w:b/>
                    <w:lang w:eastAsia="zh-CN"/>
                  </w:rPr>
                  <w:t>☐</w:t>
                </w:r>
              </w:p>
            </w:tc>
          </w:sdtContent>
        </w:sdt>
        <w:tc>
          <w:tcPr>
            <w:tcW w:w="1133" w:type="dxa"/>
            <w:tcBorders>
              <w:top w:val="single" w:sz="4" w:space="0" w:color="auto"/>
              <w:left w:val="nil"/>
              <w:bottom w:val="single" w:sz="4" w:space="0" w:color="auto"/>
              <w:right w:val="nil"/>
            </w:tcBorders>
            <w:hideMark/>
          </w:tcPr>
          <w:p w14:paraId="66678FFF" w14:textId="77777777" w:rsidR="006871D2" w:rsidRPr="00F2249F" w:rsidRDefault="006871D2">
            <w:pPr>
              <w:spacing w:line="256" w:lineRule="auto"/>
              <w:rPr>
                <w:lang w:eastAsia="zh-CN"/>
              </w:rPr>
            </w:pPr>
            <w:r w:rsidRPr="00F2249F">
              <w:rPr>
                <w:b/>
                <w:lang w:eastAsia="zh-CN"/>
              </w:rPr>
              <w:t>Žiadne</w:t>
            </w:r>
          </w:p>
        </w:tc>
        <w:sdt>
          <w:sdtPr>
            <w:rPr>
              <w:b/>
              <w:lang w:eastAsia="zh-CN"/>
            </w:rPr>
            <w:id w:val="2072389372"/>
            <w14:checkbox>
              <w14:checked w14:val="1"/>
              <w14:checkedState w14:val="2612" w14:font="MS Gothic"/>
              <w14:uncheckedState w14:val="2610" w14:font="MS Gothic"/>
            </w14:checkbox>
          </w:sdtPr>
          <w:sdtEndPr/>
          <w:sdtContent>
            <w:tc>
              <w:tcPr>
                <w:tcW w:w="547" w:type="dxa"/>
                <w:tcBorders>
                  <w:top w:val="single" w:sz="4" w:space="0" w:color="auto"/>
                  <w:left w:val="nil"/>
                  <w:bottom w:val="single" w:sz="4" w:space="0" w:color="auto"/>
                  <w:right w:val="nil"/>
                </w:tcBorders>
                <w:hideMark/>
              </w:tcPr>
              <w:p w14:paraId="2E0C18C2" w14:textId="506BB24F" w:rsidR="006871D2" w:rsidRPr="00F2249F" w:rsidRDefault="00F71BD6">
                <w:pPr>
                  <w:spacing w:line="256" w:lineRule="auto"/>
                  <w:jc w:val="center"/>
                  <w:rPr>
                    <w:b/>
                    <w:lang w:eastAsia="zh-CN"/>
                  </w:rPr>
                </w:pPr>
                <w:r>
                  <w:rPr>
                    <w:rFonts w:ascii="MS Gothic" w:eastAsia="MS Gothic" w:hAnsi="MS Gothic" w:cs="Segoe UI Symbol" w:hint="eastAsia"/>
                    <w:b/>
                    <w:lang w:eastAsia="zh-CN"/>
                  </w:rPr>
                  <w:t>☒</w:t>
                </w:r>
              </w:p>
            </w:tc>
          </w:sdtContent>
        </w:sdt>
        <w:tc>
          <w:tcPr>
            <w:tcW w:w="1297" w:type="dxa"/>
            <w:tcBorders>
              <w:top w:val="single" w:sz="4" w:space="0" w:color="auto"/>
              <w:left w:val="nil"/>
              <w:bottom w:val="single" w:sz="4" w:space="0" w:color="auto"/>
              <w:right w:val="single" w:sz="4" w:space="0" w:color="auto"/>
            </w:tcBorders>
            <w:hideMark/>
          </w:tcPr>
          <w:p w14:paraId="211E8C44" w14:textId="77777777" w:rsidR="006871D2" w:rsidRPr="00F2249F" w:rsidRDefault="006871D2">
            <w:pPr>
              <w:spacing w:line="256" w:lineRule="auto"/>
              <w:ind w:left="34"/>
              <w:rPr>
                <w:lang w:eastAsia="zh-CN"/>
              </w:rPr>
            </w:pPr>
            <w:r w:rsidRPr="00F2249F">
              <w:rPr>
                <w:b/>
                <w:lang w:eastAsia="zh-CN"/>
              </w:rPr>
              <w:t>Negatívne</w:t>
            </w:r>
          </w:p>
        </w:tc>
      </w:tr>
      <w:tr w:rsidR="006871D2" w:rsidRPr="00F2249F" w14:paraId="5BD6FDB6" w14:textId="77777777" w:rsidTr="006871D2">
        <w:tc>
          <w:tcPr>
            <w:tcW w:w="3812" w:type="dxa"/>
            <w:tcBorders>
              <w:top w:val="single" w:sz="4" w:space="0" w:color="auto"/>
              <w:left w:val="single" w:sz="4" w:space="0" w:color="auto"/>
              <w:bottom w:val="nil"/>
              <w:right w:val="single" w:sz="4" w:space="0" w:color="auto"/>
            </w:tcBorders>
            <w:shd w:val="clear" w:color="auto" w:fill="E2E2E2"/>
            <w:hideMark/>
          </w:tcPr>
          <w:p w14:paraId="5D579691" w14:textId="77777777" w:rsidR="006871D2" w:rsidRPr="00F2249F" w:rsidRDefault="006871D2">
            <w:pPr>
              <w:spacing w:line="256" w:lineRule="auto"/>
              <w:rPr>
                <w:b/>
                <w:lang w:eastAsia="en-US"/>
              </w:rPr>
            </w:pPr>
            <w:r w:rsidRPr="00F2249F">
              <w:rPr>
                <w:b/>
                <w:lang w:eastAsia="en-US"/>
              </w:rPr>
              <w:t>Vplyvy na podnikateľské prostredie</w:t>
            </w:r>
          </w:p>
        </w:tc>
        <w:sdt>
          <w:sdtPr>
            <w:rPr>
              <w:b/>
              <w:lang w:eastAsia="zh-CN"/>
            </w:rPr>
            <w:id w:val="-918561924"/>
            <w14:checkbox>
              <w14:checked w14:val="1"/>
              <w14:checkedState w14:val="2612" w14:font="MS Gothic"/>
              <w14:uncheckedState w14:val="2610" w14:font="MS Gothic"/>
            </w14:checkbox>
          </w:sdtPr>
          <w:sdtEndPr/>
          <w:sdtContent>
            <w:tc>
              <w:tcPr>
                <w:tcW w:w="541" w:type="dxa"/>
                <w:tcBorders>
                  <w:top w:val="single" w:sz="4" w:space="0" w:color="auto"/>
                  <w:left w:val="single" w:sz="4" w:space="0" w:color="auto"/>
                  <w:bottom w:val="single" w:sz="4" w:space="0" w:color="auto"/>
                  <w:right w:val="nil"/>
                </w:tcBorders>
                <w:hideMark/>
              </w:tcPr>
              <w:p w14:paraId="04382819" w14:textId="5709C4BE" w:rsidR="006871D2" w:rsidRPr="00F2249F" w:rsidRDefault="000945AD">
                <w:pPr>
                  <w:spacing w:line="256" w:lineRule="auto"/>
                  <w:jc w:val="center"/>
                  <w:rPr>
                    <w:b/>
                    <w:lang w:eastAsia="zh-CN"/>
                  </w:rPr>
                </w:pPr>
                <w:r w:rsidRPr="00F2249F">
                  <w:rPr>
                    <w:rFonts w:ascii="Segoe UI Symbol" w:eastAsia="MS Gothic" w:hAnsi="Segoe UI Symbol" w:cs="Segoe UI Symbol"/>
                    <w:b/>
                    <w:lang w:eastAsia="zh-CN"/>
                  </w:rPr>
                  <w:t>☒</w:t>
                </w:r>
              </w:p>
            </w:tc>
          </w:sdtContent>
        </w:sdt>
        <w:tc>
          <w:tcPr>
            <w:tcW w:w="1281" w:type="dxa"/>
            <w:tcBorders>
              <w:top w:val="single" w:sz="4" w:space="0" w:color="auto"/>
              <w:left w:val="nil"/>
              <w:bottom w:val="single" w:sz="4" w:space="0" w:color="auto"/>
              <w:right w:val="nil"/>
            </w:tcBorders>
            <w:hideMark/>
          </w:tcPr>
          <w:p w14:paraId="7966FE60" w14:textId="77777777" w:rsidR="006871D2" w:rsidRPr="00F2249F" w:rsidRDefault="006871D2">
            <w:pPr>
              <w:spacing w:line="256" w:lineRule="auto"/>
              <w:rPr>
                <w:b/>
                <w:lang w:eastAsia="zh-CN"/>
              </w:rPr>
            </w:pPr>
            <w:r w:rsidRPr="00F2249F">
              <w:rPr>
                <w:b/>
                <w:lang w:eastAsia="zh-CN"/>
              </w:rPr>
              <w:t>Pozitívne</w:t>
            </w:r>
          </w:p>
        </w:tc>
        <w:sdt>
          <w:sdtPr>
            <w:rPr>
              <w:b/>
              <w:lang w:eastAsia="zh-CN"/>
            </w:rPr>
            <w:id w:val="2027368553"/>
            <w14:checkbox>
              <w14:checked w14:val="0"/>
              <w14:checkedState w14:val="2612" w14:font="MS Gothic"/>
              <w14:uncheckedState w14:val="2610" w14:font="MS Gothic"/>
            </w14:checkbox>
          </w:sdtPr>
          <w:sdtEndPr/>
          <w:sdtContent>
            <w:tc>
              <w:tcPr>
                <w:tcW w:w="569" w:type="dxa"/>
                <w:tcBorders>
                  <w:top w:val="single" w:sz="4" w:space="0" w:color="auto"/>
                  <w:left w:val="nil"/>
                  <w:bottom w:val="single" w:sz="4" w:space="0" w:color="auto"/>
                  <w:right w:val="nil"/>
                </w:tcBorders>
                <w:hideMark/>
              </w:tcPr>
              <w:p w14:paraId="7F39AB06" w14:textId="77777777" w:rsidR="006871D2" w:rsidRPr="00F2249F" w:rsidRDefault="006871D2">
                <w:pPr>
                  <w:spacing w:line="256" w:lineRule="auto"/>
                  <w:jc w:val="center"/>
                  <w:rPr>
                    <w:b/>
                    <w:lang w:eastAsia="zh-CN"/>
                  </w:rPr>
                </w:pPr>
                <w:r w:rsidRPr="00F2249F">
                  <w:rPr>
                    <w:rFonts w:ascii="Segoe UI Symbol" w:eastAsia="MS Gothic" w:hAnsi="Segoe UI Symbol" w:cs="Segoe UI Symbol"/>
                    <w:b/>
                    <w:lang w:eastAsia="zh-CN"/>
                  </w:rPr>
                  <w:t>☐</w:t>
                </w:r>
              </w:p>
            </w:tc>
          </w:sdtContent>
        </w:sdt>
        <w:tc>
          <w:tcPr>
            <w:tcW w:w="1133" w:type="dxa"/>
            <w:tcBorders>
              <w:top w:val="single" w:sz="4" w:space="0" w:color="auto"/>
              <w:left w:val="nil"/>
              <w:bottom w:val="single" w:sz="4" w:space="0" w:color="auto"/>
              <w:right w:val="nil"/>
            </w:tcBorders>
            <w:hideMark/>
          </w:tcPr>
          <w:p w14:paraId="6262F2A6" w14:textId="77777777" w:rsidR="006871D2" w:rsidRPr="00F2249F" w:rsidRDefault="006871D2">
            <w:pPr>
              <w:spacing w:line="256" w:lineRule="auto"/>
              <w:rPr>
                <w:b/>
                <w:lang w:eastAsia="zh-CN"/>
              </w:rPr>
            </w:pPr>
            <w:r w:rsidRPr="00F2249F">
              <w:rPr>
                <w:b/>
                <w:lang w:eastAsia="zh-CN"/>
              </w:rPr>
              <w:t>Žiadne</w:t>
            </w:r>
          </w:p>
        </w:tc>
        <w:sdt>
          <w:sdtPr>
            <w:rPr>
              <w:b/>
              <w:lang w:eastAsia="zh-CN"/>
            </w:rPr>
            <w:id w:val="611021819"/>
            <w14:checkbox>
              <w14:checked w14:val="1"/>
              <w14:checkedState w14:val="2612" w14:font="MS Gothic"/>
              <w14:uncheckedState w14:val="2610" w14:font="MS Gothic"/>
            </w14:checkbox>
          </w:sdtPr>
          <w:sdtEndPr/>
          <w:sdtContent>
            <w:tc>
              <w:tcPr>
                <w:tcW w:w="547" w:type="dxa"/>
                <w:tcBorders>
                  <w:top w:val="single" w:sz="4" w:space="0" w:color="auto"/>
                  <w:left w:val="nil"/>
                  <w:bottom w:val="single" w:sz="4" w:space="0" w:color="auto"/>
                  <w:right w:val="nil"/>
                </w:tcBorders>
                <w:hideMark/>
              </w:tcPr>
              <w:p w14:paraId="0903B2AF" w14:textId="78A2F91D" w:rsidR="006871D2" w:rsidRPr="00F2249F" w:rsidRDefault="00B16B0E">
                <w:pPr>
                  <w:spacing w:line="256" w:lineRule="auto"/>
                  <w:jc w:val="center"/>
                  <w:rPr>
                    <w:b/>
                    <w:lang w:eastAsia="zh-CN"/>
                  </w:rPr>
                </w:pPr>
                <w:r w:rsidRPr="00F2249F">
                  <w:rPr>
                    <w:rFonts w:ascii="Segoe UI Symbol" w:eastAsia="MS Gothic" w:hAnsi="Segoe UI Symbol" w:cs="Segoe UI Symbol"/>
                    <w:b/>
                    <w:lang w:eastAsia="zh-CN"/>
                  </w:rPr>
                  <w:t>☒</w:t>
                </w:r>
              </w:p>
            </w:tc>
          </w:sdtContent>
        </w:sdt>
        <w:tc>
          <w:tcPr>
            <w:tcW w:w="1297" w:type="dxa"/>
            <w:tcBorders>
              <w:top w:val="single" w:sz="4" w:space="0" w:color="auto"/>
              <w:left w:val="nil"/>
              <w:bottom w:val="single" w:sz="4" w:space="0" w:color="auto"/>
              <w:right w:val="single" w:sz="4" w:space="0" w:color="auto"/>
            </w:tcBorders>
            <w:hideMark/>
          </w:tcPr>
          <w:p w14:paraId="6DEA9806" w14:textId="77777777" w:rsidR="006871D2" w:rsidRPr="00F2249F" w:rsidRDefault="006871D2">
            <w:pPr>
              <w:spacing w:line="256" w:lineRule="auto"/>
              <w:ind w:left="34"/>
              <w:rPr>
                <w:b/>
                <w:lang w:eastAsia="zh-CN"/>
              </w:rPr>
            </w:pPr>
            <w:r w:rsidRPr="00F2249F">
              <w:rPr>
                <w:b/>
                <w:lang w:eastAsia="zh-CN"/>
              </w:rPr>
              <w:t>Negatívne</w:t>
            </w:r>
          </w:p>
        </w:tc>
      </w:tr>
      <w:tr w:rsidR="006871D2" w:rsidRPr="00F2249F" w14:paraId="6CE1DD33" w14:textId="77777777" w:rsidTr="006871D2">
        <w:tc>
          <w:tcPr>
            <w:tcW w:w="3812" w:type="dxa"/>
            <w:tcBorders>
              <w:top w:val="nil"/>
              <w:left w:val="single" w:sz="4" w:space="0" w:color="000000"/>
              <w:bottom w:val="nil"/>
              <w:right w:val="single" w:sz="4" w:space="0" w:color="000000"/>
            </w:tcBorders>
            <w:shd w:val="clear" w:color="auto" w:fill="E2E2E2"/>
            <w:hideMark/>
          </w:tcPr>
          <w:p w14:paraId="61D01FBC" w14:textId="77777777" w:rsidR="006871D2" w:rsidRPr="00F2249F" w:rsidRDefault="006871D2">
            <w:pPr>
              <w:spacing w:line="256" w:lineRule="auto"/>
              <w:rPr>
                <w:lang w:eastAsia="en-US"/>
              </w:rPr>
            </w:pPr>
            <w:r w:rsidRPr="00F2249F">
              <w:rPr>
                <w:lang w:eastAsia="en-US"/>
              </w:rPr>
              <w:t xml:space="preserve">    z toho vplyvy na MSP</w:t>
            </w:r>
          </w:p>
        </w:tc>
        <w:sdt>
          <w:sdtPr>
            <w:rPr>
              <w:lang w:eastAsia="zh-CN"/>
            </w:rPr>
            <w:id w:val="-163631517"/>
            <w14:checkbox>
              <w14:checked w14:val="1"/>
              <w14:checkedState w14:val="2612" w14:font="MS Gothic"/>
              <w14:uncheckedState w14:val="2610" w14:font="MS Gothic"/>
            </w14:checkbox>
          </w:sdtPr>
          <w:sdtEndPr/>
          <w:sdtContent>
            <w:tc>
              <w:tcPr>
                <w:tcW w:w="541" w:type="dxa"/>
                <w:tcBorders>
                  <w:top w:val="single" w:sz="4" w:space="0" w:color="auto"/>
                  <w:left w:val="single" w:sz="4" w:space="0" w:color="000000"/>
                  <w:bottom w:val="single" w:sz="4" w:space="0" w:color="auto"/>
                  <w:right w:val="nil"/>
                </w:tcBorders>
                <w:hideMark/>
              </w:tcPr>
              <w:p w14:paraId="085E495D" w14:textId="4EA46B06" w:rsidR="006871D2" w:rsidRPr="00F2249F" w:rsidRDefault="00F71BD6">
                <w:pPr>
                  <w:spacing w:line="256" w:lineRule="auto"/>
                  <w:jc w:val="center"/>
                  <w:rPr>
                    <w:lang w:eastAsia="zh-CN"/>
                  </w:rPr>
                </w:pPr>
                <w:r>
                  <w:rPr>
                    <w:rFonts w:ascii="MS Gothic" w:eastAsia="MS Gothic" w:hAnsi="MS Gothic" w:cs="Segoe UI Symbol" w:hint="eastAsia"/>
                    <w:lang w:eastAsia="zh-CN"/>
                  </w:rPr>
                  <w:t>☒</w:t>
                </w:r>
              </w:p>
            </w:tc>
          </w:sdtContent>
        </w:sdt>
        <w:tc>
          <w:tcPr>
            <w:tcW w:w="1281" w:type="dxa"/>
            <w:tcBorders>
              <w:top w:val="single" w:sz="4" w:space="0" w:color="auto"/>
              <w:left w:val="nil"/>
              <w:bottom w:val="single" w:sz="4" w:space="0" w:color="auto"/>
              <w:right w:val="nil"/>
            </w:tcBorders>
            <w:hideMark/>
          </w:tcPr>
          <w:p w14:paraId="24313500" w14:textId="77777777" w:rsidR="006871D2" w:rsidRPr="00F2249F" w:rsidRDefault="006871D2">
            <w:pPr>
              <w:spacing w:line="256" w:lineRule="auto"/>
              <w:rPr>
                <w:lang w:eastAsia="zh-CN"/>
              </w:rPr>
            </w:pPr>
            <w:r w:rsidRPr="00F2249F">
              <w:rPr>
                <w:lang w:eastAsia="zh-CN"/>
              </w:rPr>
              <w:t>Pozitívne</w:t>
            </w:r>
          </w:p>
        </w:tc>
        <w:sdt>
          <w:sdtPr>
            <w:rPr>
              <w:lang w:eastAsia="zh-CN"/>
            </w:rPr>
            <w:id w:val="1595129085"/>
            <w14:checkbox>
              <w14:checked w14:val="0"/>
              <w14:checkedState w14:val="2612" w14:font="MS Gothic"/>
              <w14:uncheckedState w14:val="2610" w14:font="MS Gothic"/>
            </w14:checkbox>
          </w:sdtPr>
          <w:sdtEndPr/>
          <w:sdtContent>
            <w:tc>
              <w:tcPr>
                <w:tcW w:w="569" w:type="dxa"/>
                <w:tcBorders>
                  <w:top w:val="single" w:sz="4" w:space="0" w:color="auto"/>
                  <w:left w:val="nil"/>
                  <w:bottom w:val="single" w:sz="4" w:space="0" w:color="auto"/>
                  <w:right w:val="nil"/>
                </w:tcBorders>
                <w:hideMark/>
              </w:tcPr>
              <w:p w14:paraId="0ECB0E08" w14:textId="77777777" w:rsidR="006871D2" w:rsidRPr="00F2249F" w:rsidRDefault="006871D2">
                <w:pPr>
                  <w:spacing w:line="256" w:lineRule="auto"/>
                  <w:jc w:val="center"/>
                  <w:rPr>
                    <w:lang w:eastAsia="zh-CN"/>
                  </w:rPr>
                </w:pPr>
                <w:r w:rsidRPr="00F2249F">
                  <w:rPr>
                    <w:rFonts w:ascii="Segoe UI Symbol" w:eastAsia="MS Gothic" w:hAnsi="Segoe UI Symbol" w:cs="Segoe UI Symbol"/>
                    <w:lang w:eastAsia="zh-CN"/>
                  </w:rPr>
                  <w:t>☐</w:t>
                </w:r>
              </w:p>
            </w:tc>
          </w:sdtContent>
        </w:sdt>
        <w:tc>
          <w:tcPr>
            <w:tcW w:w="1133" w:type="dxa"/>
            <w:tcBorders>
              <w:top w:val="single" w:sz="4" w:space="0" w:color="auto"/>
              <w:left w:val="nil"/>
              <w:bottom w:val="single" w:sz="4" w:space="0" w:color="auto"/>
              <w:right w:val="nil"/>
            </w:tcBorders>
            <w:hideMark/>
          </w:tcPr>
          <w:p w14:paraId="1EE5F1E5" w14:textId="77777777" w:rsidR="006871D2" w:rsidRPr="00F2249F" w:rsidRDefault="006871D2">
            <w:pPr>
              <w:spacing w:line="256" w:lineRule="auto"/>
              <w:rPr>
                <w:lang w:eastAsia="zh-CN"/>
              </w:rPr>
            </w:pPr>
            <w:r w:rsidRPr="00F2249F">
              <w:rPr>
                <w:lang w:eastAsia="zh-CN"/>
              </w:rPr>
              <w:t>Žiadne</w:t>
            </w:r>
          </w:p>
        </w:tc>
        <w:sdt>
          <w:sdtPr>
            <w:rPr>
              <w:lang w:eastAsia="zh-CN"/>
            </w:rPr>
            <w:id w:val="-498040493"/>
            <w14:checkbox>
              <w14:checked w14:val="1"/>
              <w14:checkedState w14:val="2612" w14:font="MS Gothic"/>
              <w14:uncheckedState w14:val="2610" w14:font="MS Gothic"/>
            </w14:checkbox>
          </w:sdtPr>
          <w:sdtEndPr/>
          <w:sdtContent>
            <w:tc>
              <w:tcPr>
                <w:tcW w:w="547" w:type="dxa"/>
                <w:tcBorders>
                  <w:top w:val="single" w:sz="4" w:space="0" w:color="auto"/>
                  <w:left w:val="nil"/>
                  <w:bottom w:val="single" w:sz="4" w:space="0" w:color="auto"/>
                  <w:right w:val="nil"/>
                </w:tcBorders>
                <w:hideMark/>
              </w:tcPr>
              <w:p w14:paraId="767D9F60" w14:textId="14AA955B" w:rsidR="006871D2" w:rsidRPr="00F2249F" w:rsidRDefault="00F71BD6">
                <w:pPr>
                  <w:spacing w:line="256" w:lineRule="auto"/>
                  <w:jc w:val="center"/>
                  <w:rPr>
                    <w:lang w:eastAsia="zh-CN"/>
                  </w:rPr>
                </w:pPr>
                <w:r>
                  <w:rPr>
                    <w:rFonts w:ascii="MS Gothic" w:eastAsia="MS Gothic" w:hAnsi="MS Gothic" w:cs="Segoe UI Symbol" w:hint="eastAsia"/>
                    <w:lang w:eastAsia="zh-CN"/>
                  </w:rPr>
                  <w:t>☒</w:t>
                </w:r>
              </w:p>
            </w:tc>
          </w:sdtContent>
        </w:sdt>
        <w:tc>
          <w:tcPr>
            <w:tcW w:w="1297" w:type="dxa"/>
            <w:tcBorders>
              <w:top w:val="single" w:sz="4" w:space="0" w:color="auto"/>
              <w:left w:val="nil"/>
              <w:bottom w:val="single" w:sz="4" w:space="0" w:color="auto"/>
              <w:right w:val="single" w:sz="4" w:space="0" w:color="auto"/>
            </w:tcBorders>
            <w:hideMark/>
          </w:tcPr>
          <w:p w14:paraId="4C582720" w14:textId="77777777" w:rsidR="006871D2" w:rsidRPr="00F2249F" w:rsidRDefault="006871D2">
            <w:pPr>
              <w:spacing w:line="256" w:lineRule="auto"/>
              <w:ind w:left="34"/>
              <w:rPr>
                <w:lang w:eastAsia="zh-CN"/>
              </w:rPr>
            </w:pPr>
            <w:r w:rsidRPr="00F2249F">
              <w:rPr>
                <w:lang w:eastAsia="zh-CN"/>
              </w:rPr>
              <w:t>Negatívne</w:t>
            </w:r>
          </w:p>
        </w:tc>
      </w:tr>
      <w:tr w:rsidR="006871D2" w:rsidRPr="00F2249F" w14:paraId="034F311A" w14:textId="77777777" w:rsidTr="006871D2">
        <w:tc>
          <w:tcPr>
            <w:tcW w:w="3812" w:type="dxa"/>
            <w:tcBorders>
              <w:top w:val="nil"/>
              <w:left w:val="single" w:sz="4" w:space="0" w:color="auto"/>
              <w:bottom w:val="single" w:sz="4" w:space="0" w:color="000000"/>
              <w:right w:val="single" w:sz="4" w:space="0" w:color="auto"/>
            </w:tcBorders>
            <w:shd w:val="clear" w:color="auto" w:fill="E2E2E2"/>
            <w:hideMark/>
          </w:tcPr>
          <w:p w14:paraId="2FEFE0EB" w14:textId="77777777" w:rsidR="006871D2" w:rsidRPr="00F2249F" w:rsidRDefault="006871D2">
            <w:pPr>
              <w:spacing w:line="256" w:lineRule="auto"/>
              <w:rPr>
                <w:lang w:eastAsia="en-US"/>
              </w:rPr>
            </w:pPr>
            <w:r w:rsidRPr="00F2249F">
              <w:rPr>
                <w:lang w:eastAsia="en-US"/>
              </w:rPr>
              <w:lastRenderedPageBreak/>
              <w:t>Mechanizmus znižovania byrokracie a nákladov sa uplatňuje:</w:t>
            </w:r>
          </w:p>
        </w:tc>
        <w:sdt>
          <w:sdtPr>
            <w:rPr>
              <w:lang w:eastAsia="zh-CN"/>
            </w:rPr>
            <w:id w:val="-4443879"/>
            <w14:checkbox>
              <w14:checked w14:val="0"/>
              <w14:checkedState w14:val="2612" w14:font="MS Gothic"/>
              <w14:uncheckedState w14:val="2610" w14:font="MS Gothic"/>
            </w14:checkbox>
          </w:sdtPr>
          <w:sdtEndPr/>
          <w:sdtContent>
            <w:tc>
              <w:tcPr>
                <w:tcW w:w="541" w:type="dxa"/>
                <w:tcBorders>
                  <w:top w:val="single" w:sz="4" w:space="0" w:color="auto"/>
                  <w:left w:val="single" w:sz="4" w:space="0" w:color="auto"/>
                  <w:bottom w:val="single" w:sz="4" w:space="0" w:color="auto"/>
                  <w:right w:val="nil"/>
                </w:tcBorders>
                <w:hideMark/>
              </w:tcPr>
              <w:p w14:paraId="209466B9" w14:textId="77777777" w:rsidR="006871D2" w:rsidRPr="00F2249F" w:rsidRDefault="006871D2">
                <w:pPr>
                  <w:spacing w:line="256" w:lineRule="auto"/>
                  <w:jc w:val="center"/>
                  <w:rPr>
                    <w:lang w:eastAsia="zh-CN"/>
                  </w:rPr>
                </w:pPr>
                <w:r w:rsidRPr="00F2249F">
                  <w:rPr>
                    <w:rFonts w:ascii="Segoe UI Symbol" w:eastAsia="MS Gothic" w:hAnsi="Segoe UI Symbol" w:cs="Segoe UI Symbol"/>
                    <w:lang w:eastAsia="zh-CN"/>
                  </w:rPr>
                  <w:t>☐</w:t>
                </w:r>
              </w:p>
            </w:tc>
          </w:sdtContent>
        </w:sdt>
        <w:tc>
          <w:tcPr>
            <w:tcW w:w="1281" w:type="dxa"/>
            <w:tcBorders>
              <w:top w:val="single" w:sz="4" w:space="0" w:color="auto"/>
              <w:left w:val="nil"/>
              <w:bottom w:val="single" w:sz="4" w:space="0" w:color="auto"/>
              <w:right w:val="nil"/>
            </w:tcBorders>
            <w:hideMark/>
          </w:tcPr>
          <w:p w14:paraId="78358864" w14:textId="77777777" w:rsidR="006871D2" w:rsidRPr="00F2249F" w:rsidRDefault="006871D2">
            <w:pPr>
              <w:spacing w:line="256" w:lineRule="auto"/>
              <w:rPr>
                <w:lang w:eastAsia="zh-CN"/>
              </w:rPr>
            </w:pPr>
            <w:r w:rsidRPr="00F2249F">
              <w:rPr>
                <w:lang w:eastAsia="zh-CN"/>
              </w:rPr>
              <w:t>Áno</w:t>
            </w:r>
          </w:p>
        </w:tc>
        <w:tc>
          <w:tcPr>
            <w:tcW w:w="569" w:type="dxa"/>
            <w:tcBorders>
              <w:top w:val="single" w:sz="4" w:space="0" w:color="auto"/>
              <w:left w:val="nil"/>
              <w:bottom w:val="single" w:sz="4" w:space="0" w:color="auto"/>
              <w:right w:val="nil"/>
            </w:tcBorders>
          </w:tcPr>
          <w:p w14:paraId="38BE6595" w14:textId="77777777" w:rsidR="006871D2" w:rsidRPr="00F2249F" w:rsidRDefault="006871D2">
            <w:pPr>
              <w:spacing w:line="256" w:lineRule="auto"/>
              <w:jc w:val="center"/>
              <w:rPr>
                <w:lang w:eastAsia="zh-CN"/>
              </w:rPr>
            </w:pPr>
          </w:p>
        </w:tc>
        <w:tc>
          <w:tcPr>
            <w:tcW w:w="1133" w:type="dxa"/>
            <w:tcBorders>
              <w:top w:val="single" w:sz="4" w:space="0" w:color="auto"/>
              <w:left w:val="nil"/>
              <w:bottom w:val="single" w:sz="4" w:space="0" w:color="auto"/>
              <w:right w:val="nil"/>
            </w:tcBorders>
          </w:tcPr>
          <w:p w14:paraId="7B4BC557" w14:textId="77777777" w:rsidR="006871D2" w:rsidRPr="00F2249F" w:rsidRDefault="006871D2">
            <w:pPr>
              <w:spacing w:line="256" w:lineRule="auto"/>
              <w:rPr>
                <w:lang w:eastAsia="zh-CN"/>
              </w:rPr>
            </w:pPr>
          </w:p>
        </w:tc>
        <w:sdt>
          <w:sdtPr>
            <w:rPr>
              <w:lang w:eastAsia="zh-CN"/>
            </w:rPr>
            <w:id w:val="-445008307"/>
            <w14:checkbox>
              <w14:checked w14:val="0"/>
              <w14:checkedState w14:val="2612" w14:font="MS Gothic"/>
              <w14:uncheckedState w14:val="2610" w14:font="MS Gothic"/>
            </w14:checkbox>
          </w:sdtPr>
          <w:sdtEndPr/>
          <w:sdtContent>
            <w:tc>
              <w:tcPr>
                <w:tcW w:w="547" w:type="dxa"/>
                <w:tcBorders>
                  <w:top w:val="single" w:sz="4" w:space="0" w:color="auto"/>
                  <w:left w:val="nil"/>
                  <w:bottom w:val="single" w:sz="4" w:space="0" w:color="auto"/>
                  <w:right w:val="nil"/>
                </w:tcBorders>
                <w:hideMark/>
              </w:tcPr>
              <w:p w14:paraId="24DE8DFF" w14:textId="0E6A357F" w:rsidR="006871D2" w:rsidRPr="00F2249F" w:rsidRDefault="009667E9">
                <w:pPr>
                  <w:spacing w:line="256" w:lineRule="auto"/>
                  <w:jc w:val="center"/>
                  <w:rPr>
                    <w:lang w:eastAsia="zh-CN"/>
                  </w:rPr>
                </w:pPr>
                <w:r>
                  <w:rPr>
                    <w:rFonts w:ascii="MS Gothic" w:eastAsia="MS Gothic" w:hAnsi="MS Gothic" w:hint="eastAsia"/>
                    <w:lang w:eastAsia="zh-CN"/>
                  </w:rPr>
                  <w:t>☐</w:t>
                </w:r>
              </w:p>
            </w:tc>
          </w:sdtContent>
        </w:sdt>
        <w:tc>
          <w:tcPr>
            <w:tcW w:w="1297" w:type="dxa"/>
            <w:tcBorders>
              <w:top w:val="single" w:sz="4" w:space="0" w:color="auto"/>
              <w:left w:val="nil"/>
              <w:bottom w:val="single" w:sz="4" w:space="0" w:color="auto"/>
              <w:right w:val="single" w:sz="4" w:space="0" w:color="auto"/>
            </w:tcBorders>
            <w:hideMark/>
          </w:tcPr>
          <w:p w14:paraId="08FA3EFD" w14:textId="77777777" w:rsidR="006871D2" w:rsidRPr="00F2249F" w:rsidRDefault="006871D2">
            <w:pPr>
              <w:spacing w:line="256" w:lineRule="auto"/>
              <w:ind w:left="34"/>
              <w:rPr>
                <w:lang w:eastAsia="zh-CN"/>
              </w:rPr>
            </w:pPr>
            <w:r w:rsidRPr="00F2249F">
              <w:rPr>
                <w:lang w:eastAsia="zh-CN"/>
              </w:rPr>
              <w:t>Nie</w:t>
            </w:r>
          </w:p>
        </w:tc>
      </w:tr>
      <w:tr w:rsidR="006871D2" w:rsidRPr="00F2249F" w14:paraId="50210EF8" w14:textId="77777777" w:rsidTr="006871D2">
        <w:tc>
          <w:tcPr>
            <w:tcW w:w="3812" w:type="dxa"/>
            <w:tcBorders>
              <w:top w:val="single" w:sz="4" w:space="0" w:color="000000"/>
              <w:left w:val="single" w:sz="4" w:space="0" w:color="auto"/>
              <w:bottom w:val="single" w:sz="4" w:space="0" w:color="auto"/>
              <w:right w:val="single" w:sz="4" w:space="0" w:color="auto"/>
            </w:tcBorders>
            <w:shd w:val="clear" w:color="auto" w:fill="E2E2E2"/>
            <w:hideMark/>
          </w:tcPr>
          <w:p w14:paraId="101B66F9" w14:textId="77777777" w:rsidR="006871D2" w:rsidRPr="00F2249F" w:rsidRDefault="006871D2">
            <w:pPr>
              <w:spacing w:line="256" w:lineRule="auto"/>
              <w:rPr>
                <w:b/>
                <w:lang w:eastAsia="en-US"/>
              </w:rPr>
            </w:pPr>
            <w:r w:rsidRPr="00F2249F">
              <w:rPr>
                <w:b/>
                <w:lang w:eastAsia="en-US"/>
              </w:rPr>
              <w:t>Sociálne vplyvy</w:t>
            </w:r>
          </w:p>
        </w:tc>
        <w:sdt>
          <w:sdtPr>
            <w:rPr>
              <w:b/>
              <w:lang w:eastAsia="zh-CN"/>
            </w:rPr>
            <w:id w:val="267205313"/>
            <w14:checkbox>
              <w14:checked w14:val="0"/>
              <w14:checkedState w14:val="2612" w14:font="MS Gothic"/>
              <w14:uncheckedState w14:val="2610" w14:font="MS Gothic"/>
            </w14:checkbox>
          </w:sdtPr>
          <w:sdtEndPr/>
          <w:sdtContent>
            <w:tc>
              <w:tcPr>
                <w:tcW w:w="541" w:type="dxa"/>
                <w:tcBorders>
                  <w:top w:val="single" w:sz="4" w:space="0" w:color="auto"/>
                  <w:left w:val="single" w:sz="4" w:space="0" w:color="auto"/>
                  <w:bottom w:val="single" w:sz="4" w:space="0" w:color="auto"/>
                  <w:right w:val="nil"/>
                </w:tcBorders>
                <w:hideMark/>
              </w:tcPr>
              <w:p w14:paraId="064A1E9A" w14:textId="77777777" w:rsidR="006871D2" w:rsidRPr="00F2249F" w:rsidRDefault="006871D2">
                <w:pPr>
                  <w:spacing w:line="256" w:lineRule="auto"/>
                  <w:jc w:val="center"/>
                  <w:rPr>
                    <w:b/>
                    <w:lang w:eastAsia="zh-CN"/>
                  </w:rPr>
                </w:pPr>
                <w:r w:rsidRPr="00F2249F">
                  <w:rPr>
                    <w:rFonts w:ascii="Segoe UI Symbol" w:eastAsia="MS Gothic" w:hAnsi="Segoe UI Symbol" w:cs="Segoe UI Symbol"/>
                    <w:b/>
                    <w:lang w:eastAsia="zh-CN"/>
                  </w:rPr>
                  <w:t>☐</w:t>
                </w:r>
              </w:p>
            </w:tc>
          </w:sdtContent>
        </w:sdt>
        <w:tc>
          <w:tcPr>
            <w:tcW w:w="1281" w:type="dxa"/>
            <w:tcBorders>
              <w:top w:val="single" w:sz="4" w:space="0" w:color="auto"/>
              <w:left w:val="nil"/>
              <w:bottom w:val="single" w:sz="4" w:space="0" w:color="auto"/>
              <w:right w:val="nil"/>
            </w:tcBorders>
            <w:hideMark/>
          </w:tcPr>
          <w:p w14:paraId="6484B0A4" w14:textId="77777777" w:rsidR="006871D2" w:rsidRPr="00F2249F" w:rsidRDefault="006871D2">
            <w:pPr>
              <w:spacing w:line="256" w:lineRule="auto"/>
              <w:rPr>
                <w:b/>
                <w:lang w:eastAsia="zh-CN"/>
              </w:rPr>
            </w:pPr>
            <w:r w:rsidRPr="00F2249F">
              <w:rPr>
                <w:b/>
                <w:lang w:eastAsia="zh-CN"/>
              </w:rPr>
              <w:t>Pozitívne</w:t>
            </w:r>
          </w:p>
        </w:tc>
        <w:sdt>
          <w:sdtPr>
            <w:rPr>
              <w:b/>
              <w:lang w:eastAsia="zh-CN"/>
            </w:rPr>
            <w:id w:val="376358871"/>
            <w14:checkbox>
              <w14:checked w14:val="1"/>
              <w14:checkedState w14:val="2612" w14:font="MS Gothic"/>
              <w14:uncheckedState w14:val="2610" w14:font="MS Gothic"/>
            </w14:checkbox>
          </w:sdtPr>
          <w:sdtEndPr/>
          <w:sdtContent>
            <w:tc>
              <w:tcPr>
                <w:tcW w:w="569" w:type="dxa"/>
                <w:tcBorders>
                  <w:top w:val="single" w:sz="4" w:space="0" w:color="auto"/>
                  <w:left w:val="nil"/>
                  <w:bottom w:val="single" w:sz="4" w:space="0" w:color="auto"/>
                  <w:right w:val="nil"/>
                </w:tcBorders>
                <w:hideMark/>
              </w:tcPr>
              <w:p w14:paraId="51797458" w14:textId="6E651701" w:rsidR="006871D2" w:rsidRPr="00F2249F" w:rsidRDefault="000945AD">
                <w:pPr>
                  <w:spacing w:line="256" w:lineRule="auto"/>
                  <w:jc w:val="center"/>
                  <w:rPr>
                    <w:b/>
                    <w:lang w:eastAsia="zh-CN"/>
                  </w:rPr>
                </w:pPr>
                <w:r w:rsidRPr="00F2249F">
                  <w:rPr>
                    <w:rFonts w:ascii="Segoe UI Symbol" w:eastAsia="MS Gothic" w:hAnsi="Segoe UI Symbol" w:cs="Segoe UI Symbol"/>
                    <w:b/>
                    <w:lang w:eastAsia="zh-CN"/>
                  </w:rPr>
                  <w:t>☒</w:t>
                </w:r>
              </w:p>
            </w:tc>
          </w:sdtContent>
        </w:sdt>
        <w:tc>
          <w:tcPr>
            <w:tcW w:w="1133" w:type="dxa"/>
            <w:tcBorders>
              <w:top w:val="single" w:sz="4" w:space="0" w:color="auto"/>
              <w:left w:val="nil"/>
              <w:bottom w:val="single" w:sz="4" w:space="0" w:color="auto"/>
              <w:right w:val="nil"/>
            </w:tcBorders>
            <w:hideMark/>
          </w:tcPr>
          <w:p w14:paraId="3B713BF8" w14:textId="77777777" w:rsidR="006871D2" w:rsidRPr="00F2249F" w:rsidRDefault="006871D2">
            <w:pPr>
              <w:spacing w:line="256" w:lineRule="auto"/>
              <w:rPr>
                <w:b/>
                <w:lang w:eastAsia="zh-CN"/>
              </w:rPr>
            </w:pPr>
            <w:r w:rsidRPr="00F2249F">
              <w:rPr>
                <w:b/>
                <w:lang w:eastAsia="zh-CN"/>
              </w:rPr>
              <w:t>Žiadne</w:t>
            </w:r>
          </w:p>
        </w:tc>
        <w:sdt>
          <w:sdtPr>
            <w:rPr>
              <w:b/>
              <w:lang w:eastAsia="zh-CN"/>
            </w:rPr>
            <w:id w:val="-1335063108"/>
            <w14:checkbox>
              <w14:checked w14:val="0"/>
              <w14:checkedState w14:val="2612" w14:font="MS Gothic"/>
              <w14:uncheckedState w14:val="2610" w14:font="MS Gothic"/>
            </w14:checkbox>
          </w:sdtPr>
          <w:sdtEndPr/>
          <w:sdtContent>
            <w:tc>
              <w:tcPr>
                <w:tcW w:w="547" w:type="dxa"/>
                <w:tcBorders>
                  <w:top w:val="single" w:sz="4" w:space="0" w:color="auto"/>
                  <w:left w:val="nil"/>
                  <w:bottom w:val="single" w:sz="4" w:space="0" w:color="auto"/>
                  <w:right w:val="nil"/>
                </w:tcBorders>
                <w:hideMark/>
              </w:tcPr>
              <w:p w14:paraId="0216776F" w14:textId="77777777" w:rsidR="006871D2" w:rsidRPr="00F2249F" w:rsidRDefault="006871D2">
                <w:pPr>
                  <w:spacing w:line="256" w:lineRule="auto"/>
                  <w:jc w:val="center"/>
                  <w:rPr>
                    <w:b/>
                    <w:lang w:eastAsia="zh-CN"/>
                  </w:rPr>
                </w:pPr>
                <w:r w:rsidRPr="00F2249F">
                  <w:rPr>
                    <w:rFonts w:ascii="Segoe UI Symbol" w:eastAsia="MS Gothic" w:hAnsi="Segoe UI Symbol" w:cs="Segoe UI Symbol"/>
                    <w:b/>
                    <w:lang w:eastAsia="zh-CN"/>
                  </w:rPr>
                  <w:t>☐</w:t>
                </w:r>
              </w:p>
            </w:tc>
          </w:sdtContent>
        </w:sdt>
        <w:tc>
          <w:tcPr>
            <w:tcW w:w="1297" w:type="dxa"/>
            <w:tcBorders>
              <w:top w:val="single" w:sz="4" w:space="0" w:color="auto"/>
              <w:left w:val="nil"/>
              <w:bottom w:val="single" w:sz="4" w:space="0" w:color="auto"/>
              <w:right w:val="single" w:sz="4" w:space="0" w:color="auto"/>
            </w:tcBorders>
            <w:hideMark/>
          </w:tcPr>
          <w:p w14:paraId="32F084BD" w14:textId="77777777" w:rsidR="006871D2" w:rsidRPr="00F2249F" w:rsidRDefault="006871D2">
            <w:pPr>
              <w:spacing w:line="256" w:lineRule="auto"/>
              <w:ind w:left="34"/>
              <w:rPr>
                <w:b/>
                <w:lang w:eastAsia="zh-CN"/>
              </w:rPr>
            </w:pPr>
            <w:r w:rsidRPr="00F2249F">
              <w:rPr>
                <w:b/>
                <w:lang w:eastAsia="zh-CN"/>
              </w:rPr>
              <w:t>Negatívne</w:t>
            </w:r>
          </w:p>
        </w:tc>
      </w:tr>
      <w:tr w:rsidR="006871D2" w:rsidRPr="00F2249F" w14:paraId="51AE87A0" w14:textId="77777777" w:rsidTr="006871D2">
        <w:tc>
          <w:tcPr>
            <w:tcW w:w="3812" w:type="dxa"/>
            <w:tcBorders>
              <w:top w:val="single" w:sz="4" w:space="0" w:color="auto"/>
              <w:left w:val="single" w:sz="4" w:space="0" w:color="auto"/>
              <w:bottom w:val="nil"/>
              <w:right w:val="single" w:sz="4" w:space="0" w:color="auto"/>
            </w:tcBorders>
            <w:shd w:val="clear" w:color="auto" w:fill="E2E2E2"/>
            <w:hideMark/>
          </w:tcPr>
          <w:p w14:paraId="1F481570" w14:textId="77777777" w:rsidR="006871D2" w:rsidRPr="00F2249F" w:rsidRDefault="006871D2">
            <w:pPr>
              <w:spacing w:line="256" w:lineRule="auto"/>
              <w:rPr>
                <w:b/>
                <w:lang w:eastAsia="en-US"/>
              </w:rPr>
            </w:pPr>
            <w:r w:rsidRPr="00F2249F">
              <w:rPr>
                <w:b/>
                <w:lang w:eastAsia="en-US"/>
              </w:rPr>
              <w:t>Vplyvy na životné prostredie</w:t>
            </w:r>
          </w:p>
        </w:tc>
        <w:sdt>
          <w:sdtPr>
            <w:rPr>
              <w:b/>
              <w:lang w:eastAsia="zh-CN"/>
            </w:rPr>
            <w:id w:val="683409884"/>
            <w14:checkbox>
              <w14:checked w14:val="0"/>
              <w14:checkedState w14:val="2612" w14:font="MS Gothic"/>
              <w14:uncheckedState w14:val="2610" w14:font="MS Gothic"/>
            </w14:checkbox>
          </w:sdtPr>
          <w:sdtEndPr/>
          <w:sdtContent>
            <w:tc>
              <w:tcPr>
                <w:tcW w:w="541" w:type="dxa"/>
                <w:tcBorders>
                  <w:top w:val="single" w:sz="4" w:space="0" w:color="auto"/>
                  <w:left w:val="single" w:sz="4" w:space="0" w:color="auto"/>
                  <w:bottom w:val="single" w:sz="4" w:space="0" w:color="auto"/>
                  <w:right w:val="nil"/>
                </w:tcBorders>
                <w:hideMark/>
              </w:tcPr>
              <w:p w14:paraId="2B6B3F42" w14:textId="77777777" w:rsidR="006871D2" w:rsidRPr="00F2249F" w:rsidRDefault="006871D2">
                <w:pPr>
                  <w:spacing w:line="256" w:lineRule="auto"/>
                  <w:jc w:val="center"/>
                  <w:rPr>
                    <w:b/>
                    <w:lang w:eastAsia="zh-CN"/>
                  </w:rPr>
                </w:pPr>
                <w:r w:rsidRPr="00F2249F">
                  <w:rPr>
                    <w:rFonts w:ascii="Segoe UI Symbol" w:eastAsia="MS Gothic" w:hAnsi="Segoe UI Symbol" w:cs="Segoe UI Symbol"/>
                    <w:b/>
                    <w:lang w:eastAsia="zh-CN"/>
                  </w:rPr>
                  <w:t>☐</w:t>
                </w:r>
              </w:p>
            </w:tc>
          </w:sdtContent>
        </w:sdt>
        <w:tc>
          <w:tcPr>
            <w:tcW w:w="1281" w:type="dxa"/>
            <w:tcBorders>
              <w:top w:val="single" w:sz="4" w:space="0" w:color="auto"/>
              <w:left w:val="nil"/>
              <w:bottom w:val="single" w:sz="4" w:space="0" w:color="auto"/>
              <w:right w:val="nil"/>
            </w:tcBorders>
            <w:hideMark/>
          </w:tcPr>
          <w:p w14:paraId="4C668B16" w14:textId="77777777" w:rsidR="006871D2" w:rsidRPr="00F2249F" w:rsidRDefault="006871D2">
            <w:pPr>
              <w:spacing w:line="256" w:lineRule="auto"/>
              <w:rPr>
                <w:b/>
                <w:lang w:eastAsia="zh-CN"/>
              </w:rPr>
            </w:pPr>
            <w:r w:rsidRPr="00F2249F">
              <w:rPr>
                <w:b/>
                <w:lang w:eastAsia="zh-CN"/>
              </w:rPr>
              <w:t>Pozitívne</w:t>
            </w:r>
          </w:p>
        </w:tc>
        <w:sdt>
          <w:sdtPr>
            <w:rPr>
              <w:b/>
              <w:lang w:eastAsia="zh-CN"/>
            </w:rPr>
            <w:id w:val="-512142308"/>
            <w14:checkbox>
              <w14:checked w14:val="1"/>
              <w14:checkedState w14:val="2612" w14:font="MS Gothic"/>
              <w14:uncheckedState w14:val="2610" w14:font="MS Gothic"/>
            </w14:checkbox>
          </w:sdtPr>
          <w:sdtEndPr/>
          <w:sdtContent>
            <w:tc>
              <w:tcPr>
                <w:tcW w:w="569" w:type="dxa"/>
                <w:tcBorders>
                  <w:top w:val="single" w:sz="4" w:space="0" w:color="auto"/>
                  <w:left w:val="nil"/>
                  <w:bottom w:val="single" w:sz="4" w:space="0" w:color="auto"/>
                  <w:right w:val="nil"/>
                </w:tcBorders>
                <w:hideMark/>
              </w:tcPr>
              <w:p w14:paraId="14F2A91B" w14:textId="5724FEF1" w:rsidR="006871D2" w:rsidRPr="00F2249F" w:rsidRDefault="000945AD">
                <w:pPr>
                  <w:spacing w:line="256" w:lineRule="auto"/>
                  <w:jc w:val="center"/>
                  <w:rPr>
                    <w:b/>
                    <w:lang w:eastAsia="zh-CN"/>
                  </w:rPr>
                </w:pPr>
                <w:r w:rsidRPr="00F2249F">
                  <w:rPr>
                    <w:rFonts w:ascii="Segoe UI Symbol" w:eastAsia="MS Gothic" w:hAnsi="Segoe UI Symbol" w:cs="Segoe UI Symbol"/>
                    <w:b/>
                    <w:lang w:eastAsia="zh-CN"/>
                  </w:rPr>
                  <w:t>☒</w:t>
                </w:r>
              </w:p>
            </w:tc>
          </w:sdtContent>
        </w:sdt>
        <w:tc>
          <w:tcPr>
            <w:tcW w:w="1133" w:type="dxa"/>
            <w:tcBorders>
              <w:top w:val="single" w:sz="4" w:space="0" w:color="auto"/>
              <w:left w:val="nil"/>
              <w:bottom w:val="single" w:sz="4" w:space="0" w:color="auto"/>
              <w:right w:val="nil"/>
            </w:tcBorders>
            <w:hideMark/>
          </w:tcPr>
          <w:p w14:paraId="3C4E29AE" w14:textId="77777777" w:rsidR="006871D2" w:rsidRPr="00F2249F" w:rsidRDefault="006871D2">
            <w:pPr>
              <w:spacing w:line="256" w:lineRule="auto"/>
              <w:rPr>
                <w:b/>
                <w:lang w:eastAsia="zh-CN"/>
              </w:rPr>
            </w:pPr>
            <w:r w:rsidRPr="00F2249F">
              <w:rPr>
                <w:b/>
                <w:lang w:eastAsia="zh-CN"/>
              </w:rPr>
              <w:t>Žiadne</w:t>
            </w:r>
          </w:p>
        </w:tc>
        <w:sdt>
          <w:sdtPr>
            <w:rPr>
              <w:b/>
              <w:lang w:eastAsia="zh-CN"/>
            </w:rPr>
            <w:id w:val="-1960947090"/>
            <w14:checkbox>
              <w14:checked w14:val="0"/>
              <w14:checkedState w14:val="2612" w14:font="MS Gothic"/>
              <w14:uncheckedState w14:val="2610" w14:font="MS Gothic"/>
            </w14:checkbox>
          </w:sdtPr>
          <w:sdtEndPr/>
          <w:sdtContent>
            <w:tc>
              <w:tcPr>
                <w:tcW w:w="547" w:type="dxa"/>
                <w:tcBorders>
                  <w:top w:val="single" w:sz="4" w:space="0" w:color="auto"/>
                  <w:left w:val="nil"/>
                  <w:bottom w:val="single" w:sz="4" w:space="0" w:color="auto"/>
                  <w:right w:val="nil"/>
                </w:tcBorders>
                <w:hideMark/>
              </w:tcPr>
              <w:p w14:paraId="1DA1CCE2" w14:textId="77777777" w:rsidR="006871D2" w:rsidRPr="00F2249F" w:rsidRDefault="006871D2">
                <w:pPr>
                  <w:spacing w:line="256" w:lineRule="auto"/>
                  <w:jc w:val="center"/>
                  <w:rPr>
                    <w:b/>
                    <w:lang w:eastAsia="zh-CN"/>
                  </w:rPr>
                </w:pPr>
                <w:r w:rsidRPr="00F2249F">
                  <w:rPr>
                    <w:rFonts w:ascii="Segoe UI Symbol" w:eastAsia="MS Gothic" w:hAnsi="Segoe UI Symbol" w:cs="Segoe UI Symbol"/>
                    <w:b/>
                    <w:lang w:eastAsia="zh-CN"/>
                  </w:rPr>
                  <w:t>☐</w:t>
                </w:r>
              </w:p>
            </w:tc>
          </w:sdtContent>
        </w:sdt>
        <w:tc>
          <w:tcPr>
            <w:tcW w:w="1297" w:type="dxa"/>
            <w:tcBorders>
              <w:top w:val="single" w:sz="4" w:space="0" w:color="auto"/>
              <w:left w:val="nil"/>
              <w:bottom w:val="single" w:sz="4" w:space="0" w:color="auto"/>
              <w:right w:val="single" w:sz="4" w:space="0" w:color="auto"/>
            </w:tcBorders>
            <w:hideMark/>
          </w:tcPr>
          <w:p w14:paraId="633DB751" w14:textId="77777777" w:rsidR="006871D2" w:rsidRPr="00F2249F" w:rsidRDefault="006871D2">
            <w:pPr>
              <w:spacing w:line="256" w:lineRule="auto"/>
              <w:ind w:left="34"/>
              <w:rPr>
                <w:b/>
                <w:lang w:eastAsia="zh-CN"/>
              </w:rPr>
            </w:pPr>
            <w:r w:rsidRPr="00F2249F">
              <w:rPr>
                <w:b/>
                <w:lang w:eastAsia="zh-CN"/>
              </w:rPr>
              <w:t>Negatívne</w:t>
            </w:r>
          </w:p>
        </w:tc>
      </w:tr>
      <w:tr w:rsidR="006871D2" w:rsidRPr="00F2249F" w14:paraId="1045CBBF" w14:textId="77777777" w:rsidTr="006871D2">
        <w:tc>
          <w:tcPr>
            <w:tcW w:w="3812" w:type="dxa"/>
            <w:tcBorders>
              <w:top w:val="nil"/>
              <w:left w:val="single" w:sz="4" w:space="0" w:color="auto"/>
              <w:bottom w:val="single" w:sz="4" w:space="0" w:color="auto"/>
              <w:right w:val="single" w:sz="4" w:space="0" w:color="auto"/>
            </w:tcBorders>
            <w:shd w:val="clear" w:color="auto" w:fill="E2E2E2"/>
            <w:hideMark/>
          </w:tcPr>
          <w:p w14:paraId="2F95DFDD" w14:textId="77777777" w:rsidR="006871D2" w:rsidRPr="00F2249F" w:rsidRDefault="006871D2">
            <w:pPr>
              <w:spacing w:line="256" w:lineRule="auto"/>
              <w:rPr>
                <w:lang w:eastAsia="en-US"/>
              </w:rPr>
            </w:pPr>
            <w:r w:rsidRPr="00F2249F">
              <w:rPr>
                <w:lang w:eastAsia="en-US"/>
              </w:rPr>
              <w:t>Materiál je posudzovaný podľa zákona č. 24/2006 Z. z. o posudzovaní vplyvov na životné prostredie a o zmene a doplnení niektorých zákonov v znení neskorších predpisov</w:t>
            </w:r>
          </w:p>
        </w:tc>
        <w:sdt>
          <w:sdtPr>
            <w:rPr>
              <w:lang w:eastAsia="zh-CN"/>
            </w:rPr>
            <w:id w:val="-35192421"/>
            <w14:checkbox>
              <w14:checked w14:val="0"/>
              <w14:checkedState w14:val="2612" w14:font="MS Gothic"/>
              <w14:uncheckedState w14:val="2610" w14:font="MS Gothic"/>
            </w14:checkbox>
          </w:sdtPr>
          <w:sdtEndPr/>
          <w:sdtContent>
            <w:tc>
              <w:tcPr>
                <w:tcW w:w="541" w:type="dxa"/>
                <w:tcBorders>
                  <w:top w:val="single" w:sz="4" w:space="0" w:color="auto"/>
                  <w:left w:val="single" w:sz="4" w:space="0" w:color="auto"/>
                  <w:bottom w:val="single" w:sz="4" w:space="0" w:color="auto"/>
                  <w:right w:val="nil"/>
                </w:tcBorders>
                <w:hideMark/>
              </w:tcPr>
              <w:p w14:paraId="23B9F9DA" w14:textId="77777777" w:rsidR="006871D2" w:rsidRPr="00F2249F" w:rsidRDefault="006871D2">
                <w:pPr>
                  <w:spacing w:line="256" w:lineRule="auto"/>
                  <w:jc w:val="center"/>
                  <w:rPr>
                    <w:lang w:eastAsia="zh-CN"/>
                  </w:rPr>
                </w:pPr>
                <w:r w:rsidRPr="00F2249F">
                  <w:rPr>
                    <w:rFonts w:ascii="Segoe UI Symbol" w:eastAsia="MS Gothic" w:hAnsi="Segoe UI Symbol" w:cs="Segoe UI Symbol"/>
                    <w:lang w:eastAsia="zh-CN"/>
                  </w:rPr>
                  <w:t>☐</w:t>
                </w:r>
              </w:p>
            </w:tc>
          </w:sdtContent>
        </w:sdt>
        <w:tc>
          <w:tcPr>
            <w:tcW w:w="1281" w:type="dxa"/>
            <w:tcBorders>
              <w:top w:val="single" w:sz="4" w:space="0" w:color="auto"/>
              <w:left w:val="nil"/>
              <w:bottom w:val="single" w:sz="4" w:space="0" w:color="auto"/>
              <w:right w:val="nil"/>
            </w:tcBorders>
            <w:hideMark/>
          </w:tcPr>
          <w:p w14:paraId="30B2EE7F" w14:textId="77777777" w:rsidR="006871D2" w:rsidRPr="00F2249F" w:rsidRDefault="006871D2">
            <w:pPr>
              <w:spacing w:line="256" w:lineRule="auto"/>
              <w:rPr>
                <w:b/>
                <w:lang w:eastAsia="zh-CN"/>
              </w:rPr>
            </w:pPr>
            <w:r w:rsidRPr="00F2249F">
              <w:rPr>
                <w:lang w:eastAsia="zh-CN"/>
              </w:rPr>
              <w:t>Áno</w:t>
            </w:r>
          </w:p>
        </w:tc>
        <w:tc>
          <w:tcPr>
            <w:tcW w:w="569" w:type="dxa"/>
            <w:tcBorders>
              <w:top w:val="single" w:sz="4" w:space="0" w:color="auto"/>
              <w:left w:val="nil"/>
              <w:bottom w:val="single" w:sz="4" w:space="0" w:color="auto"/>
              <w:right w:val="nil"/>
            </w:tcBorders>
          </w:tcPr>
          <w:p w14:paraId="5B7450DB" w14:textId="77777777" w:rsidR="006871D2" w:rsidRPr="00F2249F" w:rsidRDefault="006871D2">
            <w:pPr>
              <w:spacing w:line="256" w:lineRule="auto"/>
              <w:jc w:val="center"/>
              <w:rPr>
                <w:b/>
                <w:lang w:eastAsia="zh-CN"/>
              </w:rPr>
            </w:pPr>
          </w:p>
        </w:tc>
        <w:tc>
          <w:tcPr>
            <w:tcW w:w="1133" w:type="dxa"/>
            <w:tcBorders>
              <w:top w:val="single" w:sz="4" w:space="0" w:color="auto"/>
              <w:left w:val="nil"/>
              <w:bottom w:val="single" w:sz="4" w:space="0" w:color="auto"/>
              <w:right w:val="nil"/>
            </w:tcBorders>
          </w:tcPr>
          <w:p w14:paraId="184ECFC8" w14:textId="77777777" w:rsidR="006871D2" w:rsidRPr="00F2249F" w:rsidRDefault="006871D2">
            <w:pPr>
              <w:spacing w:line="256" w:lineRule="auto"/>
              <w:rPr>
                <w:b/>
                <w:lang w:eastAsia="zh-CN"/>
              </w:rPr>
            </w:pPr>
          </w:p>
        </w:tc>
        <w:sdt>
          <w:sdtPr>
            <w:rPr>
              <w:lang w:eastAsia="zh-CN"/>
            </w:rPr>
            <w:id w:val="-601186639"/>
            <w14:checkbox>
              <w14:checked w14:val="0"/>
              <w14:checkedState w14:val="2612" w14:font="MS Gothic"/>
              <w14:uncheckedState w14:val="2610" w14:font="MS Gothic"/>
            </w14:checkbox>
          </w:sdtPr>
          <w:sdtEndPr/>
          <w:sdtContent>
            <w:tc>
              <w:tcPr>
                <w:tcW w:w="547" w:type="dxa"/>
                <w:tcBorders>
                  <w:top w:val="single" w:sz="4" w:space="0" w:color="auto"/>
                  <w:left w:val="nil"/>
                  <w:bottom w:val="single" w:sz="4" w:space="0" w:color="auto"/>
                  <w:right w:val="nil"/>
                </w:tcBorders>
                <w:hideMark/>
              </w:tcPr>
              <w:p w14:paraId="2285E68D" w14:textId="77777777" w:rsidR="006871D2" w:rsidRPr="00F2249F" w:rsidRDefault="006871D2">
                <w:pPr>
                  <w:spacing w:line="256" w:lineRule="auto"/>
                  <w:jc w:val="center"/>
                  <w:rPr>
                    <w:lang w:eastAsia="zh-CN"/>
                  </w:rPr>
                </w:pPr>
                <w:r w:rsidRPr="00F2249F">
                  <w:rPr>
                    <w:rFonts w:ascii="Segoe UI Symbol" w:eastAsia="MS Gothic" w:hAnsi="Segoe UI Symbol" w:cs="Segoe UI Symbol"/>
                    <w:lang w:eastAsia="zh-CN"/>
                  </w:rPr>
                  <w:t>☐</w:t>
                </w:r>
              </w:p>
            </w:tc>
          </w:sdtContent>
        </w:sdt>
        <w:tc>
          <w:tcPr>
            <w:tcW w:w="1297" w:type="dxa"/>
            <w:tcBorders>
              <w:top w:val="single" w:sz="4" w:space="0" w:color="auto"/>
              <w:left w:val="nil"/>
              <w:bottom w:val="single" w:sz="4" w:space="0" w:color="auto"/>
              <w:right w:val="single" w:sz="4" w:space="0" w:color="auto"/>
            </w:tcBorders>
            <w:hideMark/>
          </w:tcPr>
          <w:p w14:paraId="05EA8039" w14:textId="77777777" w:rsidR="006871D2" w:rsidRPr="00F2249F" w:rsidRDefault="006871D2">
            <w:pPr>
              <w:spacing w:line="256" w:lineRule="auto"/>
              <w:ind w:left="34"/>
              <w:rPr>
                <w:b/>
                <w:lang w:eastAsia="zh-CN"/>
              </w:rPr>
            </w:pPr>
            <w:r w:rsidRPr="00F2249F">
              <w:rPr>
                <w:lang w:eastAsia="zh-CN"/>
              </w:rPr>
              <w:t>Nie</w:t>
            </w:r>
          </w:p>
        </w:tc>
      </w:tr>
      <w:tr w:rsidR="006871D2" w:rsidRPr="00F2249F" w14:paraId="79AAEB47" w14:textId="77777777" w:rsidTr="006871D2">
        <w:tc>
          <w:tcPr>
            <w:tcW w:w="3812" w:type="dxa"/>
            <w:tcBorders>
              <w:top w:val="single" w:sz="4" w:space="0" w:color="auto"/>
              <w:left w:val="single" w:sz="4" w:space="0" w:color="auto"/>
              <w:bottom w:val="single" w:sz="4" w:space="0" w:color="auto"/>
              <w:right w:val="single" w:sz="4" w:space="0" w:color="auto"/>
            </w:tcBorders>
            <w:shd w:val="clear" w:color="auto" w:fill="E2E2E2"/>
            <w:hideMark/>
          </w:tcPr>
          <w:p w14:paraId="60A62B56" w14:textId="77777777" w:rsidR="006871D2" w:rsidRPr="00F2249F" w:rsidRDefault="006871D2">
            <w:pPr>
              <w:spacing w:line="256" w:lineRule="auto"/>
              <w:rPr>
                <w:b/>
                <w:lang w:eastAsia="en-US"/>
              </w:rPr>
            </w:pPr>
            <w:r w:rsidRPr="00F2249F">
              <w:rPr>
                <w:b/>
                <w:lang w:eastAsia="en-US"/>
              </w:rPr>
              <w:t>Vplyvy na informatizáciu spoločnosti</w:t>
            </w:r>
          </w:p>
        </w:tc>
        <w:sdt>
          <w:sdtPr>
            <w:rPr>
              <w:b/>
              <w:lang w:eastAsia="zh-CN"/>
            </w:rPr>
            <w:id w:val="1418829004"/>
            <w14:checkbox>
              <w14:checked w14:val="1"/>
              <w14:checkedState w14:val="2612" w14:font="MS Gothic"/>
              <w14:uncheckedState w14:val="2610" w14:font="MS Gothic"/>
            </w14:checkbox>
          </w:sdtPr>
          <w:sdtEndPr/>
          <w:sdtContent>
            <w:tc>
              <w:tcPr>
                <w:tcW w:w="541" w:type="dxa"/>
                <w:tcBorders>
                  <w:top w:val="single" w:sz="4" w:space="0" w:color="auto"/>
                  <w:left w:val="single" w:sz="4" w:space="0" w:color="auto"/>
                  <w:bottom w:val="single" w:sz="4" w:space="0" w:color="auto"/>
                  <w:right w:val="nil"/>
                </w:tcBorders>
                <w:hideMark/>
              </w:tcPr>
              <w:p w14:paraId="61D970FC" w14:textId="70B1DC6A" w:rsidR="006871D2" w:rsidRPr="00F2249F" w:rsidRDefault="000945AD">
                <w:pPr>
                  <w:spacing w:line="256" w:lineRule="auto"/>
                  <w:jc w:val="center"/>
                  <w:rPr>
                    <w:b/>
                    <w:lang w:eastAsia="zh-CN"/>
                  </w:rPr>
                </w:pPr>
                <w:r w:rsidRPr="00F2249F">
                  <w:rPr>
                    <w:rFonts w:ascii="Segoe UI Symbol" w:eastAsia="MS Gothic" w:hAnsi="Segoe UI Symbol" w:cs="Segoe UI Symbol"/>
                    <w:b/>
                    <w:lang w:eastAsia="zh-CN"/>
                  </w:rPr>
                  <w:t>☒</w:t>
                </w:r>
              </w:p>
            </w:tc>
          </w:sdtContent>
        </w:sdt>
        <w:tc>
          <w:tcPr>
            <w:tcW w:w="1281" w:type="dxa"/>
            <w:tcBorders>
              <w:top w:val="single" w:sz="4" w:space="0" w:color="auto"/>
              <w:left w:val="nil"/>
              <w:bottom w:val="single" w:sz="4" w:space="0" w:color="auto"/>
              <w:right w:val="nil"/>
            </w:tcBorders>
            <w:hideMark/>
          </w:tcPr>
          <w:p w14:paraId="6DD05F37" w14:textId="77777777" w:rsidR="006871D2" w:rsidRPr="00F2249F" w:rsidRDefault="006871D2">
            <w:pPr>
              <w:spacing w:line="256" w:lineRule="auto"/>
              <w:rPr>
                <w:b/>
                <w:lang w:eastAsia="zh-CN"/>
              </w:rPr>
            </w:pPr>
            <w:r w:rsidRPr="00F2249F">
              <w:rPr>
                <w:b/>
                <w:lang w:eastAsia="zh-CN"/>
              </w:rPr>
              <w:t>Pozitívne</w:t>
            </w:r>
          </w:p>
        </w:tc>
        <w:sdt>
          <w:sdtPr>
            <w:rPr>
              <w:b/>
              <w:lang w:eastAsia="zh-CN"/>
            </w:rPr>
            <w:id w:val="1744292219"/>
            <w14:checkbox>
              <w14:checked w14:val="0"/>
              <w14:checkedState w14:val="2612" w14:font="MS Gothic"/>
              <w14:uncheckedState w14:val="2610" w14:font="MS Gothic"/>
            </w14:checkbox>
          </w:sdtPr>
          <w:sdtEndPr/>
          <w:sdtContent>
            <w:tc>
              <w:tcPr>
                <w:tcW w:w="569" w:type="dxa"/>
                <w:tcBorders>
                  <w:top w:val="single" w:sz="4" w:space="0" w:color="auto"/>
                  <w:left w:val="nil"/>
                  <w:bottom w:val="single" w:sz="4" w:space="0" w:color="auto"/>
                  <w:right w:val="nil"/>
                </w:tcBorders>
                <w:hideMark/>
              </w:tcPr>
              <w:p w14:paraId="6DE1C1DB" w14:textId="77777777" w:rsidR="006871D2" w:rsidRPr="00F2249F" w:rsidRDefault="006871D2">
                <w:pPr>
                  <w:spacing w:line="256" w:lineRule="auto"/>
                  <w:jc w:val="center"/>
                  <w:rPr>
                    <w:b/>
                    <w:lang w:eastAsia="zh-CN"/>
                  </w:rPr>
                </w:pPr>
                <w:r w:rsidRPr="00F2249F">
                  <w:rPr>
                    <w:rFonts w:ascii="Segoe UI Symbol" w:eastAsia="MS Gothic" w:hAnsi="Segoe UI Symbol" w:cs="Segoe UI Symbol"/>
                    <w:b/>
                    <w:lang w:eastAsia="zh-CN"/>
                  </w:rPr>
                  <w:t>☐</w:t>
                </w:r>
              </w:p>
            </w:tc>
          </w:sdtContent>
        </w:sdt>
        <w:tc>
          <w:tcPr>
            <w:tcW w:w="1133" w:type="dxa"/>
            <w:tcBorders>
              <w:top w:val="single" w:sz="4" w:space="0" w:color="auto"/>
              <w:left w:val="nil"/>
              <w:bottom w:val="single" w:sz="4" w:space="0" w:color="auto"/>
              <w:right w:val="nil"/>
            </w:tcBorders>
            <w:hideMark/>
          </w:tcPr>
          <w:p w14:paraId="08D6D896" w14:textId="77777777" w:rsidR="006871D2" w:rsidRPr="00F2249F" w:rsidRDefault="006871D2">
            <w:pPr>
              <w:spacing w:line="256" w:lineRule="auto"/>
              <w:rPr>
                <w:b/>
                <w:lang w:eastAsia="zh-CN"/>
              </w:rPr>
            </w:pPr>
            <w:r w:rsidRPr="00F2249F">
              <w:rPr>
                <w:b/>
                <w:lang w:eastAsia="zh-CN"/>
              </w:rPr>
              <w:t>Žiadne</w:t>
            </w:r>
          </w:p>
        </w:tc>
        <w:sdt>
          <w:sdtPr>
            <w:rPr>
              <w:b/>
              <w:lang w:eastAsia="zh-CN"/>
            </w:rPr>
            <w:id w:val="1813827867"/>
            <w14:checkbox>
              <w14:checked w14:val="0"/>
              <w14:checkedState w14:val="2612" w14:font="MS Gothic"/>
              <w14:uncheckedState w14:val="2610" w14:font="MS Gothic"/>
            </w14:checkbox>
          </w:sdtPr>
          <w:sdtEndPr/>
          <w:sdtContent>
            <w:tc>
              <w:tcPr>
                <w:tcW w:w="547" w:type="dxa"/>
                <w:tcBorders>
                  <w:top w:val="single" w:sz="4" w:space="0" w:color="auto"/>
                  <w:left w:val="nil"/>
                  <w:bottom w:val="single" w:sz="4" w:space="0" w:color="auto"/>
                  <w:right w:val="nil"/>
                </w:tcBorders>
                <w:hideMark/>
              </w:tcPr>
              <w:p w14:paraId="353FA6DE" w14:textId="77777777" w:rsidR="006871D2" w:rsidRPr="00F2249F" w:rsidRDefault="006871D2">
                <w:pPr>
                  <w:spacing w:line="256" w:lineRule="auto"/>
                  <w:jc w:val="center"/>
                  <w:rPr>
                    <w:b/>
                    <w:lang w:eastAsia="zh-CN"/>
                  </w:rPr>
                </w:pPr>
                <w:r w:rsidRPr="00F2249F">
                  <w:rPr>
                    <w:rFonts w:ascii="Segoe UI Symbol" w:eastAsia="MS Gothic" w:hAnsi="Segoe UI Symbol" w:cs="Segoe UI Symbol"/>
                    <w:b/>
                    <w:lang w:eastAsia="zh-CN"/>
                  </w:rPr>
                  <w:t>☐</w:t>
                </w:r>
              </w:p>
            </w:tc>
          </w:sdtContent>
        </w:sdt>
        <w:tc>
          <w:tcPr>
            <w:tcW w:w="1297" w:type="dxa"/>
            <w:tcBorders>
              <w:top w:val="single" w:sz="4" w:space="0" w:color="auto"/>
              <w:left w:val="nil"/>
              <w:bottom w:val="single" w:sz="4" w:space="0" w:color="auto"/>
              <w:right w:val="single" w:sz="4" w:space="0" w:color="auto"/>
            </w:tcBorders>
            <w:hideMark/>
          </w:tcPr>
          <w:p w14:paraId="65F16B36" w14:textId="77777777" w:rsidR="006871D2" w:rsidRPr="00F2249F" w:rsidRDefault="006871D2">
            <w:pPr>
              <w:spacing w:line="256" w:lineRule="auto"/>
              <w:ind w:left="34"/>
              <w:rPr>
                <w:b/>
                <w:lang w:eastAsia="zh-CN"/>
              </w:rPr>
            </w:pPr>
            <w:r w:rsidRPr="00F2249F">
              <w:rPr>
                <w:b/>
                <w:lang w:eastAsia="zh-CN"/>
              </w:rPr>
              <w:t>Negatívne</w:t>
            </w:r>
          </w:p>
        </w:tc>
      </w:tr>
      <w:tr w:rsidR="006871D2" w:rsidRPr="00F2249F" w14:paraId="5532A05E" w14:textId="77777777" w:rsidTr="006871D2">
        <w:tc>
          <w:tcPr>
            <w:tcW w:w="3812" w:type="dxa"/>
            <w:tcBorders>
              <w:top w:val="single" w:sz="4" w:space="0" w:color="auto"/>
              <w:left w:val="single" w:sz="4" w:space="0" w:color="auto"/>
              <w:bottom w:val="nil"/>
              <w:right w:val="single" w:sz="4" w:space="0" w:color="auto"/>
            </w:tcBorders>
            <w:shd w:val="clear" w:color="auto" w:fill="E2E2E2"/>
            <w:hideMark/>
          </w:tcPr>
          <w:p w14:paraId="2D10FBE1" w14:textId="77777777" w:rsidR="006871D2" w:rsidRPr="00F2249F" w:rsidRDefault="006871D2">
            <w:pPr>
              <w:spacing w:line="256" w:lineRule="auto"/>
              <w:rPr>
                <w:b/>
                <w:lang w:eastAsia="zh-CN"/>
              </w:rPr>
            </w:pPr>
            <w:r w:rsidRPr="00F2249F">
              <w:rPr>
                <w:rFonts w:eastAsia="Calibri"/>
                <w:b/>
                <w:lang w:eastAsia="en-US"/>
              </w:rPr>
              <w:t>Vplyvy na služby verejnej správy pre občana, z toho</w:t>
            </w:r>
          </w:p>
        </w:tc>
        <w:tc>
          <w:tcPr>
            <w:tcW w:w="541" w:type="dxa"/>
            <w:tcBorders>
              <w:top w:val="single" w:sz="4" w:space="0" w:color="auto"/>
              <w:left w:val="single" w:sz="4" w:space="0" w:color="auto"/>
              <w:bottom w:val="nil"/>
              <w:right w:val="nil"/>
            </w:tcBorders>
          </w:tcPr>
          <w:p w14:paraId="7F9BAE97" w14:textId="77777777" w:rsidR="006871D2" w:rsidRPr="00F2249F" w:rsidRDefault="006871D2">
            <w:pPr>
              <w:spacing w:line="256" w:lineRule="auto"/>
              <w:jc w:val="center"/>
              <w:rPr>
                <w:rFonts w:eastAsia="MS Mincho"/>
                <w:b/>
                <w:lang w:eastAsia="zh-CN"/>
              </w:rPr>
            </w:pPr>
          </w:p>
        </w:tc>
        <w:tc>
          <w:tcPr>
            <w:tcW w:w="1281" w:type="dxa"/>
            <w:tcBorders>
              <w:top w:val="single" w:sz="4" w:space="0" w:color="auto"/>
              <w:left w:val="nil"/>
              <w:bottom w:val="nil"/>
              <w:right w:val="nil"/>
            </w:tcBorders>
          </w:tcPr>
          <w:p w14:paraId="1285DE7B" w14:textId="77777777" w:rsidR="006871D2" w:rsidRPr="00F2249F" w:rsidRDefault="006871D2">
            <w:pPr>
              <w:spacing w:line="256" w:lineRule="auto"/>
              <w:ind w:right="-108"/>
              <w:rPr>
                <w:b/>
                <w:lang w:eastAsia="zh-CN"/>
              </w:rPr>
            </w:pPr>
          </w:p>
        </w:tc>
        <w:tc>
          <w:tcPr>
            <w:tcW w:w="569" w:type="dxa"/>
            <w:tcBorders>
              <w:top w:val="single" w:sz="4" w:space="0" w:color="auto"/>
              <w:left w:val="nil"/>
              <w:bottom w:val="nil"/>
              <w:right w:val="nil"/>
            </w:tcBorders>
          </w:tcPr>
          <w:p w14:paraId="34B4BF78" w14:textId="77777777" w:rsidR="006871D2" w:rsidRPr="00F2249F" w:rsidRDefault="006871D2">
            <w:pPr>
              <w:spacing w:line="256" w:lineRule="auto"/>
              <w:jc w:val="center"/>
              <w:rPr>
                <w:rFonts w:eastAsia="MS Mincho"/>
                <w:b/>
                <w:lang w:eastAsia="zh-CN"/>
              </w:rPr>
            </w:pPr>
          </w:p>
        </w:tc>
        <w:tc>
          <w:tcPr>
            <w:tcW w:w="1133" w:type="dxa"/>
            <w:tcBorders>
              <w:top w:val="single" w:sz="4" w:space="0" w:color="auto"/>
              <w:left w:val="nil"/>
              <w:bottom w:val="nil"/>
              <w:right w:val="nil"/>
            </w:tcBorders>
          </w:tcPr>
          <w:p w14:paraId="15222D92" w14:textId="77777777" w:rsidR="006871D2" w:rsidRPr="00F2249F" w:rsidRDefault="006871D2">
            <w:pPr>
              <w:spacing w:line="256" w:lineRule="auto"/>
              <w:rPr>
                <w:b/>
                <w:lang w:eastAsia="zh-CN"/>
              </w:rPr>
            </w:pPr>
          </w:p>
        </w:tc>
        <w:tc>
          <w:tcPr>
            <w:tcW w:w="547" w:type="dxa"/>
            <w:tcBorders>
              <w:top w:val="single" w:sz="4" w:space="0" w:color="auto"/>
              <w:left w:val="nil"/>
              <w:bottom w:val="nil"/>
              <w:right w:val="nil"/>
            </w:tcBorders>
          </w:tcPr>
          <w:p w14:paraId="5B3AFEBF" w14:textId="77777777" w:rsidR="006871D2" w:rsidRPr="00F2249F" w:rsidRDefault="006871D2">
            <w:pPr>
              <w:spacing w:line="256" w:lineRule="auto"/>
              <w:jc w:val="center"/>
              <w:rPr>
                <w:rFonts w:eastAsia="MS Mincho"/>
                <w:b/>
                <w:lang w:eastAsia="zh-CN"/>
              </w:rPr>
            </w:pPr>
          </w:p>
        </w:tc>
        <w:tc>
          <w:tcPr>
            <w:tcW w:w="1297" w:type="dxa"/>
            <w:tcBorders>
              <w:top w:val="single" w:sz="4" w:space="0" w:color="auto"/>
              <w:left w:val="nil"/>
              <w:bottom w:val="nil"/>
              <w:right w:val="single" w:sz="4" w:space="0" w:color="auto"/>
            </w:tcBorders>
          </w:tcPr>
          <w:p w14:paraId="014BD4E2" w14:textId="77777777" w:rsidR="006871D2" w:rsidRPr="00F2249F" w:rsidRDefault="006871D2">
            <w:pPr>
              <w:spacing w:line="256" w:lineRule="auto"/>
              <w:ind w:left="54"/>
              <w:rPr>
                <w:b/>
                <w:lang w:eastAsia="zh-CN"/>
              </w:rPr>
            </w:pPr>
          </w:p>
        </w:tc>
      </w:tr>
      <w:tr w:rsidR="006871D2" w:rsidRPr="00F2249F" w14:paraId="612BD118" w14:textId="77777777" w:rsidTr="006871D2">
        <w:tc>
          <w:tcPr>
            <w:tcW w:w="3812" w:type="dxa"/>
            <w:tcBorders>
              <w:top w:val="nil"/>
              <w:left w:val="single" w:sz="4" w:space="0" w:color="auto"/>
              <w:bottom w:val="nil"/>
              <w:right w:val="single" w:sz="4" w:space="0" w:color="auto"/>
            </w:tcBorders>
            <w:shd w:val="clear" w:color="auto" w:fill="E2E2E2"/>
            <w:hideMark/>
          </w:tcPr>
          <w:p w14:paraId="123F0DD2" w14:textId="77777777" w:rsidR="006871D2" w:rsidRPr="00F2249F" w:rsidRDefault="006871D2">
            <w:pPr>
              <w:spacing w:line="256" w:lineRule="auto"/>
              <w:ind w:left="196" w:hanging="196"/>
              <w:rPr>
                <w:rFonts w:eastAsia="Calibri"/>
                <w:b/>
                <w:lang w:eastAsia="en-US"/>
              </w:rPr>
            </w:pPr>
            <w:r w:rsidRPr="00F2249F">
              <w:rPr>
                <w:rFonts w:eastAsia="Calibri"/>
                <w:b/>
                <w:lang w:eastAsia="en-US"/>
              </w:rPr>
              <w:t xml:space="preserve">    vplyvy služieb verejnej správy na občana</w:t>
            </w:r>
          </w:p>
        </w:tc>
        <w:sdt>
          <w:sdtPr>
            <w:rPr>
              <w:b/>
              <w:lang w:eastAsia="zh-CN"/>
            </w:rPr>
            <w:id w:val="-1940285632"/>
            <w14:checkbox>
              <w14:checked w14:val="0"/>
              <w14:checkedState w14:val="2612" w14:font="MS Gothic"/>
              <w14:uncheckedState w14:val="2610" w14:font="MS Gothic"/>
            </w14:checkbox>
          </w:sdtPr>
          <w:sdtEndPr/>
          <w:sdtContent>
            <w:tc>
              <w:tcPr>
                <w:tcW w:w="541" w:type="dxa"/>
                <w:tcBorders>
                  <w:top w:val="nil"/>
                  <w:left w:val="single" w:sz="4" w:space="0" w:color="auto"/>
                  <w:bottom w:val="nil"/>
                  <w:right w:val="nil"/>
                </w:tcBorders>
                <w:hideMark/>
              </w:tcPr>
              <w:p w14:paraId="1801DDCD" w14:textId="77777777" w:rsidR="006871D2" w:rsidRPr="00F2249F" w:rsidRDefault="006871D2">
                <w:pPr>
                  <w:spacing w:line="256" w:lineRule="auto"/>
                  <w:jc w:val="center"/>
                  <w:rPr>
                    <w:b/>
                    <w:lang w:eastAsia="zh-CN"/>
                  </w:rPr>
                </w:pPr>
                <w:r w:rsidRPr="00F2249F">
                  <w:rPr>
                    <w:rFonts w:ascii="Segoe UI Symbol" w:eastAsia="MS Gothic" w:hAnsi="Segoe UI Symbol" w:cs="Segoe UI Symbol"/>
                    <w:b/>
                    <w:lang w:eastAsia="zh-CN"/>
                  </w:rPr>
                  <w:t>☐</w:t>
                </w:r>
              </w:p>
            </w:tc>
          </w:sdtContent>
        </w:sdt>
        <w:tc>
          <w:tcPr>
            <w:tcW w:w="1281" w:type="dxa"/>
            <w:tcBorders>
              <w:top w:val="nil"/>
              <w:left w:val="nil"/>
              <w:bottom w:val="nil"/>
              <w:right w:val="nil"/>
            </w:tcBorders>
            <w:hideMark/>
          </w:tcPr>
          <w:p w14:paraId="1AA6B0E8" w14:textId="77777777" w:rsidR="006871D2" w:rsidRPr="00F2249F" w:rsidRDefault="006871D2">
            <w:pPr>
              <w:spacing w:line="256" w:lineRule="auto"/>
              <w:rPr>
                <w:b/>
                <w:lang w:eastAsia="zh-CN"/>
              </w:rPr>
            </w:pPr>
            <w:r w:rsidRPr="00F2249F">
              <w:rPr>
                <w:b/>
                <w:lang w:eastAsia="zh-CN"/>
              </w:rPr>
              <w:t>Pozitívne</w:t>
            </w:r>
          </w:p>
        </w:tc>
        <w:sdt>
          <w:sdtPr>
            <w:rPr>
              <w:b/>
              <w:lang w:eastAsia="zh-CN"/>
            </w:rPr>
            <w:id w:val="-1270237900"/>
            <w14:checkbox>
              <w14:checked w14:val="1"/>
              <w14:checkedState w14:val="2612" w14:font="MS Gothic"/>
              <w14:uncheckedState w14:val="2610" w14:font="MS Gothic"/>
            </w14:checkbox>
          </w:sdtPr>
          <w:sdtEndPr/>
          <w:sdtContent>
            <w:tc>
              <w:tcPr>
                <w:tcW w:w="569" w:type="dxa"/>
                <w:tcBorders>
                  <w:top w:val="nil"/>
                  <w:left w:val="nil"/>
                  <w:bottom w:val="nil"/>
                  <w:right w:val="nil"/>
                </w:tcBorders>
                <w:hideMark/>
              </w:tcPr>
              <w:p w14:paraId="07DD66F0" w14:textId="227756FC" w:rsidR="006871D2" w:rsidRPr="00F2249F" w:rsidRDefault="000945AD">
                <w:pPr>
                  <w:spacing w:line="256" w:lineRule="auto"/>
                  <w:jc w:val="center"/>
                  <w:rPr>
                    <w:b/>
                    <w:lang w:eastAsia="zh-CN"/>
                  </w:rPr>
                </w:pPr>
                <w:r w:rsidRPr="00F2249F">
                  <w:rPr>
                    <w:rFonts w:ascii="Segoe UI Symbol" w:eastAsia="MS Gothic" w:hAnsi="Segoe UI Symbol" w:cs="Segoe UI Symbol"/>
                    <w:b/>
                    <w:lang w:eastAsia="zh-CN"/>
                  </w:rPr>
                  <w:t>☒</w:t>
                </w:r>
              </w:p>
            </w:tc>
          </w:sdtContent>
        </w:sdt>
        <w:tc>
          <w:tcPr>
            <w:tcW w:w="1133" w:type="dxa"/>
            <w:tcBorders>
              <w:top w:val="nil"/>
              <w:left w:val="nil"/>
              <w:bottom w:val="nil"/>
              <w:right w:val="nil"/>
            </w:tcBorders>
            <w:hideMark/>
          </w:tcPr>
          <w:p w14:paraId="53C2B092" w14:textId="77777777" w:rsidR="006871D2" w:rsidRPr="00F2249F" w:rsidRDefault="006871D2">
            <w:pPr>
              <w:spacing w:line="256" w:lineRule="auto"/>
              <w:rPr>
                <w:b/>
                <w:lang w:eastAsia="zh-CN"/>
              </w:rPr>
            </w:pPr>
            <w:r w:rsidRPr="00F2249F">
              <w:rPr>
                <w:b/>
                <w:lang w:eastAsia="zh-CN"/>
              </w:rPr>
              <w:t>Žiadne</w:t>
            </w:r>
          </w:p>
        </w:tc>
        <w:sdt>
          <w:sdtPr>
            <w:rPr>
              <w:b/>
              <w:lang w:eastAsia="zh-CN"/>
            </w:rPr>
            <w:id w:val="-1358033384"/>
            <w14:checkbox>
              <w14:checked w14:val="0"/>
              <w14:checkedState w14:val="2612" w14:font="MS Gothic"/>
              <w14:uncheckedState w14:val="2610" w14:font="MS Gothic"/>
            </w14:checkbox>
          </w:sdtPr>
          <w:sdtEndPr/>
          <w:sdtContent>
            <w:tc>
              <w:tcPr>
                <w:tcW w:w="547" w:type="dxa"/>
                <w:tcBorders>
                  <w:top w:val="nil"/>
                  <w:left w:val="nil"/>
                  <w:bottom w:val="nil"/>
                  <w:right w:val="nil"/>
                </w:tcBorders>
                <w:hideMark/>
              </w:tcPr>
              <w:p w14:paraId="6EFCB165" w14:textId="77777777" w:rsidR="006871D2" w:rsidRPr="00F2249F" w:rsidRDefault="006871D2">
                <w:pPr>
                  <w:spacing w:line="256" w:lineRule="auto"/>
                  <w:jc w:val="center"/>
                  <w:rPr>
                    <w:b/>
                    <w:lang w:eastAsia="zh-CN"/>
                  </w:rPr>
                </w:pPr>
                <w:r w:rsidRPr="00F2249F">
                  <w:rPr>
                    <w:rFonts w:ascii="Segoe UI Symbol" w:eastAsia="MS Gothic" w:hAnsi="Segoe UI Symbol" w:cs="Segoe UI Symbol"/>
                    <w:b/>
                    <w:lang w:eastAsia="zh-CN"/>
                  </w:rPr>
                  <w:t>☐</w:t>
                </w:r>
              </w:p>
            </w:tc>
          </w:sdtContent>
        </w:sdt>
        <w:tc>
          <w:tcPr>
            <w:tcW w:w="1297" w:type="dxa"/>
            <w:tcBorders>
              <w:top w:val="nil"/>
              <w:left w:val="nil"/>
              <w:bottom w:val="nil"/>
              <w:right w:val="single" w:sz="4" w:space="0" w:color="auto"/>
            </w:tcBorders>
            <w:hideMark/>
          </w:tcPr>
          <w:p w14:paraId="6F2E6028" w14:textId="77777777" w:rsidR="006871D2" w:rsidRPr="00F2249F" w:rsidRDefault="006871D2">
            <w:pPr>
              <w:spacing w:line="256" w:lineRule="auto"/>
              <w:ind w:left="34"/>
              <w:rPr>
                <w:b/>
                <w:lang w:eastAsia="zh-CN"/>
              </w:rPr>
            </w:pPr>
            <w:r w:rsidRPr="00F2249F">
              <w:rPr>
                <w:b/>
                <w:lang w:eastAsia="zh-CN"/>
              </w:rPr>
              <w:t>Negatívne</w:t>
            </w:r>
          </w:p>
        </w:tc>
      </w:tr>
      <w:tr w:rsidR="006871D2" w:rsidRPr="00F2249F" w14:paraId="44DDEDF3" w14:textId="77777777" w:rsidTr="006871D2">
        <w:tc>
          <w:tcPr>
            <w:tcW w:w="3812" w:type="dxa"/>
            <w:tcBorders>
              <w:top w:val="nil"/>
              <w:left w:val="single" w:sz="4" w:space="0" w:color="auto"/>
              <w:bottom w:val="single" w:sz="4" w:space="0" w:color="auto"/>
              <w:right w:val="single" w:sz="4" w:space="0" w:color="auto"/>
            </w:tcBorders>
            <w:shd w:val="clear" w:color="auto" w:fill="E2E2E2"/>
            <w:hideMark/>
          </w:tcPr>
          <w:p w14:paraId="69017B94" w14:textId="77777777" w:rsidR="006871D2" w:rsidRPr="00F2249F" w:rsidRDefault="006871D2">
            <w:pPr>
              <w:spacing w:line="256" w:lineRule="auto"/>
              <w:ind w:left="168" w:hanging="168"/>
              <w:rPr>
                <w:rFonts w:eastAsia="Calibri"/>
                <w:b/>
                <w:lang w:eastAsia="en-US"/>
              </w:rPr>
            </w:pPr>
            <w:r w:rsidRPr="00F2249F">
              <w:rPr>
                <w:rFonts w:eastAsia="Calibri"/>
                <w:b/>
                <w:lang w:eastAsia="en-US"/>
              </w:rPr>
              <w:t xml:space="preserve">    vplyvy na procesy služieb vo verejnej správe</w:t>
            </w:r>
          </w:p>
        </w:tc>
        <w:sdt>
          <w:sdtPr>
            <w:rPr>
              <w:b/>
              <w:lang w:eastAsia="zh-CN"/>
            </w:rPr>
            <w:id w:val="-1115671161"/>
            <w14:checkbox>
              <w14:checked w14:val="0"/>
              <w14:checkedState w14:val="2612" w14:font="MS Gothic"/>
              <w14:uncheckedState w14:val="2610" w14:font="MS Gothic"/>
            </w14:checkbox>
          </w:sdtPr>
          <w:sdtEndPr/>
          <w:sdtContent>
            <w:tc>
              <w:tcPr>
                <w:tcW w:w="541" w:type="dxa"/>
                <w:tcBorders>
                  <w:top w:val="nil"/>
                  <w:left w:val="single" w:sz="4" w:space="0" w:color="auto"/>
                  <w:bottom w:val="nil"/>
                  <w:right w:val="nil"/>
                </w:tcBorders>
                <w:hideMark/>
              </w:tcPr>
              <w:p w14:paraId="78EED240" w14:textId="77777777" w:rsidR="006871D2" w:rsidRPr="00F2249F" w:rsidRDefault="006871D2">
                <w:pPr>
                  <w:spacing w:line="256" w:lineRule="auto"/>
                  <w:jc w:val="center"/>
                  <w:rPr>
                    <w:b/>
                    <w:lang w:eastAsia="zh-CN"/>
                  </w:rPr>
                </w:pPr>
                <w:r w:rsidRPr="00F2249F">
                  <w:rPr>
                    <w:rFonts w:ascii="Segoe UI Symbol" w:eastAsia="MS Gothic" w:hAnsi="Segoe UI Symbol" w:cs="Segoe UI Symbol"/>
                    <w:b/>
                    <w:lang w:eastAsia="zh-CN"/>
                  </w:rPr>
                  <w:t>☐</w:t>
                </w:r>
              </w:p>
            </w:tc>
          </w:sdtContent>
        </w:sdt>
        <w:tc>
          <w:tcPr>
            <w:tcW w:w="1281" w:type="dxa"/>
            <w:tcBorders>
              <w:top w:val="nil"/>
              <w:left w:val="nil"/>
              <w:bottom w:val="nil"/>
              <w:right w:val="nil"/>
            </w:tcBorders>
            <w:hideMark/>
          </w:tcPr>
          <w:p w14:paraId="7D04DA41" w14:textId="77777777" w:rsidR="006871D2" w:rsidRPr="00F2249F" w:rsidRDefault="006871D2">
            <w:pPr>
              <w:spacing w:line="256" w:lineRule="auto"/>
              <w:rPr>
                <w:b/>
                <w:lang w:eastAsia="zh-CN"/>
              </w:rPr>
            </w:pPr>
            <w:r w:rsidRPr="00F2249F">
              <w:rPr>
                <w:b/>
                <w:lang w:eastAsia="zh-CN"/>
              </w:rPr>
              <w:t>Pozitívne</w:t>
            </w:r>
          </w:p>
        </w:tc>
        <w:sdt>
          <w:sdtPr>
            <w:rPr>
              <w:b/>
              <w:lang w:eastAsia="zh-CN"/>
            </w:rPr>
            <w:id w:val="-220295070"/>
            <w14:checkbox>
              <w14:checked w14:val="1"/>
              <w14:checkedState w14:val="2612" w14:font="MS Gothic"/>
              <w14:uncheckedState w14:val="2610" w14:font="MS Gothic"/>
            </w14:checkbox>
          </w:sdtPr>
          <w:sdtEndPr/>
          <w:sdtContent>
            <w:tc>
              <w:tcPr>
                <w:tcW w:w="569" w:type="dxa"/>
                <w:tcBorders>
                  <w:top w:val="nil"/>
                  <w:left w:val="nil"/>
                  <w:bottom w:val="nil"/>
                  <w:right w:val="nil"/>
                </w:tcBorders>
                <w:hideMark/>
              </w:tcPr>
              <w:p w14:paraId="3E35FD4E" w14:textId="06C2FB3F" w:rsidR="006871D2" w:rsidRPr="00F2249F" w:rsidRDefault="000945AD">
                <w:pPr>
                  <w:spacing w:line="256" w:lineRule="auto"/>
                  <w:jc w:val="center"/>
                  <w:rPr>
                    <w:b/>
                    <w:lang w:eastAsia="zh-CN"/>
                  </w:rPr>
                </w:pPr>
                <w:r w:rsidRPr="00F2249F">
                  <w:rPr>
                    <w:rFonts w:ascii="Segoe UI Symbol" w:eastAsia="MS Gothic" w:hAnsi="Segoe UI Symbol" w:cs="Segoe UI Symbol"/>
                    <w:b/>
                    <w:lang w:eastAsia="zh-CN"/>
                  </w:rPr>
                  <w:t>☒</w:t>
                </w:r>
              </w:p>
            </w:tc>
          </w:sdtContent>
        </w:sdt>
        <w:tc>
          <w:tcPr>
            <w:tcW w:w="1133" w:type="dxa"/>
            <w:tcBorders>
              <w:top w:val="nil"/>
              <w:left w:val="nil"/>
              <w:bottom w:val="nil"/>
              <w:right w:val="nil"/>
            </w:tcBorders>
            <w:hideMark/>
          </w:tcPr>
          <w:p w14:paraId="38435F65" w14:textId="77777777" w:rsidR="006871D2" w:rsidRPr="00F2249F" w:rsidRDefault="006871D2">
            <w:pPr>
              <w:spacing w:line="256" w:lineRule="auto"/>
              <w:rPr>
                <w:b/>
                <w:lang w:eastAsia="zh-CN"/>
              </w:rPr>
            </w:pPr>
            <w:r w:rsidRPr="00F2249F">
              <w:rPr>
                <w:b/>
                <w:lang w:eastAsia="zh-CN"/>
              </w:rPr>
              <w:t>Žiadne</w:t>
            </w:r>
          </w:p>
        </w:tc>
        <w:sdt>
          <w:sdtPr>
            <w:rPr>
              <w:b/>
              <w:lang w:eastAsia="zh-CN"/>
            </w:rPr>
            <w:id w:val="-229854382"/>
            <w14:checkbox>
              <w14:checked w14:val="0"/>
              <w14:checkedState w14:val="2612" w14:font="MS Gothic"/>
              <w14:uncheckedState w14:val="2610" w14:font="MS Gothic"/>
            </w14:checkbox>
          </w:sdtPr>
          <w:sdtEndPr/>
          <w:sdtContent>
            <w:tc>
              <w:tcPr>
                <w:tcW w:w="547" w:type="dxa"/>
                <w:tcBorders>
                  <w:top w:val="nil"/>
                  <w:left w:val="nil"/>
                  <w:bottom w:val="nil"/>
                  <w:right w:val="nil"/>
                </w:tcBorders>
                <w:hideMark/>
              </w:tcPr>
              <w:p w14:paraId="0BAF792A" w14:textId="77777777" w:rsidR="006871D2" w:rsidRPr="00F2249F" w:rsidRDefault="006871D2">
                <w:pPr>
                  <w:spacing w:line="256" w:lineRule="auto"/>
                  <w:jc w:val="center"/>
                  <w:rPr>
                    <w:b/>
                    <w:lang w:eastAsia="zh-CN"/>
                  </w:rPr>
                </w:pPr>
                <w:r w:rsidRPr="00F2249F">
                  <w:rPr>
                    <w:rFonts w:ascii="Segoe UI Symbol" w:eastAsia="MS Gothic" w:hAnsi="Segoe UI Symbol" w:cs="Segoe UI Symbol"/>
                    <w:b/>
                    <w:lang w:eastAsia="zh-CN"/>
                  </w:rPr>
                  <w:t>☐</w:t>
                </w:r>
              </w:p>
            </w:tc>
          </w:sdtContent>
        </w:sdt>
        <w:tc>
          <w:tcPr>
            <w:tcW w:w="1297" w:type="dxa"/>
            <w:tcBorders>
              <w:top w:val="nil"/>
              <w:left w:val="nil"/>
              <w:bottom w:val="nil"/>
              <w:right w:val="single" w:sz="4" w:space="0" w:color="auto"/>
            </w:tcBorders>
            <w:hideMark/>
          </w:tcPr>
          <w:p w14:paraId="65C80112" w14:textId="77777777" w:rsidR="006871D2" w:rsidRPr="00F2249F" w:rsidRDefault="006871D2">
            <w:pPr>
              <w:spacing w:line="256" w:lineRule="auto"/>
              <w:ind w:left="34"/>
              <w:rPr>
                <w:b/>
                <w:lang w:eastAsia="zh-CN"/>
              </w:rPr>
            </w:pPr>
            <w:r w:rsidRPr="00F2249F">
              <w:rPr>
                <w:b/>
                <w:lang w:eastAsia="zh-CN"/>
              </w:rPr>
              <w:t>Negatívne</w:t>
            </w:r>
          </w:p>
        </w:tc>
      </w:tr>
      <w:tr w:rsidR="006871D2" w:rsidRPr="00F2249F" w14:paraId="2A602419" w14:textId="77777777" w:rsidTr="006871D2">
        <w:tc>
          <w:tcPr>
            <w:tcW w:w="3812" w:type="dxa"/>
            <w:tcBorders>
              <w:top w:val="single" w:sz="4" w:space="0" w:color="auto"/>
              <w:left w:val="single" w:sz="4" w:space="0" w:color="auto"/>
              <w:bottom w:val="single" w:sz="4" w:space="0" w:color="auto"/>
              <w:right w:val="single" w:sz="4" w:space="0" w:color="auto"/>
            </w:tcBorders>
            <w:shd w:val="clear" w:color="auto" w:fill="E2E2E2"/>
            <w:hideMark/>
          </w:tcPr>
          <w:p w14:paraId="10FE5806" w14:textId="77777777" w:rsidR="006871D2" w:rsidRPr="00F2249F" w:rsidRDefault="006871D2">
            <w:pPr>
              <w:spacing w:line="256" w:lineRule="auto"/>
              <w:ind w:left="168" w:hanging="168"/>
              <w:rPr>
                <w:rFonts w:eastAsia="Calibri"/>
                <w:b/>
                <w:lang w:eastAsia="en-US"/>
              </w:rPr>
            </w:pPr>
            <w:r w:rsidRPr="00F2249F">
              <w:rPr>
                <w:rFonts w:eastAsia="Calibri"/>
                <w:b/>
                <w:lang w:eastAsia="en-US"/>
              </w:rPr>
              <w:t>Vplyvy na manželstvo, rodičovstvo a rodinu</w:t>
            </w:r>
          </w:p>
        </w:tc>
        <w:sdt>
          <w:sdtPr>
            <w:rPr>
              <w:b/>
              <w:lang w:eastAsia="zh-CN"/>
            </w:rPr>
            <w:id w:val="-1698236108"/>
            <w14:checkbox>
              <w14:checked w14:val="0"/>
              <w14:checkedState w14:val="2612" w14:font="MS Gothic"/>
              <w14:uncheckedState w14:val="2610" w14:font="MS Gothic"/>
            </w14:checkbox>
          </w:sdtPr>
          <w:sdtEndPr/>
          <w:sdtContent>
            <w:tc>
              <w:tcPr>
                <w:tcW w:w="541" w:type="dxa"/>
                <w:tcBorders>
                  <w:top w:val="nil"/>
                  <w:left w:val="single" w:sz="4" w:space="0" w:color="auto"/>
                  <w:bottom w:val="single" w:sz="4" w:space="0" w:color="auto"/>
                  <w:right w:val="nil"/>
                </w:tcBorders>
                <w:hideMark/>
              </w:tcPr>
              <w:p w14:paraId="0883A25E" w14:textId="77777777" w:rsidR="006871D2" w:rsidRPr="00F2249F" w:rsidRDefault="006871D2">
                <w:pPr>
                  <w:spacing w:line="256" w:lineRule="auto"/>
                  <w:jc w:val="center"/>
                  <w:rPr>
                    <w:b/>
                    <w:lang w:eastAsia="zh-CN"/>
                  </w:rPr>
                </w:pPr>
                <w:r w:rsidRPr="00F2249F">
                  <w:rPr>
                    <w:rFonts w:ascii="Segoe UI Symbol" w:eastAsia="MS Gothic" w:hAnsi="Segoe UI Symbol" w:cs="Segoe UI Symbol"/>
                    <w:b/>
                    <w:lang w:eastAsia="zh-CN"/>
                  </w:rPr>
                  <w:t>☐</w:t>
                </w:r>
              </w:p>
            </w:tc>
          </w:sdtContent>
        </w:sdt>
        <w:tc>
          <w:tcPr>
            <w:tcW w:w="1281" w:type="dxa"/>
            <w:tcBorders>
              <w:top w:val="nil"/>
              <w:left w:val="nil"/>
              <w:bottom w:val="single" w:sz="4" w:space="0" w:color="auto"/>
              <w:right w:val="nil"/>
            </w:tcBorders>
            <w:hideMark/>
          </w:tcPr>
          <w:p w14:paraId="3CF8AEDD" w14:textId="77777777" w:rsidR="006871D2" w:rsidRPr="00F2249F" w:rsidRDefault="006871D2">
            <w:pPr>
              <w:spacing w:line="256" w:lineRule="auto"/>
              <w:rPr>
                <w:b/>
                <w:lang w:eastAsia="zh-CN"/>
              </w:rPr>
            </w:pPr>
            <w:r w:rsidRPr="00F2249F">
              <w:rPr>
                <w:b/>
                <w:lang w:eastAsia="zh-CN"/>
              </w:rPr>
              <w:t>Pozitívne</w:t>
            </w:r>
          </w:p>
        </w:tc>
        <w:sdt>
          <w:sdtPr>
            <w:rPr>
              <w:b/>
              <w:lang w:eastAsia="zh-CN"/>
            </w:rPr>
            <w:id w:val="-1604409933"/>
            <w14:checkbox>
              <w14:checked w14:val="1"/>
              <w14:checkedState w14:val="2612" w14:font="MS Gothic"/>
              <w14:uncheckedState w14:val="2610" w14:font="MS Gothic"/>
            </w14:checkbox>
          </w:sdtPr>
          <w:sdtEndPr/>
          <w:sdtContent>
            <w:tc>
              <w:tcPr>
                <w:tcW w:w="569" w:type="dxa"/>
                <w:tcBorders>
                  <w:top w:val="nil"/>
                  <w:left w:val="nil"/>
                  <w:bottom w:val="single" w:sz="4" w:space="0" w:color="auto"/>
                  <w:right w:val="nil"/>
                </w:tcBorders>
                <w:hideMark/>
              </w:tcPr>
              <w:p w14:paraId="2B592F66" w14:textId="20A6E429" w:rsidR="006871D2" w:rsidRPr="00F2249F" w:rsidRDefault="000945AD">
                <w:pPr>
                  <w:spacing w:line="256" w:lineRule="auto"/>
                  <w:jc w:val="center"/>
                  <w:rPr>
                    <w:b/>
                    <w:lang w:eastAsia="zh-CN"/>
                  </w:rPr>
                </w:pPr>
                <w:r w:rsidRPr="00F2249F">
                  <w:rPr>
                    <w:rFonts w:ascii="Segoe UI Symbol" w:eastAsia="MS Gothic" w:hAnsi="Segoe UI Symbol" w:cs="Segoe UI Symbol"/>
                    <w:b/>
                    <w:lang w:eastAsia="zh-CN"/>
                  </w:rPr>
                  <w:t>☒</w:t>
                </w:r>
              </w:p>
            </w:tc>
          </w:sdtContent>
        </w:sdt>
        <w:tc>
          <w:tcPr>
            <w:tcW w:w="1133" w:type="dxa"/>
            <w:tcBorders>
              <w:top w:val="nil"/>
              <w:left w:val="nil"/>
              <w:bottom w:val="single" w:sz="4" w:space="0" w:color="auto"/>
              <w:right w:val="nil"/>
            </w:tcBorders>
            <w:hideMark/>
          </w:tcPr>
          <w:p w14:paraId="177C311A" w14:textId="77777777" w:rsidR="006871D2" w:rsidRPr="00F2249F" w:rsidRDefault="006871D2">
            <w:pPr>
              <w:spacing w:line="256" w:lineRule="auto"/>
              <w:rPr>
                <w:b/>
                <w:lang w:eastAsia="zh-CN"/>
              </w:rPr>
            </w:pPr>
            <w:r w:rsidRPr="00F2249F">
              <w:rPr>
                <w:b/>
                <w:lang w:eastAsia="zh-CN"/>
              </w:rPr>
              <w:t>Žiadne</w:t>
            </w:r>
          </w:p>
        </w:tc>
        <w:sdt>
          <w:sdtPr>
            <w:rPr>
              <w:b/>
              <w:lang w:eastAsia="zh-CN"/>
            </w:rPr>
            <w:id w:val="573698038"/>
            <w14:checkbox>
              <w14:checked w14:val="0"/>
              <w14:checkedState w14:val="2612" w14:font="MS Gothic"/>
              <w14:uncheckedState w14:val="2610" w14:font="MS Gothic"/>
            </w14:checkbox>
          </w:sdtPr>
          <w:sdtEndPr/>
          <w:sdtContent>
            <w:tc>
              <w:tcPr>
                <w:tcW w:w="547" w:type="dxa"/>
                <w:tcBorders>
                  <w:top w:val="nil"/>
                  <w:left w:val="nil"/>
                  <w:bottom w:val="single" w:sz="4" w:space="0" w:color="auto"/>
                  <w:right w:val="nil"/>
                </w:tcBorders>
                <w:hideMark/>
              </w:tcPr>
              <w:p w14:paraId="12746C25" w14:textId="77777777" w:rsidR="006871D2" w:rsidRPr="00F2249F" w:rsidRDefault="006871D2">
                <w:pPr>
                  <w:spacing w:line="256" w:lineRule="auto"/>
                  <w:jc w:val="center"/>
                  <w:rPr>
                    <w:b/>
                    <w:lang w:eastAsia="zh-CN"/>
                  </w:rPr>
                </w:pPr>
                <w:r w:rsidRPr="00F2249F">
                  <w:rPr>
                    <w:rFonts w:ascii="Segoe UI Symbol" w:eastAsia="MS Gothic" w:hAnsi="Segoe UI Symbol" w:cs="Segoe UI Symbol"/>
                    <w:b/>
                    <w:lang w:eastAsia="zh-CN"/>
                  </w:rPr>
                  <w:t>☐</w:t>
                </w:r>
              </w:p>
            </w:tc>
          </w:sdtContent>
        </w:sdt>
        <w:tc>
          <w:tcPr>
            <w:tcW w:w="1297" w:type="dxa"/>
            <w:tcBorders>
              <w:top w:val="nil"/>
              <w:left w:val="nil"/>
              <w:bottom w:val="single" w:sz="4" w:space="0" w:color="auto"/>
              <w:right w:val="single" w:sz="4" w:space="0" w:color="auto"/>
            </w:tcBorders>
            <w:hideMark/>
          </w:tcPr>
          <w:p w14:paraId="176575AD" w14:textId="77777777" w:rsidR="006871D2" w:rsidRPr="00F2249F" w:rsidRDefault="006871D2">
            <w:pPr>
              <w:spacing w:line="256" w:lineRule="auto"/>
              <w:ind w:left="34"/>
              <w:rPr>
                <w:b/>
                <w:lang w:eastAsia="zh-CN"/>
              </w:rPr>
            </w:pPr>
            <w:r w:rsidRPr="00F2249F">
              <w:rPr>
                <w:b/>
                <w:lang w:eastAsia="zh-CN"/>
              </w:rPr>
              <w:t>Negatívne</w:t>
            </w:r>
          </w:p>
        </w:tc>
      </w:tr>
    </w:tbl>
    <w:p w14:paraId="45559A0A" w14:textId="77777777" w:rsidR="006871D2" w:rsidRPr="00F2249F" w:rsidRDefault="006871D2" w:rsidP="006871D2">
      <w:pPr>
        <w:pStyle w:val="Pta"/>
        <w:tabs>
          <w:tab w:val="left" w:pos="708"/>
        </w:tabs>
        <w:overflowPunct w:val="0"/>
        <w:autoSpaceDE w:val="0"/>
        <w:autoSpaceDN w:val="0"/>
        <w:adjustRightInd w:val="0"/>
        <w:jc w:val="both"/>
        <w:textAlignment w:val="baseline"/>
        <w:rPr>
          <w:b/>
        </w:rPr>
      </w:pPr>
    </w:p>
    <w:p w14:paraId="2511DF29" w14:textId="77777777" w:rsidR="00877A50" w:rsidRPr="00F2249F" w:rsidRDefault="000945AD" w:rsidP="000945AD">
      <w:pPr>
        <w:jc w:val="both"/>
      </w:pPr>
      <w:r w:rsidRPr="00F2249F">
        <w:t xml:space="preserve">Posúdenie vplyvov urobila k návrhu Európska komisia v dokumente číslo SWD(2026) 322 </w:t>
      </w:r>
      <w:proofErr w:type="spellStart"/>
      <w:r w:rsidRPr="00F2249F">
        <w:t>final</w:t>
      </w:r>
      <w:proofErr w:type="spellEnd"/>
      <w:r w:rsidRPr="00F2249F">
        <w:t xml:space="preserve">, ktorý je k návrhu nariadenia  priložený. </w:t>
      </w:r>
    </w:p>
    <w:p w14:paraId="6D048248" w14:textId="77777777" w:rsidR="00877A50" w:rsidRPr="00F2249F" w:rsidRDefault="00877A50" w:rsidP="000945AD">
      <w:pPr>
        <w:jc w:val="both"/>
      </w:pPr>
    </w:p>
    <w:p w14:paraId="1F876175" w14:textId="560F81AA" w:rsidR="000945AD" w:rsidRPr="00BC0349" w:rsidRDefault="000945AD" w:rsidP="000945AD">
      <w:pPr>
        <w:jc w:val="both"/>
      </w:pPr>
      <w:r w:rsidRPr="00F2249F">
        <w:t xml:space="preserve">Predpokladané negatívne vplyvy na rozpočet, pozitívne </w:t>
      </w:r>
      <w:r w:rsidR="00B16B0E" w:rsidRPr="00F2249F">
        <w:t xml:space="preserve">a negatívne </w:t>
      </w:r>
      <w:r w:rsidRPr="00F2249F">
        <w:t xml:space="preserve">vplyvy na podnikateľské prostredie </w:t>
      </w:r>
      <w:r w:rsidR="00877A50" w:rsidRPr="00F2249F">
        <w:t>a</w:t>
      </w:r>
      <w:r w:rsidR="00B16B0E" w:rsidRPr="00F2249F">
        <w:t xml:space="preserve"> pozitívne vplyvy na </w:t>
      </w:r>
      <w:r w:rsidR="00877A50" w:rsidRPr="00F2249F">
        <w:t xml:space="preserve">informatizáciu </w:t>
      </w:r>
      <w:r w:rsidRPr="00F2249F">
        <w:t xml:space="preserve">nie je možné v čase vypracúvania návrhu vyčísliť, </w:t>
      </w:r>
      <w:r w:rsidRPr="00BC0349">
        <w:t>a to ani odhadom, nakoľko nie je zrejmé konečné znenie návrhu či znenia vykonávacích aktov relevantných pre technické riešenia</w:t>
      </w:r>
      <w:r w:rsidR="00877A50" w:rsidRPr="00BC0349">
        <w:t>, ktoré budú vplyvy zásadne determinovať</w:t>
      </w:r>
      <w:r w:rsidRPr="00BC0349">
        <w:t xml:space="preserve">. </w:t>
      </w:r>
      <w:r w:rsidR="00877A50" w:rsidRPr="00BC0349">
        <w:t xml:space="preserve">Z uvedeného dôvodu predkladateľ vplyvy v priložených analýzach </w:t>
      </w:r>
      <w:proofErr w:type="spellStart"/>
      <w:r w:rsidR="00877A50" w:rsidRPr="00BC0349">
        <w:t>detekuje</w:t>
      </w:r>
      <w:proofErr w:type="spellEnd"/>
      <w:r w:rsidR="00877A50" w:rsidRPr="00BC0349">
        <w:t xml:space="preserve"> opisne. </w:t>
      </w:r>
    </w:p>
    <w:p w14:paraId="338AD718" w14:textId="77777777" w:rsidR="000945AD" w:rsidRPr="00BC0349" w:rsidRDefault="000945AD" w:rsidP="000945AD">
      <w:pPr>
        <w:jc w:val="both"/>
      </w:pPr>
    </w:p>
    <w:p w14:paraId="7757091C" w14:textId="5FA81332" w:rsidR="006871D2" w:rsidRPr="00BC0349" w:rsidRDefault="00877A50" w:rsidP="000945AD">
      <w:pPr>
        <w:jc w:val="both"/>
      </w:pPr>
      <w:r w:rsidRPr="00BC0349">
        <w:t>Prílohou návrhu predbežného stanoviska je</w:t>
      </w:r>
    </w:p>
    <w:p w14:paraId="113A8CFB" w14:textId="4DF557F4" w:rsidR="000945AD" w:rsidRPr="00BC0349" w:rsidRDefault="000945AD" w:rsidP="004A471E">
      <w:pPr>
        <w:pStyle w:val="Odsekzoznamu"/>
        <w:numPr>
          <w:ilvl w:val="0"/>
          <w:numId w:val="2"/>
        </w:numPr>
        <w:jc w:val="both"/>
      </w:pPr>
      <w:r w:rsidRPr="00BC0349">
        <w:t>Analýza vplyvov na podnikateľské prostredie</w:t>
      </w:r>
      <w:r w:rsidR="00877A50" w:rsidRPr="00BC0349">
        <w:t>,</w:t>
      </w:r>
    </w:p>
    <w:p w14:paraId="2FDACE84" w14:textId="1B930E26" w:rsidR="000945AD" w:rsidRPr="00BC0349" w:rsidRDefault="000945AD" w:rsidP="004A471E">
      <w:pPr>
        <w:pStyle w:val="Odsekzoznamu"/>
        <w:numPr>
          <w:ilvl w:val="0"/>
          <w:numId w:val="2"/>
        </w:numPr>
        <w:jc w:val="both"/>
      </w:pPr>
      <w:r w:rsidRPr="00BC0349">
        <w:t>Analýza vplyvov na rozpočet verejnej správy</w:t>
      </w:r>
      <w:r w:rsidR="00F71BD6" w:rsidRPr="00BC0349">
        <w:t>.</w:t>
      </w:r>
    </w:p>
    <w:p w14:paraId="67C02D90" w14:textId="1216B462" w:rsidR="00F71BD6" w:rsidRPr="00BC0349" w:rsidRDefault="00F71BD6" w:rsidP="00F71BD6">
      <w:pPr>
        <w:jc w:val="both"/>
      </w:pPr>
    </w:p>
    <w:p w14:paraId="4B239121" w14:textId="65654139" w:rsidR="00F71BD6" w:rsidRDefault="00F71BD6" w:rsidP="00F71BD6">
      <w:pPr>
        <w:jc w:val="both"/>
      </w:pPr>
      <w:r w:rsidRPr="00BC0349">
        <w:t>Vplyvy na vybrané oblasti budú bližšie identifikované a kvantifikované pri implementácii nariadenia.</w:t>
      </w:r>
    </w:p>
    <w:p w14:paraId="7884109A" w14:textId="3F487C09" w:rsidR="009667E9" w:rsidRDefault="009667E9" w:rsidP="00F71BD6">
      <w:pPr>
        <w:jc w:val="both"/>
      </w:pPr>
    </w:p>
    <w:p w14:paraId="5ACB48EC" w14:textId="43B975E7" w:rsidR="009667E9" w:rsidRDefault="009667E9" w:rsidP="00F71BD6">
      <w:pPr>
        <w:jc w:val="both"/>
      </w:pPr>
    </w:p>
    <w:p w14:paraId="3CECF589" w14:textId="699461B5" w:rsidR="009667E9" w:rsidRDefault="009667E9" w:rsidP="00F71BD6">
      <w:pPr>
        <w:jc w:val="both"/>
      </w:pPr>
    </w:p>
    <w:p w14:paraId="7C754DE4" w14:textId="3B3A2EAC" w:rsidR="009667E9" w:rsidRDefault="009667E9" w:rsidP="00F71BD6">
      <w:pPr>
        <w:jc w:val="both"/>
      </w:pPr>
    </w:p>
    <w:p w14:paraId="3FA91671" w14:textId="54CEB7E7" w:rsidR="009667E9" w:rsidRDefault="009667E9" w:rsidP="00F71BD6">
      <w:pPr>
        <w:jc w:val="both"/>
      </w:pPr>
    </w:p>
    <w:p w14:paraId="6940057B" w14:textId="581F3386" w:rsidR="00BC0349" w:rsidRDefault="00BC0349" w:rsidP="00F71BD6">
      <w:pPr>
        <w:jc w:val="both"/>
      </w:pPr>
    </w:p>
    <w:tbl>
      <w:tblPr>
        <w:tblW w:w="0" w:type="auto"/>
        <w:tblCellMar>
          <w:left w:w="70" w:type="dxa"/>
          <w:right w:w="70" w:type="dxa"/>
        </w:tblCellMar>
        <w:tblLook w:val="04A0" w:firstRow="1" w:lastRow="0" w:firstColumn="1" w:lastColumn="0" w:noHBand="0" w:noVBand="1"/>
      </w:tblPr>
      <w:tblGrid>
        <w:gridCol w:w="1312"/>
        <w:gridCol w:w="3071"/>
        <w:gridCol w:w="4689"/>
      </w:tblGrid>
      <w:tr w:rsidR="009667E9" w14:paraId="4A95AE98" w14:textId="77777777" w:rsidTr="009667E9">
        <w:trPr>
          <w:cantSplit/>
        </w:trPr>
        <w:tc>
          <w:tcPr>
            <w:tcW w:w="1312" w:type="dxa"/>
            <w:hideMark/>
          </w:tcPr>
          <w:p w14:paraId="1E830D26" w14:textId="77777777" w:rsidR="009667E9" w:rsidRDefault="009667E9" w:rsidP="009D1006">
            <w:pPr>
              <w:jc w:val="both"/>
              <w:rPr>
                <w:rFonts w:asciiTheme="minorHAnsi" w:hAnsiTheme="minorHAnsi"/>
                <w:i/>
                <w:iCs/>
                <w:sz w:val="22"/>
                <w:szCs w:val="22"/>
              </w:rPr>
            </w:pPr>
            <w:r>
              <w:rPr>
                <w:rFonts w:asciiTheme="minorHAnsi" w:hAnsiTheme="minorHAnsi"/>
                <w:i/>
                <w:iCs/>
                <w:sz w:val="22"/>
                <w:szCs w:val="22"/>
              </w:rPr>
              <w:t>Vypracoval:</w:t>
            </w:r>
          </w:p>
        </w:tc>
        <w:tc>
          <w:tcPr>
            <w:tcW w:w="3071" w:type="dxa"/>
          </w:tcPr>
          <w:p w14:paraId="1BCBE028" w14:textId="77777777" w:rsidR="009667E9" w:rsidRDefault="009667E9" w:rsidP="009D1006">
            <w:pPr>
              <w:jc w:val="both"/>
              <w:rPr>
                <w:rFonts w:asciiTheme="minorHAnsi" w:hAnsiTheme="minorHAnsi"/>
                <w:i/>
                <w:iCs/>
                <w:sz w:val="22"/>
                <w:szCs w:val="22"/>
              </w:rPr>
            </w:pPr>
          </w:p>
        </w:tc>
        <w:tc>
          <w:tcPr>
            <w:tcW w:w="4689" w:type="dxa"/>
            <w:hideMark/>
          </w:tcPr>
          <w:p w14:paraId="249C2194" w14:textId="0F6B2089" w:rsidR="009667E9" w:rsidRDefault="009667E9" w:rsidP="009D1006">
            <w:pPr>
              <w:jc w:val="both"/>
              <w:rPr>
                <w:rFonts w:asciiTheme="minorHAnsi" w:hAnsiTheme="minorHAnsi"/>
                <w:i/>
                <w:iCs/>
                <w:sz w:val="22"/>
                <w:szCs w:val="22"/>
              </w:rPr>
            </w:pPr>
            <w:r>
              <w:rPr>
                <w:rFonts w:asciiTheme="minorHAnsi" w:hAnsiTheme="minorHAnsi"/>
                <w:i/>
                <w:iCs/>
                <w:sz w:val="22"/>
                <w:szCs w:val="22"/>
              </w:rPr>
              <w:t xml:space="preserve">Luciána </w:t>
            </w:r>
            <w:proofErr w:type="spellStart"/>
            <w:r>
              <w:rPr>
                <w:rFonts w:asciiTheme="minorHAnsi" w:hAnsiTheme="minorHAnsi"/>
                <w:i/>
                <w:iCs/>
                <w:sz w:val="22"/>
                <w:szCs w:val="22"/>
              </w:rPr>
              <w:t>Malovcová</w:t>
            </w:r>
            <w:proofErr w:type="spellEnd"/>
            <w:r>
              <w:rPr>
                <w:rFonts w:asciiTheme="minorHAnsi" w:hAnsiTheme="minorHAnsi"/>
                <w:i/>
                <w:iCs/>
                <w:sz w:val="22"/>
                <w:szCs w:val="22"/>
              </w:rPr>
              <w:t>, e-mail: luciana.malovcova@justice.sk</w:t>
            </w:r>
          </w:p>
          <w:p w14:paraId="14C0FC24" w14:textId="77777777" w:rsidR="009667E9" w:rsidRDefault="009667E9" w:rsidP="009D1006">
            <w:pPr>
              <w:jc w:val="both"/>
              <w:rPr>
                <w:rFonts w:asciiTheme="minorHAnsi" w:hAnsiTheme="minorHAnsi"/>
                <w:i/>
                <w:iCs/>
                <w:sz w:val="22"/>
                <w:szCs w:val="22"/>
              </w:rPr>
            </w:pPr>
            <w:r>
              <w:rPr>
                <w:rFonts w:asciiTheme="minorHAnsi" w:hAnsiTheme="minorHAnsi"/>
                <w:i/>
                <w:iCs/>
                <w:sz w:val="22"/>
                <w:szCs w:val="22"/>
              </w:rPr>
              <w:t xml:space="preserve">Regína </w:t>
            </w:r>
            <w:proofErr w:type="spellStart"/>
            <w:r>
              <w:rPr>
                <w:rFonts w:asciiTheme="minorHAnsi" w:hAnsiTheme="minorHAnsi"/>
                <w:i/>
                <w:iCs/>
                <w:sz w:val="22"/>
                <w:szCs w:val="22"/>
              </w:rPr>
              <w:t>Lapšanská</w:t>
            </w:r>
            <w:proofErr w:type="spellEnd"/>
            <w:r>
              <w:rPr>
                <w:rFonts w:asciiTheme="minorHAnsi" w:hAnsiTheme="minorHAnsi"/>
                <w:i/>
                <w:iCs/>
                <w:sz w:val="22"/>
                <w:szCs w:val="22"/>
              </w:rPr>
              <w:t>, e-mail: regina.lapsanska@justice.sk</w:t>
            </w:r>
          </w:p>
        </w:tc>
      </w:tr>
      <w:tr w:rsidR="009667E9" w14:paraId="36A45D9F" w14:textId="77777777" w:rsidTr="009667E9">
        <w:trPr>
          <w:cantSplit/>
        </w:trPr>
        <w:tc>
          <w:tcPr>
            <w:tcW w:w="1312" w:type="dxa"/>
            <w:hideMark/>
          </w:tcPr>
          <w:p w14:paraId="6B57DBED" w14:textId="77777777" w:rsidR="009667E9" w:rsidRDefault="009667E9" w:rsidP="009D1006">
            <w:pPr>
              <w:jc w:val="both"/>
              <w:rPr>
                <w:rFonts w:asciiTheme="minorHAnsi" w:hAnsiTheme="minorHAnsi"/>
                <w:i/>
                <w:iCs/>
                <w:sz w:val="22"/>
                <w:szCs w:val="22"/>
              </w:rPr>
            </w:pPr>
            <w:r>
              <w:rPr>
                <w:rFonts w:asciiTheme="minorHAnsi" w:hAnsiTheme="minorHAnsi" w:cs="Calibri"/>
                <w:i/>
                <w:sz w:val="22"/>
                <w:szCs w:val="22"/>
              </w:rPr>
              <w:t>Schválil:</w:t>
            </w:r>
          </w:p>
        </w:tc>
        <w:tc>
          <w:tcPr>
            <w:tcW w:w="3071" w:type="dxa"/>
          </w:tcPr>
          <w:p w14:paraId="2FC64C2E" w14:textId="77777777" w:rsidR="009667E9" w:rsidRDefault="009667E9" w:rsidP="009D1006">
            <w:pPr>
              <w:rPr>
                <w:rFonts w:asciiTheme="minorHAnsi" w:hAnsiTheme="minorHAnsi" w:cs="Calibri"/>
                <w:i/>
                <w:sz w:val="22"/>
                <w:szCs w:val="22"/>
              </w:rPr>
            </w:pPr>
          </w:p>
        </w:tc>
        <w:tc>
          <w:tcPr>
            <w:tcW w:w="4689" w:type="dxa"/>
            <w:hideMark/>
          </w:tcPr>
          <w:p w14:paraId="249D03B8" w14:textId="77631916" w:rsidR="009667E9" w:rsidRDefault="009667E9" w:rsidP="009D1006">
            <w:pPr>
              <w:rPr>
                <w:rFonts w:asciiTheme="minorHAnsi" w:hAnsiTheme="minorHAnsi"/>
                <w:i/>
                <w:iCs/>
                <w:sz w:val="22"/>
                <w:szCs w:val="22"/>
              </w:rPr>
            </w:pPr>
            <w:r>
              <w:rPr>
                <w:rFonts w:asciiTheme="minorHAnsi" w:hAnsiTheme="minorHAnsi" w:cs="Calibri"/>
                <w:i/>
                <w:sz w:val="22"/>
                <w:szCs w:val="22"/>
              </w:rPr>
              <w:t xml:space="preserve">JUDr. Boris </w:t>
            </w:r>
            <w:proofErr w:type="spellStart"/>
            <w:r>
              <w:rPr>
                <w:rFonts w:asciiTheme="minorHAnsi" w:hAnsiTheme="minorHAnsi" w:cs="Calibri"/>
                <w:i/>
                <w:sz w:val="22"/>
                <w:szCs w:val="22"/>
              </w:rPr>
              <w:t>Susko</w:t>
            </w:r>
            <w:proofErr w:type="spellEnd"/>
            <w:r>
              <w:rPr>
                <w:rFonts w:asciiTheme="minorHAnsi" w:hAnsiTheme="minorHAnsi" w:cs="Calibri"/>
                <w:i/>
                <w:sz w:val="22"/>
                <w:szCs w:val="22"/>
              </w:rPr>
              <w:t>, minister spravodlivosti</w:t>
            </w:r>
          </w:p>
        </w:tc>
      </w:tr>
    </w:tbl>
    <w:tbl>
      <w:tblPr>
        <w:tblStyle w:val="Mriekatabuky1"/>
        <w:tblW w:w="9176" w:type="dxa"/>
        <w:tblLayout w:type="fixed"/>
        <w:tblLook w:val="04A0" w:firstRow="1" w:lastRow="0" w:firstColumn="1" w:lastColumn="0" w:noHBand="0" w:noVBand="1"/>
      </w:tblPr>
      <w:tblGrid>
        <w:gridCol w:w="9176"/>
      </w:tblGrid>
      <w:tr w:rsidR="00F71BD6" w:rsidRPr="00BC0349" w14:paraId="30022651" w14:textId="77777777" w:rsidTr="00F71BD6">
        <w:tc>
          <w:tcPr>
            <w:tcW w:w="9176" w:type="dxa"/>
            <w:tcBorders>
              <w:top w:val="single" w:sz="4" w:space="0" w:color="auto"/>
              <w:left w:val="single" w:sz="4" w:space="0" w:color="auto"/>
              <w:bottom w:val="single" w:sz="4" w:space="0" w:color="FFFFFF"/>
              <w:right w:val="single" w:sz="4" w:space="0" w:color="auto"/>
            </w:tcBorders>
            <w:shd w:val="clear" w:color="auto" w:fill="E2E2E2"/>
          </w:tcPr>
          <w:p w14:paraId="4498C258" w14:textId="62702F6C" w:rsidR="00F71BD6" w:rsidRPr="00BC0349" w:rsidRDefault="00F71BD6" w:rsidP="00F71BD6">
            <w:pPr>
              <w:numPr>
                <w:ilvl w:val="0"/>
                <w:numId w:val="6"/>
              </w:numPr>
              <w:ind w:left="447" w:hanging="425"/>
              <w:contextualSpacing/>
              <w:rPr>
                <w:rFonts w:eastAsia="Calibri"/>
                <w:b/>
              </w:rPr>
            </w:pPr>
            <w:r w:rsidRPr="00BC0349">
              <w:rPr>
                <w:rFonts w:eastAsia="Calibri"/>
                <w:b/>
              </w:rPr>
              <w:lastRenderedPageBreak/>
              <w:t>Stanovisko Komisie na posudzovanie vybraných vplyvov z PPK č. 120/2026</w:t>
            </w:r>
          </w:p>
          <w:p w14:paraId="336475A6" w14:textId="77777777" w:rsidR="00F71BD6" w:rsidRPr="00BC0349" w:rsidRDefault="00F71BD6" w:rsidP="00F71BD6">
            <w:pPr>
              <w:ind w:left="502"/>
              <w:rPr>
                <w:b/>
              </w:rPr>
            </w:pPr>
            <w:r w:rsidRPr="00BC0349">
              <w:rPr>
                <w:rFonts w:eastAsia="Calibri"/>
              </w:rPr>
              <w:t>(v prípade, ak sa uskutočnilo v zmysle bodu 8.1 Jednotnej metodiky)</w:t>
            </w:r>
          </w:p>
        </w:tc>
      </w:tr>
      <w:tr w:rsidR="00F71BD6" w:rsidRPr="00BC0349" w14:paraId="1D2DB30B" w14:textId="77777777" w:rsidTr="00F71BD6">
        <w:trPr>
          <w:trHeight w:val="70"/>
        </w:trPr>
        <w:tc>
          <w:tcPr>
            <w:tcW w:w="9176" w:type="dxa"/>
            <w:tcBorders>
              <w:top w:val="single" w:sz="4" w:space="0" w:color="FFFFFF"/>
              <w:left w:val="single" w:sz="4" w:space="0" w:color="auto"/>
              <w:bottom w:val="single" w:sz="4" w:space="0" w:color="auto"/>
              <w:right w:val="single" w:sz="4" w:space="0" w:color="auto"/>
            </w:tcBorders>
            <w:shd w:val="clear" w:color="auto" w:fill="FFFFFF"/>
          </w:tcPr>
          <w:p w14:paraId="5D84B010" w14:textId="77777777" w:rsidR="00F71BD6" w:rsidRPr="00BC0349" w:rsidRDefault="00F71BD6" w:rsidP="00F71BD6">
            <w:pPr>
              <w:rPr>
                <w:b/>
              </w:rPr>
            </w:pPr>
          </w:p>
          <w:tbl>
            <w:tblPr>
              <w:tblStyle w:val="Mriekatabuky1"/>
              <w:tblW w:w="8913"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3827"/>
              <w:gridCol w:w="2534"/>
            </w:tblGrid>
            <w:tr w:rsidR="00F71BD6" w:rsidRPr="00BC0349" w14:paraId="6BF53A57" w14:textId="77777777" w:rsidTr="00F71BD6">
              <w:trPr>
                <w:trHeight w:val="396"/>
              </w:trPr>
              <w:tc>
                <w:tcPr>
                  <w:tcW w:w="2552" w:type="dxa"/>
                </w:tcPr>
                <w:p w14:paraId="46635052" w14:textId="77777777" w:rsidR="00F71BD6" w:rsidRPr="00BC0349" w:rsidRDefault="00694AA5" w:rsidP="00F71BD6">
                  <w:pPr>
                    <w:rPr>
                      <w:b/>
                    </w:rPr>
                  </w:pPr>
                  <w:sdt>
                    <w:sdtPr>
                      <w:rPr>
                        <w:b/>
                      </w:rPr>
                      <w:id w:val="-1874910888"/>
                      <w14:checkbox>
                        <w14:checked w14:val="0"/>
                        <w14:checkedState w14:val="2612" w14:font="MS Gothic"/>
                        <w14:uncheckedState w14:val="2610" w14:font="MS Gothic"/>
                      </w14:checkbox>
                    </w:sdtPr>
                    <w:sdtEndPr/>
                    <w:sdtContent>
                      <w:r w:rsidR="00F71BD6" w:rsidRPr="00BC0349">
                        <w:rPr>
                          <w:rFonts w:ascii="Segoe UI Symbol" w:eastAsia="MS Gothic" w:hAnsi="Segoe UI Symbol" w:cs="Segoe UI Symbol"/>
                          <w:b/>
                        </w:rPr>
                        <w:t>☐</w:t>
                      </w:r>
                    </w:sdtContent>
                  </w:sdt>
                  <w:r w:rsidR="00F71BD6" w:rsidRPr="00BC0349">
                    <w:rPr>
                      <w:b/>
                    </w:rPr>
                    <w:t xml:space="preserve">  Súhlasné </w:t>
                  </w:r>
                </w:p>
              </w:tc>
              <w:tc>
                <w:tcPr>
                  <w:tcW w:w="3827" w:type="dxa"/>
                </w:tcPr>
                <w:p w14:paraId="6B0D32F4" w14:textId="77777777" w:rsidR="00F71BD6" w:rsidRPr="00BC0349" w:rsidRDefault="00694AA5" w:rsidP="00F71BD6">
                  <w:pPr>
                    <w:rPr>
                      <w:b/>
                    </w:rPr>
                  </w:pPr>
                  <w:sdt>
                    <w:sdtPr>
                      <w:rPr>
                        <w:b/>
                      </w:rPr>
                      <w:id w:val="1697888127"/>
                      <w14:checkbox>
                        <w14:checked w14:val="0"/>
                        <w14:checkedState w14:val="2612" w14:font="MS Gothic"/>
                        <w14:uncheckedState w14:val="2610" w14:font="MS Gothic"/>
                      </w14:checkbox>
                    </w:sdtPr>
                    <w:sdtEndPr/>
                    <w:sdtContent>
                      <w:r w:rsidR="00F71BD6" w:rsidRPr="00BC0349">
                        <w:rPr>
                          <w:rFonts w:ascii="Segoe UI Symbol" w:eastAsia="MS Gothic" w:hAnsi="Segoe UI Symbol" w:cs="Segoe UI Symbol"/>
                          <w:b/>
                        </w:rPr>
                        <w:t>☐</w:t>
                      </w:r>
                    </w:sdtContent>
                  </w:sdt>
                  <w:r w:rsidR="00F71BD6" w:rsidRPr="00BC0349">
                    <w:rPr>
                      <w:b/>
                    </w:rPr>
                    <w:t xml:space="preserve">  Súhlasné s návrhom na dopracovanie</w:t>
                  </w:r>
                </w:p>
              </w:tc>
              <w:tc>
                <w:tcPr>
                  <w:tcW w:w="2534" w:type="dxa"/>
                </w:tcPr>
                <w:p w14:paraId="74689A52" w14:textId="7C404FE3" w:rsidR="00F71BD6" w:rsidRPr="00BC0349" w:rsidRDefault="00694AA5" w:rsidP="00F71BD6">
                  <w:pPr>
                    <w:ind w:right="459"/>
                    <w:rPr>
                      <w:b/>
                    </w:rPr>
                  </w:pPr>
                  <w:sdt>
                    <w:sdtPr>
                      <w:rPr>
                        <w:b/>
                      </w:rPr>
                      <w:id w:val="-647822913"/>
                      <w14:checkbox>
                        <w14:checked w14:val="1"/>
                        <w14:checkedState w14:val="2612" w14:font="MS Gothic"/>
                        <w14:uncheckedState w14:val="2610" w14:font="MS Gothic"/>
                      </w14:checkbox>
                    </w:sdtPr>
                    <w:sdtEndPr/>
                    <w:sdtContent>
                      <w:r w:rsidR="00F71BD6" w:rsidRPr="00BC0349">
                        <w:rPr>
                          <w:rFonts w:ascii="Segoe UI Symbol" w:eastAsia="MS Gothic" w:hAnsi="Segoe UI Symbol" w:cs="Segoe UI Symbol"/>
                          <w:b/>
                        </w:rPr>
                        <w:t>☒</w:t>
                      </w:r>
                    </w:sdtContent>
                  </w:sdt>
                  <w:r w:rsidR="00F71BD6" w:rsidRPr="00BC0349">
                    <w:rPr>
                      <w:b/>
                    </w:rPr>
                    <w:t xml:space="preserve">  Nesúhlasné</w:t>
                  </w:r>
                </w:p>
              </w:tc>
            </w:tr>
          </w:tbl>
          <w:p w14:paraId="39CC13DE" w14:textId="5EA3E7E4" w:rsidR="00F71BD6" w:rsidRPr="00BC0349" w:rsidRDefault="00F71BD6" w:rsidP="00F71BD6">
            <w:pPr>
              <w:jc w:val="both"/>
              <w:rPr>
                <w:b/>
              </w:rPr>
            </w:pPr>
            <w:r w:rsidRPr="00BC0349">
              <w:rPr>
                <w:b/>
              </w:rPr>
              <w:t>Uveďte pripomienky zo stanoviska Komisie z časti II. spolu s Vaším vyhodnotením:</w:t>
            </w:r>
          </w:p>
          <w:p w14:paraId="5104088B" w14:textId="22C899DC" w:rsidR="00F71BD6" w:rsidRPr="00BC0349" w:rsidRDefault="00F71BD6" w:rsidP="00F71BD6">
            <w:pPr>
              <w:jc w:val="both"/>
              <w:rPr>
                <w:b/>
              </w:rPr>
            </w:pPr>
          </w:p>
          <w:p w14:paraId="53678542" w14:textId="77777777" w:rsidR="00F71BD6" w:rsidRPr="00BC0349" w:rsidRDefault="00F71BD6" w:rsidP="00F71BD6">
            <w:pPr>
              <w:jc w:val="both"/>
              <w:rPr>
                <w:b/>
              </w:rPr>
            </w:pPr>
            <w:r w:rsidRPr="00BC0349">
              <w:rPr>
                <w:b/>
              </w:rPr>
              <w:t>K predbežnému stanovisku</w:t>
            </w:r>
          </w:p>
          <w:p w14:paraId="457014CF" w14:textId="77777777" w:rsidR="00F71BD6" w:rsidRPr="00BC0349" w:rsidRDefault="00F71BD6" w:rsidP="00F71BD6">
            <w:pPr>
              <w:jc w:val="both"/>
            </w:pPr>
            <w:r w:rsidRPr="00BC0349">
              <w:t>Bod </w:t>
            </w:r>
            <w:r w:rsidRPr="00BC0349">
              <w:rPr>
                <w:i/>
                <w:iCs/>
              </w:rPr>
              <w:t>Hodnotenie obsahu a cieľov návrhu z pohľadu priorít a záujmov Slovenskej republiky</w:t>
            </w:r>
            <w:r w:rsidRPr="00BC0349">
              <w:t> na strane 4 predbežného stanoviska je potrebné označiť poradovým číslom 9. a ďalšie body (</w:t>
            </w:r>
            <w:r w:rsidRPr="00BC0349">
              <w:rPr>
                <w:i/>
                <w:iCs/>
              </w:rPr>
              <w:t>Druh rozhodovacieho procesu v Európskej únii</w:t>
            </w:r>
            <w:r w:rsidRPr="00BC0349">
              <w:t>, </w:t>
            </w:r>
            <w:r w:rsidRPr="00BC0349">
              <w:rPr>
                <w:i/>
                <w:iCs/>
              </w:rPr>
              <w:t>Časový priebeh rozhodovacieho procesu v Európskej únii</w:t>
            </w:r>
            <w:r w:rsidRPr="00BC0349">
              <w:t>, </w:t>
            </w:r>
            <w:r w:rsidRPr="00BC0349">
              <w:rPr>
                <w:i/>
                <w:iCs/>
              </w:rPr>
              <w:t>Hodnotenie vplyvu a dosahu návrhu na Slovenskú republiku</w:t>
            </w:r>
            <w:r w:rsidRPr="00BC0349">
              <w:t> a </w:t>
            </w:r>
            <w:r w:rsidRPr="00BC0349">
              <w:rPr>
                <w:i/>
                <w:iCs/>
              </w:rPr>
              <w:t>Vplyvy na vybrané oblasti</w:t>
            </w:r>
            <w:r w:rsidRPr="00BC0349">
              <w:t>) primerane prečíslovať – od 10. do 13.</w:t>
            </w:r>
          </w:p>
          <w:p w14:paraId="77DB2F40" w14:textId="0F38C88B" w:rsidR="00F71BD6" w:rsidRPr="00BC0349" w:rsidRDefault="00F71BD6" w:rsidP="00F71BD6">
            <w:pPr>
              <w:jc w:val="both"/>
            </w:pPr>
            <w:r w:rsidRPr="00BC0349">
              <w:rPr>
                <w:u w:val="single"/>
              </w:rPr>
              <w:t>Odôvodnenie</w:t>
            </w:r>
            <w:r w:rsidRPr="00BC0349">
              <w:t>: Časť predbežného stanoviska nezodpovedá vzoru predbežného stanoviska určeného </w:t>
            </w:r>
            <w:r w:rsidRPr="00BC0349">
              <w:rPr>
                <w:i/>
                <w:iCs/>
              </w:rPr>
              <w:t>Pravidlami tvorby stanovísk Slovenskej republiky k návrhom aktov Európskej únie</w:t>
            </w:r>
            <w:r w:rsidRPr="00BC0349">
              <w:t> schválenými uznesením vlády SR č. 211 z 13. 5. 2026 a účinnými od 15. 5. 2026.</w:t>
            </w:r>
          </w:p>
          <w:p w14:paraId="10723A64" w14:textId="0936D0D0" w:rsidR="00F71BD6" w:rsidRPr="00BC0349" w:rsidRDefault="00F71BD6" w:rsidP="00F71BD6">
            <w:pPr>
              <w:jc w:val="both"/>
            </w:pPr>
          </w:p>
          <w:p w14:paraId="53988C7C" w14:textId="77777777" w:rsidR="00F71BD6" w:rsidRPr="00BC0349" w:rsidRDefault="00F71BD6" w:rsidP="00F71BD6">
            <w:pPr>
              <w:jc w:val="both"/>
            </w:pPr>
            <w:r w:rsidRPr="00BC0349">
              <w:rPr>
                <w:b/>
              </w:rPr>
              <w:t>Vyhodnotenie:</w:t>
            </w:r>
            <w:r w:rsidRPr="00BC0349">
              <w:t xml:space="preserve"> </w:t>
            </w:r>
            <w:r w:rsidRPr="00BC0349">
              <w:rPr>
                <w:i/>
              </w:rPr>
              <w:t>Pripomienka akceptovaná</w:t>
            </w:r>
            <w:r w:rsidRPr="00BC0349">
              <w:t xml:space="preserve">. </w:t>
            </w:r>
          </w:p>
          <w:p w14:paraId="16F56B9D" w14:textId="260D0505" w:rsidR="00F71BD6" w:rsidRPr="00BC0349" w:rsidRDefault="00F71BD6" w:rsidP="00F71BD6">
            <w:pPr>
              <w:jc w:val="both"/>
            </w:pPr>
            <w:r w:rsidRPr="00BC0349">
              <w:t xml:space="preserve">Materiál bol relevantným spôsobom upravený. </w:t>
            </w:r>
          </w:p>
          <w:p w14:paraId="2EB0933A" w14:textId="77777777" w:rsidR="00F71BD6" w:rsidRPr="00BC0349" w:rsidRDefault="00F71BD6" w:rsidP="00F71BD6">
            <w:pPr>
              <w:jc w:val="both"/>
              <w:rPr>
                <w:b/>
                <w:bCs/>
              </w:rPr>
            </w:pPr>
          </w:p>
          <w:p w14:paraId="470CDDFA" w14:textId="0887512B" w:rsidR="00F71BD6" w:rsidRPr="00BC0349" w:rsidRDefault="00F71BD6" w:rsidP="00F71BD6">
            <w:pPr>
              <w:jc w:val="both"/>
            </w:pPr>
            <w:r w:rsidRPr="00BC0349">
              <w:t>V časti 12. Vplyvy na vybrané oblasti je označený pozitívny vplyv na limit verejných výdavkov. Uvedené je potrebné upraviť, keďže v prípade označenia negatívneho, rozpočtovo nezabezpečeného vplyvu na rozpočet verejnej správy sa zároveň označuje negatívny vplyv na limit verejných výdavkov.</w:t>
            </w:r>
          </w:p>
          <w:p w14:paraId="4A4185BC" w14:textId="4EB45018" w:rsidR="00F71BD6" w:rsidRPr="00BC0349" w:rsidRDefault="00F71BD6" w:rsidP="00F71BD6">
            <w:pPr>
              <w:jc w:val="both"/>
            </w:pPr>
          </w:p>
          <w:p w14:paraId="7A03ECA1" w14:textId="77777777" w:rsidR="00F71BD6" w:rsidRPr="00BC0349" w:rsidRDefault="00F71BD6" w:rsidP="00F71BD6">
            <w:pPr>
              <w:jc w:val="both"/>
            </w:pPr>
            <w:r w:rsidRPr="00BC0349">
              <w:rPr>
                <w:b/>
              </w:rPr>
              <w:t>Vyhodnotenie:</w:t>
            </w:r>
            <w:r w:rsidRPr="00BC0349">
              <w:t xml:space="preserve"> </w:t>
            </w:r>
            <w:r w:rsidRPr="00BC0349">
              <w:rPr>
                <w:i/>
              </w:rPr>
              <w:t>Pripomienka akceptovaná</w:t>
            </w:r>
            <w:r w:rsidRPr="00BC0349">
              <w:t xml:space="preserve">. </w:t>
            </w:r>
          </w:p>
          <w:p w14:paraId="0399D44D" w14:textId="77777777" w:rsidR="00F71BD6" w:rsidRPr="00BC0349" w:rsidRDefault="00F71BD6" w:rsidP="00F71BD6">
            <w:pPr>
              <w:jc w:val="both"/>
            </w:pPr>
            <w:r w:rsidRPr="00BC0349">
              <w:t xml:space="preserve">Materiál bol relevantným spôsobom upravený. </w:t>
            </w:r>
          </w:p>
          <w:p w14:paraId="53ACABB7" w14:textId="77777777" w:rsidR="00F71BD6" w:rsidRPr="00BC0349" w:rsidRDefault="00F71BD6" w:rsidP="00F71BD6">
            <w:pPr>
              <w:jc w:val="both"/>
              <w:rPr>
                <w:b/>
                <w:bCs/>
              </w:rPr>
            </w:pPr>
          </w:p>
          <w:p w14:paraId="22447AE7" w14:textId="7C10D2B6" w:rsidR="00F71BD6" w:rsidRPr="00BC0349" w:rsidRDefault="00F71BD6" w:rsidP="00F71BD6">
            <w:pPr>
              <w:jc w:val="both"/>
            </w:pPr>
            <w:r w:rsidRPr="00BC0349">
              <w:t xml:space="preserve">Komisia žiada predkladateľa o vyznačenie vplyvu predkladaného materiálu na malé s stredné podniky (MSP) v bode 12. Vplyvy na vybrané oblasti, t. j., že predkladaný materiál má pozitívno-negatívny vplyv na MSP. </w:t>
            </w:r>
          </w:p>
          <w:p w14:paraId="2C709724" w14:textId="7662FFD7" w:rsidR="00F71BD6" w:rsidRPr="00BC0349" w:rsidRDefault="00F71BD6" w:rsidP="00F71BD6">
            <w:pPr>
              <w:jc w:val="both"/>
            </w:pPr>
          </w:p>
          <w:p w14:paraId="79637395" w14:textId="77777777" w:rsidR="00F71BD6" w:rsidRPr="00BC0349" w:rsidRDefault="00F71BD6" w:rsidP="00F71BD6">
            <w:pPr>
              <w:jc w:val="both"/>
            </w:pPr>
            <w:r w:rsidRPr="00BC0349">
              <w:rPr>
                <w:b/>
              </w:rPr>
              <w:t>Vyhodnotenie:</w:t>
            </w:r>
            <w:r w:rsidRPr="00BC0349">
              <w:t xml:space="preserve"> </w:t>
            </w:r>
            <w:r w:rsidRPr="00BC0349">
              <w:rPr>
                <w:i/>
              </w:rPr>
              <w:t>Pripomienka akceptovaná</w:t>
            </w:r>
            <w:r w:rsidRPr="00BC0349">
              <w:t xml:space="preserve">. </w:t>
            </w:r>
          </w:p>
          <w:p w14:paraId="77560E5E" w14:textId="77777777" w:rsidR="00F71BD6" w:rsidRPr="00BC0349" w:rsidRDefault="00F71BD6" w:rsidP="00F71BD6">
            <w:pPr>
              <w:jc w:val="both"/>
            </w:pPr>
            <w:r w:rsidRPr="00BC0349">
              <w:t xml:space="preserve">Materiál bol relevantným spôsobom upravený. </w:t>
            </w:r>
          </w:p>
          <w:p w14:paraId="4EFDCB0C" w14:textId="77777777" w:rsidR="00F71BD6" w:rsidRPr="00BC0349" w:rsidRDefault="00F71BD6" w:rsidP="00F71BD6">
            <w:pPr>
              <w:jc w:val="both"/>
            </w:pPr>
          </w:p>
          <w:p w14:paraId="7DBAC4C4" w14:textId="3B721413" w:rsidR="00F71BD6" w:rsidRPr="00BC0349" w:rsidRDefault="00F71BD6" w:rsidP="00F71BD6">
            <w:pPr>
              <w:jc w:val="both"/>
            </w:pPr>
            <w:r w:rsidRPr="00BC0349">
              <w:t xml:space="preserve">Komisia žiada predkladateľa, aby v bode 12. Vplyvy na vybrané oblasti vyznačil mechanizmus znižovania byrokracie a nákladov odpoveďou „nie“. Uvedené vyplýva </w:t>
            </w:r>
            <w:r w:rsidRPr="00BC0349">
              <w:br/>
              <w:t>z výnimky podľa bodu 6.5. Jednotnej metodiky na posudzovanie vybraných vplyvov, podľa ktorej sa povinnosť uplatniť tento mechanizmus nevzťahuje na regulácie obsiahnuté v návrhoch predbežných stanovísk v súlade so Systémom tvorby stanovísk k návrhom aktov EÚ.</w:t>
            </w:r>
          </w:p>
          <w:p w14:paraId="2278F459" w14:textId="1542ACD6" w:rsidR="00F71BD6" w:rsidRPr="00BC0349" w:rsidRDefault="00F71BD6" w:rsidP="00F71BD6">
            <w:pPr>
              <w:jc w:val="both"/>
            </w:pPr>
          </w:p>
          <w:p w14:paraId="605E76D2" w14:textId="77777777" w:rsidR="00F71BD6" w:rsidRPr="00BC0349" w:rsidRDefault="00F71BD6" w:rsidP="00F71BD6">
            <w:pPr>
              <w:jc w:val="both"/>
            </w:pPr>
            <w:r w:rsidRPr="00BC0349">
              <w:rPr>
                <w:b/>
              </w:rPr>
              <w:t>Vyhodnotenie:</w:t>
            </w:r>
            <w:r w:rsidRPr="00BC0349">
              <w:t xml:space="preserve"> </w:t>
            </w:r>
            <w:r w:rsidRPr="00BC0349">
              <w:rPr>
                <w:i/>
              </w:rPr>
              <w:t>Pripomienka akceptovaná</w:t>
            </w:r>
            <w:r w:rsidRPr="00BC0349">
              <w:t xml:space="preserve">. </w:t>
            </w:r>
          </w:p>
          <w:p w14:paraId="23014602" w14:textId="77777777" w:rsidR="00F71BD6" w:rsidRPr="00BC0349" w:rsidRDefault="00F71BD6" w:rsidP="00F71BD6">
            <w:pPr>
              <w:jc w:val="both"/>
            </w:pPr>
            <w:r w:rsidRPr="00BC0349">
              <w:t xml:space="preserve">Materiál bol relevantným spôsobom upravený. </w:t>
            </w:r>
          </w:p>
          <w:p w14:paraId="011B809A" w14:textId="77777777" w:rsidR="00F71BD6" w:rsidRPr="00BC0349" w:rsidRDefault="00F71BD6" w:rsidP="00F71BD6">
            <w:pPr>
              <w:jc w:val="both"/>
              <w:rPr>
                <w:b/>
                <w:bCs/>
              </w:rPr>
            </w:pPr>
          </w:p>
          <w:p w14:paraId="17214EEB" w14:textId="77777777" w:rsidR="00F71BD6" w:rsidRPr="00BC0349" w:rsidRDefault="00F71BD6" w:rsidP="00F71BD6">
            <w:pPr>
              <w:jc w:val="both"/>
              <w:rPr>
                <w:b/>
                <w:bCs/>
              </w:rPr>
            </w:pPr>
            <w:r w:rsidRPr="00BC0349">
              <w:rPr>
                <w:b/>
                <w:bCs/>
              </w:rPr>
              <w:t>K vplyvom na rozpočet verejnej správy</w:t>
            </w:r>
          </w:p>
          <w:p w14:paraId="73DD3EF9" w14:textId="77777777" w:rsidR="00F71BD6" w:rsidRPr="00BC0349" w:rsidRDefault="00F71BD6" w:rsidP="00F71BD6">
            <w:pPr>
              <w:jc w:val="both"/>
            </w:pPr>
            <w:r w:rsidRPr="00BC0349">
              <w:t xml:space="preserve">Predkladateľ uvádza v časti 2.2.4. Výpočty vplyvov na verejné financie, že: </w:t>
            </w:r>
            <w:r w:rsidRPr="00BC0349">
              <w:rPr>
                <w:i/>
                <w:iCs/>
              </w:rPr>
              <w:t>„Je možné odhadnúť negatívny vplyv na rozpočet verejnej správy, a to v rozsahu nevyhnutnosti úpravy dotknutých informačných systémov (napríklad informačný systém obchodného registra).“</w:t>
            </w:r>
            <w:r w:rsidRPr="00BC0349">
              <w:t xml:space="preserve">. V tejto súvislosti je potrebné v ďalšej fáze prípravy návrhu nariadenia dopracovať analýzu </w:t>
            </w:r>
            <w:r w:rsidRPr="00BC0349">
              <w:lastRenderedPageBreak/>
              <w:t xml:space="preserve">vplyvov na rozpočet verejnej správy o kvantifikáciu predpokladaných negatívnych vplyvov na rozpočet verejnej správy. V rámci tejto kvantifikácie je potrebné osobitne vyčísliť vplyvy na rozpočty jednotlivých dotknutých kapitol a subjektov a zároveň uviesť spôsob zabezpečenia rozpočtového krytia vzniknutých výdavkov. </w:t>
            </w:r>
          </w:p>
          <w:p w14:paraId="09C5C53E" w14:textId="77777777" w:rsidR="00F71BD6" w:rsidRPr="00BC0349" w:rsidRDefault="00F71BD6" w:rsidP="00F71BD6">
            <w:pPr>
              <w:jc w:val="both"/>
            </w:pPr>
            <w:r w:rsidRPr="00BC0349">
              <w:t> </w:t>
            </w:r>
          </w:p>
          <w:p w14:paraId="032C9140" w14:textId="6D0B6F74" w:rsidR="00F71BD6" w:rsidRPr="00BC0349" w:rsidRDefault="00F71BD6" w:rsidP="00F71BD6">
            <w:pPr>
              <w:jc w:val="both"/>
            </w:pPr>
            <w:r w:rsidRPr="00BC0349">
              <w:t>Komisia berie na vedomie, že aktuálne</w:t>
            </w:r>
            <w:r w:rsidRPr="00BC0349">
              <w:rPr>
                <w:b/>
                <w:bCs/>
              </w:rPr>
              <w:t> </w:t>
            </w:r>
            <w:r w:rsidRPr="00BC0349">
              <w:t xml:space="preserve">nie je možná identifikácia a kvantifikácia všetkých vplyvov na rozpočet verejnej správy, keďže predmetné nariadenie je v procese prípravy. Komisia upozorňuje, že všetky negatívne vplyvy na rozpočet verejnej správy, súvisiace s implementáciou navrhovaného nariadenia EÚ, bude potrebné zabezpečiť v rámci schválených limitov dotknutých kapitol, bez dodatočných požiadaviek na rozpočet verejnej správy. </w:t>
            </w:r>
          </w:p>
          <w:p w14:paraId="6ABF9F61" w14:textId="54522CAC" w:rsidR="00F71BD6" w:rsidRPr="00BC0349" w:rsidRDefault="00F71BD6" w:rsidP="00F71BD6">
            <w:pPr>
              <w:jc w:val="both"/>
            </w:pPr>
          </w:p>
          <w:p w14:paraId="65919CF4" w14:textId="307C8887" w:rsidR="00F71BD6" w:rsidRPr="00BC0349" w:rsidRDefault="00F71BD6" w:rsidP="00F71BD6">
            <w:pPr>
              <w:jc w:val="both"/>
            </w:pPr>
            <w:r w:rsidRPr="00BC0349">
              <w:rPr>
                <w:b/>
              </w:rPr>
              <w:t>Vyhodnotenie:</w:t>
            </w:r>
            <w:r w:rsidRPr="00BC0349">
              <w:t xml:space="preserve"> </w:t>
            </w:r>
            <w:r w:rsidRPr="00BC0349">
              <w:rPr>
                <w:i/>
              </w:rPr>
              <w:t>Predkladateľ vzal pripomienku na vedomie</w:t>
            </w:r>
            <w:r w:rsidRPr="00BC0349">
              <w:t xml:space="preserve">. </w:t>
            </w:r>
          </w:p>
          <w:p w14:paraId="5FCD00CA" w14:textId="77777777" w:rsidR="00F71BD6" w:rsidRPr="00BC0349" w:rsidRDefault="00F71BD6" w:rsidP="00F71BD6">
            <w:pPr>
              <w:jc w:val="both"/>
            </w:pPr>
          </w:p>
          <w:p w14:paraId="56A43C98" w14:textId="77777777" w:rsidR="00F71BD6" w:rsidRPr="00BC0349" w:rsidRDefault="00F71BD6" w:rsidP="00F71BD6">
            <w:pPr>
              <w:jc w:val="both"/>
              <w:rPr>
                <w:b/>
                <w:bCs/>
              </w:rPr>
            </w:pPr>
            <w:r w:rsidRPr="00BC0349">
              <w:rPr>
                <w:b/>
                <w:bCs/>
              </w:rPr>
              <w:t>K vplyvom na podnikateľské prostredie</w:t>
            </w:r>
          </w:p>
          <w:p w14:paraId="75B583AF" w14:textId="77777777" w:rsidR="00F71BD6" w:rsidRPr="00BC0349" w:rsidRDefault="00F71BD6" w:rsidP="00F71BD6">
            <w:pPr>
              <w:jc w:val="both"/>
            </w:pPr>
            <w:r w:rsidRPr="00BC0349">
              <w:t>V Analýze vplyvov na podnikateľské prostredie Komisia odporúča predkladateľovi odstrániť neukončenú vetu v  kap. 3.1.3.</w:t>
            </w:r>
          </w:p>
          <w:p w14:paraId="4F89C310" w14:textId="7495E7BF" w:rsidR="00F71BD6" w:rsidRPr="00BC0349" w:rsidRDefault="00F71BD6" w:rsidP="00F71BD6">
            <w:pPr>
              <w:jc w:val="both"/>
            </w:pPr>
            <w:r w:rsidRPr="00BC0349">
              <w:rPr>
                <w:u w:val="single"/>
              </w:rPr>
              <w:t>Odôvodnenie</w:t>
            </w:r>
            <w:r w:rsidRPr="00BC0349">
              <w:t>: Jedná sa o predbežné stanovisko, vyplnenie časti 3.1. nie je potrebné,  pretože kvalitatívny popis pozitívnych a negatívnych vplyvov aj s kvantitatívnym odhadom nákladov podľa údajov Európskej komisie je obsahom bodu 3.4 Analýzy.</w:t>
            </w:r>
          </w:p>
          <w:p w14:paraId="35E87AC8" w14:textId="32BB0FD1" w:rsidR="00BC0349" w:rsidRPr="00BC0349" w:rsidRDefault="00BC0349" w:rsidP="00F71BD6">
            <w:pPr>
              <w:jc w:val="both"/>
            </w:pPr>
          </w:p>
          <w:p w14:paraId="268CCDC4" w14:textId="77777777" w:rsidR="00BC0349" w:rsidRPr="00BC0349" w:rsidRDefault="00BC0349" w:rsidP="00BC0349">
            <w:pPr>
              <w:jc w:val="both"/>
            </w:pPr>
            <w:r w:rsidRPr="00BC0349">
              <w:rPr>
                <w:b/>
              </w:rPr>
              <w:t>Vyhodnotenie:</w:t>
            </w:r>
            <w:r w:rsidRPr="00BC0349">
              <w:t xml:space="preserve"> </w:t>
            </w:r>
            <w:r w:rsidRPr="00BC0349">
              <w:rPr>
                <w:i/>
              </w:rPr>
              <w:t>Pripomienka akceptovaná</w:t>
            </w:r>
            <w:r w:rsidRPr="00BC0349">
              <w:t xml:space="preserve">. </w:t>
            </w:r>
          </w:p>
          <w:p w14:paraId="4D5A9181" w14:textId="1262AB21" w:rsidR="00BC0349" w:rsidRPr="00BC0349" w:rsidRDefault="00BC0349" w:rsidP="00F71BD6">
            <w:pPr>
              <w:jc w:val="both"/>
            </w:pPr>
            <w:r w:rsidRPr="00BC0349">
              <w:t xml:space="preserve">Materiál bol upravený požadovaným spôsobom. </w:t>
            </w:r>
          </w:p>
          <w:p w14:paraId="730D2BA1" w14:textId="77777777" w:rsidR="00F71BD6" w:rsidRPr="00BC0349" w:rsidRDefault="00F71BD6" w:rsidP="00F71BD6">
            <w:pPr>
              <w:jc w:val="both"/>
            </w:pPr>
          </w:p>
          <w:p w14:paraId="5B4FB221" w14:textId="77777777" w:rsidR="00F71BD6" w:rsidRPr="00BC0349" w:rsidRDefault="00F71BD6" w:rsidP="00F71BD6">
            <w:pPr>
              <w:jc w:val="both"/>
            </w:pPr>
            <w:r w:rsidRPr="00BC0349">
              <w:t>Komisia odporúča zosúladiť informácie o vplyve na podnikateľské prostredie, uvedené v časti 12. predbežného stanoviska a v analýze vplyvov na podnikateľské prostredie, aj s textom v predkladacej správe.</w:t>
            </w:r>
          </w:p>
          <w:p w14:paraId="1B717288" w14:textId="043F9DC6" w:rsidR="00F71BD6" w:rsidRPr="00BC0349" w:rsidRDefault="00F71BD6" w:rsidP="00F71BD6">
            <w:pPr>
              <w:jc w:val="both"/>
            </w:pPr>
            <w:r w:rsidRPr="00BC0349">
              <w:rPr>
                <w:u w:val="single"/>
              </w:rPr>
              <w:t>Odôvodnenie</w:t>
            </w:r>
            <w:r w:rsidRPr="00BC0349">
              <w:t>: Je potrebné d</w:t>
            </w:r>
            <w:r w:rsidRPr="00BC0349">
              <w:rPr>
                <w:i/>
                <w:iCs/>
              </w:rPr>
              <w:t xml:space="preserve">ať </w:t>
            </w:r>
            <w:r w:rsidRPr="00BC0349">
              <w:t>text v predkladacej správe do súladu s časťou 12. predbežného stanoviska a analýzou vplyvov na podnikateľské prostredie, ktoré uvádzajú aj negatívny vplyv na podnikateľské prostredie.</w:t>
            </w:r>
          </w:p>
          <w:p w14:paraId="17946F00" w14:textId="34732413" w:rsidR="00BC0349" w:rsidRPr="00BC0349" w:rsidRDefault="00BC0349" w:rsidP="00F71BD6">
            <w:pPr>
              <w:jc w:val="both"/>
            </w:pPr>
          </w:p>
          <w:p w14:paraId="4D981779" w14:textId="77777777" w:rsidR="00BC0349" w:rsidRPr="00BC0349" w:rsidRDefault="00BC0349" w:rsidP="00BC0349">
            <w:pPr>
              <w:jc w:val="both"/>
            </w:pPr>
            <w:r w:rsidRPr="00BC0349">
              <w:rPr>
                <w:b/>
              </w:rPr>
              <w:t>Vyhodnotenie:</w:t>
            </w:r>
            <w:r w:rsidRPr="00BC0349">
              <w:t xml:space="preserve"> </w:t>
            </w:r>
            <w:r w:rsidRPr="00BC0349">
              <w:rPr>
                <w:i/>
              </w:rPr>
              <w:t>Pripomienka akceptovaná</w:t>
            </w:r>
            <w:r w:rsidRPr="00BC0349">
              <w:t xml:space="preserve">. </w:t>
            </w:r>
          </w:p>
          <w:p w14:paraId="5EC96C13" w14:textId="77777777" w:rsidR="00BC0349" w:rsidRPr="00BC0349" w:rsidRDefault="00BC0349" w:rsidP="00BC0349">
            <w:pPr>
              <w:jc w:val="both"/>
            </w:pPr>
            <w:r w:rsidRPr="00BC0349">
              <w:t xml:space="preserve">Materiál bol upravený požadovaným spôsobom. </w:t>
            </w:r>
          </w:p>
          <w:p w14:paraId="6A439D60" w14:textId="77777777" w:rsidR="00F71BD6" w:rsidRPr="00BC0349" w:rsidRDefault="00F71BD6" w:rsidP="00F71BD6">
            <w:pPr>
              <w:jc w:val="both"/>
              <w:rPr>
                <w:b/>
                <w:bCs/>
              </w:rPr>
            </w:pPr>
          </w:p>
          <w:p w14:paraId="3EF96123" w14:textId="77777777" w:rsidR="00F71BD6" w:rsidRPr="00BC0349" w:rsidRDefault="00F71BD6" w:rsidP="00F71BD6">
            <w:pPr>
              <w:jc w:val="both"/>
              <w:rPr>
                <w:b/>
                <w:bCs/>
              </w:rPr>
            </w:pPr>
            <w:r w:rsidRPr="00BC0349">
              <w:rPr>
                <w:b/>
                <w:bCs/>
              </w:rPr>
              <w:t>K vplyvom na informatizáciu spoločnosti</w:t>
            </w:r>
          </w:p>
          <w:p w14:paraId="00105FD3" w14:textId="3C6D2F6D" w:rsidR="00F71BD6" w:rsidRPr="00BC0349" w:rsidRDefault="00F71BD6" w:rsidP="00F71BD6">
            <w:pPr>
              <w:jc w:val="both"/>
            </w:pPr>
            <w:r w:rsidRPr="00BC0349">
              <w:t xml:space="preserve">Komisia súhlasí, že predložený materiál indikuje vplyv na informatizáciu spoločnosti. Nakoľko však z obsahu stanoviska je zrejmé, že bude potrebná implementácia uvedeného nariadenia do vnútroštátneho práva a ako je v materiáli uvedené, v súčasnej dobe nie je možné kvantifikovať vplyvy napr. na oblasť informatizácie v plnom rozsahu, Komisia odporúča predkladateľovi skôr uviesť informáciu, že vplyvy na vybrané oblasti budú bližšie identifikované a kvantifikované pri implementácii nariadenia. Tam bude priestor na korektné vyhodnotenie toho ktorého vplyvu a aj vyplnenie príslušnej analýzy v plnom rozsahu. V predloženej analýze absentuje vypracovanie druhej a štvrtej časti bodu 6.1. a bodu 6.3. </w:t>
            </w:r>
          </w:p>
          <w:p w14:paraId="43C12DAE" w14:textId="6502582E" w:rsidR="00F71BD6" w:rsidRPr="00BC0349" w:rsidRDefault="00F71BD6" w:rsidP="00F71BD6">
            <w:pPr>
              <w:jc w:val="both"/>
            </w:pPr>
          </w:p>
          <w:p w14:paraId="15983FA0" w14:textId="14201DEB" w:rsidR="00F71BD6" w:rsidRPr="00BC0349" w:rsidRDefault="00F71BD6" w:rsidP="00F71BD6">
            <w:pPr>
              <w:jc w:val="both"/>
            </w:pPr>
            <w:r w:rsidRPr="00BC0349">
              <w:rPr>
                <w:b/>
              </w:rPr>
              <w:t>Vyhodnotenie:</w:t>
            </w:r>
            <w:r w:rsidRPr="00BC0349">
              <w:t xml:space="preserve"> </w:t>
            </w:r>
            <w:r w:rsidRPr="00BC0349">
              <w:rPr>
                <w:i/>
              </w:rPr>
              <w:t>Pripomienka akceptovaná</w:t>
            </w:r>
            <w:r w:rsidRPr="00BC0349">
              <w:t xml:space="preserve">. </w:t>
            </w:r>
          </w:p>
          <w:p w14:paraId="2CCA1B5D" w14:textId="77777777" w:rsidR="00F71BD6" w:rsidRPr="00BC0349" w:rsidRDefault="00F71BD6" w:rsidP="00F71BD6">
            <w:pPr>
              <w:jc w:val="both"/>
            </w:pPr>
            <w:r w:rsidRPr="00BC0349">
              <w:t xml:space="preserve">Materiál bol doplnený o vyjadrenie „Vyhodnotenie: Pripomienka akceptovaná. </w:t>
            </w:r>
          </w:p>
          <w:p w14:paraId="0CCD92ED" w14:textId="62D1A1D1" w:rsidR="00F71BD6" w:rsidRPr="00BC0349" w:rsidRDefault="00F71BD6" w:rsidP="00F71BD6">
            <w:pPr>
              <w:jc w:val="both"/>
            </w:pPr>
            <w:r w:rsidRPr="00BC0349">
              <w:t xml:space="preserve">Materiál bol relevantným spôsobom upravený.“ a analýza vplyvov na podnikateľské prostredie nebude predkladaná do ďalšieho procesu.  </w:t>
            </w:r>
          </w:p>
          <w:p w14:paraId="08EA3CDE" w14:textId="4CCABF9A" w:rsidR="00F71BD6" w:rsidRPr="00BC0349" w:rsidRDefault="00F71BD6" w:rsidP="00F71BD6">
            <w:pPr>
              <w:rPr>
                <w:b/>
              </w:rPr>
            </w:pPr>
          </w:p>
        </w:tc>
      </w:tr>
    </w:tbl>
    <w:p w14:paraId="20BF6587" w14:textId="5AA863F1" w:rsidR="002050C4" w:rsidRPr="00F2249F" w:rsidRDefault="002050C4" w:rsidP="00BC0349">
      <w:pPr>
        <w:pStyle w:val="Vchodzie"/>
        <w:spacing w:after="0" w:line="240" w:lineRule="auto"/>
        <w:jc w:val="both"/>
        <w:rPr>
          <w:rFonts w:ascii="Times New Roman" w:hAnsi="Times New Roman" w:cs="Times New Roman"/>
          <w:sz w:val="24"/>
          <w:szCs w:val="24"/>
        </w:rPr>
      </w:pPr>
      <w:bookmarkStart w:id="0" w:name="_GoBack"/>
      <w:bookmarkEnd w:id="0"/>
    </w:p>
    <w:sectPr w:rsidR="002050C4" w:rsidRPr="00F2249F">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1B5F0A6" w14:textId="77777777" w:rsidR="00694AA5" w:rsidRDefault="00694AA5" w:rsidP="00A4796C">
      <w:r>
        <w:separator/>
      </w:r>
    </w:p>
  </w:endnote>
  <w:endnote w:type="continuationSeparator" w:id="0">
    <w:p w14:paraId="58E87C15" w14:textId="77777777" w:rsidR="00694AA5" w:rsidRDefault="00694AA5" w:rsidP="00A479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ngXian">
    <w:altName w:val="等线"/>
    <w:panose1 w:val="02010600030101010101"/>
    <w:charset w:val="86"/>
    <w:family w:val="modern"/>
    <w:pitch w:val="fixed"/>
    <w:sig w:usb0="00000001" w:usb1="080E0000" w:usb2="00000010" w:usb3="00000000" w:csb0="00040000" w:csb1="00000000"/>
  </w:font>
  <w:font w:name="Calibri Light">
    <w:panose1 w:val="020F0302020204030204"/>
    <w:charset w:val="EE"/>
    <w:family w:val="swiss"/>
    <w:pitch w:val="variable"/>
    <w:sig w:usb0="E4002EFF" w:usb1="C200247B" w:usb2="00000009" w:usb3="00000000" w:csb0="000001FF" w:csb1="00000000"/>
  </w:font>
  <w:font w:name="DengXian Light">
    <w:altName w:val="等线 Light"/>
    <w:panose1 w:val="00000000000000000000"/>
    <w:charset w:val="86"/>
    <w:family w:val="roman"/>
    <w:notTrueType/>
    <w:pitch w:val="default"/>
  </w:font>
  <w:font w:name="Segoe UI">
    <w:panose1 w:val="020B0502040204020203"/>
    <w:charset w:val="EE"/>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roman"/>
    <w:pitch w:val="fixed"/>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93321D3" w14:textId="77777777" w:rsidR="00694AA5" w:rsidRDefault="00694AA5" w:rsidP="00A4796C">
      <w:r>
        <w:separator/>
      </w:r>
    </w:p>
  </w:footnote>
  <w:footnote w:type="continuationSeparator" w:id="0">
    <w:p w14:paraId="0EC98FB8" w14:textId="77777777" w:rsidR="00694AA5" w:rsidRDefault="00694AA5" w:rsidP="00A4796C">
      <w:r>
        <w:continuationSeparator/>
      </w:r>
    </w:p>
  </w:footnote>
  <w:footnote w:id="1">
    <w:p w14:paraId="1F4BC8E7" w14:textId="3EE8A2D5" w:rsidR="00F71BD6" w:rsidRDefault="00F71BD6" w:rsidP="00EB1051">
      <w:pPr>
        <w:pStyle w:val="Textpoznmkypodiarou"/>
        <w:jc w:val="both"/>
      </w:pPr>
      <w:r>
        <w:rPr>
          <w:rStyle w:val="Odkaznapoznmkupodiarou"/>
        </w:rPr>
        <w:footnoteRef/>
      </w:r>
      <w:r>
        <w:t xml:space="preserve"> Konkurenčným konaním, ktoré zákon zakazuje, treba rozumieť konanie, ktorým členovia orgánov spoločnosti konajú tak, že si vytvárajú možnosť zneužívať informácie získané na základe svojho postavenia na ujmu spoločnosti, na úkor ktorej získavajú určité výhody. Účelom je zabrániť správať sa v obchodných vzťahoch špekulatívne a konať proti zásadám poctivého obchodného styku a to na základe osobitného prístupu k informáciám a podkladom spoločnosti. Zákaz konkurencie možno podľa slovenského práva v stanovách sprísniť alebo rozšíriť, pretože má kogentný charakter. </w:t>
      </w:r>
    </w:p>
  </w:footnote>
  <w:footnote w:id="2">
    <w:p w14:paraId="771FE873" w14:textId="31E716C0" w:rsidR="00F71BD6" w:rsidRPr="00A82D39" w:rsidRDefault="00F71BD6" w:rsidP="006B3A17">
      <w:pPr>
        <w:pStyle w:val="Textpoznmkypodiarou"/>
        <w:jc w:val="both"/>
        <w:rPr>
          <w:rFonts w:asciiTheme="minorHAnsi" w:hAnsiTheme="minorHAnsi" w:cstheme="minorHAnsi"/>
        </w:rPr>
      </w:pPr>
      <w:r w:rsidRPr="00F631D2">
        <w:rPr>
          <w:rStyle w:val="Odkaznapoznmkupodiarou"/>
          <w:rFonts w:asciiTheme="minorHAnsi" w:hAnsiTheme="minorHAnsi" w:cstheme="minorHAnsi"/>
        </w:rPr>
        <w:footnoteRef/>
      </w:r>
      <w:r w:rsidRPr="00F631D2">
        <w:rPr>
          <w:rFonts w:asciiTheme="minorHAnsi" w:hAnsiTheme="minorHAnsi" w:cstheme="minorHAnsi"/>
        </w:rPr>
        <w:t xml:space="preserve"> </w:t>
      </w:r>
      <w:r w:rsidRPr="00F631D2">
        <w:rPr>
          <w:rFonts w:asciiTheme="minorHAnsi" w:hAnsiTheme="minorHAnsi" w:cstheme="minorHAnsi"/>
        </w:rPr>
        <w:t xml:space="preserve">Ustanovenie § 115 obsahuje ďalšie obmedzenia, ktoré EU </w:t>
      </w:r>
      <w:proofErr w:type="spellStart"/>
      <w:r w:rsidRPr="00F631D2">
        <w:rPr>
          <w:rFonts w:asciiTheme="minorHAnsi" w:hAnsiTheme="minorHAnsi" w:cstheme="minorHAnsi"/>
        </w:rPr>
        <w:t>Inc</w:t>
      </w:r>
      <w:proofErr w:type="spellEnd"/>
      <w:r w:rsidRPr="00F631D2">
        <w:rPr>
          <w:rFonts w:asciiTheme="minorHAnsi" w:hAnsiTheme="minorHAnsi" w:cstheme="minorHAnsi"/>
        </w:rPr>
        <w:t xml:space="preserve">. návrh nepozná a to obmedzenie prevoditeľnosti podielov v prípade, že spoločnosť je predmetom konania o zrušení alebo </w:t>
      </w:r>
      <w:proofErr w:type="spellStart"/>
      <w:r w:rsidRPr="00F631D2">
        <w:rPr>
          <w:rFonts w:asciiTheme="minorHAnsi" w:hAnsiTheme="minorHAnsi" w:cstheme="minorHAnsi"/>
        </w:rPr>
        <w:t>insolvenčného</w:t>
      </w:r>
      <w:proofErr w:type="spellEnd"/>
      <w:r w:rsidRPr="00F631D2">
        <w:rPr>
          <w:rFonts w:asciiTheme="minorHAnsi" w:hAnsiTheme="minorHAnsi" w:cstheme="minorHAnsi"/>
        </w:rPr>
        <w:t xml:space="preserve"> konania. Ďalším obmedzením je nemožnosť stať sa spoločníkom ak je osoba </w:t>
      </w:r>
      <w:r>
        <w:rPr>
          <w:rFonts w:asciiTheme="minorHAnsi" w:hAnsiTheme="minorHAnsi" w:cstheme="minorHAnsi"/>
        </w:rPr>
        <w:t>v registri exekúcií ako povinný</w:t>
      </w:r>
      <w:r w:rsidRPr="00F631D2">
        <w:rPr>
          <w:rFonts w:asciiTheme="minorHAnsi" w:hAnsiTheme="minorHAnsi" w:cstheme="minorHAnsi"/>
        </w:rPr>
        <w:t>.</w:t>
      </w:r>
      <w:r>
        <w:rPr>
          <w:rFonts w:asciiTheme="minorHAnsi" w:hAnsiTheme="minorHAnsi" w:cstheme="minorHAnsi"/>
        </w:rPr>
        <w:t xml:space="preserve"> </w:t>
      </w:r>
    </w:p>
  </w:footnote>
  <w:footnote w:id="3">
    <w:p w14:paraId="13A36EAC" w14:textId="77777777" w:rsidR="00F71BD6" w:rsidRDefault="00F71BD6" w:rsidP="00654D09">
      <w:pPr>
        <w:pStyle w:val="Textpoznmkypodiarou"/>
        <w:jc w:val="both"/>
      </w:pPr>
      <w:r>
        <w:rPr>
          <w:rStyle w:val="Odkaznapoznmkupodiarou"/>
        </w:rPr>
        <w:footnoteRef/>
      </w:r>
      <w:r>
        <w:t xml:space="preserve"> </w:t>
      </w:r>
      <w:r w:rsidRPr="00E41FC2">
        <w:rPr>
          <w:rFonts w:asciiTheme="minorHAnsi" w:hAnsiTheme="minorHAnsi" w:cs="Calibri"/>
          <w:sz w:val="22"/>
          <w:szCs w:val="22"/>
        </w:rPr>
        <w:t>§ 59 ods. 3</w:t>
      </w:r>
      <w:r>
        <w:rPr>
          <w:rFonts w:asciiTheme="minorHAnsi" w:hAnsiTheme="minorHAnsi" w:cs="Calibri"/>
          <w:sz w:val="22"/>
          <w:szCs w:val="22"/>
        </w:rPr>
        <w:t xml:space="preserve"> ObZ</w:t>
      </w:r>
      <w:r w:rsidRPr="00E41FC2">
        <w:rPr>
          <w:rFonts w:asciiTheme="minorHAnsi" w:hAnsiTheme="minorHAnsi" w:cs="Calibri"/>
          <w:sz w:val="22"/>
          <w:szCs w:val="22"/>
        </w:rPr>
        <w:t xml:space="preserve"> „znaleckým posudkom, ktorý musí obsahovať .... údaj o tom, či hodnota vkladu zodpovedá emisnému kurzu upísaných akcií splácaných týmto vkladom...“</w:t>
      </w:r>
    </w:p>
  </w:footnote>
  <w:footnote w:id="4">
    <w:p w14:paraId="3CCB2B17" w14:textId="77777777" w:rsidR="00F71BD6" w:rsidRDefault="00F71BD6" w:rsidP="00EB1051">
      <w:pPr>
        <w:pStyle w:val="Textpoznmkypodiarou"/>
      </w:pPr>
      <w:r>
        <w:rPr>
          <w:rStyle w:val="Odkaznapoznmkupodiarou"/>
        </w:rPr>
        <w:footnoteRef/>
      </w:r>
      <w:r>
        <w:t xml:space="preserve"> </w:t>
      </w:r>
      <w:r>
        <w:t xml:space="preserve">Kapitola sa vzťahuje iba na </w:t>
      </w:r>
      <w:proofErr w:type="spellStart"/>
      <w:r>
        <w:t>startup</w:t>
      </w:r>
      <w:proofErr w:type="spellEnd"/>
      <w:r>
        <w:t xml:space="preserve">-y, nie na </w:t>
      </w:r>
      <w:proofErr w:type="spellStart"/>
      <w:r>
        <w:t>scaleup</w:t>
      </w:r>
      <w:proofErr w:type="spellEnd"/>
      <w:r>
        <w:t xml:space="preserve">-y. </w:t>
      </w:r>
    </w:p>
  </w:footnote>
  <w:footnote w:id="5">
    <w:p w14:paraId="5940E2A7" w14:textId="77777777" w:rsidR="00F71BD6" w:rsidRDefault="00F71BD6" w:rsidP="00EB1051">
      <w:pPr>
        <w:pStyle w:val="Textpoznmkypodiarou"/>
        <w:jc w:val="both"/>
      </w:pPr>
      <w:r>
        <w:rPr>
          <w:rStyle w:val="Odkaznapoznmkupodiarou"/>
        </w:rPr>
        <w:footnoteRef/>
      </w:r>
      <w:r>
        <w:t xml:space="preserve"> </w:t>
      </w:r>
      <w:r>
        <w:t xml:space="preserve">Malý konkurz bol do slovenskej právnej úpravy zavádzaný ako zjednodušené konanie pre menšie firmy s ideou, že pre väčšie, komplikované, alebo netransparentne postupujúce firmy sa bude aplikovať klasický postup s viacerými kontrolnými pravidlami a prísnejšími požiadavkami na transparentnosť. </w:t>
      </w:r>
    </w:p>
  </w:footnote>
  <w:footnote w:id="6">
    <w:p w14:paraId="2943FD95" w14:textId="6BE4627E" w:rsidR="00F71BD6" w:rsidRDefault="00F71BD6" w:rsidP="00BC2B2C">
      <w:pPr>
        <w:pStyle w:val="Textpoznmkypodiarou"/>
        <w:jc w:val="both"/>
      </w:pPr>
      <w:r>
        <w:rPr>
          <w:rStyle w:val="Odkaznapoznmkupodiarou"/>
        </w:rPr>
        <w:footnoteRef/>
      </w:r>
      <w:r>
        <w:t xml:space="preserve"> </w:t>
      </w:r>
      <w:r>
        <w:t xml:space="preserve">Odporúčanie Európskej komisie z 18.3. 2026 o definícii inovatívnych podnikov, inovatívnych </w:t>
      </w:r>
      <w:proofErr w:type="spellStart"/>
      <w:r>
        <w:t>startupov</w:t>
      </w:r>
      <w:proofErr w:type="spellEnd"/>
      <w:r>
        <w:t xml:space="preserve"> a inovatívnych </w:t>
      </w:r>
      <w:proofErr w:type="spellStart"/>
      <w:r>
        <w:t>scaleupov</w:t>
      </w:r>
      <w:proofErr w:type="spellEnd"/>
      <w:r>
        <w:t xml:space="preserve"> č. C (2026) 1800 </w:t>
      </w:r>
      <w:proofErr w:type="spellStart"/>
      <w:r>
        <w:t>final</w:t>
      </w:r>
      <w:proofErr w:type="spellEnd"/>
      <w:r>
        <w:t>, ďalej iba ako „Odporúčanie KOM k definícii inovatívnych podnikov“</w:t>
      </w:r>
    </w:p>
  </w:footnote>
  <w:footnote w:id="7">
    <w:p w14:paraId="3063F999" w14:textId="77777777" w:rsidR="00F71BD6" w:rsidRDefault="00F71BD6" w:rsidP="00EB1051">
      <w:pPr>
        <w:pStyle w:val="Textpoznmkypodiarou"/>
        <w:jc w:val="both"/>
      </w:pPr>
      <w:r>
        <w:rPr>
          <w:rStyle w:val="Odkaznapoznmkupodiarou"/>
        </w:rPr>
        <w:footnoteRef/>
      </w:r>
      <w:r>
        <w:t xml:space="preserve"> </w:t>
      </w:r>
      <w:r>
        <w:t>Veľký úpadca je úpadca na ktorého sa aplikujú normy o všeobecnom konkurznom konaní, malým sa potom mieni úpadca, ktorý môže vstúpiť do malého konkurzu.</w:t>
      </w:r>
    </w:p>
  </w:footnote>
  <w:footnote w:id="8">
    <w:p w14:paraId="066B2C77" w14:textId="77777777" w:rsidR="00F71BD6" w:rsidRDefault="00F71BD6" w:rsidP="00EB1051">
      <w:pPr>
        <w:pStyle w:val="Textpoznmkypodiarou"/>
        <w:jc w:val="both"/>
      </w:pPr>
      <w:r>
        <w:rPr>
          <w:rStyle w:val="Odkaznapoznmkupodiarou"/>
        </w:rPr>
        <w:footnoteRef/>
      </w:r>
      <w:r>
        <w:t xml:space="preserve"> </w:t>
      </w:r>
      <w:r>
        <w:t>Napríklad § 30c zákona o dani z príjmov upravuje odpočet výdavkov (nákladov) na výskum a vývoj v zdaňovacom období; § 20 zákona o účtovníctve upravuje informácie o nákladoch na činnosť v oblasti výskumu a vývoja vo výročnej správe účtovnej jednotky, ktorá musí mať účtovnú závierku overenú audítorom</w:t>
      </w:r>
    </w:p>
  </w:footnote>
  <w:footnote w:id="9">
    <w:p w14:paraId="58958874" w14:textId="77777777" w:rsidR="00F71BD6" w:rsidRDefault="00F71BD6" w:rsidP="00EB1051">
      <w:pPr>
        <w:pStyle w:val="Textpoznmkypodiarou"/>
        <w:jc w:val="both"/>
      </w:pPr>
      <w:r>
        <w:rPr>
          <w:rStyle w:val="Odkaznapoznmkupodiarou"/>
        </w:rPr>
        <w:footnoteRef/>
      </w:r>
      <w:r>
        <w:t xml:space="preserve"> </w:t>
      </w:r>
      <w:r>
        <w:t>Čerpáme z prípravných prác k Predbežnému stanovisku SR k návrhu smernice EP a Rady o harmonizácii niektorých aspektov insolvencie 2022/0408 (COD)</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649C3AD4"/>
    <w:lvl w:ilvl="0">
      <w:start w:val="1"/>
      <w:numFmt w:val="decimal"/>
      <w:lvlText w:val="%1."/>
      <w:lvlJc w:val="left"/>
      <w:pPr>
        <w:ind w:left="360" w:hanging="360"/>
      </w:pPr>
      <w:rPr>
        <w:rFonts w:eastAsia="Times New Roman" w:hAnsi="Times New Roman" w:cs="Times New Roman" w:hint="default"/>
        <w:b/>
        <w:bCs/>
        <w:sz w:val="24"/>
        <w:szCs w:val="24"/>
      </w:rPr>
    </w:lvl>
    <w:lvl w:ilvl="1">
      <w:numFmt w:val="decimal"/>
      <w:lvlText w:val=""/>
      <w:lvlJc w:val="left"/>
      <w:pPr>
        <w:ind w:left="0" w:firstLine="0"/>
      </w:pPr>
      <w:rPr>
        <w:rFonts w:cs="Times New Roman" w:hint="default"/>
      </w:rPr>
    </w:lvl>
    <w:lvl w:ilvl="2">
      <w:numFmt w:val="decimal"/>
      <w:lvlText w:val=""/>
      <w:lvlJc w:val="left"/>
      <w:pPr>
        <w:ind w:left="0" w:firstLine="0"/>
      </w:pPr>
      <w:rPr>
        <w:rFonts w:cs="Times New Roman" w:hint="default"/>
      </w:rPr>
    </w:lvl>
    <w:lvl w:ilvl="3">
      <w:numFmt w:val="decimal"/>
      <w:lvlText w:val=""/>
      <w:lvlJc w:val="left"/>
      <w:pPr>
        <w:ind w:left="0" w:firstLine="0"/>
      </w:pPr>
      <w:rPr>
        <w:rFonts w:cs="Times New Roman" w:hint="default"/>
      </w:rPr>
    </w:lvl>
    <w:lvl w:ilvl="4">
      <w:numFmt w:val="decimal"/>
      <w:lvlText w:val=""/>
      <w:lvlJc w:val="left"/>
      <w:pPr>
        <w:ind w:left="0" w:firstLine="0"/>
      </w:pPr>
      <w:rPr>
        <w:rFonts w:cs="Times New Roman" w:hint="default"/>
      </w:rPr>
    </w:lvl>
    <w:lvl w:ilvl="5">
      <w:numFmt w:val="decimal"/>
      <w:lvlText w:val=""/>
      <w:lvlJc w:val="left"/>
      <w:pPr>
        <w:ind w:left="0" w:firstLine="0"/>
      </w:pPr>
      <w:rPr>
        <w:rFonts w:cs="Times New Roman" w:hint="default"/>
      </w:rPr>
    </w:lvl>
    <w:lvl w:ilvl="6">
      <w:numFmt w:val="decimal"/>
      <w:lvlText w:val=""/>
      <w:lvlJc w:val="left"/>
      <w:pPr>
        <w:ind w:left="0" w:firstLine="0"/>
      </w:pPr>
      <w:rPr>
        <w:rFonts w:cs="Times New Roman" w:hint="default"/>
      </w:rPr>
    </w:lvl>
    <w:lvl w:ilvl="7">
      <w:numFmt w:val="decimal"/>
      <w:lvlText w:val=""/>
      <w:lvlJc w:val="left"/>
      <w:pPr>
        <w:ind w:left="0" w:firstLine="0"/>
      </w:pPr>
      <w:rPr>
        <w:rFonts w:cs="Times New Roman" w:hint="default"/>
      </w:rPr>
    </w:lvl>
    <w:lvl w:ilvl="8">
      <w:numFmt w:val="decimal"/>
      <w:lvlText w:val=""/>
      <w:lvlJc w:val="left"/>
      <w:pPr>
        <w:ind w:left="0" w:firstLine="0"/>
      </w:pPr>
      <w:rPr>
        <w:rFonts w:cs="Times New Roman" w:hint="default"/>
      </w:rPr>
    </w:lvl>
  </w:abstractNum>
  <w:abstractNum w:abstractNumId="1" w15:restartNumberingAfterBreak="0">
    <w:nsid w:val="1C483233"/>
    <w:multiLevelType w:val="hybridMultilevel"/>
    <w:tmpl w:val="88CCA442"/>
    <w:lvl w:ilvl="0" w:tplc="1D606C76">
      <w:start w:val="2"/>
      <w:numFmt w:val="bullet"/>
      <w:lvlText w:val="-"/>
      <w:lvlJc w:val="left"/>
      <w:pPr>
        <w:ind w:left="720" w:hanging="360"/>
      </w:pPr>
      <w:rPr>
        <w:rFonts w:ascii="Calibri" w:eastAsia="Times New Roman" w:hAnsi="Calibri" w:cs="Calibri"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 w15:restartNumberingAfterBreak="0">
    <w:nsid w:val="4D7A02B5"/>
    <w:multiLevelType w:val="hybridMultilevel"/>
    <w:tmpl w:val="F934DD16"/>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 w15:restartNumberingAfterBreak="0">
    <w:nsid w:val="5B504FEC"/>
    <w:multiLevelType w:val="hybridMultilevel"/>
    <w:tmpl w:val="CEDC6C3C"/>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4" w15:restartNumberingAfterBreak="0">
    <w:nsid w:val="744D6E0E"/>
    <w:multiLevelType w:val="hybridMultilevel"/>
    <w:tmpl w:val="353ED95A"/>
    <w:lvl w:ilvl="0" w:tplc="AC443776">
      <w:numFmt w:val="bullet"/>
      <w:lvlText w:val="-"/>
      <w:lvlJc w:val="left"/>
      <w:pPr>
        <w:ind w:left="720" w:hanging="360"/>
      </w:pPr>
      <w:rPr>
        <w:rFonts w:ascii="Times New Roman" w:eastAsia="Times New Roman"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5" w15:restartNumberingAfterBreak="0">
    <w:nsid w:val="7BDE54EF"/>
    <w:multiLevelType w:val="hybridMultilevel"/>
    <w:tmpl w:val="419C7968"/>
    <w:lvl w:ilvl="0" w:tplc="041B000F">
      <w:start w:val="1"/>
      <w:numFmt w:val="decimal"/>
      <w:lvlText w:val="%1."/>
      <w:lvlJc w:val="left"/>
      <w:pPr>
        <w:ind w:left="862" w:hanging="360"/>
      </w:pPr>
    </w:lvl>
    <w:lvl w:ilvl="1" w:tplc="041B0019" w:tentative="1">
      <w:start w:val="1"/>
      <w:numFmt w:val="lowerLetter"/>
      <w:lvlText w:val="%2."/>
      <w:lvlJc w:val="left"/>
      <w:pPr>
        <w:ind w:left="1582" w:hanging="360"/>
      </w:pPr>
    </w:lvl>
    <w:lvl w:ilvl="2" w:tplc="041B001B" w:tentative="1">
      <w:start w:val="1"/>
      <w:numFmt w:val="lowerRoman"/>
      <w:lvlText w:val="%3."/>
      <w:lvlJc w:val="right"/>
      <w:pPr>
        <w:ind w:left="2302" w:hanging="180"/>
      </w:pPr>
    </w:lvl>
    <w:lvl w:ilvl="3" w:tplc="041B000F" w:tentative="1">
      <w:start w:val="1"/>
      <w:numFmt w:val="decimal"/>
      <w:lvlText w:val="%4."/>
      <w:lvlJc w:val="left"/>
      <w:pPr>
        <w:ind w:left="3022" w:hanging="360"/>
      </w:pPr>
    </w:lvl>
    <w:lvl w:ilvl="4" w:tplc="041B0019" w:tentative="1">
      <w:start w:val="1"/>
      <w:numFmt w:val="lowerLetter"/>
      <w:lvlText w:val="%5."/>
      <w:lvlJc w:val="left"/>
      <w:pPr>
        <w:ind w:left="3742" w:hanging="360"/>
      </w:pPr>
    </w:lvl>
    <w:lvl w:ilvl="5" w:tplc="041B001B" w:tentative="1">
      <w:start w:val="1"/>
      <w:numFmt w:val="lowerRoman"/>
      <w:lvlText w:val="%6."/>
      <w:lvlJc w:val="right"/>
      <w:pPr>
        <w:ind w:left="4462" w:hanging="180"/>
      </w:pPr>
    </w:lvl>
    <w:lvl w:ilvl="6" w:tplc="041B000F" w:tentative="1">
      <w:start w:val="1"/>
      <w:numFmt w:val="decimal"/>
      <w:lvlText w:val="%7."/>
      <w:lvlJc w:val="left"/>
      <w:pPr>
        <w:ind w:left="5182" w:hanging="360"/>
      </w:pPr>
    </w:lvl>
    <w:lvl w:ilvl="7" w:tplc="041B0019" w:tentative="1">
      <w:start w:val="1"/>
      <w:numFmt w:val="lowerLetter"/>
      <w:lvlText w:val="%8."/>
      <w:lvlJc w:val="left"/>
      <w:pPr>
        <w:ind w:left="5902" w:hanging="360"/>
      </w:pPr>
    </w:lvl>
    <w:lvl w:ilvl="8" w:tplc="041B001B" w:tentative="1">
      <w:start w:val="1"/>
      <w:numFmt w:val="lowerRoman"/>
      <w:lvlText w:val="%9."/>
      <w:lvlJc w:val="right"/>
      <w:pPr>
        <w:ind w:left="6622" w:hanging="180"/>
      </w:pPr>
    </w:lvl>
  </w:abstractNum>
  <w:num w:numId="1">
    <w:abstractNumId w:val="0"/>
  </w:num>
  <w:num w:numId="2">
    <w:abstractNumId w:val="4"/>
  </w:num>
  <w:num w:numId="3">
    <w:abstractNumId w:val="2"/>
  </w:num>
  <w:num w:numId="4">
    <w:abstractNumId w:val="1"/>
  </w:num>
  <w:num w:numId="5">
    <w:abstractNumId w:val="3"/>
  </w:num>
  <w:num w:numId="6">
    <w:abstractNumId w:val="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796C"/>
    <w:rsid w:val="000010D4"/>
    <w:rsid w:val="00031EB4"/>
    <w:rsid w:val="00044100"/>
    <w:rsid w:val="00046A28"/>
    <w:rsid w:val="000945AD"/>
    <w:rsid w:val="000A1088"/>
    <w:rsid w:val="000A2C75"/>
    <w:rsid w:val="000A6502"/>
    <w:rsid w:val="0013747A"/>
    <w:rsid w:val="00137FD0"/>
    <w:rsid w:val="00167B41"/>
    <w:rsid w:val="00176DD9"/>
    <w:rsid w:val="00191FC0"/>
    <w:rsid w:val="002050C4"/>
    <w:rsid w:val="00206818"/>
    <w:rsid w:val="00225542"/>
    <w:rsid w:val="00273F56"/>
    <w:rsid w:val="00295029"/>
    <w:rsid w:val="00296ACE"/>
    <w:rsid w:val="002A1C45"/>
    <w:rsid w:val="002D4B95"/>
    <w:rsid w:val="00360214"/>
    <w:rsid w:val="0038241A"/>
    <w:rsid w:val="003912D3"/>
    <w:rsid w:val="003A23B7"/>
    <w:rsid w:val="00411965"/>
    <w:rsid w:val="00412F74"/>
    <w:rsid w:val="004160BF"/>
    <w:rsid w:val="00440D13"/>
    <w:rsid w:val="00442D65"/>
    <w:rsid w:val="00453A97"/>
    <w:rsid w:val="00462D12"/>
    <w:rsid w:val="004739B7"/>
    <w:rsid w:val="004A471E"/>
    <w:rsid w:val="004C2717"/>
    <w:rsid w:val="004D235A"/>
    <w:rsid w:val="004D72CE"/>
    <w:rsid w:val="0052107B"/>
    <w:rsid w:val="005352AB"/>
    <w:rsid w:val="0056576F"/>
    <w:rsid w:val="00565D81"/>
    <w:rsid w:val="00587BEC"/>
    <w:rsid w:val="005C1594"/>
    <w:rsid w:val="005C281A"/>
    <w:rsid w:val="005C3EE6"/>
    <w:rsid w:val="005F6F4E"/>
    <w:rsid w:val="006141AD"/>
    <w:rsid w:val="00615698"/>
    <w:rsid w:val="00654D09"/>
    <w:rsid w:val="0066717F"/>
    <w:rsid w:val="006729FD"/>
    <w:rsid w:val="006871D2"/>
    <w:rsid w:val="00694AA5"/>
    <w:rsid w:val="006B3A17"/>
    <w:rsid w:val="006E1FA6"/>
    <w:rsid w:val="006F3213"/>
    <w:rsid w:val="007071C8"/>
    <w:rsid w:val="00724C73"/>
    <w:rsid w:val="00735770"/>
    <w:rsid w:val="0074466C"/>
    <w:rsid w:val="007541AF"/>
    <w:rsid w:val="00791B28"/>
    <w:rsid w:val="007E481E"/>
    <w:rsid w:val="007F64D1"/>
    <w:rsid w:val="008304A7"/>
    <w:rsid w:val="00834984"/>
    <w:rsid w:val="008653A0"/>
    <w:rsid w:val="00877A50"/>
    <w:rsid w:val="008813FA"/>
    <w:rsid w:val="0088462B"/>
    <w:rsid w:val="008B5E02"/>
    <w:rsid w:val="008C0257"/>
    <w:rsid w:val="008C28DB"/>
    <w:rsid w:val="008E0387"/>
    <w:rsid w:val="008E6C3A"/>
    <w:rsid w:val="008F7E7B"/>
    <w:rsid w:val="00912B0B"/>
    <w:rsid w:val="00920443"/>
    <w:rsid w:val="00943C55"/>
    <w:rsid w:val="0095558C"/>
    <w:rsid w:val="009667E9"/>
    <w:rsid w:val="00987D3F"/>
    <w:rsid w:val="009A29F8"/>
    <w:rsid w:val="009A3CD2"/>
    <w:rsid w:val="009B1EC3"/>
    <w:rsid w:val="009C0439"/>
    <w:rsid w:val="009E0888"/>
    <w:rsid w:val="009F057C"/>
    <w:rsid w:val="00A2094C"/>
    <w:rsid w:val="00A4796C"/>
    <w:rsid w:val="00A7677D"/>
    <w:rsid w:val="00A83EC7"/>
    <w:rsid w:val="00A94973"/>
    <w:rsid w:val="00AA46DE"/>
    <w:rsid w:val="00AC46DC"/>
    <w:rsid w:val="00AF2528"/>
    <w:rsid w:val="00AF6A29"/>
    <w:rsid w:val="00B03E8D"/>
    <w:rsid w:val="00B16B0E"/>
    <w:rsid w:val="00B22868"/>
    <w:rsid w:val="00B34525"/>
    <w:rsid w:val="00B5379F"/>
    <w:rsid w:val="00BC0349"/>
    <w:rsid w:val="00BC2B2C"/>
    <w:rsid w:val="00C3285C"/>
    <w:rsid w:val="00C66D5D"/>
    <w:rsid w:val="00C70A3E"/>
    <w:rsid w:val="00C80D6F"/>
    <w:rsid w:val="00CA388F"/>
    <w:rsid w:val="00CB4250"/>
    <w:rsid w:val="00CC6808"/>
    <w:rsid w:val="00CD6A29"/>
    <w:rsid w:val="00CE5EEF"/>
    <w:rsid w:val="00D26E48"/>
    <w:rsid w:val="00D322DC"/>
    <w:rsid w:val="00D574C1"/>
    <w:rsid w:val="00D64434"/>
    <w:rsid w:val="00D866F0"/>
    <w:rsid w:val="00D86C77"/>
    <w:rsid w:val="00DA0D46"/>
    <w:rsid w:val="00DD00F0"/>
    <w:rsid w:val="00DE32C5"/>
    <w:rsid w:val="00E01EC7"/>
    <w:rsid w:val="00E07E93"/>
    <w:rsid w:val="00E14F02"/>
    <w:rsid w:val="00E64792"/>
    <w:rsid w:val="00E73846"/>
    <w:rsid w:val="00E761EB"/>
    <w:rsid w:val="00E82785"/>
    <w:rsid w:val="00E92233"/>
    <w:rsid w:val="00EA3421"/>
    <w:rsid w:val="00EB1051"/>
    <w:rsid w:val="00F01603"/>
    <w:rsid w:val="00F1637C"/>
    <w:rsid w:val="00F166C6"/>
    <w:rsid w:val="00F2249F"/>
    <w:rsid w:val="00F3467A"/>
    <w:rsid w:val="00F54CCE"/>
    <w:rsid w:val="00F631D2"/>
    <w:rsid w:val="00F71BD6"/>
    <w:rsid w:val="00F80330"/>
    <w:rsid w:val="00F96C44"/>
    <w:rsid w:val="00FA4BC9"/>
    <w:rsid w:val="00FC1958"/>
    <w:rsid w:val="00FC4C7B"/>
    <w:rsid w:val="00FD75A2"/>
    <w:rsid w:val="00FE6CDC"/>
  </w:rsids>
  <m:mathPr>
    <m:mathFont m:val="Cambria Math"/>
    <m:brkBin m:val="before"/>
    <m:brkBinSub m:val="--"/>
    <m:smallFrac m:val="0"/>
    <m:dispDef/>
    <m:lMargin m:val="0"/>
    <m:rMargin m:val="0"/>
    <m:defJc m:val="centerGroup"/>
    <m:wrapIndent m:val="1440"/>
    <m:intLim m:val="subSup"/>
    <m:naryLim m:val="undOvr"/>
  </m:mathPr>
  <w:themeFontLang w:val="sk-SK"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41336"/>
  <w15:chartTrackingRefBased/>
  <w15:docId w15:val="{CA3D9B71-A075-4A56-A42E-5158D56DE9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sk-SK"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A4796C"/>
    <w:pPr>
      <w:spacing w:after="0" w:line="240" w:lineRule="auto"/>
    </w:pPr>
    <w:rPr>
      <w:rFonts w:ascii="Times New Roman" w:eastAsia="Times New Roman" w:hAnsi="Times New Roman" w:cs="Times New Roman"/>
      <w:sz w:val="24"/>
      <w:szCs w:val="24"/>
      <w:lang w:eastAsia="sk-SK"/>
    </w:rPr>
  </w:style>
  <w:style w:type="paragraph" w:styleId="Nadpis1">
    <w:name w:val="heading 1"/>
    <w:basedOn w:val="Normlny"/>
    <w:next w:val="Normlny"/>
    <w:link w:val="Nadpis1Char"/>
    <w:uiPriority w:val="9"/>
    <w:qFormat/>
    <w:rsid w:val="00EB1051"/>
    <w:pPr>
      <w:keepNext/>
      <w:jc w:val="center"/>
      <w:outlineLvl w:val="0"/>
    </w:pPr>
    <w:rPr>
      <w:b/>
      <w:sz w:val="26"/>
      <w:szCs w:val="20"/>
      <w:lang w:eastAsia="cs-CZ"/>
    </w:rPr>
  </w:style>
  <w:style w:type="paragraph" w:styleId="Nadpis2">
    <w:name w:val="heading 2"/>
    <w:basedOn w:val="Normlny"/>
    <w:next w:val="Normlny"/>
    <w:link w:val="Nadpis2Char"/>
    <w:uiPriority w:val="9"/>
    <w:unhideWhenUsed/>
    <w:qFormat/>
    <w:rsid w:val="00EB1051"/>
    <w:pPr>
      <w:keepNext/>
      <w:keepLines/>
      <w:spacing w:before="40"/>
      <w:outlineLvl w:val="1"/>
    </w:pPr>
    <w:rPr>
      <w:rFonts w:asciiTheme="majorHAnsi" w:eastAsiaTheme="majorEastAsia" w:hAnsiTheme="majorHAnsi"/>
      <w:color w:val="2F5496" w:themeColor="accent1" w:themeShade="BF"/>
      <w:sz w:val="26"/>
      <w:szCs w:val="26"/>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Bezriadkovania">
    <w:name w:val="No Spacing"/>
    <w:uiPriority w:val="1"/>
    <w:qFormat/>
    <w:rsid w:val="00A4796C"/>
    <w:pPr>
      <w:spacing w:after="0" w:line="240" w:lineRule="auto"/>
    </w:pPr>
    <w:rPr>
      <w:rFonts w:ascii="Calibri" w:eastAsia="Calibri" w:hAnsi="Calibri" w:cs="Times New Roman"/>
      <w:lang w:eastAsia="en-US"/>
    </w:rPr>
  </w:style>
  <w:style w:type="paragraph" w:styleId="Textpoznmkypodiarou">
    <w:name w:val="footnote text"/>
    <w:aliases w:val="Text poznámky pod čiarou 007,Footnote,Fußnote,Fußnotentextf,Note de bas de page Car Car Car Car Car Car Car Car Car Car,Note de bas de page Car Car Car Car,Note de bas de page Car Car Car Car Car Car Car Car Car,ft"/>
    <w:basedOn w:val="Normlny"/>
    <w:link w:val="TextpoznmkypodiarouChar"/>
    <w:uiPriority w:val="99"/>
    <w:rsid w:val="00A4796C"/>
    <w:rPr>
      <w:sz w:val="20"/>
      <w:szCs w:val="20"/>
      <w:lang w:eastAsia="cs-CZ"/>
    </w:rPr>
  </w:style>
  <w:style w:type="character" w:customStyle="1" w:styleId="TextpoznmkypodiarouChar">
    <w:name w:val="Text poznámky pod čiarou Char"/>
    <w:aliases w:val="Text poznámky pod čiarou 007 Char,Footnote Char,Fußnote Char,Fußnotentextf Char,Note de bas de page Car Car Car Car Car Car Car Car Car Car Char,Note de bas de page Car Car Car Car Char,ft Char"/>
    <w:basedOn w:val="Predvolenpsmoodseku"/>
    <w:link w:val="Textpoznmkypodiarou"/>
    <w:uiPriority w:val="99"/>
    <w:rsid w:val="00A4796C"/>
    <w:rPr>
      <w:rFonts w:ascii="Times New Roman" w:eastAsia="Times New Roman" w:hAnsi="Times New Roman" w:cs="Times New Roman"/>
      <w:sz w:val="20"/>
      <w:szCs w:val="20"/>
      <w:lang w:eastAsia="cs-CZ"/>
    </w:rPr>
  </w:style>
  <w:style w:type="character" w:styleId="Odkaznapoznmkupodiarou">
    <w:name w:val="footnote reference"/>
    <w:aliases w:val="Footnote Reference Number,Footnote Reference Superscript,BVI fnr,Footnote symbol, BVI fnr,SUPERS,(Footnote Reference),Voetnootverwijzing,Times 10 Point,Exposant 3 Point,Footnote reference number,note TESI,Odwołanie przypisu"/>
    <w:uiPriority w:val="99"/>
    <w:rsid w:val="00A4796C"/>
    <w:rPr>
      <w:vertAlign w:val="superscript"/>
    </w:rPr>
  </w:style>
  <w:style w:type="paragraph" w:styleId="Zkladntext2">
    <w:name w:val="Body Text 2"/>
    <w:basedOn w:val="Normlny"/>
    <w:link w:val="Zkladntext2Char"/>
    <w:uiPriority w:val="99"/>
    <w:semiHidden/>
    <w:unhideWhenUsed/>
    <w:rsid w:val="00A4796C"/>
    <w:pPr>
      <w:spacing w:after="120" w:line="480" w:lineRule="auto"/>
    </w:pPr>
  </w:style>
  <w:style w:type="character" w:customStyle="1" w:styleId="Zkladntext2Char">
    <w:name w:val="Základný text 2 Char"/>
    <w:basedOn w:val="Predvolenpsmoodseku"/>
    <w:link w:val="Zkladntext2"/>
    <w:uiPriority w:val="99"/>
    <w:semiHidden/>
    <w:rsid w:val="00A4796C"/>
    <w:rPr>
      <w:rFonts w:ascii="Times New Roman" w:eastAsia="Times New Roman" w:hAnsi="Times New Roman" w:cs="Times New Roman"/>
      <w:sz w:val="24"/>
      <w:szCs w:val="24"/>
      <w:lang w:eastAsia="sk-SK"/>
    </w:rPr>
  </w:style>
  <w:style w:type="paragraph" w:styleId="Oznaitext">
    <w:name w:val="Block Text"/>
    <w:basedOn w:val="Normlny"/>
    <w:uiPriority w:val="99"/>
    <w:rsid w:val="00A4796C"/>
    <w:pPr>
      <w:overflowPunct w:val="0"/>
      <w:autoSpaceDE w:val="0"/>
      <w:autoSpaceDN w:val="0"/>
      <w:adjustRightInd w:val="0"/>
      <w:ind w:left="709" w:right="425" w:firstLine="360"/>
      <w:jc w:val="both"/>
      <w:textAlignment w:val="baseline"/>
    </w:pPr>
    <w:rPr>
      <w:lang w:eastAsia="en-US"/>
    </w:rPr>
  </w:style>
  <w:style w:type="paragraph" w:styleId="Odsekzoznamu">
    <w:name w:val="List Paragraph"/>
    <w:aliases w:val="Dot pt,No Spacing1,List Paragraph Char Char Char,Indicator Text,Numbered Para 1,List Paragraph à moi,Odsek zoznamu4,LISTA,List Paragraph1,Listaszerű bekezdés2,Listaszerű bekezdés3,Listaszerű bekezdés1,Bullet 1,Bullet Points,MAIN CONTENT,3"/>
    <w:basedOn w:val="Normlny"/>
    <w:link w:val="OdsekzoznamuChar"/>
    <w:uiPriority w:val="34"/>
    <w:qFormat/>
    <w:rsid w:val="00A4796C"/>
    <w:pPr>
      <w:ind w:left="720"/>
      <w:contextualSpacing/>
    </w:pPr>
  </w:style>
  <w:style w:type="paragraph" w:customStyle="1" w:styleId="Vchodzie">
    <w:name w:val="Vchodzie"/>
    <w:uiPriority w:val="99"/>
    <w:rsid w:val="00A4796C"/>
    <w:pPr>
      <w:autoSpaceDE w:val="0"/>
      <w:autoSpaceDN w:val="0"/>
      <w:adjustRightInd w:val="0"/>
      <w:spacing w:after="200" w:line="276" w:lineRule="auto"/>
    </w:pPr>
    <w:rPr>
      <w:rFonts w:ascii="Calibri" w:eastAsia="Times New Roman" w:hAnsi="Calibri" w:cs="Calibri"/>
    </w:rPr>
  </w:style>
  <w:style w:type="paragraph" w:styleId="Normlnywebov">
    <w:name w:val="Normal (Web)"/>
    <w:basedOn w:val="Normlny"/>
    <w:uiPriority w:val="99"/>
    <w:unhideWhenUsed/>
    <w:rsid w:val="00A4796C"/>
  </w:style>
  <w:style w:type="character" w:customStyle="1" w:styleId="OdsekzoznamuChar">
    <w:name w:val="Odsek zoznamu Char"/>
    <w:aliases w:val="Dot pt Char,No Spacing1 Char,List Paragraph Char Char Char Char,Indicator Text Char,Numbered Para 1 Char,List Paragraph à moi Char,Odsek zoznamu4 Char,LISTA Char,List Paragraph1 Char,Listaszerű bekezdés2 Char,Listaszerű bekezdés3 Char"/>
    <w:link w:val="Odsekzoznamu"/>
    <w:uiPriority w:val="34"/>
    <w:locked/>
    <w:rsid w:val="00A4796C"/>
    <w:rPr>
      <w:rFonts w:ascii="Times New Roman" w:eastAsia="Times New Roman" w:hAnsi="Times New Roman" w:cs="Times New Roman"/>
      <w:sz w:val="24"/>
      <w:szCs w:val="24"/>
      <w:lang w:eastAsia="sk-SK"/>
    </w:rPr>
  </w:style>
  <w:style w:type="character" w:styleId="Odkaznakomentr">
    <w:name w:val="annotation reference"/>
    <w:basedOn w:val="Predvolenpsmoodseku"/>
    <w:uiPriority w:val="99"/>
    <w:semiHidden/>
    <w:unhideWhenUsed/>
    <w:rsid w:val="007071C8"/>
    <w:rPr>
      <w:sz w:val="16"/>
      <w:szCs w:val="16"/>
    </w:rPr>
  </w:style>
  <w:style w:type="paragraph" w:styleId="Textkomentra">
    <w:name w:val="annotation text"/>
    <w:basedOn w:val="Normlny"/>
    <w:link w:val="TextkomentraChar"/>
    <w:uiPriority w:val="99"/>
    <w:unhideWhenUsed/>
    <w:rsid w:val="007071C8"/>
    <w:rPr>
      <w:sz w:val="20"/>
      <w:szCs w:val="20"/>
    </w:rPr>
  </w:style>
  <w:style w:type="character" w:customStyle="1" w:styleId="TextkomentraChar">
    <w:name w:val="Text komentára Char"/>
    <w:basedOn w:val="Predvolenpsmoodseku"/>
    <w:link w:val="Textkomentra"/>
    <w:uiPriority w:val="99"/>
    <w:rsid w:val="007071C8"/>
    <w:rPr>
      <w:rFonts w:ascii="Times New Roman" w:eastAsia="Times New Roman" w:hAnsi="Times New Roman" w:cs="Times New Roman"/>
      <w:sz w:val="20"/>
      <w:szCs w:val="20"/>
      <w:lang w:eastAsia="sk-SK"/>
    </w:rPr>
  </w:style>
  <w:style w:type="paragraph" w:styleId="Predmetkomentra">
    <w:name w:val="annotation subject"/>
    <w:basedOn w:val="Textkomentra"/>
    <w:next w:val="Textkomentra"/>
    <w:link w:val="PredmetkomentraChar"/>
    <w:uiPriority w:val="99"/>
    <w:semiHidden/>
    <w:unhideWhenUsed/>
    <w:rsid w:val="007071C8"/>
    <w:rPr>
      <w:b/>
      <w:bCs/>
    </w:rPr>
  </w:style>
  <w:style w:type="character" w:customStyle="1" w:styleId="PredmetkomentraChar">
    <w:name w:val="Predmet komentára Char"/>
    <w:basedOn w:val="TextkomentraChar"/>
    <w:link w:val="Predmetkomentra"/>
    <w:uiPriority w:val="99"/>
    <w:semiHidden/>
    <w:rsid w:val="007071C8"/>
    <w:rPr>
      <w:rFonts w:ascii="Times New Roman" w:eastAsia="Times New Roman" w:hAnsi="Times New Roman" w:cs="Times New Roman"/>
      <w:b/>
      <w:bCs/>
      <w:sz w:val="20"/>
      <w:szCs w:val="20"/>
      <w:lang w:eastAsia="sk-SK"/>
    </w:rPr>
  </w:style>
  <w:style w:type="paragraph" w:styleId="Textbubliny">
    <w:name w:val="Balloon Text"/>
    <w:basedOn w:val="Normlny"/>
    <w:link w:val="TextbublinyChar"/>
    <w:uiPriority w:val="99"/>
    <w:semiHidden/>
    <w:unhideWhenUsed/>
    <w:rsid w:val="007071C8"/>
    <w:rPr>
      <w:rFonts w:ascii="Segoe UI" w:hAnsi="Segoe UI" w:cs="Segoe UI"/>
      <w:sz w:val="18"/>
      <w:szCs w:val="18"/>
    </w:rPr>
  </w:style>
  <w:style w:type="character" w:customStyle="1" w:styleId="TextbublinyChar">
    <w:name w:val="Text bubliny Char"/>
    <w:basedOn w:val="Predvolenpsmoodseku"/>
    <w:link w:val="Textbubliny"/>
    <w:uiPriority w:val="99"/>
    <w:semiHidden/>
    <w:rsid w:val="007071C8"/>
    <w:rPr>
      <w:rFonts w:ascii="Segoe UI" w:eastAsia="Times New Roman" w:hAnsi="Segoe UI" w:cs="Segoe UI"/>
      <w:sz w:val="18"/>
      <w:szCs w:val="18"/>
      <w:lang w:eastAsia="sk-SK"/>
    </w:rPr>
  </w:style>
  <w:style w:type="paragraph" w:styleId="Pta">
    <w:name w:val="footer"/>
    <w:basedOn w:val="Normlny"/>
    <w:link w:val="PtaChar"/>
    <w:uiPriority w:val="99"/>
    <w:rsid w:val="00453A97"/>
    <w:pPr>
      <w:tabs>
        <w:tab w:val="center" w:pos="4536"/>
        <w:tab w:val="right" w:pos="9072"/>
      </w:tabs>
    </w:pPr>
  </w:style>
  <w:style w:type="character" w:customStyle="1" w:styleId="PtaChar">
    <w:name w:val="Päta Char"/>
    <w:basedOn w:val="Predvolenpsmoodseku"/>
    <w:link w:val="Pta"/>
    <w:uiPriority w:val="99"/>
    <w:rsid w:val="00453A97"/>
    <w:rPr>
      <w:rFonts w:ascii="Times New Roman" w:eastAsia="Times New Roman" w:hAnsi="Times New Roman" w:cs="Times New Roman"/>
      <w:sz w:val="24"/>
      <w:szCs w:val="24"/>
      <w:lang w:eastAsia="sk-SK"/>
    </w:rPr>
  </w:style>
  <w:style w:type="character" w:customStyle="1" w:styleId="Nadpis1Char">
    <w:name w:val="Nadpis 1 Char"/>
    <w:basedOn w:val="Predvolenpsmoodseku"/>
    <w:link w:val="Nadpis1"/>
    <w:uiPriority w:val="9"/>
    <w:rsid w:val="00EB1051"/>
    <w:rPr>
      <w:rFonts w:ascii="Times New Roman" w:eastAsia="Times New Roman" w:hAnsi="Times New Roman" w:cs="Times New Roman"/>
      <w:b/>
      <w:sz w:val="26"/>
      <w:szCs w:val="20"/>
      <w:lang w:eastAsia="cs-CZ"/>
    </w:rPr>
  </w:style>
  <w:style w:type="character" w:customStyle="1" w:styleId="Nadpis2Char">
    <w:name w:val="Nadpis 2 Char"/>
    <w:basedOn w:val="Predvolenpsmoodseku"/>
    <w:link w:val="Nadpis2"/>
    <w:uiPriority w:val="9"/>
    <w:rsid w:val="00EB1051"/>
    <w:rPr>
      <w:rFonts w:asciiTheme="majorHAnsi" w:eastAsiaTheme="majorEastAsia" w:hAnsiTheme="majorHAnsi" w:cs="Times New Roman"/>
      <w:color w:val="2F5496" w:themeColor="accent1" w:themeShade="BF"/>
      <w:sz w:val="26"/>
      <w:szCs w:val="26"/>
      <w:lang w:eastAsia="sk-SK"/>
    </w:rPr>
  </w:style>
  <w:style w:type="paragraph" w:styleId="Zarkazkladnhotextu">
    <w:name w:val="Body Text Indent"/>
    <w:basedOn w:val="Normlny"/>
    <w:link w:val="ZarkazkladnhotextuChar"/>
    <w:uiPriority w:val="99"/>
    <w:rsid w:val="00EB1051"/>
    <w:pPr>
      <w:ind w:left="360"/>
      <w:jc w:val="both"/>
    </w:pPr>
  </w:style>
  <w:style w:type="character" w:customStyle="1" w:styleId="ZarkazkladnhotextuChar">
    <w:name w:val="Zarážka základného textu Char"/>
    <w:basedOn w:val="Predvolenpsmoodseku"/>
    <w:link w:val="Zarkazkladnhotextu"/>
    <w:uiPriority w:val="99"/>
    <w:rsid w:val="00EB1051"/>
    <w:rPr>
      <w:rFonts w:ascii="Times New Roman" w:eastAsia="Times New Roman" w:hAnsi="Times New Roman" w:cs="Times New Roman"/>
      <w:sz w:val="24"/>
      <w:szCs w:val="24"/>
      <w:lang w:eastAsia="sk-SK"/>
    </w:rPr>
  </w:style>
  <w:style w:type="paragraph" w:styleId="Zarkazkladnhotextu2">
    <w:name w:val="Body Text Indent 2"/>
    <w:basedOn w:val="Normlny"/>
    <w:link w:val="Zarkazkladnhotextu2Char"/>
    <w:uiPriority w:val="99"/>
    <w:rsid w:val="00EB1051"/>
    <w:pPr>
      <w:ind w:firstLine="360"/>
    </w:pPr>
  </w:style>
  <w:style w:type="character" w:customStyle="1" w:styleId="Zarkazkladnhotextu2Char">
    <w:name w:val="Zarážka základného textu 2 Char"/>
    <w:basedOn w:val="Predvolenpsmoodseku"/>
    <w:link w:val="Zarkazkladnhotextu2"/>
    <w:uiPriority w:val="99"/>
    <w:rsid w:val="00EB1051"/>
    <w:rPr>
      <w:rFonts w:ascii="Times New Roman" w:eastAsia="Times New Roman" w:hAnsi="Times New Roman" w:cs="Times New Roman"/>
      <w:sz w:val="24"/>
      <w:szCs w:val="24"/>
      <w:lang w:eastAsia="sk-SK"/>
    </w:rPr>
  </w:style>
  <w:style w:type="paragraph" w:styleId="Hlavika">
    <w:name w:val="header"/>
    <w:basedOn w:val="Normlny"/>
    <w:link w:val="HlavikaChar"/>
    <w:uiPriority w:val="99"/>
    <w:rsid w:val="00EB1051"/>
    <w:pPr>
      <w:tabs>
        <w:tab w:val="center" w:pos="4536"/>
        <w:tab w:val="right" w:pos="9072"/>
      </w:tabs>
    </w:pPr>
  </w:style>
  <w:style w:type="character" w:customStyle="1" w:styleId="HlavikaChar">
    <w:name w:val="Hlavička Char"/>
    <w:basedOn w:val="Predvolenpsmoodseku"/>
    <w:link w:val="Hlavika"/>
    <w:uiPriority w:val="99"/>
    <w:rsid w:val="00EB1051"/>
    <w:rPr>
      <w:rFonts w:ascii="Times New Roman" w:eastAsia="Times New Roman" w:hAnsi="Times New Roman" w:cs="Times New Roman"/>
      <w:sz w:val="24"/>
      <w:szCs w:val="24"/>
      <w:lang w:eastAsia="sk-SK"/>
    </w:rPr>
  </w:style>
  <w:style w:type="paragraph" w:customStyle="1" w:styleId="Normlny2">
    <w:name w:val="Normálny2"/>
    <w:rsid w:val="00EB1051"/>
    <w:pPr>
      <w:widowControl w:val="0"/>
      <w:autoSpaceDE w:val="0"/>
      <w:autoSpaceDN w:val="0"/>
      <w:spacing w:after="0" w:line="240" w:lineRule="auto"/>
      <w:jc w:val="both"/>
    </w:pPr>
    <w:rPr>
      <w:rFonts w:ascii="Times New Roman" w:eastAsia="Times New Roman" w:hAnsi="Times New Roman" w:cs="Times New Roman"/>
      <w:sz w:val="24"/>
      <w:szCs w:val="20"/>
      <w:lang w:val="en-US" w:eastAsia="sk-SK"/>
    </w:rPr>
  </w:style>
  <w:style w:type="paragraph" w:styleId="Revzia">
    <w:name w:val="Revision"/>
    <w:hidden/>
    <w:uiPriority w:val="99"/>
    <w:semiHidden/>
    <w:rsid w:val="00EB1051"/>
    <w:pPr>
      <w:spacing w:after="0" w:line="240" w:lineRule="auto"/>
    </w:pPr>
    <w:rPr>
      <w:rFonts w:ascii="Times New Roman" w:eastAsia="Times New Roman" w:hAnsi="Times New Roman" w:cs="Times New Roman"/>
      <w:sz w:val="24"/>
      <w:szCs w:val="24"/>
      <w:lang w:eastAsia="sk-SK"/>
    </w:rPr>
  </w:style>
  <w:style w:type="table" w:customStyle="1" w:styleId="Mriekatabuky1">
    <w:name w:val="Mriežka tabuľky1"/>
    <w:basedOn w:val="Normlnatabuka"/>
    <w:next w:val="Mriekatabuky"/>
    <w:uiPriority w:val="59"/>
    <w:rsid w:val="00EB1051"/>
    <w:pPr>
      <w:spacing w:after="0" w:line="240" w:lineRule="auto"/>
    </w:pPr>
    <w:rPr>
      <w:rFonts w:eastAsia="Times New Roman"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riekatabuky">
    <w:name w:val="Table Grid"/>
    <w:basedOn w:val="Normlnatabuka"/>
    <w:uiPriority w:val="39"/>
    <w:rsid w:val="00EB1051"/>
    <w:pPr>
      <w:spacing w:after="0" w:line="240" w:lineRule="auto"/>
    </w:pPr>
    <w:rPr>
      <w:rFonts w:ascii="Times New Roman" w:eastAsia="Times New Roman" w:hAnsi="Times New Roman" w:cs="Times New Roman"/>
      <w:sz w:val="20"/>
      <w:szCs w:val="20"/>
      <w:lang w:eastAsia="sk-SK"/>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textovprepojenie">
    <w:name w:val="Hyperlink"/>
    <w:basedOn w:val="Predvolenpsmoodseku"/>
    <w:uiPriority w:val="99"/>
    <w:unhideWhenUsed/>
    <w:rsid w:val="00EB1051"/>
    <w:rPr>
      <w:rFonts w:cs="Times New Roma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4442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f:fields xmlns:f="http://schemas.fabasoft.com/folio/2007/fields">
  <f:record ref="">
    <f:field ref="objname" par="" edit="true" text="Vlastny_material"/>
    <f:field ref="objsubject" par="" edit="true" text=""/>
    <f:field ref="objcreatedby" par="" text="Jankovič, Štefan, Mgr"/>
    <f:field ref="objcreatedat" par="" text="10.4.2024 15:20:07"/>
    <f:field ref="objchangedby" par="" text="Administrator, System"/>
    <f:field ref="objmodifiedat" par="" text="10.4.2024 15:20:07"/>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customXml/itemProps2.xml><?xml version="1.0" encoding="utf-8"?>
<ds:datastoreItem xmlns:ds="http://schemas.openxmlformats.org/officeDocument/2006/customXml" ds:itemID="{282C2E98-4513-4BBE-B864-9B5119D234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57</Pages>
  <Words>26404</Words>
  <Characters>150503</Characters>
  <DocSecurity>0</DocSecurity>
  <Lines>1254</Lines>
  <Paragraphs>353</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176554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2026-07-24T05:41:00Z</cp:lastPrinted>
  <dcterms:created xsi:type="dcterms:W3CDTF">2026-07-23T12:36:00Z</dcterms:created>
  <dcterms:modified xsi:type="dcterms:W3CDTF">2026-08-07T07:54:00Z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SKEDITIONSLOVLEX@103.510:spravaucastverej">
    <vt:lpwstr/>
  </property>
  <property fmtid="{D5CDD505-2E9C-101B-9397-08002B2CF9AE}" pid="3" name="FSC#SKEDITIONSLOVLEX@103.510:typpredpis">
    <vt:lpwstr>Nelegislatívny všeobecný materiál</vt:lpwstr>
  </property>
  <property fmtid="{D5CDD505-2E9C-101B-9397-08002B2CF9AE}" pid="4" name="FSC#SKEDITIONSLOVLEX@103.510:aktualnyrok">
    <vt:lpwstr>2024</vt:lpwstr>
  </property>
  <property fmtid="{D5CDD505-2E9C-101B-9397-08002B2CF9AE}" pid="5" name="FSC#SKEDITIONSLOVLEX@103.510:cisloparlamenttlac">
    <vt:lpwstr/>
  </property>
  <property fmtid="{D5CDD505-2E9C-101B-9397-08002B2CF9AE}" pid="6" name="FSC#SKEDITIONSLOVLEX@103.510:stavpredpis">
    <vt:lpwstr>Medzirezortné pripomienkové konanie</vt:lpwstr>
  </property>
  <property fmtid="{D5CDD505-2E9C-101B-9397-08002B2CF9AE}" pid="7" name="FSC#SKEDITIONSLOVLEX@103.510:povodpredpis">
    <vt:lpwstr>Slovlex (eLeg)</vt:lpwstr>
  </property>
  <property fmtid="{D5CDD505-2E9C-101B-9397-08002B2CF9AE}" pid="8" name="FSC#SKEDITIONSLOVLEX@103.510:legoblast">
    <vt:lpwstr>Nelegislatívna oblasť</vt:lpwstr>
  </property>
  <property fmtid="{D5CDD505-2E9C-101B-9397-08002B2CF9AE}" pid="9" name="FSC#SKEDITIONSLOVLEX@103.510:uzemplat">
    <vt:lpwstr/>
  </property>
  <property fmtid="{D5CDD505-2E9C-101B-9397-08002B2CF9AE}" pid="10" name="FSC#SKEDITIONSLOVLEX@103.510:vztahypredpis">
    <vt:lpwstr/>
  </property>
  <property fmtid="{D5CDD505-2E9C-101B-9397-08002B2CF9AE}" pid="11" name="FSC#SKEDITIONSLOVLEX@103.510:predkladatel">
    <vt:lpwstr>Mgr Štefan Jankovič</vt:lpwstr>
  </property>
  <property fmtid="{D5CDD505-2E9C-101B-9397-08002B2CF9AE}" pid="12" name="FSC#SKEDITIONSLOVLEX@103.510:zodppredkladatel">
    <vt:lpwstr>Juraj Blanár</vt:lpwstr>
  </property>
  <property fmtid="{D5CDD505-2E9C-101B-9397-08002B2CF9AE}" pid="13" name="FSC#SKEDITIONSLOVLEX@103.510:dalsipredkladatel">
    <vt:lpwstr/>
  </property>
  <property fmtid="{D5CDD505-2E9C-101B-9397-08002B2CF9AE}" pid="14" name="FSC#SKEDITIONSLOVLEX@103.510:nazovpredpis">
    <vt:lpwstr> Pravidlá tvorby stanovísk Slovenskej republiky k návrhom aktov Európskej únie</vt:lpwstr>
  </property>
  <property fmtid="{D5CDD505-2E9C-101B-9397-08002B2CF9AE}" pid="15" name="FSC#SKEDITIONSLOVLEX@103.510:nazovpredpis1">
    <vt:lpwstr/>
  </property>
  <property fmtid="{D5CDD505-2E9C-101B-9397-08002B2CF9AE}" pid="16" name="FSC#SKEDITIONSLOVLEX@103.510:nazovpredpis2">
    <vt:lpwstr/>
  </property>
  <property fmtid="{D5CDD505-2E9C-101B-9397-08002B2CF9AE}" pid="17" name="FSC#SKEDITIONSLOVLEX@103.510:nazovpredpis3">
    <vt:lpwstr/>
  </property>
  <property fmtid="{D5CDD505-2E9C-101B-9397-08002B2CF9AE}" pid="18" name="FSC#SKEDITIONSLOVLEX@103.510:cislopredpis">
    <vt:lpwstr/>
  </property>
  <property fmtid="{D5CDD505-2E9C-101B-9397-08002B2CF9AE}" pid="19" name="FSC#SKEDITIONSLOVLEX@103.510:zodpinstitucia">
    <vt:lpwstr>Ministerstvo zahraničných vecí a európskych záležitostí Slovenskej republiky</vt:lpwstr>
  </property>
  <property fmtid="{D5CDD505-2E9C-101B-9397-08002B2CF9AE}" pid="20" name="FSC#SKEDITIONSLOVLEX@103.510:pripomienkovatelia">
    <vt:lpwstr/>
  </property>
  <property fmtid="{D5CDD505-2E9C-101B-9397-08002B2CF9AE}" pid="21" name="FSC#SKEDITIONSLOVLEX@103.510:autorpredpis">
    <vt:lpwstr/>
  </property>
  <property fmtid="{D5CDD505-2E9C-101B-9397-08002B2CF9AE}" pid="22" name="FSC#SKEDITIONSLOVLEX@103.510:podnetpredpis">
    <vt:lpwstr>Iniciatívny materiál</vt:lpwstr>
  </property>
  <property fmtid="{D5CDD505-2E9C-101B-9397-08002B2CF9AE}" pid="23" name="FSC#SKEDITIONSLOVLEX@103.510:plnynazovpredpis">
    <vt:lpwstr> Pravidlá tvorby stanovísk Slovenskej republiky k návrhom aktov Európskej únie</vt:lpwstr>
  </property>
  <property fmtid="{D5CDD505-2E9C-101B-9397-08002B2CF9AE}" pid="24" name="FSC#SKEDITIONSLOVLEX@103.510:plnynazovpredpis1">
    <vt:lpwstr/>
  </property>
  <property fmtid="{D5CDD505-2E9C-101B-9397-08002B2CF9AE}" pid="25" name="FSC#SKEDITIONSLOVLEX@103.510:plnynazovpredpis2">
    <vt:lpwstr/>
  </property>
  <property fmtid="{D5CDD505-2E9C-101B-9397-08002B2CF9AE}" pid="26" name="FSC#SKEDITIONSLOVLEX@103.510:plnynazovpredpis3">
    <vt:lpwstr/>
  </property>
  <property fmtid="{D5CDD505-2E9C-101B-9397-08002B2CF9AE}" pid="27" name="FSC#SKEDITIONSLOVLEX@103.510:rezortcislopredpis">
    <vt:lpwstr>023899/2024-SEZA-5</vt:lpwstr>
  </property>
  <property fmtid="{D5CDD505-2E9C-101B-9397-08002B2CF9AE}" pid="28" name="FSC#SKEDITIONSLOVLEX@103.510:citaciapredpis">
    <vt:lpwstr/>
  </property>
  <property fmtid="{D5CDD505-2E9C-101B-9397-08002B2CF9AE}" pid="29" name="FSC#SKEDITIONSLOVLEX@103.510:spiscislouv">
    <vt:lpwstr/>
  </property>
  <property fmtid="{D5CDD505-2E9C-101B-9397-08002B2CF9AE}" pid="30" name="FSC#SKEDITIONSLOVLEX@103.510:datumschvalpredpis">
    <vt:lpwstr/>
  </property>
  <property fmtid="{D5CDD505-2E9C-101B-9397-08002B2CF9AE}" pid="31" name="FSC#SKEDITIONSLOVLEX@103.510:platneod">
    <vt:lpwstr/>
  </property>
  <property fmtid="{D5CDD505-2E9C-101B-9397-08002B2CF9AE}" pid="32" name="FSC#SKEDITIONSLOVLEX@103.510:platnedo">
    <vt:lpwstr/>
  </property>
  <property fmtid="{D5CDD505-2E9C-101B-9397-08002B2CF9AE}" pid="33" name="FSC#SKEDITIONSLOVLEX@103.510:ucinnostod">
    <vt:lpwstr/>
  </property>
  <property fmtid="{D5CDD505-2E9C-101B-9397-08002B2CF9AE}" pid="34" name="FSC#SKEDITIONSLOVLEX@103.510:ucinnostdo">
    <vt:lpwstr/>
  </property>
  <property fmtid="{D5CDD505-2E9C-101B-9397-08002B2CF9AE}" pid="35" name="FSC#SKEDITIONSLOVLEX@103.510:datumplatnosti">
    <vt:lpwstr/>
  </property>
  <property fmtid="{D5CDD505-2E9C-101B-9397-08002B2CF9AE}" pid="36" name="FSC#SKEDITIONSLOVLEX@103.510:cislolp">
    <vt:lpwstr>LP/2024/157</vt:lpwstr>
  </property>
  <property fmtid="{D5CDD505-2E9C-101B-9397-08002B2CF9AE}" pid="37" name="FSC#SKEDITIONSLOVLEX@103.510:typsprievdok">
    <vt:lpwstr>Vlastný materiál - neštruktúrovaný</vt:lpwstr>
  </property>
  <property fmtid="{D5CDD505-2E9C-101B-9397-08002B2CF9AE}" pid="38" name="FSC#SKEDITIONSLOVLEX@103.510:cislopartlac">
    <vt:lpwstr/>
  </property>
  <property fmtid="{D5CDD505-2E9C-101B-9397-08002B2CF9AE}" pid="39" name="FSC#SKEDITIONSLOVLEX@103.510:AttrStrListDocPropUcelPredmetZmluvy">
    <vt:lpwstr/>
  </property>
  <property fmtid="{D5CDD505-2E9C-101B-9397-08002B2CF9AE}" pid="40" name="FSC#SKEDITIONSLOVLEX@103.510:AttrStrListDocPropUpravaPravFOPRO">
    <vt:lpwstr/>
  </property>
  <property fmtid="{D5CDD505-2E9C-101B-9397-08002B2CF9AE}" pid="41" name="FSC#SKEDITIONSLOVLEX@103.510:AttrStrListDocPropUpravaPredmetuZmluvy">
    <vt:lpwstr/>
  </property>
  <property fmtid="{D5CDD505-2E9C-101B-9397-08002B2CF9AE}" pid="42" name="FSC#SKEDITIONSLOVLEX@103.510:AttrStrListDocPropKategoriaZmluvy74">
    <vt:lpwstr/>
  </property>
  <property fmtid="{D5CDD505-2E9C-101B-9397-08002B2CF9AE}" pid="43" name="FSC#SKEDITIONSLOVLEX@103.510:AttrStrListDocPropKategoriaZmluvy75">
    <vt:lpwstr/>
  </property>
  <property fmtid="{D5CDD505-2E9C-101B-9397-08002B2CF9AE}" pid="44" name="FSC#SKEDITIONSLOVLEX@103.510:AttrStrListDocPropDopadyPrijatiaZmluvy">
    <vt:lpwstr/>
  </property>
  <property fmtid="{D5CDD505-2E9C-101B-9397-08002B2CF9AE}" pid="45" name="FSC#SKEDITIONSLOVLEX@103.510:AttrStrListDocPropProblematikaPPa">
    <vt:lpwstr/>
  </property>
  <property fmtid="{D5CDD505-2E9C-101B-9397-08002B2CF9AE}" pid="46" name="FSC#SKEDITIONSLOVLEX@103.510:AttrStrListDocPropPrimarnePravoEU">
    <vt:lpwstr/>
  </property>
  <property fmtid="{D5CDD505-2E9C-101B-9397-08002B2CF9AE}" pid="47" name="FSC#SKEDITIONSLOVLEX@103.510:AttrStrListDocPropSekundarneLegPravoPO">
    <vt:lpwstr/>
  </property>
  <property fmtid="{D5CDD505-2E9C-101B-9397-08002B2CF9AE}" pid="48" name="FSC#SKEDITIONSLOVLEX@103.510:AttrStrListDocPropSekundarneNelegPravoPO">
    <vt:lpwstr/>
  </property>
  <property fmtid="{D5CDD505-2E9C-101B-9397-08002B2CF9AE}" pid="49" name="FSC#SKEDITIONSLOVLEX@103.510:AttrStrListDocPropSekundarneLegPravoDO">
    <vt:lpwstr/>
  </property>
  <property fmtid="{D5CDD505-2E9C-101B-9397-08002B2CF9AE}" pid="50" name="FSC#SKEDITIONSLOVLEX@103.510:AttrStrListDocPropProblematikaPPb">
    <vt:lpwstr/>
  </property>
  <property fmtid="{D5CDD505-2E9C-101B-9397-08002B2CF9AE}" pid="51" name="FSC#SKEDITIONSLOVLEX@103.510:AttrStrListDocPropNazovPredpisuEU">
    <vt:lpwstr/>
  </property>
  <property fmtid="{D5CDD505-2E9C-101B-9397-08002B2CF9AE}" pid="52" name="FSC#SKEDITIONSLOVLEX@103.510:AttrStrListDocPropLehotaPrebratieSmernice">
    <vt:lpwstr/>
  </property>
  <property fmtid="{D5CDD505-2E9C-101B-9397-08002B2CF9AE}" pid="53" name="FSC#SKEDITIONSLOVLEX@103.510:AttrStrListDocPropLehotaNaPredlozenie">
    <vt:lpwstr/>
  </property>
  <property fmtid="{D5CDD505-2E9C-101B-9397-08002B2CF9AE}" pid="54" name="FSC#SKEDITIONSLOVLEX@103.510:AttrStrListDocPropInfoZaciatokKonania">
    <vt:lpwstr/>
  </property>
  <property fmtid="{D5CDD505-2E9C-101B-9397-08002B2CF9AE}" pid="55" name="FSC#SKEDITIONSLOVLEX@103.510:AttrStrListDocPropInfoUzPreberanePP">
    <vt:lpwstr/>
  </property>
  <property fmtid="{D5CDD505-2E9C-101B-9397-08002B2CF9AE}" pid="56" name="FSC#SKEDITIONSLOVLEX@103.510:AttrStrListDocPropStupenZlucitelnostiPP">
    <vt:lpwstr/>
  </property>
  <property fmtid="{D5CDD505-2E9C-101B-9397-08002B2CF9AE}" pid="57" name="FSC#SKEDITIONSLOVLEX@103.510:AttrStrListDocPropGestorSpolupRezorty">
    <vt:lpwstr/>
  </property>
  <property fmtid="{D5CDD505-2E9C-101B-9397-08002B2CF9AE}" pid="58" name="FSC#SKEDITIONSLOVLEX@103.510:AttrDateDocPropZaciatokPKK">
    <vt:lpwstr/>
  </property>
  <property fmtid="{D5CDD505-2E9C-101B-9397-08002B2CF9AE}" pid="59" name="FSC#SKEDITIONSLOVLEX@103.510:AttrDateDocPropUkonceniePKK">
    <vt:lpwstr/>
  </property>
  <property fmtid="{D5CDD505-2E9C-101B-9397-08002B2CF9AE}" pid="60" name="FSC#SKEDITIONSLOVLEX@103.510:AttrStrDocPropVplyvRozpocetVS">
    <vt:lpwstr>Žiadne</vt:lpwstr>
  </property>
  <property fmtid="{D5CDD505-2E9C-101B-9397-08002B2CF9AE}" pid="61" name="FSC#SKEDITIONSLOVLEX@103.510:AttrStrDocPropVplyvPodnikatelskeProstr">
    <vt:lpwstr>Žiadne</vt:lpwstr>
  </property>
  <property fmtid="{D5CDD505-2E9C-101B-9397-08002B2CF9AE}" pid="62" name="FSC#SKEDITIONSLOVLEX@103.510:AttrStrDocPropVplyvSocialny">
    <vt:lpwstr>Žiadne</vt:lpwstr>
  </property>
  <property fmtid="{D5CDD505-2E9C-101B-9397-08002B2CF9AE}" pid="63" name="FSC#SKEDITIONSLOVLEX@103.510:AttrStrDocPropVplyvNaZivotProstr">
    <vt:lpwstr>Žiadne</vt:lpwstr>
  </property>
  <property fmtid="{D5CDD505-2E9C-101B-9397-08002B2CF9AE}" pid="64" name="FSC#SKEDITIONSLOVLEX@103.510:AttrStrDocPropVplyvNaInformatizaciu">
    <vt:lpwstr>Žiadne</vt:lpwstr>
  </property>
  <property fmtid="{D5CDD505-2E9C-101B-9397-08002B2CF9AE}" pid="65" name="FSC#SKEDITIONSLOVLEX@103.510:AttrStrListDocPropPoznamkaVplyv">
    <vt:lpwstr/>
  </property>
  <property fmtid="{D5CDD505-2E9C-101B-9397-08002B2CF9AE}" pid="66" name="FSC#SKEDITIONSLOVLEX@103.510:AttrStrListDocPropAltRiesenia">
    <vt:lpwstr>Ponechanie súčasného systému tvorby stanovísk SR k návrhom aktov EÚ, ktorý je prekonaný a v mnohých aspektoch sa už v reálnych podmienkach nedodržiava, alebo pretransformovanie systému tvorby stanovísk SK k návrhom aktov EÚ do zákona o koordinácii európsk</vt:lpwstr>
  </property>
  <property fmtid="{D5CDD505-2E9C-101B-9397-08002B2CF9AE}" pid="67" name="FSC#SKEDITIONSLOVLEX@103.510:AttrStrListDocPropStanoviskoGest">
    <vt:lpwstr/>
  </property>
  <property fmtid="{D5CDD505-2E9C-101B-9397-08002B2CF9AE}" pid="68" name="FSC#SKEDITIONSLOVLEX@103.510:AttrStrListDocPropTextKomunike">
    <vt:lpwstr/>
  </property>
  <property fmtid="{D5CDD505-2E9C-101B-9397-08002B2CF9AE}" pid="69" name="FSC#SKEDITIONSLOVLEX@103.510:AttrStrListDocPropUznesenieCastA">
    <vt:lpwstr/>
  </property>
  <property fmtid="{D5CDD505-2E9C-101B-9397-08002B2CF9AE}" pid="70" name="FSC#SKEDITIONSLOVLEX@103.510:AttrStrListDocPropUznesenieZodpovednyA1">
    <vt:lpwstr/>
  </property>
  <property fmtid="{D5CDD505-2E9C-101B-9397-08002B2CF9AE}" pid="71" name="FSC#SKEDITIONSLOVLEX@103.510:AttrStrListDocPropUznesenieTextA1">
    <vt:lpwstr/>
  </property>
  <property fmtid="{D5CDD505-2E9C-101B-9397-08002B2CF9AE}" pid="72" name="FSC#SKEDITIONSLOVLEX@103.510:AttrStrListDocPropUznesenieTerminA1">
    <vt:lpwstr/>
  </property>
  <property fmtid="{D5CDD505-2E9C-101B-9397-08002B2CF9AE}" pid="73" name="FSC#SKEDITIONSLOVLEX@103.510:AttrStrListDocPropUznesenieBODA1">
    <vt:lpwstr/>
  </property>
  <property fmtid="{D5CDD505-2E9C-101B-9397-08002B2CF9AE}" pid="74" name="FSC#SKEDITIONSLOVLEX@103.510:AttrStrListDocPropUznesenieZodpovednyA2">
    <vt:lpwstr/>
  </property>
  <property fmtid="{D5CDD505-2E9C-101B-9397-08002B2CF9AE}" pid="75" name="FSC#SKEDITIONSLOVLEX@103.510:AttrStrListDocPropUznesenieTextA2">
    <vt:lpwstr/>
  </property>
  <property fmtid="{D5CDD505-2E9C-101B-9397-08002B2CF9AE}" pid="76" name="FSC#SKEDITIONSLOVLEX@103.510:AttrStrListDocPropUznesenieTerminA2">
    <vt:lpwstr/>
  </property>
  <property fmtid="{D5CDD505-2E9C-101B-9397-08002B2CF9AE}" pid="77" name="FSC#SKEDITIONSLOVLEX@103.510:AttrStrListDocPropUznesenieBODA3">
    <vt:lpwstr/>
  </property>
  <property fmtid="{D5CDD505-2E9C-101B-9397-08002B2CF9AE}" pid="78" name="FSC#SKEDITIONSLOVLEX@103.510:AttrStrListDocPropUznesenieZodpovednyA3">
    <vt:lpwstr/>
  </property>
  <property fmtid="{D5CDD505-2E9C-101B-9397-08002B2CF9AE}" pid="79" name="FSC#SKEDITIONSLOVLEX@103.510:AttrStrListDocPropUznesenieTextA3">
    <vt:lpwstr/>
  </property>
  <property fmtid="{D5CDD505-2E9C-101B-9397-08002B2CF9AE}" pid="80" name="FSC#SKEDITIONSLOVLEX@103.510:AttrStrListDocPropUznesenieTerminA3">
    <vt:lpwstr/>
  </property>
  <property fmtid="{D5CDD505-2E9C-101B-9397-08002B2CF9AE}" pid="81" name="FSC#SKEDITIONSLOVLEX@103.510:AttrStrListDocPropUznesenieBODA4">
    <vt:lpwstr/>
  </property>
  <property fmtid="{D5CDD505-2E9C-101B-9397-08002B2CF9AE}" pid="82" name="FSC#SKEDITIONSLOVLEX@103.510:AttrStrListDocPropUznesenieZodpovednyA4">
    <vt:lpwstr/>
  </property>
  <property fmtid="{D5CDD505-2E9C-101B-9397-08002B2CF9AE}" pid="83" name="FSC#SKEDITIONSLOVLEX@103.510:AttrStrListDocPropUznesenieTextA4">
    <vt:lpwstr/>
  </property>
  <property fmtid="{D5CDD505-2E9C-101B-9397-08002B2CF9AE}" pid="84" name="FSC#SKEDITIONSLOVLEX@103.510:AttrStrListDocPropUznesenieTerminA4">
    <vt:lpwstr/>
  </property>
  <property fmtid="{D5CDD505-2E9C-101B-9397-08002B2CF9AE}" pid="85" name="FSC#SKEDITIONSLOVLEX@103.510:AttrStrListDocPropUznesenieCastB">
    <vt:lpwstr/>
  </property>
  <property fmtid="{D5CDD505-2E9C-101B-9397-08002B2CF9AE}" pid="86" name="FSC#SKEDITIONSLOVLEX@103.510:AttrStrListDocPropUznesenieBODB1">
    <vt:lpwstr/>
  </property>
  <property fmtid="{D5CDD505-2E9C-101B-9397-08002B2CF9AE}" pid="87" name="FSC#SKEDITIONSLOVLEX@103.510:AttrStrListDocPropUznesenieZodpovednyB1">
    <vt:lpwstr/>
  </property>
  <property fmtid="{D5CDD505-2E9C-101B-9397-08002B2CF9AE}" pid="88" name="FSC#SKEDITIONSLOVLEX@103.510:AttrStrListDocPropUznesenieTextB1">
    <vt:lpwstr/>
  </property>
  <property fmtid="{D5CDD505-2E9C-101B-9397-08002B2CF9AE}" pid="89" name="FSC#SKEDITIONSLOVLEX@103.510:AttrStrListDocPropUznesenieTerminB1">
    <vt:lpwstr/>
  </property>
  <property fmtid="{D5CDD505-2E9C-101B-9397-08002B2CF9AE}" pid="90" name="FSC#SKEDITIONSLOVLEX@103.510:AttrStrListDocPropUznesenieBODB2">
    <vt:lpwstr/>
  </property>
  <property fmtid="{D5CDD505-2E9C-101B-9397-08002B2CF9AE}" pid="91" name="FSC#SKEDITIONSLOVLEX@103.510:AttrStrListDocPropUznesenieZodpovednyB2">
    <vt:lpwstr/>
  </property>
  <property fmtid="{D5CDD505-2E9C-101B-9397-08002B2CF9AE}" pid="92" name="FSC#SKEDITIONSLOVLEX@103.510:AttrStrListDocPropUznesenieTextB2">
    <vt:lpwstr/>
  </property>
  <property fmtid="{D5CDD505-2E9C-101B-9397-08002B2CF9AE}" pid="93" name="FSC#SKEDITIONSLOVLEX@103.510:AttrStrListDocPropUznesenieTerminB2">
    <vt:lpwstr/>
  </property>
  <property fmtid="{D5CDD505-2E9C-101B-9397-08002B2CF9AE}" pid="94" name="FSC#SKEDITIONSLOVLEX@103.510:AttrStrListDocPropUznesenieBODB3">
    <vt:lpwstr/>
  </property>
  <property fmtid="{D5CDD505-2E9C-101B-9397-08002B2CF9AE}" pid="95" name="FSC#SKEDITIONSLOVLEX@103.510:AttrStrListDocPropUznesenieZodpovednyB3">
    <vt:lpwstr/>
  </property>
  <property fmtid="{D5CDD505-2E9C-101B-9397-08002B2CF9AE}" pid="96" name="FSC#SKEDITIONSLOVLEX@103.510:AttrStrListDocPropUznesenieTextB3">
    <vt:lpwstr/>
  </property>
  <property fmtid="{D5CDD505-2E9C-101B-9397-08002B2CF9AE}" pid="97" name="FSC#SKEDITIONSLOVLEX@103.510:AttrStrListDocPropUznesenieTerminB3">
    <vt:lpwstr/>
  </property>
  <property fmtid="{D5CDD505-2E9C-101B-9397-08002B2CF9AE}" pid="98" name="FSC#SKEDITIONSLOVLEX@103.510:AttrStrListDocPropUznesenieBODB4">
    <vt:lpwstr/>
  </property>
  <property fmtid="{D5CDD505-2E9C-101B-9397-08002B2CF9AE}" pid="99" name="FSC#SKEDITIONSLOVLEX@103.510:AttrStrListDocPropUznesenieZodpovednyB4">
    <vt:lpwstr/>
  </property>
  <property fmtid="{D5CDD505-2E9C-101B-9397-08002B2CF9AE}" pid="100" name="FSC#SKEDITIONSLOVLEX@103.510:AttrStrListDocPropUznesenieTextB4">
    <vt:lpwstr/>
  </property>
  <property fmtid="{D5CDD505-2E9C-101B-9397-08002B2CF9AE}" pid="101" name="FSC#SKEDITIONSLOVLEX@103.510:AttrStrListDocPropUznesenieTerminB4">
    <vt:lpwstr/>
  </property>
  <property fmtid="{D5CDD505-2E9C-101B-9397-08002B2CF9AE}" pid="102" name="FSC#SKEDITIONSLOVLEX@103.510:AttrStrListDocPropUznesenieCastC">
    <vt:lpwstr/>
  </property>
  <property fmtid="{D5CDD505-2E9C-101B-9397-08002B2CF9AE}" pid="103" name="FSC#SKEDITIONSLOVLEX@103.510:AttrStrListDocPropUznesenieBODC1">
    <vt:lpwstr/>
  </property>
  <property fmtid="{D5CDD505-2E9C-101B-9397-08002B2CF9AE}" pid="104" name="FSC#SKEDITIONSLOVLEX@103.510:AttrStrListDocPropUznesenieZodpovednyC1">
    <vt:lpwstr/>
  </property>
  <property fmtid="{D5CDD505-2E9C-101B-9397-08002B2CF9AE}" pid="105" name="FSC#SKEDITIONSLOVLEX@103.510:AttrStrListDocPropUznesenieTextC1">
    <vt:lpwstr/>
  </property>
  <property fmtid="{D5CDD505-2E9C-101B-9397-08002B2CF9AE}" pid="106" name="FSC#SKEDITIONSLOVLEX@103.510:AttrStrListDocPropUznesenieTerminC1">
    <vt:lpwstr/>
  </property>
  <property fmtid="{D5CDD505-2E9C-101B-9397-08002B2CF9AE}" pid="107" name="FSC#SKEDITIONSLOVLEX@103.510:AttrStrListDocPropUznesenieBODC2">
    <vt:lpwstr/>
  </property>
  <property fmtid="{D5CDD505-2E9C-101B-9397-08002B2CF9AE}" pid="108" name="FSC#SKEDITIONSLOVLEX@103.510:AttrStrListDocPropUznesenieZodpovednyC2">
    <vt:lpwstr/>
  </property>
  <property fmtid="{D5CDD505-2E9C-101B-9397-08002B2CF9AE}" pid="109" name="FSC#SKEDITIONSLOVLEX@103.510:AttrStrListDocPropUznesenieTextC2">
    <vt:lpwstr/>
  </property>
  <property fmtid="{D5CDD505-2E9C-101B-9397-08002B2CF9AE}" pid="110" name="FSC#SKEDITIONSLOVLEX@103.510:AttrStrListDocPropUznesenieTerminC2">
    <vt:lpwstr/>
  </property>
  <property fmtid="{D5CDD505-2E9C-101B-9397-08002B2CF9AE}" pid="111" name="FSC#SKEDITIONSLOVLEX@103.510:AttrStrListDocPropUznesenieBODC3">
    <vt:lpwstr/>
  </property>
  <property fmtid="{D5CDD505-2E9C-101B-9397-08002B2CF9AE}" pid="112" name="FSC#SKEDITIONSLOVLEX@103.510:AttrStrListDocPropUznesenieZodpovednyC3">
    <vt:lpwstr/>
  </property>
  <property fmtid="{D5CDD505-2E9C-101B-9397-08002B2CF9AE}" pid="113" name="FSC#SKEDITIONSLOVLEX@103.510:AttrStrListDocPropUznesenieTextC3">
    <vt:lpwstr/>
  </property>
  <property fmtid="{D5CDD505-2E9C-101B-9397-08002B2CF9AE}" pid="114" name="FSC#SKEDITIONSLOVLEX@103.510:AttrStrListDocPropUznesenieTerminC3">
    <vt:lpwstr/>
  </property>
  <property fmtid="{D5CDD505-2E9C-101B-9397-08002B2CF9AE}" pid="115" name="FSC#SKEDITIONSLOVLEX@103.510:AttrStrListDocPropUznesenieBODC4">
    <vt:lpwstr/>
  </property>
  <property fmtid="{D5CDD505-2E9C-101B-9397-08002B2CF9AE}" pid="116" name="FSC#SKEDITIONSLOVLEX@103.510:AttrStrListDocPropUznesenieZodpovednyC4">
    <vt:lpwstr/>
  </property>
  <property fmtid="{D5CDD505-2E9C-101B-9397-08002B2CF9AE}" pid="117" name="FSC#SKEDITIONSLOVLEX@103.510:AttrStrListDocPropUznesenieTextC4">
    <vt:lpwstr/>
  </property>
  <property fmtid="{D5CDD505-2E9C-101B-9397-08002B2CF9AE}" pid="118" name="FSC#SKEDITIONSLOVLEX@103.510:AttrStrListDocPropUznesenieTerminC4">
    <vt:lpwstr/>
  </property>
  <property fmtid="{D5CDD505-2E9C-101B-9397-08002B2CF9AE}" pid="119" name="FSC#SKEDITIONSLOVLEX@103.510:AttrStrListDocPropUznesenieCastD">
    <vt:lpwstr/>
  </property>
  <property fmtid="{D5CDD505-2E9C-101B-9397-08002B2CF9AE}" pid="120" name="FSC#SKEDITIONSLOVLEX@103.510:AttrStrListDocPropUznesenieBODD1">
    <vt:lpwstr/>
  </property>
  <property fmtid="{D5CDD505-2E9C-101B-9397-08002B2CF9AE}" pid="121" name="FSC#SKEDITIONSLOVLEX@103.510:AttrStrListDocPropUznesenieZodpovednyD1">
    <vt:lpwstr/>
  </property>
  <property fmtid="{D5CDD505-2E9C-101B-9397-08002B2CF9AE}" pid="122" name="FSC#SKEDITIONSLOVLEX@103.510:AttrStrListDocPropUznesenieTextD1">
    <vt:lpwstr/>
  </property>
  <property fmtid="{D5CDD505-2E9C-101B-9397-08002B2CF9AE}" pid="123" name="FSC#SKEDITIONSLOVLEX@103.510:AttrStrListDocPropUznesenieTerminD1">
    <vt:lpwstr/>
  </property>
  <property fmtid="{D5CDD505-2E9C-101B-9397-08002B2CF9AE}" pid="124" name="FSC#SKEDITIONSLOVLEX@103.510:AttrStrListDocPropUznesenieBODD2">
    <vt:lpwstr/>
  </property>
  <property fmtid="{D5CDD505-2E9C-101B-9397-08002B2CF9AE}" pid="125" name="FSC#SKEDITIONSLOVLEX@103.510:AttrStrListDocPropUznesenieZodpovednyD2">
    <vt:lpwstr/>
  </property>
  <property fmtid="{D5CDD505-2E9C-101B-9397-08002B2CF9AE}" pid="126" name="FSC#SKEDITIONSLOVLEX@103.510:AttrStrListDocPropUznesenieTextD2">
    <vt:lpwstr/>
  </property>
  <property fmtid="{D5CDD505-2E9C-101B-9397-08002B2CF9AE}" pid="127" name="FSC#SKEDITIONSLOVLEX@103.510:AttrStrListDocPropUznesenieTerminD2">
    <vt:lpwstr/>
  </property>
  <property fmtid="{D5CDD505-2E9C-101B-9397-08002B2CF9AE}" pid="128" name="FSC#SKEDITIONSLOVLEX@103.510:AttrStrListDocPropUznesenieBODD3">
    <vt:lpwstr/>
  </property>
  <property fmtid="{D5CDD505-2E9C-101B-9397-08002B2CF9AE}" pid="129" name="FSC#SKEDITIONSLOVLEX@103.510:AttrStrListDocPropUznesenieZodpovednyD3">
    <vt:lpwstr/>
  </property>
  <property fmtid="{D5CDD505-2E9C-101B-9397-08002B2CF9AE}" pid="130" name="FSC#SKEDITIONSLOVLEX@103.510:AttrStrListDocPropUznesenieTextD3">
    <vt:lpwstr/>
  </property>
  <property fmtid="{D5CDD505-2E9C-101B-9397-08002B2CF9AE}" pid="131" name="FSC#SKEDITIONSLOVLEX@103.510:AttrStrListDocPropUznesenieTerminD3">
    <vt:lpwstr/>
  </property>
  <property fmtid="{D5CDD505-2E9C-101B-9397-08002B2CF9AE}" pid="132" name="FSC#SKEDITIONSLOVLEX@103.510:AttrStrListDocPropUznesenieBODD4">
    <vt:lpwstr/>
  </property>
  <property fmtid="{D5CDD505-2E9C-101B-9397-08002B2CF9AE}" pid="133" name="FSC#SKEDITIONSLOVLEX@103.510:AttrStrListDocPropUznesenieZodpovednyD4">
    <vt:lpwstr/>
  </property>
  <property fmtid="{D5CDD505-2E9C-101B-9397-08002B2CF9AE}" pid="134" name="FSC#SKEDITIONSLOVLEX@103.510:AttrStrListDocPropUznesenieTextD4">
    <vt:lpwstr/>
  </property>
  <property fmtid="{D5CDD505-2E9C-101B-9397-08002B2CF9AE}" pid="135" name="FSC#SKEDITIONSLOVLEX@103.510:AttrStrListDocPropUznesenieTerminD4">
    <vt:lpwstr/>
  </property>
  <property fmtid="{D5CDD505-2E9C-101B-9397-08002B2CF9AE}" pid="136" name="FSC#SKEDITIONSLOVLEX@103.510:AttrStrListDocPropUznesenieVykonaju">
    <vt:lpwstr>členovia vlády_x000d_
predsedovia ostatných ústredných orgánov štátnej správy </vt:lpwstr>
  </property>
  <property fmtid="{D5CDD505-2E9C-101B-9397-08002B2CF9AE}" pid="137" name="FSC#SKEDITIONSLOVLEX@103.510:AttrStrListDocPropUznesenieNaVedomie">
    <vt:lpwstr>prezidentka SR _x000d_
predseda Národnej rady SR _x000d_
predseda Výboru Národnej rady SR pre európske záležitosti </vt:lpwstr>
  </property>
  <property fmtid="{D5CDD505-2E9C-101B-9397-08002B2CF9AE}" pid="138" name="FSC#SKEDITIONSLOVLEX@103.510:funkciaPred">
    <vt:lpwstr/>
  </property>
  <property fmtid="{D5CDD505-2E9C-101B-9397-08002B2CF9AE}" pid="139" name="FSC#SKEDITIONSLOVLEX@103.510:funkciaPredAkuzativ">
    <vt:lpwstr/>
  </property>
  <property fmtid="{D5CDD505-2E9C-101B-9397-08002B2CF9AE}" pid="140" name="FSC#SKEDITIONSLOVLEX@103.510:funkciaPredDativ">
    <vt:lpwstr/>
  </property>
  <property fmtid="{D5CDD505-2E9C-101B-9397-08002B2CF9AE}" pid="141" name="FSC#SKEDITIONSLOVLEX@103.510:funkciaZodpPred">
    <vt:lpwstr>Minister zahraničných vecí a európskych záležitosti Slovenskej republiky</vt:lpwstr>
  </property>
  <property fmtid="{D5CDD505-2E9C-101B-9397-08002B2CF9AE}" pid="142" name="FSC#SKEDITIONSLOVLEX@103.510:funkciaZodpPredAkuzativ">
    <vt:lpwstr>Ministra zahraničných vecí a európskych záležitostí Slovenskej republiky</vt:lpwstr>
  </property>
  <property fmtid="{D5CDD505-2E9C-101B-9397-08002B2CF9AE}" pid="143" name="FSC#SKEDITIONSLOVLEX@103.510:funkciaZodpPredDativ">
    <vt:lpwstr>Ministrovi zahraničných vecí a európskych záležitostí Slovenskej republiky</vt:lpwstr>
  </property>
  <property fmtid="{D5CDD505-2E9C-101B-9397-08002B2CF9AE}" pid="144" name="FSC#SKEDITIONSLOVLEX@103.510:funkciaDalsiPred">
    <vt:lpwstr/>
  </property>
  <property fmtid="{D5CDD505-2E9C-101B-9397-08002B2CF9AE}" pid="145" name="FSC#SKEDITIONSLOVLEX@103.510:funkciaDalsiPredAkuzativ">
    <vt:lpwstr/>
  </property>
  <property fmtid="{D5CDD505-2E9C-101B-9397-08002B2CF9AE}" pid="146" name="FSC#SKEDITIONSLOVLEX@103.510:funkciaDalsiPredDativ">
    <vt:lpwstr/>
  </property>
  <property fmtid="{D5CDD505-2E9C-101B-9397-08002B2CF9AE}" pid="147" name="FSC#SKEDITIONSLOVLEX@103.510:predkladateliaObalSD">
    <vt:lpwstr>Juraj Blanár_x000d_
Minister zahraničných vecí a európskych záležitosti Slovenskej republiky</vt:lpwstr>
  </property>
  <property fmtid="{D5CDD505-2E9C-101B-9397-08002B2CF9AE}" pid="148" name="FSC#SKEDITIONSLOVLEX@103.510:AttrStrListDocPropTextVseobPrilohy">
    <vt:lpwstr/>
  </property>
  <property fmtid="{D5CDD505-2E9C-101B-9397-08002B2CF9AE}" pid="149" name="FSC#SKEDITIONSLOVLEX@103.510:AttrStrListDocPropTextPredklSpravy">
    <vt:lpwstr>&lt;p style="text-align: justify;"&gt;Programové vyhlásenie vlády Slovenskej republiky schválené&amp;nbsp; uznesením vlády Slovenskej republiky č. 590 zo dňa 13. novembra 2023 vo vzťahu k&amp;nbsp;európskej politike uvádza, že &lt;em&gt;„vláda je pripravená predložiť opatren</vt:lpwstr>
  </property>
  <property fmtid="{D5CDD505-2E9C-101B-9397-08002B2CF9AE}" pid="150" name="FSC#SKEDITIONSLOVLEX@103.510:vytvorenedna">
    <vt:lpwstr>10. 4. 2024</vt:lpwstr>
  </property>
  <property fmtid="{D5CDD505-2E9C-101B-9397-08002B2CF9AE}" pid="151" name="FSC#COOSYSTEM@1.1:Container">
    <vt:lpwstr>COO.2145.1000.3.6125806</vt:lpwstr>
  </property>
  <property fmtid="{D5CDD505-2E9C-101B-9397-08002B2CF9AE}" pid="152" name="FSC#FSCFOLIO@1.1001:docpropproject">
    <vt:lpwstr/>
  </property>
</Properties>
</file>