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523/2004 Z. z. o rozpočtových pravidlách verejnej správy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LP/2026/123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54/25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54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8E0404">
        <w:rPr>
          <w:rFonts w:ascii="Times New Roman" w:eastAsia="Times New Roman" w:hAnsi="Times New Roman" w:cs="Times New Roman"/>
          <w:sz w:val="24"/>
          <w:szCs w:val="24"/>
        </w:rPr>
        <w:t xml:space="preserve">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41</w:t>
      </w:r>
      <w:r w:rsidR="004A48F0">
        <w:rPr>
          <w:rFonts w:ascii="Times New Roman" w:eastAsia="Times New Roman" w:hAnsi="Times New Roman" w:cs="Times New Roman"/>
          <w:sz w:val="24"/>
          <w:szCs w:val="24"/>
        </w:rPr>
        <w:t>/21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bodom 2, 5 a 6 – O:</w:t>
              <w:br/>
            </w:r>
            <w:r>
              <w:rPr>
                <w:b w:val="off"/>
                <w:color w:val="000000"/>
                <w:rFonts w:ascii="Times New Roman" w:hAnsi="Times New Roman" w:cs="Times New Roman" w:eastAsia="Times New Roman"/>
                <w:sz w:val="24"/>
              </w:rPr>
              <w:t>Slová „pripája bodkočiarka a tieto slová“ odporúčame nahradiť slovami „bodka nahrádza bodkočiarkou a pripájajú sa tieto slová“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v súlade s bodom 35.2.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4 – O:</w:t>
              <w:br/>
            </w:r>
            <w:r>
              <w:rPr>
                <w:b w:val="off"/>
                <w:color w:val="000000"/>
                <w:rFonts w:ascii="Times New Roman" w:hAnsi="Times New Roman" w:cs="Times New Roman" w:eastAsia="Times New Roman"/>
                <w:sz w:val="24"/>
              </w:rPr>
              <w:t>Slová „pripája čiarka a tieto slová“ odporúčame nahradiť slovami „bodka nahrádza čiarkou  a pripájajú sa tieto slová“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v súlade s bodom 35.2.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Navrhujeme doplniť nový novelizačný bod, ktorý znie:</w:t>
              <w:br/>
            </w:r>
            <w:r>
              <w:rPr>
                <w:b w:val="off"/>
                <w:color w:val="000000"/>
                <w:rFonts w:ascii="Times New Roman" w:hAnsi="Times New Roman" w:cs="Times New Roman" w:eastAsia="Times New Roman"/>
                <w:sz w:val="24"/>
              </w:rPr>
              <w:t>„V § 22 ods. 4 druhej vete sa za slovami „úhrad stravy“ slovo „alebo“ nahrádza čiarkou a na konci sa pripájajú tieto slová: „alebo o príjem prostriedkov zo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nadväznosti na skutočnosť, že zákon č. 523/2004 Z. z. o rozpočtových pravidlách verejnej správy a o zmene a doplnení niektorých zákonov v znení neskorších predpisov (ďalej len „zákon č. 523/2004 Z. z.“) prípad, ktorý nastal v súvislosti s novelou zákona č. 578/2004 Z. z. o poskytovateľoch zdravotnej starostlivosti, zdravotníckych pracovníkoch, stavovských organizáciách v zdravotníctve a o zmene a doplnení niektorých zákonov v znení neskorších predpisov účinnou od 1. marca 2026, explicitne neupravuje a nie je teda možné tento prípad subsumovať pod ustanovenie § 22 ods. 4 zákona č. 523/2004 Z. z., riešením je doplnenie príslušného ustanovenia zákona č. 523/2004 Z. z., s cieľom vymedziť, aby rozpočtová organizácia mohla sústreďovať príjmy od zdravotnej poisťovne aj na samostatnom účte a realizovať výdavky zo samostatného účtu na účel, na ktorý sú určené. Máme za to, že takýto postup je v súlade so zásadou právnej istoty, rešpektuje účelovosť poskytnutých prostriedkov a predchádza porušeniu finančnej disciplíny.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predkladanej novely zákona.</w:t>
              <w:br/>
            </w:r>
            <w:r>
              <w:rPr>
                <w:b w:val="off"/>
                <w:color w:val="000000"/>
                <w:rFonts w:ascii="Times New Roman" w:hAnsi="Times New Roman" w:cs="Times New Roman" w:eastAsia="Times New Roman"/>
                <w:sz w:val="24"/>
              </w:rPr>
              <w:t xml:space="preserve">Po vzájomnej diskusii medzi MS SR a MF SR došlo k vysvetleniu situácie. Pripomienka nie je predmetom rozporu.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 xml:space="preserve">1.	V čl. I odporúčame znenie bodu 2 upraviť takto: „V § 6 ods. 7 prvej vete sa bodka na konci nahrádza bodkočiarkou a pripájajú sa  tieto slová:“ </w:t>
              <w:br/>
            </w:r>
            <w:r>
              <w:rPr>
                <w:b w:val="off"/>
                <w:color w:val="000000"/>
                <w:rFonts w:ascii="Times New Roman" w:hAnsi="Times New Roman" w:cs="Times New Roman" w:eastAsia="Times New Roman"/>
                <w:sz w:val="24"/>
              </w:rPr>
              <w:t>Obdobnú úpravu odporúčame aj v bodoch 4 a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v súlade s bodom 35.2.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 bode 3</w:t>
              <w:br/>
            </w:r>
            <w:r>
              <w:rPr>
                <w:b w:val="off"/>
                <w:color w:val="000000"/>
                <w:rFonts w:ascii="Times New Roman" w:hAnsi="Times New Roman" w:cs="Times New Roman" w:eastAsia="Times New Roman"/>
                <w:sz w:val="24"/>
              </w:rPr>
              <w:t>2.	V čl. I bode 3 Dávame na zváženie doplnenie právnej úpravy s cieľom umožniť automatické úpravy limitu verejných výdavkov v informačných systémoch MF SR aj vo vzťahu k prostriedkom Európskej únie, prostriedkom štátneho rozpočtu určených na financovanie spoločných programov SR a EÚ a prostriedkov štátneho rozpočtu určených na financovanie účelov vyplývajúcich z medzinárodných zmlúv o poskytnutí grantu uzatvorených medzi Slovenskou republikou a inými štátmi, a to najmä vo vzťahu k prostriedkom pro rata.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je zohľadnený v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3.	V čl. I bode 4 odporúčame zvážiť zosúladenie slovného spojenia „ako aj v čase a výške neisté výdavky“ so spojením, ktoré sa používa v § 10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Formulácia je odlišná, pretože ide o inú vecnú situáciu.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4.	V čl. I bode 5 navrhujeme slová „sa považuje za porušenie“ nahradiť slovami „je porušením“.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Rovnaké vyjadrenie sa používa aj v platnom znení § 14 ods.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5.	V čl. I bode 5 odporúčame vypustiť celý novelizačný bod, pretože ustanovenie upravuje jednu z mnohých povinností v zákone. Porušenie tejto povinnosti a jej sankcionovanie odporúčame upraviť v § 31.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 14 ods. 2 je potrebné z dôvodu právnej istoty, aby nevznikali pochybnosti ohľadom možnosti sankcionovať subjekty verejnej správy, na ktoré sa táto povinnosť vzťahuje, za nedodržanie ustanoveného postupu.</w:t>
              <w:br/>
            </w:r>
            <w:r>
              <w:rPr>
                <w:b w:val="off"/>
                <w:color w:val="000000"/>
                <w:rFonts w:ascii="Times New Roman" w:hAnsi="Times New Roman" w:cs="Times New Roman" w:eastAsia="Times New Roman"/>
                <w:sz w:val="24"/>
              </w:rPr>
              <w:t>V danom prípade nejde o porušenie finančnej disciplíny podľa § 31, ale o porušenie povinnosti ustanovenej zákonom, za ktoré možno uložiť pokutu podľa § 32.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6.	V čl. I bode 7 navrhujeme vyjadriť takto „V § 15 ods. 1 poslednej vete sa vypúšťa bodkočiarka a časť vety za bodkočiarkou.“.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v súlade s Legislatívnymi pravidlami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7.	V čl. I bode 14 navrhujeme slovo „štvrtej“ nahradiť slovom „poslednej“.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v súlade s Legislatívnymi pravidlami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 a 6</w:t>
              <w:br/>
            </w:r>
            <w:r>
              <w:rPr>
                <w:b w:val="off"/>
                <w:color w:val="000000"/>
                <w:rFonts w:ascii="Times New Roman" w:hAnsi="Times New Roman" w:cs="Times New Roman" w:eastAsia="Times New Roman"/>
                <w:sz w:val="24"/>
              </w:rPr>
              <w:t xml:space="preserve">Vzhľadom na navrhovanú úpravu § 6 ods. 8 a § 15 ods. 1, z dôvodu efektívneho a funkčného zavedenia navrhovaného opatrenia v informačnom systéme Ministerstva financií Slovenskej republiky navrhujeme zabezpečiť technickú pripravenosť vykonávania predmetných úprav rozpočtu v module MUR pre kapitolu Ministerstva obrany Slovenskej republiky, resp. zabezpečiť súčinnosť pri riešení prepojenia integrovaného informačného systému Ministerstva obrany Slovenskej republiky s informačným systémom Ministerstva financií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Predložená novela navrhuje realizáciu úpravy limitov verejných výdavkov/záväzných ukazovateľov subjektov verejnej správy bez vplyvu na celkový limit verejných výdavkov a limit verejných výdavkov štátneho rozpočtu vykonávať priamo v informačnom systéme Ministerstva financií Slovenskej republiky na úrovni správcu kapitoly bez schvaľovacieho vstupu Ministerstva financií Slovenskej republiky.  </w:t>
              <w:br/>
            </w:r>
            <w:r>
              <w:rPr>
                <w:b w:val="off"/>
                <w:color w:val="000000"/>
                <w:rFonts w:ascii="Times New Roman" w:hAnsi="Times New Roman" w:cs="Times New Roman" w:eastAsia="Times New Roman"/>
                <w:sz w:val="24"/>
              </w:rPr>
              <w:t>Kapitola Ministerstva obrany Slovenskej republiky vstupuje do informačného systému Ministerstva financií Slovenskej republiky (modul MUR) prostredníctvom integrovaného informačného systému Ministerstva obrany Slovenskej republiky. V nadväznosti na uvedené navrhujeme zohľadniť špecifiká kapitoly Ministerstva obrany Slovenskej republiky pri nastavovaní  informačného systému Ministerstva financií Slovenskej republiky tak, aby kapitole Ministerstva obrany Slovenskej republiky bolo umožnené realizovať predmetné rozpočtové opatrenia bez problémov v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súčasnosti medzi kapitolami MF SR a MO SR existuje plne funkčná integrácia s výmenou dát medzi uvádzanými IS, ktorá sa zabezpečuje cez platformu SAP PI v DC MF SR.</w:t>
              <w:br/>
            </w:r>
            <w:r>
              <w:rPr>
                <w:b w:val="off"/>
                <w:color w:val="000000"/>
                <w:rFonts w:ascii="Times New Roman" w:hAnsi="Times New Roman" w:cs="Times New Roman" w:eastAsia="Times New Roman"/>
                <w:sz w:val="24"/>
              </w:rPr>
              <w:t xml:space="preserve">Táto existujúca integrácia umožňuje realizovať prípadné zmeny, ktoré vyplynú z finálne schválenej novely zákona tak, aby kapitole MO SR po zohľadnení ich špecifík umožnili realizovať predmetné rozpočtové opatrenia bez problémov v praxi.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Odporúčame v čl. I bode 5 preformulovať navrhované doplnenie § 14 ods. 2 alebo ho vypustiť ako nadbytočné.</w:t>
              <w:br/>
            </w:r>
            <w:r>
              <w:rPr>
                <w:b w:val="off"/>
                <w:color w:val="000000"/>
                <w:rFonts w:ascii="Times New Roman" w:hAnsi="Times New Roman" w:cs="Times New Roman" w:eastAsia="Times New Roman"/>
                <w:sz w:val="24"/>
              </w:rPr>
              <w:t xml:space="preserve">Odôvodnenie: Ustanovenie § 14 ods. 2 ustanovuje, že ministerstvo financií vypracúva návrh rozpočtu verejnej správy v určenej štruktúre a v súčinnosti s príslušnými subjektmi verejnej správy a zároveň, že subjekty verejnej správy, ktorých výdavky sú súčasťou rozpočtu verejnej správy a na ktoré sa vzťahuje limit verejných výdavkov, zostavujú a realizujú svoj rozpočet </w:t>
              <w:br/>
            </w:r>
            <w:r>
              <w:rPr>
                <w:b w:val="off"/>
                <w:color w:val="000000"/>
                <w:rFonts w:ascii="Times New Roman" w:hAnsi="Times New Roman" w:cs="Times New Roman" w:eastAsia="Times New Roman"/>
                <w:sz w:val="24"/>
              </w:rPr>
              <w:t xml:space="preserve">v informačnom systéme ministerstva financií, spôsobom určeným ministerstvom financií </w:t>
              <w:br/>
            </w:r>
            <w:r>
              <w:rPr>
                <w:b w:val="off"/>
                <w:color w:val="000000"/>
                <w:rFonts w:ascii="Times New Roman" w:hAnsi="Times New Roman" w:cs="Times New Roman" w:eastAsia="Times New Roman"/>
                <w:sz w:val="24"/>
              </w:rPr>
              <w:t xml:space="preserve">a v ním určenom rozsahu a štruktúre. Zo znenia tohto ustanovenia je zrejmé, že príslušným subjektom bola uložená povinnosť konať určitým spôsobom a rovnako je zrejmé, že nedodržanie takého postupu je porušením zákona, ktorý túto povinnosť ustanovuje. Preto navrhované doplnenie § 14 ods. 2 možno považovať za nadbytočné.  Na precizovanie textu (ako odôvodňuje tento návrh predkladateľ v osobitnej časti dôvodovej správy k čl. I bodu 5) odporúčame prípadne odkázať na konkrétne ustanovenie predmetného zákona o sankciách </w:t>
              <w:br/>
            </w:r>
            <w:r>
              <w:rPr>
                <w:b w:val="off"/>
                <w:color w:val="000000"/>
                <w:rFonts w:ascii="Times New Roman" w:hAnsi="Times New Roman" w:cs="Times New Roman" w:eastAsia="Times New Roman"/>
                <w:sz w:val="24"/>
              </w:rPr>
              <w:t>za nedodržanie jeho ustanovení.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Precizácia § 14 ods. 2 je potrebná z dôvodu právnej istoty, aby nevznikali pochybnosti ohľadom možnosti sankcionovať subjekty verejnej správy, na ktoré sa táto povinnosť vzťahuje, za nedodržanie ustanoveného postupu.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Žiadame doplnenie príslušných ustanovení zákona tak, aby rozpočtová organizácia mohla sústreďovať na samostatnom účte aj príjmy od zdravotných poisťovní, ktoré sú účelovo určené na refundáciu výplaty stabilizačného príspevku pre zdravotné sestry, a zároveň aby z tohto účtu mohla realizovať výdavky výlučne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súlade s ustanovením § 22 ods. 4 zákona č. 523/2004 Z. z. o rozpočtových pravidlách verejnej správy a o zmene a doplnení niektorých zákonov v znení neskorších predpisov rozpočtová organizácia sústreďuje všetky príjmy svojho rozpočtu, s výnimkou príjmov podľa odseku 3, na príjmovom účte a realizuje všetky svoje výdavky z výdavkového účtu. Len v taxatívne vymedzených prípadoch, ak tak ustanovuje osobitný zákon, ak to vyplýva z právne záväzných aktov Európskej únie, z medzinárodnej zmluvy, pri prijatí prostriedkov na základe darovacej zmluvy, na základe zmluvy o združení, pri prijatí prostriedkov súvisiacich so stravovaním vrátane úhrad stravy alebo pri prijatí prostriedkov formou dotácie alebo grantu, môže rozpočtová organizácia sústreďovať príjmy aj na samostatných účtoch a realizovať výdavky zo samostatných účtov. </w:t>
              <w:br/>
            </w:r>
            <w:r>
              <w:rPr>
                <w:b w:val="off"/>
                <w:color w:val="000000"/>
                <w:rFonts w:ascii="Times New Roman" w:hAnsi="Times New Roman" w:cs="Times New Roman" w:eastAsia="Times New Roman"/>
                <w:sz w:val="24"/>
              </w:rPr>
              <w:t xml:space="preserve">V nadväznosti na uvedené je potrebné konštatovať, že právna úprava v platnom a účinnom znení explicitne neupravuje nakladanie s finančnými prostriedkami prijatými od zdravotných poisťovní a ich následné použitie na refundáciu výplaty stabilizačného príspevku pre zdravotné sestry. Z uvedeného dôvodu nie je možné tieto prostriedky jednoznačne subsumovať pod existujúce výnimky ustanovené zákonom. </w:t>
              <w:br/>
            </w:r>
            <w:r>
              <w:rPr>
                <w:b w:val="off"/>
                <w:color w:val="000000"/>
                <w:rFonts w:ascii="Times New Roman" w:hAnsi="Times New Roman" w:cs="Times New Roman" w:eastAsia="Times New Roman"/>
                <w:sz w:val="24"/>
              </w:rPr>
              <w:t xml:space="preserve">Navrhovaným doplnením príslušných ustanovení zákona sa vytvorí právny rámec, ktorý umožní rozpočtovým organizáciám sústreďovať tieto účelovo určené príjmy na samostatných účtoch a realizovať z nich výdavky výlučne na stanovený účel.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vzájomnej diskusii medzi MS SR a MF SR došlo k vysvetleniu situácie. Pripomienka nie je predmetom rozporu.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Z predkladacej správy odporúčame vypustiť časť obsahujúcu zhrnutie vybraných vplyvov v súlade s doložkou vybraných vplyvov a časť obsahujúcu informáciu, že návrh zákona nie je predmetom vnútrokomunitárneho pripomienkového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súlade s čl. 20 ods. 2 Legislatívnych pravidiel vlády majú byť predmetné informácie obsiahnuté vo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Predkladacia správa upravená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Z dôvodu zabezpečenia konzistentnosti materiálu odporúčame v súlade s doložkou vybraných vplyvov v dôvodovej správe v časti obsahujúcej zhrnutie vplyvov doplniť, že návrh zákona nebude mať vplyv na limit verejných výdavkov. Zároveň v súlade s čl. 20 ods. 2 Legislatívnych pravidiel vlády Slovenskej republiky odporúčame doplniť informáciu, že návrh nie je predmetom vnútrokomunitárneho pripomienkového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upravená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slovo „uvedeného v“ nahradiť slovom „podľa“.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formulácia je zrozumiteľná.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slovo „uvedeného v“ nahradiť slovom „podľa“ a za slovo „dotknuté“ odporúčame vložiť slovo „ustanovenia“.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formulácia je zrozumiteľná.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Odporúčame slová „ako aj v čase a výške neisté výdavky“ nahradiť slovami „ako aj výdavky neisté v čase alebo výške“. Ide o legislatívno-technickú pripomienku (spresnenie formulácie).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formulácia je zrozumiteľná.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 xml:space="preserve">Požadujeme ponechať ustanovenie § 17 ods. 4 v aktuálnom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 17 ods. 4 zákona umožňuje rozpočtovej organizácii prekročiť limit výdavkov z dôvodu dosiahnutia vyšších ako rozpočtovaných príjmov. </w:t>
              <w:br/>
            </w:r>
            <w:r>
              <w:rPr>
                <w:b w:val="off"/>
                <w:color w:val="000000"/>
                <w:rFonts w:ascii="Times New Roman" w:hAnsi="Times New Roman" w:cs="Times New Roman" w:eastAsia="Times New Roman"/>
                <w:sz w:val="24"/>
              </w:rPr>
              <w:t>Školy a školské zariadenia získavajú finančné prostriedky podľa § 17 ods. 4 zákona najmä od fyzických a iných právnických osôb. Ide najmä o nasledovné príjmy: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 prenájmu priestorov a zariadenia  v čase, keď sa nevyužívajú na výchovno-vzdelávací proces,</w:t>
              <w:br/>
            </w:r>
            <w:r>
              <w:rPr>
                <w:b w:val="off"/>
                <w:color w:val="000000"/>
                <w:rFonts w:ascii="Times New Roman" w:hAnsi="Times New Roman" w:cs="Times New Roman" w:eastAsia="Times New Roman"/>
                <w:sz w:val="24"/>
              </w:rPr>
              <w:t xml:space="preserve">-	príspevok zákonného zástupcu na čiastočnú úhradu výdavkov na pobyt dieťaťa v materskej škole, </w:t>
              <w:br/>
            </w:r>
            <w:r>
              <w:rPr>
                <w:b w:val="off"/>
                <w:color w:val="000000"/>
                <w:rFonts w:ascii="Times New Roman" w:hAnsi="Times New Roman" w:cs="Times New Roman" w:eastAsia="Times New Roman"/>
                <w:sz w:val="24"/>
              </w:rPr>
              <w:t>-	príspevok na čiastočnú úhradu výdavkov na štúdium v základnej umeleckej škole,</w:t>
              <w:br/>
            </w:r>
            <w:r>
              <w:rPr>
                <w:b w:val="off"/>
                <w:color w:val="000000"/>
                <w:rFonts w:ascii="Times New Roman" w:hAnsi="Times New Roman" w:cs="Times New Roman" w:eastAsia="Times New Roman"/>
                <w:sz w:val="24"/>
              </w:rPr>
              <w:t xml:space="preserve">-	úhrada nákladov na štúdium v jazykovej škole, </w:t>
              <w:br/>
            </w:r>
            <w:r>
              <w:rPr>
                <w:b w:val="off"/>
                <w:color w:val="000000"/>
                <w:rFonts w:ascii="Times New Roman" w:hAnsi="Times New Roman" w:cs="Times New Roman" w:eastAsia="Times New Roman"/>
                <w:sz w:val="24"/>
              </w:rPr>
              <w:t>-	príspevok na čiastočnú úhradu nákladov spojených s činnosťou školského klubu detí,</w:t>
              <w:br/>
            </w:r>
            <w:r>
              <w:rPr>
                <w:b w:val="off"/>
                <w:color w:val="000000"/>
                <w:rFonts w:ascii="Times New Roman" w:hAnsi="Times New Roman" w:cs="Times New Roman" w:eastAsia="Times New Roman"/>
                <w:sz w:val="24"/>
              </w:rPr>
              <w:t xml:space="preserve">-	príspevok na čiastočnú úhradu nákladov na činnosti centra voľného času, </w:t>
              <w:br/>
            </w:r>
            <w:r>
              <w:rPr>
                <w:b w:val="off"/>
                <w:color w:val="000000"/>
                <w:rFonts w:ascii="Times New Roman" w:hAnsi="Times New Roman" w:cs="Times New Roman" w:eastAsia="Times New Roman"/>
                <w:sz w:val="24"/>
              </w:rPr>
              <w:t xml:space="preserve">-	príspevok na čiastočnú úhradu nákladov spojených s ubytovaním v školskom internáte, </w:t>
              <w:br/>
            </w:r>
            <w:r>
              <w:rPr>
                <w:b w:val="off"/>
                <w:color w:val="000000"/>
                <w:rFonts w:ascii="Times New Roman" w:hAnsi="Times New Roman" w:cs="Times New Roman" w:eastAsia="Times New Roman"/>
                <w:sz w:val="24"/>
              </w:rPr>
              <w:t xml:space="preserve">-	úhrada nákladov za pobyt dieťaťa v špeciálnom výchovnom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finančné prostriedky umožňujú školám a školským zariadeniam použiť vlastné príjmy na financovanie prevádzky a pomáhajú tým znížiť vplyv na štátny rozpočet. Uvedené je prejavom hospodárneho nakladania s finančnými prostriedkami.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sú získavané finančné prostriedky od ÚPSVaR SR ako príspevok v rámci aktívnej politiky trhu práce a tiež z poistného plnenia zo zmluvného poistenia alebo zo zákonného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zrušenie oprávnenia rozpočtovej organizácie prekročiť limit výdavkov z dôvodu dosiahnutia vyšších ako rozpočtovaných príjmov spôsobí v aplikačnej praxi komplikácie - až neriešiteľné situácie, ktoré budú mať negatívny vplyv na zabezpečenie štandardnej prevádzky škôl a školských zariadení, ale aj na štátny rozpočet vzhľadom na nemožnosť využitia viaczdrojového financovania, ako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škola alebo školské zariadenie nebude môcť príjem z prenájmu priestorov napr. telocvične použiť na úhradu energií, údržbu, prípadne na refundáciu prevádzkových nákladov, </w:t>
              <w:br/>
            </w:r>
            <w:r>
              <w:rPr>
                <w:b w:val="off"/>
                <w:color w:val="000000"/>
                <w:rFonts w:ascii="Times New Roman" w:hAnsi="Times New Roman" w:cs="Times New Roman" w:eastAsia="Times New Roman"/>
                <w:sz w:val="24"/>
              </w:rPr>
              <w:t xml:space="preserve">-	ak škola alebo školské zariadenie nebude môcť príspevky od zákonných zástupcov použiť napr. na nákup materiálu a pomôcok pre žiakov v školskom klube detí, nebude dodržaný účel, na ktorý zákonný zástupca poskytol finančné prostriedky a zároveň ich nebude možné použiť na skvalitnenie výchovno-vzdelávacieho procesu, </w:t>
              <w:br/>
            </w:r>
            <w:r>
              <w:rPr>
                <w:b w:val="off"/>
                <w:color w:val="000000"/>
                <w:rFonts w:ascii="Times New Roman" w:hAnsi="Times New Roman" w:cs="Times New Roman" w:eastAsia="Times New Roman"/>
                <w:sz w:val="24"/>
              </w:rPr>
              <w:t xml:space="preserve">-	reedukačné centrá prijímajú výživné od zákonných zástupcov, ktoré sa používajú na zabezpečenie potrieb detí umiestnených v týchto zariadeniach. Nie je možné dopredu objektívne rozpočtovať tieto finančné prostriedky z dôvodu výraznej fluktuácie týchto detí, </w:t>
              <w:br/>
            </w:r>
            <w:r>
              <w:rPr>
                <w:b w:val="off"/>
                <w:color w:val="000000"/>
                <w:rFonts w:ascii="Times New Roman" w:hAnsi="Times New Roman" w:cs="Times New Roman" w:eastAsia="Times New Roman"/>
                <w:sz w:val="24"/>
              </w:rPr>
              <w:t xml:space="preserve">-	pri riešení nepredvídaných udalostí, ktoré majú charakter škody, poisťovňa vyplatí poistné plnenie. Ak by škola alebo školské zariadenie nemalo „voľný“ limit, nebude môcť tieto zdroje použiť na okamžitú opravu resp. sa predĺži proces odstraňovania škôd, čo ohrozuje bezpečnosť detí, žiakov a zamestnancov a znemožňuje výchovno-vzdelávací proces.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nie je možné zrealizovať bez schválenia zvýšenia limitu príjmov a výdavkov podľa § 17 ods. 4 na roky 2027 až 2029 zo strany MF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Rozpočtová organizácia je povinná rozpočtovať všetky svoje príjmy, vrátane príjmov vymedzených v § 17 ods. 4 zákona č. 523/2004 Z. z. K týmto rozpočtovaným príjmom rozpočtuje aj zodpovedajúce výdavky. Aktuálne znenie § 17 ods. 4 síce umožňuje rozpočtovej organizácii prekročiť limit výdavkov z dôvodu dosiahnutia vyšších ako vymedzených rozpočtovaných príjmov, avšak len za podmienky dodržania limitu verejných výdavkov kapitoly, keďže predmetné výdavky sa započítavajú do limitu verejných výdavkov.</w:t>
              <w:br/>
            </w:r>
            <w:r>
              <w:rPr>
                <w:b w:val="off"/>
                <w:color w:val="000000"/>
                <w:rFonts w:ascii="Times New Roman" w:hAnsi="Times New Roman" w:cs="Times New Roman" w:eastAsia="Times New Roman"/>
                <w:sz w:val="24"/>
              </w:rPr>
              <w:t xml:space="preserve">Vzhľadom na nevyhnutnosť dodržania limitu verejných výdavkov sa kladie dôraz na precízne a správne rozpočtovanie výdavkov v rozpočte subjektu, na ktorý sa limit verejných výdavkov vzťahuje, a to už pri tvorbe rozpočtu. </w:t>
              <w:br/>
            </w:r>
            <w:r>
              <w:rPr>
                <w:b w:val="off"/>
                <w:color w:val="000000"/>
                <w:rFonts w:ascii="Times New Roman" w:hAnsi="Times New Roman" w:cs="Times New Roman" w:eastAsia="Times New Roman"/>
                <w:sz w:val="24"/>
              </w:rPr>
              <w:t xml:space="preserve">Ak teda rozpočtová organizácia bude v súlade so zákonom č. 523/2004 Z. z. s využitím skúseností z predchádzajúceho vývoja správne rozpočtovať príjmy, ktoré prijme od fyzickej osoby alebo právnickej osoby podľa osobitných predpisov aktuálne vymedzené v § 17 ods. 4 a k nim bude rozpočtovať aj zodpovedajúce výdavky, tak zrušenie § 17 ods. 4 nijako neovplyvní možnosť čerpania predmetných výdavkov. </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 a 3</w:t>
              <w:br/>
            </w:r>
            <w:r>
              <w:rPr>
                <w:b w:val="off"/>
                <w:color w:val="000000"/>
                <w:rFonts w:ascii="Times New Roman" w:hAnsi="Times New Roman" w:cs="Times New Roman" w:eastAsia="Times New Roman"/>
                <w:sz w:val="24"/>
              </w:rPr>
              <w:t>Navrhujeme do návrhu zákona doplniť ustanovenie o povinnom zverejňovaní úprav limitov verejných výdavkov vykonávaných prostredníctvom informačného systému Ministerstva financií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umožňuje vykonávať presuny limitov verejných výdavkov bez schvaľovania vládou SR alebo ministrom financií SR. Napriek tomu, že ide o rozpočtovo neutrálne operácie, dochádza k zmene alokácie výdavkov medzi kapitolami a k čerpaniu rezerv. Nezverejnenie takýchto úprav môže mať negatívny vplyv na transparentnosť rozpočtového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Nastavenie informačných systémov MF SR je zabezpečené tak, že nie je možné prekročiť limit verejných výdavkov, teda kontrola dodržiavania limitu verejných výdavkov bude kontinuálne zabezpečená. Ide len o úpravy, ktoré majú neutrálny vplyv na limit verejných výdavkov. V navrhovanej právnej úprave preto nevidíme prínos.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3</w:t>
              <w:br/>
            </w:r>
            <w:r>
              <w:rPr>
                <w:b w:val="off"/>
                <w:color w:val="000000"/>
                <w:rFonts w:ascii="Times New Roman" w:hAnsi="Times New Roman" w:cs="Times New Roman" w:eastAsia="Times New Roman"/>
                <w:sz w:val="24"/>
              </w:rPr>
              <w:t>Navrhujeme doplniť kvantitatívny prah (napr. max. percento z ročného limitu subjektu za mesiac/štvrťrok), ďalej zákaz reťazenia úprav s rovnakým účelom a povinné mesačné zverejňovanie súhrnu týchto úprav na portáli verejných financií (Rozpočet.sk).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Rozširuje sa priestor na presuny bez schválenia vládou/ministrom. Aj pri neutrálnej sume môžu presuny meniť alokácie a priority. Kvantitatívne limity a zverejňovanie zachovajú prevádzkovú flexibilitu a zároveň posilnia transparentnosť a kontrolu dodržiavania limitu verejných výdavkov.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Nastavenie informačných systémov MF SR je zabezpečené tak, že nie je možné prekročiť limit verejných výdavkov, teda kontrola dodržiavania limitu verejných výdavkov bude kontinuálne zabezpečená. Naďalej platí, že v štátnom rozpočte sa budú vykonávať rozpočtové opatrenia, pričom pri rozpočtových opatreniach, pri ktorých dochádza k zmene záväzných ukazovateľov štátneho rozpočtu, je potrebný súhlas vlády alebo na základe jej splnomocnenia ministra financií.</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8</w:t>
              <w:br/>
            </w:r>
            <w:r>
              <w:rPr>
                <w:b w:val="off"/>
                <w:color w:val="000000"/>
                <w:rFonts w:ascii="Times New Roman" w:hAnsi="Times New Roman" w:cs="Times New Roman" w:eastAsia="Times New Roman"/>
                <w:sz w:val="24"/>
              </w:rPr>
              <w:t>Navrhujeme precizovať definíciu "neutrálneho vplyvu" voči limitu verejných výdavkov štátneho rozpočtu aj agregovanému limitu VS. Ďalej navrhujeme zaviesť ročný a kapitálový strop týchto presunov (napr. 0,5 % / 1 %) a štvrťročne informovať vládu a RRZ a zverejňovať súhrn úprav (kapitola – suma – dátum – účel).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Presuny medzi kapitolami majú politicko‑rozpočtový charakter. Stropy, pravidelné informovanie a zverejňovanie bránia obchádzaniu štandardných schvaľovacích mechanizmov a podporujú integritu limitu verejných výdavkov.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Neutrálny vplyv znamená nulový vplyv na limit verejných výdavkov štátneho rozpočtu, aj na celkový limit verejných výdavkov. Pri týchto úpravách sa limit verejných výdavkov jednej kapitoly zvýši o rovnakú sumu, ako sa zníži limit verejných výdavkov inej kapitoly. Vzhľadom na uvedené nie je potrebné zaviesť ročný ani kapitálový strop týchto úprav. </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Navrhujeme doplniť demonštratívny výpočet kategórií (napr. výdavky z rozsudkov ESĽP a iných právoplatných rozhodnutí, vplyvy legislatívnych zmien s neurčitým termínom účinnosti, mimoriadne udalosti), určiť metodiku odhadu a ročný objemový strop pre túto položku VPS, ako aj zaviesť ex post reporting čerpania.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bližšieho vymedzenia môže táto položka fungovať ako neadresná rezerva. Vymedzenie spolu s metodikou a reportingom zachová flexibilitu a zníži riziko netransparentného čerpania.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Ex post reporting čerpania je zabezpečený v ZÚ a zároveň mesačne sú zverejňované RO na rozpočet.sk, kde je možné vidieť priebežné čerpanie – iný reporting považujeme za nadbytočnú byrokraciu.</w:t>
              <w:br/>
            </w:r>
            <w:r>
              <w:rPr>
                <w:b w:val="off"/>
                <w:color w:val="000000"/>
                <w:rFonts w:ascii="Times New Roman" w:hAnsi="Times New Roman" w:cs="Times New Roman" w:eastAsia="Times New Roman"/>
                <w:sz w:val="24"/>
              </w:rPr>
              <w:t xml:space="preserve">Určiť metodiku a ročný objemový strop – na základe analýzy minulých období je možné konštatovať, že takýto spôsob rozpočtovania reflektuje na neočakávanú situáciu ako napríklad výdavky na kompenzáciu vysokých cien energií, na prebiehajúci legislatívny proces a každoročne sa môže dôvod meniť a to aj s ohľadom na bezpečnostnú situáciu, pandemickú situáciu a pod. Z uvedeného dôvodu neodporúčame stanoviť strop, ktorý by nám neumožnil flexibilne reagovať. </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2</w:t>
              <w:br/>
            </w:r>
            <w:r>
              <w:rPr>
                <w:b w:val="off"/>
                <w:color w:val="000000"/>
                <w:rFonts w:ascii="Times New Roman" w:hAnsi="Times New Roman" w:cs="Times New Roman" w:eastAsia="Times New Roman"/>
                <w:sz w:val="24"/>
              </w:rPr>
              <w:t>Navrhujeme upraviť, že rozsah, štruktúru, lehoty a náhradné postupy ustanoví osobitný predpis MF SR a zároveň navrhujeme doplniť výnimku pre objektívne technické prekážky a lehotu na nápravu, ako aj výslovne odkázať na primeranú aplikáciu § 32, t.j. pri § 14 ods. 2 výslovne uviesť odkaz na § 32 a doplniť zásadu primeranosti pri ukladaní pokút.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vysokú potenciálnu sankciu musí byť povinnosť ustanovená normatívne a s náhradným postupom pre prípad výpadkov IS, inak hrozí právna neistota a neprimerané postihy. Zamedzí sa neprimeraným sankciám pri marginálnych alebo neúmyselných porušeniach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na úpravu rozsahu, štruktúry, lehôt a náhradných postupov v osobitnom predpise MF SR nemá opodstatnenie. Rozsah a štruktúra rozpočtu subjektov verejnej správy je určená ministerstvom financií, a to aj v informačnom systéme. Iný náhradný postup, ako zostavovanie rozpočtu v informačnom systéme ministerstva financií je neprípustný.</w:t>
              <w:br/>
            </w:r>
            <w:r>
              <w:rPr>
                <w:b w:val="off"/>
                <w:color w:val="000000"/>
                <w:rFonts w:ascii="Times New Roman" w:hAnsi="Times New Roman" w:cs="Times New Roman" w:eastAsia="Times New Roman"/>
                <w:sz w:val="24"/>
              </w:rPr>
              <w:t>Zostavovanie rozpočtu subjektov verejnej správy, ktorých výdavky sú súčasťou rozpočtu verejnej správy a na ktoré sa vzťahuje limit verejných výdavkov je nevyhnutné z dôvodu potreby zabezpečenia rovnakej štruktúry údajov rozpočtu a možnosti ich automatizovaného spracovania, najmä za účelom monitorovania plnenia limitu verejných výdavkov schváleného národnou radou SR. Limit verejných výdavkov, ktorý je previazaný na rast čistých výdavkov v súlade s novými európskymi fiškálnymi pravidlami, je pre subjekty verejnej správy záväzný.</w:t>
              <w:br/>
            </w:r>
            <w:r>
              <w:rPr>
                <w:b w:val="off"/>
                <w:color w:val="000000"/>
                <w:rFonts w:ascii="Times New Roman" w:hAnsi="Times New Roman" w:cs="Times New Roman" w:eastAsia="Times New Roman"/>
                <w:sz w:val="24"/>
              </w:rPr>
              <w:t xml:space="preserve">Ustanovenie § 32 nestanovuje pevnú výšku pokuty za nedodržanie tejto povinnosti, ale len maximálnu sumu, do ktorej možno uložiť pokutu. Pri ukladaní pokút ministerstvo financií posudzuje dôvody nedodržania povinnosti a uplatňuje zásadu primeranosti pokuty. </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Navrhujeme zachovať limitovanú možnosť prekročenia výdavkov len do výšky prijatého poistného plnenia či iných taxatívne vymedzených príjmov, po súhlase správcu kapitoly a s oznámením MF v IS a aby sa výdavky plne započítavali do limitu na agregovanej úrovni kapitoly. Ak sa prijme kompromisné znenie § 17 navrhujeme upraviť § 22 ods. 1 len v nevyhnutnom rozsahu. Ak sa § 17 odsek 4 vypustí, navrhujeme skontrolovať, aby nevznikli medzery v úprave presunov a krytia záväzkov, aby sa predišlo neúmyselným legislatívnym a aplikačným sporom.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Úplné zrušenie prekročenia výdavkov odstráni stabilizačný prvok pre RO pri mimoriadnych udalostiach a môže zvýšiť prevádzkový tlak a obchádzanie cez ad hoc presuny. Navrhovaný kompromis zachová disciplínu na úrovni kapitoly a riešiteľnosť ad hoc výdavkov.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aktuálneho ustanovenia § 17 ods. 4 nie je riešenie mimoriadnych udalostí, ani umožnenie realizácie ad hoc výdavkov. Na riešenie krízových situácií je určená rozpočtová rezerva v štátnom rozpočte. V praxi dochádzalo k situáciám, že niektoré rozpočtové organizácie si príjmy uvedené v § 17 ods. 4 a k nim zodpovedajúce výdavky nerozpočtovali, keďže o skutočne dosiahnuté vyššie príjmy mohli prekročiť limit výdavkov. Na výdavky podľa § 17 ods. 4 sa však vzťahuje limit verejných výdavkov, preto je nevyhnutné precízne a správne rozpočtovanie aj týchto výdavkov, a to už pri tvorbe rozpočtu. Ak bude rozpočtová organizácia v súlade so zákonom č. 523/2004 Z. z. s využitím skúseností z predchádzajúceho vývoja správne rozpočtovať príjmy aktuálne vymedzené v § 17 ods. 4 a k nim bude rozpočtovať aj zodpovedajúce výdavky, tak zrušenie § 17 ods. 4 nijako neovplyvní možnosť čerpania predmetných výdavkov. </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19 ods. 12</w:t>
              <w:br/>
            </w:r>
            <w:r>
              <w:rPr>
                <w:b w:val="off"/>
                <w:color w:val="000000"/>
                <w:rFonts w:ascii="Times New Roman" w:hAnsi="Times New Roman" w:cs="Times New Roman" w:eastAsia="Times New Roman"/>
                <w:sz w:val="24"/>
              </w:rPr>
              <w:t>Navrhujeme namiesto predchádzajúceho súhlasu MF SR zaviesť povinné oznámenie, záväzný metodický rámec (ukazovatele zadlženosti a test konsolidovaného vplyvu na dlh VS a limit výdavkov) a možnosť MF SR vyžiadať stanovisko RRZ pri väčších transakciách.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Úplná liberalizácia môže zvýšiť podmienené záväzky a fiškálne riziká, najmä ak sú subjekty klasifikované vo verejnej správe. Oznámenie a metodika ponecháva autonómiu, no posilňuje dohľad nad rizikom.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Navrhujeme precizovať, že úpravy v IS sa vykonávajú pri zachovaní pravidiel pre EÚ zdroje/Plán obnovy a platobné agentúry, ako aj aby MF SR zverejnil štandardný postup vrátane lehôt a kontrolných bodov.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Administratívne zjednodušenie je žiaduce, no musí zostať kompatibilné s osobitnými pravidlami čerpania a transparentnosti EÚ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Precizovanie textu nie je potrebné, pretože uvedené vyplýva z iných všeobecne záväzných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4 a 5</w:t>
              <w:br/>
            </w:r>
            <w:r>
              <w:rPr>
                <w:b w:val="off"/>
                <w:color w:val="000000"/>
                <w:rFonts w:ascii="Times New Roman" w:hAnsi="Times New Roman" w:cs="Times New Roman" w:eastAsia="Times New Roman"/>
                <w:sz w:val="24"/>
              </w:rPr>
              <w:t>Navrhujeme upraviť lehoty na rozhodnutie (napr. 10 pracovných dní), umožniť predbežné viazanie v odôvodnených prípadoch a zabezpečiť automatické evidovanie dôvodov/dátumov v IS pre auditnú stopu.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Zlepší sa operatívnosť riadenia rizík kapitoly a hotovostného riadenia a zároveň sa zvýši vysledovateľnosť rozhodnutí.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Aplikačná prax prináša rôzne situácie. V mnohých prípadoch žiadosti o vykonanie rozpočtového opatrenia neobsahujú všetky relevantné údaje na posúdenie opodstatnenosti a neobsahuje všetky požadované formálne náležitosti. Po sfinalizovaní potrebných údajov MF SR vykonáva rozpočtové opatrenia bez zbytočného odkladu. S ohľadom na uvedené návrh na úpravu termínu nepovažujeme za prínosný vo vzťahu k efektívnosti procesov.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bod 3.</w:t>
              <w:br/>
            </w:r>
            <w:r>
              <w:rPr>
                <w:b w:val="off"/>
                <w:color w:val="000000"/>
                <w:rFonts w:ascii="Times New Roman" w:hAnsi="Times New Roman" w:cs="Times New Roman" w:eastAsia="Times New Roman"/>
                <w:sz w:val="24"/>
              </w:rPr>
              <w:t>K prílohe:</w:t>
              <w:br/>
            </w:r>
            <w:r>
              <w:rPr>
                <w:b w:val="off"/>
                <w:color w:val="000000"/>
                <w:rFonts w:ascii="Times New Roman" w:hAnsi="Times New Roman" w:cs="Times New Roman" w:eastAsia="Times New Roman"/>
                <w:sz w:val="24"/>
              </w:rPr>
              <w:t>Navrhujeme v prechodných ustanoveniach uložiť MF SR do 6 mesiacov od vyhlásenia povinnosť vydať/aktualizovať vykonávacie a metodické akty k strednodobému rámcu, reportingu a spolupráci s RRZ v súlade so smernicou Rady (EÚ) 2024/1265.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Formálne doplnenie smernice Rady (EÚ) 2024/1265 do prílohy podľa nášho názoru nestačí, preto odporúčame jej následnú implementáciu do vykonávacích a metodických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Rady (EÚ) 2024/1265 bola transponovaná do národnej legislatívy zákonom č. 118/2024 Z. z., ktorým sa mení a dopĺňa zákon č. 523/2004 Z. z. o rozpočtových pravidlách verejnej správy a o zmene a doplnení niektorých zákonov v znení neskorších predpisov a ktorým sa menia a dopĺňajú niektoré zákony a taktiež dokumentom Vybrané pravidlá pre rozpočtové rámce (príručka) č. MF/015008/2025-414, ktorý je zverejnený na webovej stránke ministerstva financií.</w:t>
              <w:br/>
            </w:r>
            <w:r>
              <w:rPr>
                <w:b w:val="off"/>
                <w:color w:val="000000"/>
                <w:rFonts w:ascii="Times New Roman" w:hAnsi="Times New Roman" w:cs="Times New Roman" w:eastAsia="Times New Roman"/>
                <w:sz w:val="24"/>
              </w:rPr>
              <w:t>Medzi sprievodné materiály k predkladanému návrhu zákona bola doplnená tabuľka zhody návrhu zákona so smernicou (EÚ) 2024/1265.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 účinnosťou navrhovaného zákona odporúčame, aby MF SR vydal/aktualizoval vykonávacie predpisy k IS a metodiku, ďalej aby MF SR a RRZ aktualizovali metodiku limitu verejných výdavkov, ako aj aby MF SR zverejnil technickú špecifikáciu IS pre neutrálne presuny a reporting, a to napríklad do 30. 6. 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Zabezpečí sa implementačná pripravenosť a zníži sa riziko porušení ihneď po nadobudnutí účinnosti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Limit verejných výdavkov vypočítava ministerstvo financií v súlade s trajektóriou vývoja čistých výdavkov v národnom strednodobom fiškálno-štrukturálnom pláne. Schvaľuje ho národná rada SR na všetky roky, na ktoré sa zostavuje rozpočet verejnej správy. Limit verejných výdavkov sa neaktualizuje. Čisté výdavky sú definované v nariadení (EÚ) 2024/1263.  RRZ nevypracováva metodiku limitu verejných výdavkov. </w:t>
              <w:br/>
            </w:r>
            <w:r>
              <w:rPr>
                <w:b w:val="off"/>
                <w:color w:val="000000"/>
                <w:rFonts w:ascii="Times New Roman" w:hAnsi="Times New Roman" w:cs="Times New Roman" w:eastAsia="Times New Roman"/>
                <w:sz w:val="24"/>
              </w:rPr>
              <w:t>Uvedenú dokumentáciu, ktorú zabezpečuje v rozsahu svojej činnosti MF SR,  je možné aktualizovať 30 dní pred účinnosťou samotného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obsahu predloženého materiálu</w:t>
              <w:br/>
            </w:r>
            <w:r>
              <w:rPr>
                <w:b w:val="off"/>
                <w:color w:val="000000"/>
                <w:rFonts w:ascii="Times New Roman" w:hAnsi="Times New Roman" w:cs="Times New Roman" w:eastAsia="Times New Roman"/>
                <w:sz w:val="24"/>
              </w:rPr>
              <w:t>Za účelom posúdenia zachovania úplnej transpozície so smernicou (EÚ) 2024/1265 žiadame predložiť čiastkovú tabuľku zhody, nakoľko transpozičné opatrenia, ktorými sú § 4, 15 a 18 sú predmetom novelizácie v čl. I bodoch 1, 6, 7 a 10 až 11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materiálu bola doplnená čiastková tabuľka zhody návrhu zákona so smernicou (EÚ) 2024/1265.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zmysle čl. 19 ods. 1 písm. b) Legislatívnych pravidiel vlády Slovenskej republiky žiadame do predkladacej správy doplniť odôvodnenie predloženia návrhu zákona do skráteného pripomienkového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Predkladacia správa doplnená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 zmysle čl. 20 ods. 2 Legislatívnych pravidiel vlády Slovenskej republiky žiadame vyjadrenie k vnútrokomunitárnemu pripomienkovému konaniu presunúť do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upravená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 (§ 4 ods. 3)</w:t>
              <w:br/>
            </w:r>
            <w:r>
              <w:rPr>
                <w:b w:val="off"/>
                <w:color w:val="000000"/>
                <w:rFonts w:ascii="Times New Roman" w:hAnsi="Times New Roman" w:cs="Times New Roman" w:eastAsia="Times New Roman"/>
                <w:sz w:val="24"/>
              </w:rPr>
              <w:t>V prípade, že by sa citovaná zmena týkala limitu verejných výdavkov určeného pre vyššie územné celky, vyššie územné celky požadujú zapracovať do navrhovanej úpravy zákona  povinnosť pre MFSR informovať ich o tejto zmene.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súlade s § 3 ods. 5 zákona č. 583/2004 Z. z. o rozpočtových pravidlách územnej samosprávy a o zmene a doplnení niektorých zákonov v znení neskorších predpisov ministerstvo financií oznamuje zástupcom vyšších územných celkov limit verejných výdavkov vyšších územných celkov, ktorý je súčasťou rozpočtu verejnej správy. Upozorňujeme, že na rozpočet obce, rozpočet vyššieho územného celku a rozpočty nimi zriadených organizácií a založených právnických osôb sa ustanovenia osobitného predpisu vo vzťahu k limitu verejných výdavkov nevzťahujú. Týmto osobitným predpisom je zákon č. 523/2004 Z. z. </w:t>
              <w:br/>
            </w:r>
            <w:r>
              <w:rPr>
                <w:b w:val="off"/>
                <w:color w:val="000000"/>
                <w:rFonts w:ascii="Times New Roman" w:hAnsi="Times New Roman" w:cs="Times New Roman" w:eastAsia="Times New Roman"/>
                <w:sz w:val="24"/>
              </w:rPr>
              <w:t xml:space="preserve">Z uvedeného vyplýva, že vyššie územné celky majú svoj súhrnný limit verejných výdavkov. Konkrétny vyšší územný celok však nemá svoj konkrétny limit verejných výdavkov. </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5 (§ 14 ods. 2)</w:t>
              <w:br/>
            </w:r>
            <w:r>
              <w:rPr>
                <w:b w:val="off"/>
                <w:color w:val="000000"/>
                <w:rFonts w:ascii="Times New Roman" w:hAnsi="Times New Roman" w:cs="Times New Roman" w:eastAsia="Times New Roman"/>
                <w:sz w:val="24"/>
              </w:rPr>
              <w:t>Navrhujeme vypustiť navrhované doplnenie textu alebo pre prípad takéhoto porušenia povinnosti nastaviť inú sankciu  ako je upravené v § 32 zákona, nakoľko z neho vyplývajúca  pokuta vo výške až 500 000 eur je neprimeraná a mohla  by spôsobiť neúmernú finančnú záťaž pre menšie subjekty verejnej správy, ktoré často čelia obmedzeným kapacitám pri spracovaní údajov. Tento krok by bol kontraproduktívny vzhľadom na cieľ zákona zabezpečiť jednotnú štruktúru rozpočtových údajov. Hlavným cieľom § 14 ods. 2 je zabezpečiť jednotné a správne vedenie rozpočtových údajov v informačnom systéme ministerstva financií. Zavedenie vysokých peňažných sankcií by mohlo byť vnímané ako neúmerné voči samotnému porušeniu, ktoré má prevažne technický charakter.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3 ods. 5 zákona č. 583/2004 Z. z. o rozpočtových pravidlách územnej samosprávy a o zmene a doplnení niektorých zákonov v znení neskorších predpisov sa na rozpočet obce, rozpočet vyššieho územného celku a rozpočty nimi zriadených organizácií a založených právnických osôb sa ustanovenia osobitného predpisu vo vzťahu k limitu verejných výdavkov nevzťahujú. Týmto osobitným predpisom je zákon č. 523/2004 Z. z. </w:t>
              <w:br/>
            </w:r>
            <w:r>
              <w:rPr>
                <w:b w:val="off"/>
                <w:color w:val="000000"/>
                <w:rFonts w:ascii="Times New Roman" w:hAnsi="Times New Roman" w:cs="Times New Roman" w:eastAsia="Times New Roman"/>
                <w:sz w:val="24"/>
              </w:rPr>
              <w:t>Vzhľadom na uvedené sa povinnosti ustanovené v § 14 ods. 2 nevzťahujú na subjekty verejnej správy zaradené v územnej samospráve. Týmto subjektom preto ani nemôže byť uložená pokuta za nesplnenie povinnosti podľa § 14 ods. 2.</w:t>
              <w:br/>
            </w:r>
            <w:r>
              <w:rPr>
                <w:b w:val="off"/>
                <w:color w:val="000000"/>
                <w:rFonts w:ascii="Times New Roman" w:hAnsi="Times New Roman" w:cs="Times New Roman" w:eastAsia="Times New Roman"/>
                <w:sz w:val="24"/>
              </w:rPr>
              <w:t xml:space="preserve">Podľa § 12 ods. 4 zákona č. 583/2004 Z. z. o rozpočtových pravidlách územnej samosprávy a o zmene a doplnení niektorých zákonov v znení neskorších predpisov údaje na účely zostavenia návrhu rozpočtu verejnej správy poskytujú obec a vyšší územný celok prostredníctvom rozpočtového informačného systému pre samosprávu RIS.SAM v správe ministerstva financií. </w:t>
              <w:br/>
            </w:r>
            <w:r>
              <w:rPr>
                <w:b w:val="off"/>
                <w:color w:val="000000"/>
                <w:rFonts w:ascii="Times New Roman" w:hAnsi="Times New Roman" w:cs="Times New Roman" w:eastAsia="Times New Roman"/>
                <w:sz w:val="24"/>
              </w:rPr>
              <w:t>Vysvetlené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9 (§ 17 ods. 4)</w:t>
              <w:br/>
            </w:r>
            <w:r>
              <w:rPr>
                <w:b w:val="off"/>
                <w:color w:val="000000"/>
                <w:rFonts w:ascii="Times New Roman" w:hAnsi="Times New Roman" w:cs="Times New Roman" w:eastAsia="Times New Roman"/>
                <w:sz w:val="24"/>
              </w:rPr>
              <w:t>Zrušenie možnosti prekročiť výdavky pri vyšších príjmoch skomplikuje bežný chod rozpočtových organizácií a znemožní im efektívne využívať viaczdrojové financovanie. Odstránenie tohto stabilizačného prvku navyše zvýši tlak na rozpočet pri mimoriadnych udalostiach. Navrhujeme uvedené ustanovenia ponechať pre rozpočtové organizácie zriadené vyšším územným celkom.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17 ods. 4 zákona č. 523/2004 Z. z. sa vzťahuje len na štátne rozpočtové organizácie.</w:t>
              <w:br/>
            </w:r>
            <w:r>
              <w:rPr>
                <w:b w:val="off"/>
                <w:color w:val="000000"/>
                <w:rFonts w:ascii="Times New Roman" w:hAnsi="Times New Roman" w:cs="Times New Roman" w:eastAsia="Times New Roman"/>
                <w:sz w:val="24"/>
              </w:rPr>
              <w:t xml:space="preserve">Podľa § 4 ods. 4 zákona č. 583/2004 Z. z. o rozpočtových pravidlách územnej samosprávy a o zmene a doplnení niektorých zákonov v znení neskorších predpisov súčasťou rozpočtu obce a rozpočtu vyššieho územného celku sú rozpočty príjmov a výdavkov rozpočtových organizácií.  </w:t>
              <w:br/>
            </w:r>
            <w:r>
              <w:rPr>
                <w:b w:val="off"/>
                <w:color w:val="000000"/>
                <w:rFonts w:ascii="Times New Roman" w:hAnsi="Times New Roman" w:cs="Times New Roman" w:eastAsia="Times New Roman"/>
                <w:sz w:val="24"/>
              </w:rPr>
              <w:t>Z uvedeného vyplýva, že o úprave rozpočtu rozpočtovej organizácie obce a vyššieho územného celku rozhoduje zriaďovateľ.</w:t>
              <w:br/>
            </w:r>
            <w:r>
              <w:rPr>
                <w:b w:val="off"/>
                <w:color w:val="000000"/>
                <w:rFonts w:ascii="Times New Roman" w:hAnsi="Times New Roman" w:cs="Times New Roman" w:eastAsia="Times New Roman"/>
                <w:sz w:val="24"/>
              </w:rPr>
              <w:t>Upravená dôvodová správa.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8 Doplnenie nového novelizačného bodu– Rozšírenie právneho základu pre poskytovanie preddavkov § 19</w:t>
              <w:br/>
            </w:r>
            <w:r>
              <w:rPr>
                <w:b w:val="off"/>
                <w:color w:val="000000"/>
                <w:rFonts w:ascii="Times New Roman" w:hAnsi="Times New Roman" w:cs="Times New Roman" w:eastAsia="Times New Roman"/>
                <w:sz w:val="24"/>
              </w:rPr>
              <w:t>Navrhujeme upraviť pôvodný text</w:t>
              <w:br/>
            </w:r>
            <w:r>
              <w:rPr>
                <w:b w:val="off"/>
                <w:color w:val="000000"/>
                <w:rFonts w:ascii="Times New Roman" w:hAnsi="Times New Roman" w:cs="Times New Roman" w:eastAsia="Times New Roman"/>
                <w:sz w:val="24"/>
              </w:rPr>
              <w:t>Pôvodná textácia: (8) Subjekt verejnej správy môže poskytovať preddavky, ak boli vopred v zmluve o dodávke výkonov a tovarov písomne dohodnuté, a to najviac na obdobie troch mesiacov v závislosti od vecného plnenia dodávok výkonov a tovarov; poskytovanie preddavkov subjektmi verejnej správy podľa osobitných predpisov 22a) týmto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textácia: (8) Subjekt verejnej správy môže poskytovať preddavky, ak boli vopred písomne dohodnuté.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rozšíriť právny základ pre poskytovanie preddavkov podľa § 19 ods. 8 aj o iný preukázateľný právny titul. V aplikačnej praxi existujú prípady, pri ktorých poskytovanie preddavkov nie je realizované na základe písomnej zmluvy, ale na základe iných právnych nástrojov (napr. objednávky). Súčasná právna úprava tak v niektorých prípadoch neprimerane obmedzuje flexibilitu subjektov verejnej správy. Navrhovaná úprava zachováva požiadavku právneho základu pre poskytnutie preddavku, pričom rozširuje jeho formy tak, aby zodpovedali reálnym potrebám aplikačnej praxe. Taktiež navrhujeme vypustiť obdobie vysporiadania poskytnutých preddavkov, nakoľko z aplikačnej praxe vyplývajú situácie, kedy je preddavok poskytnutý na obdobie dlhšie ako tri mesiace.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právnej úpravy novely zákona č. 523/2004 Z. z. a z tohto dôvodu sa rozpor nevyhodnocuje.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10 Doplnenie nového novelizačného bodu– Rozšírenie výnimiek vysporiadania preddavkov</w:t>
              <w:br/>
            </w:r>
            <w:r>
              <w:rPr>
                <w:b w:val="off"/>
                <w:color w:val="000000"/>
                <w:rFonts w:ascii="Times New Roman" w:hAnsi="Times New Roman" w:cs="Times New Roman" w:eastAsia="Times New Roman"/>
                <w:sz w:val="24"/>
              </w:rPr>
              <w:t>Navrhujeme upraviť pôvodný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Pôvodná textácia: (10) Preddavky poskytnuté podľa odseku 8 musia byť finančne vysporiadané najneskôr do konca rozpočtového roka, v ktorom sa poskytli, s výnimkou preddavkov za dodávku tepla, vody, elektrickej energie, plynu, periodickej a neperiodickej tlače, na úhradu nájomného a preddavkov na pohonné hmoty poskytované prostredníctvom platobných kariet, pri ktorých sa nevyžaduje ani splnenie podmienok podľa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textácia: (10) Preddavky poskytnuté podľa odseku 8 musia byť finančne vysporiadané najneskôr do konca rozpočtového roka, v ktorom sa poskytli, s výnimkou preddavkov za dodávku tepla, vody, elektrickej energie, plynu, periodickej a neperiodickej tlače, na úhradu nájomného, školenia, správnych poplatkov, leteniek, ubytovania, aktivity realizované v rámci výchovno-vzdelávacích procesov, a preddavkov na pohonné hmoty poskytované prostredníctvom platobných kariet, pri ktorých sa nevyžaduje ani splnenie podmienok podľa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výnimiek aj preddavky poskytované na školenia, správne poplatky, ubytovanie, letenky a aktivity realizované v rámci výchovno-vzdelávacieho procesu. Dôvodom je aplikačná prax, podľa ktorej sú preddavky bežne súčasťou vyzadovane ešte pred poskytnutím plnenia. Správne poplatky sa musia často uhradiť ešte pred začatím konania alebo vybavením povolenia. Pri služobných cestách je nevyhnutné hradiť výdavky na ubytovanie a dopravu (letenky) vopred, často ešte pred začiatkom plnenia.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právnej úpravy novely zákona č. 523/2004 Z. z. a z tohto dôvodu sa rozpor nevyhodnocuje.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ods. ods.3</w:t>
              <w:br/>
            </w:r>
            <w:r>
              <w:rPr>
                <w:b w:val="off"/>
                <w:color w:val="000000"/>
                <w:rFonts w:ascii="Times New Roman" w:hAnsi="Times New Roman" w:cs="Times New Roman" w:eastAsia="Times New Roman"/>
                <w:sz w:val="24"/>
              </w:rPr>
              <w:t>V prípade, že by sa citovaná zmena týkala limitu verejných výdavkov určeného pre vyššie územné celky, TSK požaduje zapracovať do navrhovanej úpravy zákona  povinnosť pre MFSR informovať vyššie územné celky o tejto úprave limitu.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súlade s § 3 ods. 5 zákona č. 583/2004 Z. z. o rozpočtových pravidlách územnej samosprávy a o zmene a doplnení niektorých zákonov v znení neskorších predpisov ministerstvo financií oznamuje zástupcom vyšších územných celkov limit verejných výdavkov vyšších územných celkov, ktorý je súčasťou rozpočtu verejnej správy. Upozorňujeme, že na rozpočet obce, rozpočet vyššieho územného celku a rozpočty nimi zriadených organizácií a založených právnických osôb sa ustanovenia osobitného predpisu vo vzťahu k limitu verejných výdavkov nevzťahujú. Týmto osobitným predpisom je zákon č. 523/2004 Z. z. </w:t>
              <w:br/>
            </w:r>
            <w:r>
              <w:rPr>
                <w:b w:val="off"/>
                <w:color w:val="000000"/>
                <w:rFonts w:ascii="Times New Roman" w:hAnsi="Times New Roman" w:cs="Times New Roman" w:eastAsia="Times New Roman"/>
                <w:sz w:val="24"/>
              </w:rPr>
              <w:t xml:space="preserve">Z uvedeného vyplýva, že vyššie územné celky majú svoj súhrnný limit verejných výdavkov. Konkrétny vyšší územný celok však nemá svoj konkrétny limit verejných výdavkov. </w:t>
              <w:br/>
            </w:r>
            <w:r>
              <w:rPr>
                <w:b w:val="off"/>
                <w:color w:val="000000"/>
                <w:rFonts w:ascii="Times New Roman" w:hAnsi="Times New Roman" w:cs="Times New Roman" w:eastAsia="Times New Roman"/>
                <w:sz w:val="24"/>
              </w:rPr>
              <w:t>Vysvetlené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Navrhujeme vypustiť navrhované doplnenie textu alebo pre prípad takéhoto porušenia povinnosti nastaviť inú sankciu  ako je upravená v § 32 zákona. Odôvodnenei: Navrhovaná  pokuta vo výške až 500 000 eur je neprimeraná a mohla  by  spôsobiť neúmernú finančnú záťaž pre menšie subjekty verejnej správy, ktoré často čelia obmedzeným kapacitám pri spracovaní údajov. Tento krok by bol kontraproduktívny vzhľadom na cieľ zákona zabezpečiť jednotnú štruktúru rozpočtových údajov. Hlavným cieľom § 14 ods. 2 je zabezpečiť jednotné a správne vedenie rozpočtových údajov v informačnom systéme Ministerstva financií SR. Zavedenie vysokých peňažných sankcií by mohlo byť vnímané ako neúmerné voči samotnému porušeniu, ktoré má prevažne technický charakter.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3 ods. 5 zákona č. 583/2004 Z. z. o rozpočtových pravidlách územnej samosprávy a o zmene a doplnení niektorých zákonov v znení neskorších predpisov sa na rozpočet obce, rozpočet vyššieho územného celku a rozpočty nimi zriadených organizácií a založených právnických osôb sa ustanovenia osobitného predpisu vo vzťahu k limitu verejných výdavkov nevzťahujú. Týmto osobitným predpisom je zákon č. 523/2004 Z. z. </w:t>
              <w:br/>
            </w:r>
            <w:r>
              <w:rPr>
                <w:b w:val="off"/>
                <w:color w:val="000000"/>
                <w:rFonts w:ascii="Times New Roman" w:hAnsi="Times New Roman" w:cs="Times New Roman" w:eastAsia="Times New Roman"/>
                <w:sz w:val="24"/>
              </w:rPr>
              <w:t>Vzhľadom na uvedené sa povinnosti ustanovené v § 14 ods. 2 nevzťahujú na subjekty verejnej správy zaradené v územnej samospráve. Týmto subjektom preto ani nemôže byť uložená pokuta za nesplnenie povinnosti podľa § 14 ods. 2.</w:t>
              <w:br/>
            </w:r>
            <w:r>
              <w:rPr>
                <w:b w:val="off"/>
                <w:color w:val="000000"/>
                <w:rFonts w:ascii="Times New Roman" w:hAnsi="Times New Roman" w:cs="Times New Roman" w:eastAsia="Times New Roman"/>
                <w:sz w:val="24"/>
              </w:rPr>
              <w:t>Podľa § 12 ods. 4 zákona č. 583/2004 Z. z. o rozpočtových pravidlách územnej samosprávy a o zmene a doplnení niektorých zákonov v znení neskorších predpisov údaje na účely zostavenia návrhu rozpočtu verejnej správy poskytujú obec a vyšší územný celok prostredníctvom rozpočtového informačného systému pre samosprávu RIS.SAM v správe ministerstva financií.</w:t>
              <w:br/>
            </w:r>
            <w:r>
              <w:rPr>
                <w:b w:val="off"/>
                <w:color w:val="000000"/>
                <w:rFonts w:ascii="Times New Roman" w:hAnsi="Times New Roman" w:cs="Times New Roman" w:eastAsia="Times New Roman"/>
                <w:sz w:val="24"/>
              </w:rPr>
              <w:t>Vysvetlené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Navrhujeme ods. 4 v §17 ponechať. Odôvodnenie: Zrušenie možnosti prekročiť výdavky pri vyšších príjmoch skomplikuje bežný chod rozpočtových organizácií a znemožní im efektívne využívať viaczdrojové financovanie. Odstránenie tohto stabilizačného prvku navyše zvýši tlak na rozpočet pri mimoriadnych udalostiach. Navrhujeme uvedené ustanovenia ponechať pre rozpočtové organizácie zriadené vyšším územným celkom.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17 ods. 4 zákona č. 523/2004 Z. z. sa vzťahuje len na štátne rozpočtové organizácie.</w:t>
              <w:br/>
            </w:r>
            <w:r>
              <w:rPr>
                <w:b w:val="off"/>
                <w:color w:val="000000"/>
                <w:rFonts w:ascii="Times New Roman" w:hAnsi="Times New Roman" w:cs="Times New Roman" w:eastAsia="Times New Roman"/>
                <w:sz w:val="24"/>
              </w:rPr>
              <w:t xml:space="preserve">Podľa § 4 ods. 4 zákona č. 583/2004 Z. z. o rozpočtových pravidlách územnej samosprávy a o zmene a doplnení niektorých zákonov v znení neskorších predpisov súčasťou rozpočtu obce a rozpočtu vyššieho územného celku sú rozpočty príjmov a výdavkov rozpočtových organizácií.  </w:t>
              <w:br/>
            </w:r>
            <w:r>
              <w:rPr>
                <w:b w:val="off"/>
                <w:color w:val="000000"/>
                <w:rFonts w:ascii="Times New Roman" w:hAnsi="Times New Roman" w:cs="Times New Roman" w:eastAsia="Times New Roman"/>
                <w:sz w:val="24"/>
              </w:rPr>
              <w:t>Z uvedeného vyplýva, že o úprave rozpočtu rozpočtovej organizácie obce a vyššieho územného celku rozhoduje zriaďovateľ.</w:t>
              <w:br/>
            </w:r>
            <w:r>
              <w:rPr>
                <w:b w:val="off"/>
                <w:color w:val="000000"/>
                <w:rFonts w:ascii="Times New Roman" w:hAnsi="Times New Roman" w:cs="Times New Roman" w:eastAsia="Times New Roman"/>
                <w:sz w:val="24"/>
              </w:rPr>
              <w:t xml:space="preserve">Upravená dôvodová správa.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8</w:t>
              <w:br/>
            </w:r>
            <w:r>
              <w:rPr>
                <w:b w:val="off"/>
                <w:color w:val="000000"/>
                <w:rFonts w:ascii="Times New Roman" w:hAnsi="Times New Roman" w:cs="Times New Roman" w:eastAsia="Times New Roman"/>
                <w:sz w:val="24"/>
              </w:rPr>
              <w:t xml:space="preserve">Doplnenie nového novelizačného bodu: Navrhujeme úpravu ods. 8 v § 19 nasledovne:  (8)Subjekt verejnej správy môže poskytovať preddavky, ak boli vopred písomne dohodnuté.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právny základ pre poskytovanie preddavkov podľa § 19 ods. 8 aj o iný preukázateľný právny titul. V aplikačnej praxi existujú prípady, pri ktorých poskytovanie preddavkov nie je realizované na základe písomnej zmluvy, ale na základe iných právnych nástrojov (napr. objednávky). Súčasná právna úprava tak v niektorých prípadoch neprimerane obmedzuje flexibilitu subjektov verejnej správy. Navrhovaná úprava zachováva požiadavku právneho základu pre poskytnutie preddavku, pričom rozširuje jeho formy tak, aby zodpovedali reálnym potrebám aplikačnej praxe. Taktiež navrhujeme vypustiť obdobie vysporiadania poskytnutých preddavkov, nakoľko z aplikačnej praxe vyplývajú situácie, kedy je preddavok poskytnutý na obdobie dlhšie ako tri mesiace.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právnej úpravy novely zákona č. 523/2004 Z. z. a z tohto dôvodu sa rozpor nevyhodnocuje.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10</w:t>
              <w:br/>
            </w:r>
            <w:r>
              <w:rPr>
                <w:b w:val="off"/>
                <w:color w:val="000000"/>
                <w:rFonts w:ascii="Times New Roman" w:hAnsi="Times New Roman" w:cs="Times New Roman" w:eastAsia="Times New Roman"/>
                <w:sz w:val="24"/>
              </w:rPr>
              <w:t>Doplnenie nového novelizačného bodu: Navrhujeme upraviť v §19 ods. 10 nasledovne: (10) Preddavky poskytnuté podľa odseku 8 musia byť finančne vysporiadané najneskôr do konca rozpočtového roka, v ktorom sa poskytli, s výnimkou preddavkov za dodávku tepla, vody, elektrickej energie, plynu, periodickej a neperiodickej tlače, na úhradu nájomného, školenia, správnych poplatkov, leteniek, ubytovania a preddavkov na pohonné hmoty poskytované prostredníctvom platobných kariet, pri ktorých sa nevyžaduje ani splnenie podmienok podľa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okruh výnimiek aj o preddavky určené na školenia, správne poplatky, ubytovanie a letenky. Vychádzame pritom z aplikačnej praxe, v ktorej tieto preddavky predstavujú bežnú súčasť financovania činností subjektov verejnej správy a spravidla sa poskytujú ešte pred samotným plnením. Správne poplatky je navyše často potrebné uhradiť ešte pred začatím konania alebo pred vydaním príslušného povolenia. Rovnako pri služobných cestách je nevyhnutné zabezpečiť úhradu nákladov na ubytovanie a dopravu (letenky) vopred, teda ešte pred začiatkom realizácie plnenia.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právnej úpravy novely zákona č. 523/2004 Z. z. a z tohto dôvodu sa rozpor nevyhodnocuje.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§32 zákona</w:t>
              <w:br/>
            </w:r>
            <w:r>
              <w:rPr>
                <w:b w:val="off"/>
                <w:color w:val="000000"/>
                <w:rFonts w:ascii="Times New Roman" w:hAnsi="Times New Roman" w:cs="Times New Roman" w:eastAsia="Times New Roman"/>
                <w:sz w:val="24"/>
              </w:rPr>
              <w:t>Upraviť znenie § 32 zákona 523/2004 Z.z. v druhej vete. Odôvodnenie: Úrad vládneho auditu bol novelou zákona 357/2015 Z.z. o finančnej kontrole a audite a o zmene a doplnení niektorých zákonov s účinnosťou od 1.1.2026 zrušený.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doplnený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3</w:t>
              <w:br/>
            </w:r>
            <w:r>
              <w:rPr>
                <w:b w:val="off"/>
                <w:color w:val="000000"/>
                <w:rFonts w:ascii="Times New Roman" w:hAnsi="Times New Roman" w:cs="Times New Roman" w:eastAsia="Times New Roman"/>
                <w:sz w:val="24"/>
              </w:rPr>
              <w:t>V prípade, že by sa citovaná zmena týkala limitu verejných výdavkov určeného pre vyššie územné celky, vyššie územné celky požadujú zapracovať do navrhovanej úpravy zákona  povinnosť pre MFSR informovať ich o tejto zmene.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súlade s § 3 ods. 5 zákona č. 583/2004 Z. z. o rozpočtových pravidlách územnej samosprávy a o zmene a doplnení niektorých zákonov v znení neskorších predpisov ministerstvo financií oznamuje zástupcom vyšších územných celkov limit verejných výdavkov vyšších územných celkov, ktorý je súčasťou rozpočtu verejnej správy. Upozorňujeme, že na rozpočet obce, rozpočet vyššieho územného celku a rozpočty nimi zriadených organizácií a založených právnických osôb sa ustanovenia osobitného predpisu vo vzťahu k limitu verejných výdavkov nevzťahujú. Týmto osobitným predpisom je zákon č. 523/2004 Z. z. </w:t>
              <w:br/>
            </w:r>
            <w:r>
              <w:rPr>
                <w:b w:val="off"/>
                <w:color w:val="000000"/>
                <w:rFonts w:ascii="Times New Roman" w:hAnsi="Times New Roman" w:cs="Times New Roman" w:eastAsia="Times New Roman"/>
                <w:sz w:val="24"/>
              </w:rPr>
              <w:t xml:space="preserve">Z uvedeného vyplýva, že vyššie územné celky majú svoj súhrnný limit verejných výdavkov. Konkrétny vyšší územný celok však nemá svoj konkrétny limit verejných výdavkov. </w:t>
              <w:br/>
            </w:r>
            <w:r>
              <w:rPr>
                <w:b w:val="off"/>
                <w:color w:val="000000"/>
                <w:rFonts w:ascii="Times New Roman" w:hAnsi="Times New Roman" w:cs="Times New Roman" w:eastAsia="Times New Roman"/>
                <w:sz w:val="24"/>
              </w:rPr>
              <w:t>Vysvetlené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Navrhujeme vypustiť navrhované doplnenie textu alebo pre prípad takéhoto porušenia povinnosti nastaviť inú sankciu  ako je upravené v § 32 zákona, nakoľko z neho vyplývajúca  pokuta vo výške až 500 000 eur je neprimeraná a mohla  by spôsobiť neúmernú finančnú záťaž pre menšie subjekty verejnej správy, ktoré často čelia obmedzeným kapacitám pri spracovaní údajov. Tento krok by bol kontraproduktívny vzhľadom na cieľ zákona zabezpečiť jednotnú štruktúru rozpočtových údajov. Hlavným cieľom § 14 ods. 2 je zabezpečiť jednotné a správne vedenie rozpočtových údajov v informačnom systéme ministerstva financií. Zavedenie vysokých peňažných sankcií by mohlo byť vnímané ako neúmerné voči samotnému porušeniu, ktoré má prevažne technický charakter.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3 ods. 5 zákona č. 583/2004 Z. z. o rozpočtových pravidlách územnej samosprávy a o zmene a doplnení niektorých zákonov v znení neskorších predpisov sa na rozpočet obce, rozpočet vyššieho územného celku a rozpočty nimi zriadených organizácií a založených právnických osôb sa ustanovenia osobitného predpisu vo vzťahu k limitu verejných výdavkov nevzťahujú. Týmto osobitným predpisom je zákon č. 523/2004 Z. z. </w:t>
              <w:br/>
            </w:r>
            <w:r>
              <w:rPr>
                <w:b w:val="off"/>
                <w:color w:val="000000"/>
                <w:rFonts w:ascii="Times New Roman" w:hAnsi="Times New Roman" w:cs="Times New Roman" w:eastAsia="Times New Roman"/>
                <w:sz w:val="24"/>
              </w:rPr>
              <w:t>Vzhľadom na uvedené sa povinnosti ustanovené v § 14 ods. 2 nevzťahujú na subjekty verejnej správy zaradené v územnej samospráve. Týmto subjektom preto ani nemôže byť uložená pokuta za nesplnenie povinnosti podľa § 14 ods. 2.</w:t>
              <w:br/>
            </w:r>
            <w:r>
              <w:rPr>
                <w:b w:val="off"/>
                <w:color w:val="000000"/>
                <w:rFonts w:ascii="Times New Roman" w:hAnsi="Times New Roman" w:cs="Times New Roman" w:eastAsia="Times New Roman"/>
                <w:sz w:val="24"/>
              </w:rPr>
              <w:t>Podľa § 12 ods. 4 zákona č. 583/2004 Z. z. o rozpočtových pravidlách územnej samosprávy a o zmene a doplnení niektorých zákonov v znení neskorších predpisov údaje na účely zostavenia návrhu rozpočtu verejnej správy poskytujú obec a vyšší územný celok prostredníctvom rozpočtového informačného systému pre samosprávu RIS.SAM v správe ministerstva financií.</w:t>
              <w:br/>
            </w:r>
            <w:r>
              <w:rPr>
                <w:b w:val="off"/>
                <w:color w:val="000000"/>
                <w:rFonts w:ascii="Times New Roman" w:hAnsi="Times New Roman" w:cs="Times New Roman" w:eastAsia="Times New Roman"/>
                <w:sz w:val="24"/>
              </w:rPr>
              <w:t>Vysvetlené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Zrušenie možnosti prekročiť výdavky pri vyšších príjmoch skomplikuje bežný chod rozpočtových organizácií a znemožní im efektívne využívať viaczdrojové financovanie. Odstránenie tohto stabilizačného prvku navyše zvýši tlak na rozpočet pri mimoriadnych udalostiach. Navrhujeme uvedené ustanovenia ponechať pre rozpočtové organizácie zriadené vyšším územným celkom.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17 ods. 4 zákona č. 523/2004 Z. z. sa vzťahuje len na štátne rozpočtové organizácie.</w:t>
              <w:br/>
            </w:r>
            <w:r>
              <w:rPr>
                <w:b w:val="off"/>
                <w:color w:val="000000"/>
                <w:rFonts w:ascii="Times New Roman" w:hAnsi="Times New Roman" w:cs="Times New Roman" w:eastAsia="Times New Roman"/>
                <w:sz w:val="24"/>
              </w:rPr>
              <w:t xml:space="preserve">Podľa § 4 ods. 4 zákona č. 583/2004 Z. z. o rozpočtových pravidlách územnej samosprávy a o zmene a doplnení niektorých zákonov v znení neskorších predpisov súčasťou rozpočtu obce a rozpočtu vyššieho územného celku sú rozpočty príjmov a výdavkov rozpočtových organizácií.  </w:t>
              <w:br/>
            </w:r>
            <w:r>
              <w:rPr>
                <w:b w:val="off"/>
                <w:color w:val="000000"/>
                <w:rFonts w:ascii="Times New Roman" w:hAnsi="Times New Roman" w:cs="Times New Roman" w:eastAsia="Times New Roman"/>
                <w:sz w:val="24"/>
              </w:rPr>
              <w:t xml:space="preserve">Z uvedeného vyplýva, že o úprave rozpočtu rozpočtovej organizácie obce a vyššieho územného celku rozhoduje zriaďovateľ. </w:t>
              <w:br/>
            </w:r>
            <w:r>
              <w:rPr>
                <w:b w:val="off"/>
                <w:color w:val="000000"/>
                <w:rFonts w:ascii="Times New Roman" w:hAnsi="Times New Roman" w:cs="Times New Roman" w:eastAsia="Times New Roman"/>
                <w:sz w:val="24"/>
              </w:rPr>
              <w:t xml:space="preserve">Upravená dôvodová správa.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8</w:t>
              <w:br/>
            </w:r>
            <w:r>
              <w:rPr>
                <w:b w:val="off"/>
                <w:color w:val="000000"/>
                <w:rFonts w:ascii="Times New Roman" w:hAnsi="Times New Roman" w:cs="Times New Roman" w:eastAsia="Times New Roman"/>
                <w:sz w:val="24"/>
              </w:rPr>
              <w:t>Navrhujeme nasledovné znenie § 19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Subjekt verejnej správy môže poskytovať preddavky, ak boli vopred písomne dohodnuté.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právny základ pre poskytovanie preddavkov podľa § 19 ods. 8 aj o iný preukázateľný právny titul. V aplikačnej praxi existujú prípady, pri ktorých poskytovanie preddavkov nie je realizované na základe písomnej zmluvy, ale na základe iných právnych nástrojov (napr. objednávky). Súčasná právna úprava tak v niektorých prípadoch neprimerane obmedzuje flexibilitu subjektov verejnej správy. Navrhovaná úprava zachováva požiadavku právneho základu pre poskytnutie preddavku, pričom rozširuje jeho formy tak, aby zodpovedali reálnym potrebám aplikačnej praxe. Taktiež navrhujeme vypustiť obdobie vysporiadania poskytnutých preddavkov, nakoľko z aplikačnej praxe vyplývajú situácie, kedy by bolo potrebné preddavok poskytnúť na obdobie dlhšie ako tri mesiace.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právnej úpravy novely zákona č. 523/2004 Z. z. a z tohto dôvodu sa rozpor nevyhodnocuje.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10</w:t>
              <w:br/>
            </w:r>
            <w:r>
              <w:rPr>
                <w:b w:val="off"/>
                <w:color w:val="000000"/>
                <w:rFonts w:ascii="Times New Roman" w:hAnsi="Times New Roman" w:cs="Times New Roman" w:eastAsia="Times New Roman"/>
                <w:sz w:val="24"/>
              </w:rPr>
              <w:t>Navrhujeme rozšírenie výnimiek vysporiadania preddavkov doplnením ods. 10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Preddavky poskytnuté podľa odseku 8 musia byť finančne vysporiadané najneskôr do konca rozpočtového roka, v ktorom sa poskytli, s výnimkou preddavkov za dodávku tepla, vody, elektrickej energie, plynu, periodickej a neperiodickej tlače, na úhradu nájomného, školení, správnych poplatkov, leteniek, ubytovania, úhrady za aktivity v rámci výchovno-vzdelávacieho procesu a preddavkov na pohonné hmoty poskytované prostredníctvom platobných kariet, pri ktorých sa nevyžaduje ani splnenie podmienok podľa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výnimiek aj preddavky poskytované na školenia, správne poplatky, ubytovanie, aktivity  v rámci výchovno-vzdelávacieho procesu (t.j. lyžiarske výcviky, školské výlety, školy v prírode a pod.)  a letenky. Dôvodom je aplikačná prax, podľa ktorej sú preddavky na takéto plnenia často požadované  ešte pred poskytnutím samotného plnenia. Rovnako  pri služobných cestách je nevyhnutné hradiť výdavky na ubytovanie a dopravu (letenky) vopred, často ešte pred začiatkom plnenia.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právnej úpravy novely zákona č. 523/2004 Z. z. a z tohto dôvodu sa rozpor nevyhodnocuje.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odst. 3</w:t>
              <w:br/>
            </w:r>
            <w:r>
              <w:rPr>
                <w:b w:val="off"/>
                <w:color w:val="000000"/>
                <w:rFonts w:ascii="Times New Roman" w:hAnsi="Times New Roman" w:cs="Times New Roman" w:eastAsia="Times New Roman"/>
                <w:sz w:val="24"/>
              </w:rPr>
              <w:t>Neisté výdavky vo Všeobecnej pokladničnej správe. Je tu vnímané určité riziko zneužitia, pretože podľa rozsahu formulácie by bolo možné rozpočtovať čokoľvek, čo je „neisté“. Odporúčame v tejto časti doplniť vetu: „Neisté výdavky je možné rozpočtovať len na základe rozhodnutia vlády.“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rozpočtu verejnej správy je predmetom schvaľovania vládou, máme za to, že týmto je naplnená požiadavka ÚV SR, detailne uvedené pre rozpočet 2026-2028 v HK na strane 155, tabuľka č. 126.</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 odst. 2</w:t>
              <w:br/>
            </w:r>
            <w:r>
              <w:rPr>
                <w:b w:val="off"/>
                <w:color w:val="000000"/>
                <w:rFonts w:ascii="Times New Roman" w:hAnsi="Times New Roman" w:cs="Times New Roman" w:eastAsia="Times New Roman"/>
                <w:sz w:val="24"/>
              </w:rPr>
              <w:t>Analytická evidencia nemá zďaleka takú silu ako samostatný účet, aj keď je flexibilnejšia. Ak je samostatný účet vnímaný ako príliš administratívne náročný, tak pre účely kontroly odporúčame aspoň raz ročne predložiť samostatný výkaz. Odporúčame doplniť vetu: „Príspevková organizácia je povinná raz ročne predložiť zriaďovateľovi a ministerstvu financií samostatný výkaz o príjmoch a výdavkoch spojených s podnikateľskou činnosťou“.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navrhovanej úpravy je znížiť počet samostatných účtov, a to aj s ohľadom na skutočnosť, že príspevková organizácia sústreďuje svoje príjmy na bežnom účte a z neho realizuje aj výdavky. Samostatný účet má tiež charakter bežného účtu. Návrh na predkladanie samostatného výkazu na vykazovanie podnikateľskej činnosti nemá opodstatnenie, keďže údaje o príjmoch a výdavkoch z podnikateľskej činnosti sú tak zriaďovateľ, ako aj MF SR oprávnení od príspevkovej organizácie vyžadovať.  </w:t>
              <w:br/>
            </w:r>
            <w:r>
              <w:rPr>
                <w:b w:val="off"/>
                <w:color w:val="000000"/>
                <w:rFonts w:ascii="Times New Roman" w:hAnsi="Times New Roman" w:cs="Times New Roman" w:eastAsia="Times New Roman"/>
                <w:sz w:val="24"/>
              </w:rPr>
              <w:t xml:space="preserve">Vysvetlené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odst.2</w:t>
              <w:br/>
            </w:r>
            <w:r>
              <w:rPr>
                <w:b w:val="off"/>
                <w:color w:val="000000"/>
                <w:rFonts w:ascii="Times New Roman" w:hAnsi="Times New Roman" w:cs="Times New Roman" w:eastAsia="Times New Roman"/>
                <w:sz w:val="24"/>
              </w:rPr>
              <w:t>Môže byť interpretované tak, že aj malé nedodržanie postupu by mohlo byť nedodržaním zákona. Odporúčame pridať formuláciu: „v prípade závažného porušenia“.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Formulácia sa používa aj v platnom znení § 14 ods.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odst. 4</w:t>
              <w:br/>
            </w:r>
            <w:r>
              <w:rPr>
                <w:b w:val="off"/>
                <w:color w:val="000000"/>
                <w:rFonts w:ascii="Times New Roman" w:hAnsi="Times New Roman" w:cs="Times New Roman" w:eastAsia="Times New Roman"/>
                <w:sz w:val="24"/>
              </w:rPr>
              <w:t>Zrušenie výnimiek pre rozpočtové organizácie môže viesť k demotivácii pre získavanie vlastných príjmov – ktoré by nemohli využiť. Odporúčame zvážiť aspoň obmedzenú možnosť (uvedené v %). V tejto časti uplatniť formuláciu: „Rozpočtová organizácia môže prekročiť limit výdavkov maximálne o 20% z vlastných príjmov uvedených v §17, odst. 4, pokiaľ skutočne dosiahne tieto príjmy v danom roku.“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Príjmy vymedzené v § 17 ods. 4 nie sú vlastnými príjmami rozpočtovej organizácie. Návrh na možnosť prekročenia limitu výdavkov o určité percento nemá opodstatnenie. Na výdavky podľa § 17 ods. 4 sa vzťahuje limit verejných výdavkov, preto je nevyhnutné ich precízne a správne rozpočtovanie, a to už pri tvorbe rozpočtu. Ak bude rozpočtová organizácia v súlade so zákonom č. 523/2004 Z. z. s využitím skúseností z predchádzajúceho vývoja správne rozpočtovať príjmy aktuálne vymedzené v § 17 ods. 4 a k nim bude rozpočtovať aj zodpovedajúce výdavky, tak zrušenie § 17 ods. 4 nijako neovplyvní možnosť čerpania predmetných výdavkov.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odst. 12</w:t>
              <w:br/>
            </w:r>
            <w:r>
              <w:rPr>
                <w:b w:val="off"/>
                <w:color w:val="000000"/>
                <w:rFonts w:ascii="Times New Roman" w:hAnsi="Times New Roman" w:cs="Times New Roman" w:eastAsia="Times New Roman"/>
                <w:sz w:val="24"/>
              </w:rPr>
              <w:t>Nemal by umožňovať zadlžovanie obcí a VÚC cez zakladanie obchodných spoločností – odporúčame ohlasovaciu povinnosť voči Ministerstvu financií. K tejto časti odporúčame formuláciu: „Obchodná spoločnosť je povinná do 30 dní od prijatia úveru oznámiť túto skutočnosť ministerstvu financií.“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Znenie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 NR SR</w:t>
            </w:r>
            <w:r>
              <w:rPr>
                <w:b w:val="off"/>
                <w:color w:val="000000"/>
                <w:rFonts w:ascii="Times New Roman" w:hAnsi="Times New Roman" w:cs="Times New Roman" w:eastAsia="Times New Roman"/>
                <w:sz w:val="24"/>
              </w:rPr>
              <w:t xml:space="preserve"> – Kancelária Národnej rady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KPSR</w:t>
            </w:r>
            <w:r>
              <w:rPr>
                <w:b w:val="off"/>
                <w:color w:val="000000"/>
                <w:rFonts w:ascii="Times New Roman" w:hAnsi="Times New Roman" w:cs="Times New Roman" w:eastAsia="Times New Roman"/>
                <w:sz w:val="24"/>
              </w:rPr>
              <w:t xml:space="preserve"> – Kancelária prezidenta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10 (4o,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NSS SR</w:t>
            </w:r>
            <w:r>
              <w:rPr>
                <w:b w:val="off"/>
                <w:color w:val="000000"/>
                <w:rFonts w:ascii="Times New Roman" w:hAnsi="Times New Roman" w:cs="Times New Roman" w:eastAsia="Times New Roman"/>
                <w:sz w:val="24"/>
              </w:rPr>
              <w:t xml:space="preserve"> – Najvyšší správny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RRZ</w:t>
            </w:r>
            <w:r>
              <w:rPr>
                <w:b w:val="off"/>
                <w:color w:val="000000"/>
                <w:rFonts w:ascii="Times New Roman" w:hAnsi="Times New Roman" w:cs="Times New Roman" w:eastAsia="Times New Roman"/>
                <w:sz w:val="24"/>
              </w:rPr>
              <w:t xml:space="preserve"> – Rada pre rozpočtovú zodpovednosť</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Súdna rada SR</w:t>
            </w:r>
            <w:r>
              <w:rPr>
                <w:b w:val="off"/>
                <w:color w:val="000000"/>
                <w:rFonts w:ascii="Times New Roman" w:hAnsi="Times New Roman" w:cs="Times New Roman" w:eastAsia="Times New Roman"/>
                <w:sz w:val="24"/>
              </w:rPr>
              <w:t xml:space="preserve"> – Súdna rada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6 (1o,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54 (29o, 25z)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41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