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47A" w:rsidRPr="00924511" w:rsidRDefault="0028047A" w:rsidP="0028047A">
      <w:pPr>
        <w:jc w:val="center"/>
        <w:rPr>
          <w:b/>
          <w:caps/>
          <w:spacing w:val="30"/>
        </w:rPr>
      </w:pPr>
      <w:bookmarkStart w:id="0" w:name="_GoBack"/>
      <w:bookmarkEnd w:id="0"/>
      <w:r w:rsidRPr="00924511">
        <w:rPr>
          <w:b/>
          <w:caps/>
          <w:spacing w:val="30"/>
        </w:rPr>
        <w:t>Doložka zlučiteľnosti</w:t>
      </w:r>
    </w:p>
    <w:p w:rsidR="0028047A" w:rsidRPr="00924511" w:rsidRDefault="0028047A" w:rsidP="0028047A">
      <w:pPr>
        <w:jc w:val="center"/>
        <w:rPr>
          <w:b/>
        </w:rPr>
      </w:pPr>
      <w:r w:rsidRPr="00924511">
        <w:rPr>
          <w:b/>
        </w:rPr>
        <w:t xml:space="preserve"> návrhu zákona s právom Európskej únie</w:t>
      </w:r>
    </w:p>
    <w:p w:rsidR="0028047A" w:rsidRPr="00924511" w:rsidRDefault="0028047A" w:rsidP="0028047A">
      <w:pPr>
        <w:jc w:val="center"/>
        <w:rPr>
          <w:b/>
        </w:rPr>
      </w:pPr>
    </w:p>
    <w:p w:rsidR="0028047A" w:rsidRPr="00924511" w:rsidRDefault="0028047A" w:rsidP="0028047A">
      <w:pPr>
        <w:jc w:val="center"/>
        <w:rPr>
          <w:b/>
        </w:rPr>
      </w:pPr>
    </w:p>
    <w:tbl>
      <w:tblPr>
        <w:tblStyle w:val="Mriekatabuky"/>
        <w:tblW w:w="917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8781"/>
      </w:tblGrid>
      <w:tr w:rsidR="0028047A" w:rsidRPr="00924511" w:rsidTr="0028047A">
        <w:trPr>
          <w:trHeight w:val="203"/>
        </w:trPr>
        <w:tc>
          <w:tcPr>
            <w:tcW w:w="396" w:type="dxa"/>
            <w:hideMark/>
          </w:tcPr>
          <w:p w:rsidR="0028047A" w:rsidRPr="00924511" w:rsidRDefault="0028047A">
            <w:pPr>
              <w:tabs>
                <w:tab w:val="left" w:pos="360"/>
              </w:tabs>
              <w:rPr>
                <w:b/>
              </w:rPr>
            </w:pPr>
            <w:r w:rsidRPr="00924511">
              <w:rPr>
                <w:b/>
              </w:rPr>
              <w:t>1.</w:t>
            </w:r>
          </w:p>
        </w:tc>
        <w:tc>
          <w:tcPr>
            <w:tcW w:w="8781" w:type="dxa"/>
            <w:hideMark/>
          </w:tcPr>
          <w:p w:rsidR="0028047A" w:rsidRPr="00924511" w:rsidRDefault="0028047A" w:rsidP="00D1002D">
            <w:pPr>
              <w:tabs>
                <w:tab w:val="left" w:pos="360"/>
              </w:tabs>
            </w:pPr>
            <w:r w:rsidRPr="00924511">
              <w:rPr>
                <w:b/>
              </w:rPr>
              <w:t xml:space="preserve">Navrhovateľ zákona: </w:t>
            </w:r>
            <w:r w:rsidR="00B13AB0" w:rsidRPr="00924511">
              <w:t xml:space="preserve">Ministerstvo spravodlivosti </w:t>
            </w:r>
            <w:r w:rsidR="00442ED9" w:rsidRPr="00924511">
              <w:t>Slovenskej republiky</w:t>
            </w:r>
            <w:r w:rsidRPr="00924511">
              <w:t xml:space="preserve"> </w:t>
            </w:r>
          </w:p>
        </w:tc>
      </w:tr>
      <w:tr w:rsidR="0028047A" w:rsidRPr="00924511" w:rsidTr="0028047A">
        <w:trPr>
          <w:trHeight w:val="212"/>
        </w:trPr>
        <w:tc>
          <w:tcPr>
            <w:tcW w:w="396" w:type="dxa"/>
          </w:tcPr>
          <w:p w:rsidR="0028047A" w:rsidRPr="00924511" w:rsidRDefault="0028047A">
            <w:pPr>
              <w:tabs>
                <w:tab w:val="left" w:pos="360"/>
              </w:tabs>
            </w:pPr>
          </w:p>
        </w:tc>
        <w:tc>
          <w:tcPr>
            <w:tcW w:w="8781" w:type="dxa"/>
          </w:tcPr>
          <w:p w:rsidR="0028047A" w:rsidRPr="00924511" w:rsidRDefault="0028047A">
            <w:pPr>
              <w:tabs>
                <w:tab w:val="left" w:pos="360"/>
              </w:tabs>
            </w:pPr>
          </w:p>
        </w:tc>
      </w:tr>
      <w:tr w:rsidR="0028047A" w:rsidRPr="00924511" w:rsidTr="0028047A">
        <w:trPr>
          <w:trHeight w:val="415"/>
        </w:trPr>
        <w:tc>
          <w:tcPr>
            <w:tcW w:w="396" w:type="dxa"/>
            <w:hideMark/>
          </w:tcPr>
          <w:p w:rsidR="0028047A" w:rsidRPr="00924511" w:rsidRDefault="0028047A">
            <w:pPr>
              <w:tabs>
                <w:tab w:val="left" w:pos="360"/>
              </w:tabs>
              <w:rPr>
                <w:b/>
              </w:rPr>
            </w:pPr>
            <w:r w:rsidRPr="00924511">
              <w:rPr>
                <w:b/>
              </w:rPr>
              <w:t>2.</w:t>
            </w:r>
          </w:p>
        </w:tc>
        <w:tc>
          <w:tcPr>
            <w:tcW w:w="8781" w:type="dxa"/>
            <w:hideMark/>
          </w:tcPr>
          <w:p w:rsidR="0028047A" w:rsidRPr="00924511" w:rsidRDefault="0028047A" w:rsidP="009D4596">
            <w:pPr>
              <w:tabs>
                <w:tab w:val="left" w:pos="360"/>
              </w:tabs>
              <w:jc w:val="both"/>
            </w:pPr>
            <w:r w:rsidRPr="00924511">
              <w:rPr>
                <w:b/>
              </w:rPr>
              <w:t>Názov návrhu zákona:</w:t>
            </w:r>
            <w:r w:rsidRPr="00924511">
              <w:t xml:space="preserve"> </w:t>
            </w:r>
            <w:r w:rsidR="00B13AB0" w:rsidRPr="00924511">
              <w:t>N</w:t>
            </w:r>
            <w:r w:rsidRPr="00924511">
              <w:rPr>
                <w:lang w:eastAsia="cs-CZ"/>
              </w:rPr>
              <w:t xml:space="preserve">ávrh zákona, </w:t>
            </w:r>
            <w:r w:rsidRPr="00924511">
              <w:rPr>
                <w:bCs/>
                <w:lang w:eastAsia="cs-CZ"/>
              </w:rPr>
              <w:t xml:space="preserve">ktorým sa mení a dopĺňa zákon č. 161/2015 Z. z. Civilný mimosporový poriadok v znení neskorších predpisov a  ktorým sa menia a dopĺňajú niektoré zákony  </w:t>
            </w:r>
            <w:r w:rsidRPr="00924511">
              <w:fldChar w:fldCharType="begin"/>
            </w:r>
            <w:r w:rsidRPr="00924511">
              <w:instrText xml:space="preserve"> DOCPROPERTY  FSC#SKEDITIONSLOVLEX@103.510:plnynazovpredpis1  \* MERGEFORMAT </w:instrText>
            </w:r>
            <w:r w:rsidRPr="00924511">
              <w:fldChar w:fldCharType="end"/>
            </w:r>
            <w:r w:rsidRPr="00924511">
              <w:fldChar w:fldCharType="begin"/>
            </w:r>
            <w:r w:rsidRPr="00924511">
              <w:instrText xml:space="preserve"> DOCPROPERTY  FSC#SKEDITIONSLOVLEX@103.510:plnynazovpredpis2  \* MERGEFORMAT </w:instrText>
            </w:r>
            <w:r w:rsidRPr="00924511">
              <w:fldChar w:fldCharType="end"/>
            </w:r>
            <w:r w:rsidRPr="00924511">
              <w:fldChar w:fldCharType="begin"/>
            </w:r>
            <w:r w:rsidRPr="00924511">
              <w:instrText xml:space="preserve"> DOCPROPERTY  FSC#SKEDITIONSLOVLEX@103.510:plnynazovpredpis3  \* MERGEFORMAT </w:instrText>
            </w:r>
            <w:r w:rsidRPr="00924511">
              <w:fldChar w:fldCharType="end"/>
            </w:r>
          </w:p>
        </w:tc>
      </w:tr>
      <w:tr w:rsidR="0028047A" w:rsidRPr="00924511" w:rsidTr="0028047A">
        <w:trPr>
          <w:trHeight w:val="203"/>
        </w:trPr>
        <w:tc>
          <w:tcPr>
            <w:tcW w:w="396" w:type="dxa"/>
          </w:tcPr>
          <w:p w:rsidR="0028047A" w:rsidRPr="00924511" w:rsidRDefault="0028047A">
            <w:pPr>
              <w:tabs>
                <w:tab w:val="left" w:pos="360"/>
              </w:tabs>
            </w:pPr>
          </w:p>
        </w:tc>
        <w:tc>
          <w:tcPr>
            <w:tcW w:w="8781" w:type="dxa"/>
          </w:tcPr>
          <w:p w:rsidR="0028047A" w:rsidRPr="00924511" w:rsidRDefault="0028047A">
            <w:pPr>
              <w:tabs>
                <w:tab w:val="left" w:pos="360"/>
              </w:tabs>
            </w:pPr>
          </w:p>
        </w:tc>
      </w:tr>
      <w:tr w:rsidR="0028047A" w:rsidRPr="00924511" w:rsidTr="0028047A">
        <w:trPr>
          <w:trHeight w:val="415"/>
        </w:trPr>
        <w:tc>
          <w:tcPr>
            <w:tcW w:w="396" w:type="dxa"/>
            <w:hideMark/>
          </w:tcPr>
          <w:p w:rsidR="0028047A" w:rsidRPr="00924511" w:rsidRDefault="0028047A">
            <w:pPr>
              <w:tabs>
                <w:tab w:val="left" w:pos="360"/>
              </w:tabs>
              <w:rPr>
                <w:b/>
              </w:rPr>
            </w:pPr>
            <w:r w:rsidRPr="00924511">
              <w:rPr>
                <w:b/>
              </w:rPr>
              <w:t>3.</w:t>
            </w:r>
          </w:p>
        </w:tc>
        <w:tc>
          <w:tcPr>
            <w:tcW w:w="8781" w:type="dxa"/>
          </w:tcPr>
          <w:p w:rsidR="0028047A" w:rsidRPr="00924511" w:rsidRDefault="00B13AB0">
            <w:pPr>
              <w:tabs>
                <w:tab w:val="left" w:pos="360"/>
              </w:tabs>
            </w:pPr>
            <w:r w:rsidRPr="00924511">
              <w:rPr>
                <w:b/>
              </w:rPr>
              <w:t xml:space="preserve">Predmet </w:t>
            </w:r>
            <w:r w:rsidR="00D1002D">
              <w:rPr>
                <w:b/>
              </w:rPr>
              <w:t>návrhu zákona je</w:t>
            </w:r>
            <w:r w:rsidR="00D1002D" w:rsidRPr="00D1002D">
              <w:rPr>
                <w:b/>
              </w:rPr>
              <w:t xml:space="preserve"> upravený v práve Európskej únie:  </w:t>
            </w:r>
          </w:p>
        </w:tc>
      </w:tr>
      <w:tr w:rsidR="0048676D" w:rsidRPr="00924511" w:rsidTr="00F85938">
        <w:trPr>
          <w:trHeight w:val="1711"/>
        </w:trPr>
        <w:tc>
          <w:tcPr>
            <w:tcW w:w="9177" w:type="dxa"/>
            <w:gridSpan w:val="2"/>
          </w:tcPr>
          <w:p w:rsidR="0048676D" w:rsidRPr="00924511" w:rsidRDefault="0048676D">
            <w:pPr>
              <w:tabs>
                <w:tab w:val="left" w:pos="360"/>
              </w:tabs>
            </w:pPr>
          </w:p>
          <w:p w:rsidR="0048676D" w:rsidRPr="00924511" w:rsidRDefault="0048676D">
            <w:pPr>
              <w:tabs>
                <w:tab w:val="left" w:pos="360"/>
              </w:tabs>
            </w:pPr>
            <w:r w:rsidRPr="00924511">
              <w:t xml:space="preserve">a) v primárnom práve: </w:t>
            </w:r>
          </w:p>
          <w:p w:rsidR="0048676D" w:rsidRPr="00924511" w:rsidRDefault="0048676D">
            <w:pPr>
              <w:tabs>
                <w:tab w:val="left" w:pos="360"/>
              </w:tabs>
            </w:pPr>
          </w:p>
          <w:p w:rsidR="0048676D" w:rsidRPr="00924511" w:rsidRDefault="0048676D" w:rsidP="00B06ED1">
            <w:pPr>
              <w:tabs>
                <w:tab w:val="left" w:pos="360"/>
              </w:tabs>
              <w:ind w:firstLine="205"/>
            </w:pPr>
            <w:r w:rsidRPr="00924511">
              <w:t>-</w:t>
            </w:r>
            <w:r>
              <w:t xml:space="preserve"> </w:t>
            </w:r>
            <w:r w:rsidRPr="00924511">
              <w:t>čl. 3 ods. 3 Zmluvy o Európskej únií (Ú. v. ES C 202, 7.6.2016)</w:t>
            </w:r>
          </w:p>
          <w:p w:rsidR="0048676D" w:rsidRPr="00924511" w:rsidRDefault="0048676D" w:rsidP="00B06ED1">
            <w:pPr>
              <w:tabs>
                <w:tab w:val="left" w:pos="360"/>
              </w:tabs>
              <w:ind w:firstLine="205"/>
            </w:pPr>
            <w:r w:rsidRPr="00924511">
              <w:t>-</w:t>
            </w:r>
            <w:r>
              <w:t xml:space="preserve"> </w:t>
            </w:r>
            <w:r w:rsidRPr="00924511">
              <w:t>čl. 47 Charty základných práv Európskej únie (Ú. v. EÚ C 202, 7.6.2016)</w:t>
            </w:r>
          </w:p>
          <w:p w:rsidR="0048676D" w:rsidRPr="00924511" w:rsidRDefault="0048676D" w:rsidP="00B06ED1">
            <w:pPr>
              <w:tabs>
                <w:tab w:val="left" w:pos="360"/>
              </w:tabs>
              <w:ind w:firstLine="205"/>
            </w:pPr>
            <w:r w:rsidRPr="00924511">
              <w:t>-</w:t>
            </w:r>
            <w:r>
              <w:t xml:space="preserve"> </w:t>
            </w:r>
            <w:r w:rsidRPr="00924511">
              <w:t>čl. 67 ods. 4 a čl. 81 Zmluvy o fungovaní Európskej únie (Ú. v. ES C 202, 7.6.2016)</w:t>
            </w:r>
          </w:p>
          <w:p w:rsidR="0048676D" w:rsidRPr="00924511" w:rsidRDefault="0048676D">
            <w:pPr>
              <w:tabs>
                <w:tab w:val="left" w:pos="360"/>
              </w:tabs>
            </w:pPr>
          </w:p>
          <w:p w:rsidR="0048676D" w:rsidRPr="00924511" w:rsidRDefault="0048676D">
            <w:pPr>
              <w:tabs>
                <w:tab w:val="left" w:pos="360"/>
              </w:tabs>
            </w:pPr>
            <w:r w:rsidRPr="00924511">
              <w:t xml:space="preserve">b) sekundárnom práve: </w:t>
            </w:r>
          </w:p>
          <w:p w:rsidR="0048676D" w:rsidRPr="00924511" w:rsidRDefault="0048676D">
            <w:pPr>
              <w:tabs>
                <w:tab w:val="left" w:pos="360"/>
              </w:tabs>
            </w:pPr>
          </w:p>
          <w:p w:rsidR="0048676D" w:rsidRDefault="0048676D" w:rsidP="00B06ED1">
            <w:pPr>
              <w:tabs>
                <w:tab w:val="left" w:pos="914"/>
              </w:tabs>
              <w:ind w:left="347" w:hanging="142"/>
              <w:jc w:val="both"/>
            </w:pPr>
            <w:r w:rsidRPr="00924511">
              <w:t>-</w:t>
            </w:r>
            <w:r>
              <w:t xml:space="preserve"> </w:t>
            </w:r>
            <w:r w:rsidRPr="00924511">
              <w:t xml:space="preserve">Nariadenie Rady (ES) č. 2201/2003 z 27. novembra 2003 o súdnej právomoci a uznávaní a výkone rozsudkov v manželských veciach a vo veciach rodičovských práv a povinností, ktorým sa zrušuje nariadenie (ES) č. 1347/2000  (Ú. v. EÚ L 338, 23.12.2003; Mimoriadne vydanie Ú. v. EÚ, </w:t>
            </w:r>
            <w:r>
              <w:t>kap. 19/zv. 6) v platnom znení,</w:t>
            </w:r>
            <w:r w:rsidRPr="00924511">
              <w:t xml:space="preserve"> gestor</w:t>
            </w:r>
            <w:r>
              <w:t>:</w:t>
            </w:r>
            <w:r w:rsidRPr="00924511">
              <w:t xml:space="preserve"> MS SR</w:t>
            </w:r>
          </w:p>
          <w:p w:rsidR="0048676D" w:rsidRPr="00924511" w:rsidRDefault="0048676D" w:rsidP="00B06ED1">
            <w:pPr>
              <w:tabs>
                <w:tab w:val="left" w:pos="360"/>
              </w:tabs>
              <w:ind w:left="347" w:hanging="142"/>
              <w:jc w:val="both"/>
            </w:pPr>
          </w:p>
          <w:p w:rsidR="0048676D" w:rsidRDefault="0048676D" w:rsidP="00B06ED1">
            <w:pPr>
              <w:tabs>
                <w:tab w:val="left" w:pos="360"/>
              </w:tabs>
              <w:ind w:left="347" w:hanging="142"/>
              <w:jc w:val="both"/>
            </w:pPr>
            <w:r w:rsidRPr="00924511">
              <w:t>-</w:t>
            </w:r>
            <w:r>
              <w:t xml:space="preserve"> </w:t>
            </w:r>
            <w:r w:rsidRPr="00924511">
              <w:t>Nariadenie Rady (EÚ) 2019/1111 z 25. júna 2019 o právomoci a uznávaní a výkone rozhodnutí v manželských veciach a vo veciach rodičovských práv a povinností a o medzinárodných únosoch detí (prepracované znenie) (Ú. v. EÚ L 178, 2.7.2019)</w:t>
            </w:r>
            <w:r>
              <w:t xml:space="preserve">, </w:t>
            </w:r>
            <w:r w:rsidRPr="00924511">
              <w:t>gestor</w:t>
            </w:r>
            <w:r>
              <w:t>:</w:t>
            </w:r>
            <w:r w:rsidRPr="00924511">
              <w:t xml:space="preserve"> MS SR, MPSVR SR</w:t>
            </w:r>
          </w:p>
          <w:p w:rsidR="0048676D" w:rsidRPr="00924511" w:rsidRDefault="0048676D" w:rsidP="00B06ED1">
            <w:pPr>
              <w:tabs>
                <w:tab w:val="left" w:pos="360"/>
              </w:tabs>
              <w:ind w:left="347" w:hanging="142"/>
              <w:jc w:val="both"/>
            </w:pPr>
          </w:p>
          <w:p w:rsidR="0048676D" w:rsidRPr="00924511" w:rsidRDefault="0048676D" w:rsidP="00B06ED1">
            <w:pPr>
              <w:tabs>
                <w:tab w:val="left" w:pos="360"/>
              </w:tabs>
              <w:ind w:left="347" w:hanging="142"/>
              <w:jc w:val="both"/>
            </w:pPr>
            <w:r w:rsidRPr="00924511">
              <w:t>-</w:t>
            </w:r>
            <w:r>
              <w:t xml:space="preserve"> </w:t>
            </w:r>
            <w:r w:rsidRPr="00924511">
              <w:t xml:space="preserve">Smernica Európskeho parlamentu a Rady (EÚ) 2016/800 z 11. mája 2016 o procesných zárukách pre deti, ktoré sú podozrivými alebo obvinenými osobami v trestnom konaní (Ú. v. EÚ L 132, 21. 5. 2016, s. 1), gestor: </w:t>
            </w:r>
            <w:r>
              <w:t>MS SR</w:t>
            </w:r>
            <w:r w:rsidRPr="00924511">
              <w:t>.</w:t>
            </w:r>
          </w:p>
          <w:p w:rsidR="0048676D" w:rsidRPr="00924511" w:rsidRDefault="0048676D">
            <w:pPr>
              <w:tabs>
                <w:tab w:val="left" w:pos="360"/>
              </w:tabs>
              <w:jc w:val="both"/>
            </w:pP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  <w:r w:rsidRPr="00B06ED1">
              <w:t xml:space="preserve">c) nie je upravený v judikatúre Súdneho dvora Európskej únie. </w:t>
            </w: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  <w:r w:rsidRPr="0048676D">
              <w:rPr>
                <w:b/>
              </w:rPr>
              <w:t>4.</w:t>
            </w:r>
            <w:r w:rsidRPr="0048676D">
              <w:rPr>
                <w:b/>
              </w:rPr>
              <w:tab/>
              <w:t>Záväzky Slovenskej republiky vo vzťahu k Európskej únii</w:t>
            </w:r>
            <w:r>
              <w:t>:</w:t>
            </w: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  <w:r>
              <w:t>a)</w:t>
            </w:r>
            <w:r>
              <w:tab/>
              <w:t xml:space="preserve">uviesť lehotu na prebranie príslušného právneho aktu Európskej únie, príp. aj osobitnú lehotu účinnosti jeho ustanovení, </w:t>
            </w: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</w:p>
          <w:p w:rsidR="0048676D" w:rsidRDefault="0048676D" w:rsidP="0048676D">
            <w:pPr>
              <w:pStyle w:val="Odsekzoznamu"/>
              <w:numPr>
                <w:ilvl w:val="0"/>
                <w:numId w:val="3"/>
              </w:numPr>
              <w:tabs>
                <w:tab w:val="left" w:pos="360"/>
              </w:tabs>
              <w:jc w:val="both"/>
            </w:pPr>
            <w:r>
              <w:t>lehota na prebratie smernice Európskeho parlamentu a Rady (</w:t>
            </w:r>
            <w:r w:rsidR="000F7BB4">
              <w:t>EÚ) 2016/800 bola 11. júna 2019,</w:t>
            </w: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</w:p>
          <w:p w:rsidR="0048676D" w:rsidRDefault="0048676D" w:rsidP="0048676D">
            <w:pPr>
              <w:jc w:val="both"/>
            </w:pPr>
            <w:r>
              <w:t xml:space="preserve">b) </w:t>
            </w:r>
            <w:r w:rsidRPr="0048676D">
              <w:t xml:space="preserve">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</w:t>
            </w:r>
            <w:r w:rsidRPr="0048676D">
              <w:lastRenderedPageBreak/>
              <w:t>verejnosti k dokumentom Európskeho parlamentu, Rady a</w:t>
            </w:r>
            <w:r>
              <w:t> </w:t>
            </w:r>
            <w:r w:rsidRPr="0048676D">
              <w:t>Komi</w:t>
            </w:r>
            <w:r>
              <w:t>sie,</w:t>
            </w:r>
          </w:p>
          <w:p w:rsidR="0048676D" w:rsidRDefault="0048676D" w:rsidP="0048676D"/>
          <w:p w:rsidR="0048676D" w:rsidRPr="0048676D" w:rsidRDefault="0048676D" w:rsidP="0048676D">
            <w:pPr>
              <w:pStyle w:val="Odsekzoznamu"/>
              <w:numPr>
                <w:ilvl w:val="0"/>
                <w:numId w:val="3"/>
              </w:numPr>
            </w:pPr>
            <w:r w:rsidRPr="0048676D">
              <w:t xml:space="preserve"> predmetné konania neboli začaté</w:t>
            </w:r>
            <w:r w:rsidR="000F7BB4">
              <w:t>,</w:t>
            </w: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</w:p>
          <w:p w:rsidR="0048676D" w:rsidRDefault="0048676D" w:rsidP="0048676D">
            <w:pPr>
              <w:jc w:val="both"/>
            </w:pPr>
            <w:r>
              <w:t xml:space="preserve">c) </w:t>
            </w:r>
            <w:r w:rsidRPr="0048676D">
              <w:t>uviesť informáciu o právnych predpisoch, v ktorých sú uvádzané právne akty Európskej únie už prebrané, spolu s uvedením rozsahu ich prebrania, príp.</w:t>
            </w:r>
            <w:r>
              <w:t xml:space="preserve"> potreby prijatia ďalších úprav,</w:t>
            </w:r>
            <w:r w:rsidRPr="0048676D">
              <w:t xml:space="preserve">  </w:t>
            </w:r>
          </w:p>
          <w:p w:rsidR="0048676D" w:rsidRDefault="0048676D" w:rsidP="0048676D"/>
          <w:p w:rsidR="0048676D" w:rsidRDefault="0048676D" w:rsidP="0048676D">
            <w:pPr>
              <w:pStyle w:val="Odsekzoznamu"/>
              <w:numPr>
                <w:ilvl w:val="0"/>
                <w:numId w:val="3"/>
              </w:numPr>
              <w:jc w:val="both"/>
            </w:pPr>
            <w:r w:rsidRPr="0048676D">
              <w:t>Smernica Európskeho parlamentu a Rady (EÚ) 2016/800 bola do právneho poriadku Slovenskej republiky prebratá viacerými právnymi predpismi, najmä zákonom č. 301/2005 Z. z. Trestný poriadok v znení neskorších predpisov a zákonom č. 36/2005 Z. z. o rodine a o zmene a doplnení niektorých zákonov v znení neskorších predpisov.</w:t>
            </w:r>
          </w:p>
          <w:p w:rsidR="0048676D" w:rsidRPr="0048676D" w:rsidRDefault="0048676D" w:rsidP="0048676D">
            <w:pPr>
              <w:pStyle w:val="Odsekzoznamu"/>
              <w:jc w:val="both"/>
            </w:pPr>
          </w:p>
          <w:p w:rsidR="0048676D" w:rsidRDefault="0048676D" w:rsidP="0048676D">
            <w:pPr>
              <w:tabs>
                <w:tab w:val="left" w:pos="360"/>
              </w:tabs>
              <w:jc w:val="both"/>
              <w:rPr>
                <w:b/>
              </w:rPr>
            </w:pPr>
            <w:r w:rsidRPr="0048676D">
              <w:rPr>
                <w:b/>
              </w:rPr>
              <w:t>5.</w:t>
            </w:r>
            <w:r w:rsidRPr="0048676D">
              <w:rPr>
                <w:b/>
              </w:rPr>
              <w:tab/>
              <w:t>Návrh zákona je zlučiteľný s právom Európskej únie:</w:t>
            </w:r>
          </w:p>
          <w:p w:rsidR="0048676D" w:rsidRPr="0048676D" w:rsidRDefault="0048676D" w:rsidP="0048676D">
            <w:pPr>
              <w:tabs>
                <w:tab w:val="left" w:pos="360"/>
              </w:tabs>
              <w:jc w:val="both"/>
              <w:rPr>
                <w:b/>
              </w:rPr>
            </w:pP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  <w:r>
              <w:tab/>
            </w:r>
            <w:r>
              <w:tab/>
              <w:t>- úplne</w:t>
            </w:r>
          </w:p>
          <w:p w:rsidR="0048676D" w:rsidRDefault="0048676D" w:rsidP="0048676D">
            <w:pPr>
              <w:tabs>
                <w:tab w:val="left" w:pos="360"/>
              </w:tabs>
              <w:jc w:val="both"/>
            </w:pP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</w:p>
          <w:p w:rsidR="0048676D" w:rsidRDefault="0048676D" w:rsidP="00B06ED1">
            <w:pPr>
              <w:tabs>
                <w:tab w:val="left" w:pos="360"/>
              </w:tabs>
              <w:jc w:val="both"/>
            </w:pPr>
          </w:p>
          <w:tbl>
            <w:tblPr>
              <w:tblW w:w="7144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129"/>
              <w:gridCol w:w="129"/>
              <w:gridCol w:w="2695"/>
              <w:gridCol w:w="3755"/>
              <w:gridCol w:w="90"/>
            </w:tblGrid>
            <w:tr w:rsidR="0048676D" w:rsidRPr="00924511" w:rsidTr="0048676D">
              <w:trPr>
                <w:gridAfter w:val="1"/>
                <w:wAfter w:w="63" w:type="pct"/>
                <w:jc w:val="center"/>
              </w:trPr>
              <w:tc>
                <w:tcPr>
                  <w:tcW w:w="243" w:type="pct"/>
                  <w:hideMark/>
                </w:tcPr>
                <w:p w:rsidR="0048676D" w:rsidRPr="00924511" w:rsidRDefault="0048676D" w:rsidP="0048676D">
                  <w:pPr>
                    <w:widowControl/>
                    <w:autoSpaceDE/>
                    <w:autoSpaceDN/>
                    <w:adjustRightInd/>
                    <w:spacing w:after="160" w:line="259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180" w:type="pct"/>
                  <w:gridSpan w:val="2"/>
                </w:tcPr>
                <w:p w:rsidR="0048676D" w:rsidRPr="0048676D" w:rsidRDefault="0048676D" w:rsidP="0048676D"/>
              </w:tc>
              <w:tc>
                <w:tcPr>
                  <w:tcW w:w="4514" w:type="pct"/>
                  <w:gridSpan w:val="2"/>
                  <w:vAlign w:val="center"/>
                </w:tcPr>
                <w:p w:rsidR="0048676D" w:rsidRPr="0048676D" w:rsidRDefault="0048676D" w:rsidP="0048676D"/>
              </w:tc>
            </w:tr>
            <w:tr w:rsidR="0048676D" w:rsidRPr="00924511" w:rsidTr="0048676D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48676D" w:rsidRPr="00924511" w:rsidRDefault="0048676D"/>
              </w:tc>
              <w:tc>
                <w:tcPr>
                  <w:tcW w:w="1886" w:type="pct"/>
                  <w:gridSpan w:val="2"/>
                  <w:hideMark/>
                </w:tcPr>
                <w:p w:rsidR="0048676D" w:rsidRPr="0048676D" w:rsidRDefault="0048676D" w:rsidP="0048676D"/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8676D" w:rsidRPr="0048676D" w:rsidRDefault="0048676D" w:rsidP="0048676D"/>
              </w:tc>
            </w:tr>
            <w:tr w:rsidR="0048676D" w:rsidRPr="00924511" w:rsidTr="0048676D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48676D" w:rsidRPr="00924511" w:rsidRDefault="0048676D">
                  <w:pPr>
                    <w:widowControl/>
                    <w:autoSpaceDE/>
                    <w:autoSpaceDN/>
                    <w:adjustRightInd/>
                    <w:spacing w:line="276" w:lineRule="auto"/>
                  </w:pPr>
                </w:p>
              </w:tc>
              <w:tc>
                <w:tcPr>
                  <w:tcW w:w="1886" w:type="pct"/>
                  <w:gridSpan w:val="2"/>
                </w:tcPr>
                <w:p w:rsidR="0048676D" w:rsidRPr="0048676D" w:rsidRDefault="0048676D" w:rsidP="0048676D"/>
              </w:tc>
              <w:tc>
                <w:tcPr>
                  <w:tcW w:w="0" w:type="auto"/>
                  <w:gridSpan w:val="2"/>
                  <w:vAlign w:val="center"/>
                </w:tcPr>
                <w:p w:rsidR="0048676D" w:rsidRPr="0048676D" w:rsidRDefault="0048676D" w:rsidP="0048676D"/>
              </w:tc>
            </w:tr>
            <w:tr w:rsidR="0048676D" w:rsidRPr="00924511" w:rsidTr="0048676D">
              <w:trPr>
                <w:jc w:val="center"/>
              </w:trPr>
              <w:tc>
                <w:tcPr>
                  <w:tcW w:w="0" w:type="auto"/>
                  <w:gridSpan w:val="2"/>
                </w:tcPr>
                <w:p w:rsidR="0048676D" w:rsidRPr="00924511" w:rsidRDefault="0048676D">
                  <w:pPr>
                    <w:spacing w:line="276" w:lineRule="auto"/>
                  </w:pPr>
                </w:p>
              </w:tc>
              <w:tc>
                <w:tcPr>
                  <w:tcW w:w="1886" w:type="pct"/>
                  <w:gridSpan w:val="2"/>
                </w:tcPr>
                <w:p w:rsidR="0048676D" w:rsidRPr="00924511" w:rsidRDefault="0048676D">
                  <w:pPr>
                    <w:spacing w:line="276" w:lineRule="auto"/>
                  </w:pP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48676D" w:rsidRPr="00924511" w:rsidRDefault="0048676D">
                  <w:pPr>
                    <w:spacing w:line="276" w:lineRule="auto"/>
                    <w:jc w:val="both"/>
                    <w:rPr>
                      <w:color w:val="000000"/>
                      <w:shd w:val="clear" w:color="auto" w:fill="FBFBFB"/>
                    </w:rPr>
                  </w:pPr>
                </w:p>
              </w:tc>
            </w:tr>
            <w:tr w:rsidR="0048676D" w:rsidRPr="00924511" w:rsidTr="0048676D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48676D" w:rsidRPr="00924511" w:rsidRDefault="0048676D">
                  <w:pPr>
                    <w:rPr>
                      <w:color w:val="000000"/>
                      <w:shd w:val="clear" w:color="auto" w:fill="FBFBFB"/>
                    </w:rPr>
                  </w:pPr>
                </w:p>
              </w:tc>
              <w:tc>
                <w:tcPr>
                  <w:tcW w:w="1886" w:type="pct"/>
                  <w:gridSpan w:val="2"/>
                  <w:hideMark/>
                </w:tcPr>
                <w:p w:rsidR="0048676D" w:rsidRPr="00924511" w:rsidRDefault="0048676D">
                  <w:pPr>
                    <w:widowControl/>
                    <w:autoSpaceDE/>
                    <w:autoSpaceDN/>
                    <w:adjustRightInd/>
                    <w:spacing w:line="276" w:lineRule="auto"/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8676D" w:rsidRPr="00924511" w:rsidRDefault="0048676D">
                  <w:pPr>
                    <w:widowControl/>
                    <w:autoSpaceDE/>
                    <w:autoSpaceDN/>
                    <w:adjustRightInd/>
                    <w:spacing w:line="276" w:lineRule="auto"/>
                  </w:pPr>
                </w:p>
              </w:tc>
            </w:tr>
            <w:tr w:rsidR="0048676D" w:rsidRPr="00924511" w:rsidTr="0048676D">
              <w:trPr>
                <w:jc w:val="center"/>
              </w:trPr>
              <w:tc>
                <w:tcPr>
                  <w:tcW w:w="0" w:type="auto"/>
                  <w:gridSpan w:val="2"/>
                </w:tcPr>
                <w:p w:rsidR="0048676D" w:rsidRPr="00924511" w:rsidRDefault="0048676D">
                  <w:pPr>
                    <w:spacing w:line="276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4700" w:type="pct"/>
                  <w:gridSpan w:val="4"/>
                </w:tcPr>
                <w:p w:rsidR="0048676D" w:rsidRPr="00924511" w:rsidRDefault="0048676D">
                  <w:pPr>
                    <w:spacing w:line="276" w:lineRule="auto"/>
                    <w:rPr>
                      <w:b/>
                      <w:bCs/>
                    </w:rPr>
                  </w:pPr>
                </w:p>
              </w:tc>
            </w:tr>
            <w:tr w:rsidR="0048676D" w:rsidRPr="00924511" w:rsidTr="0048676D">
              <w:trPr>
                <w:jc w:val="center"/>
              </w:trPr>
              <w:tc>
                <w:tcPr>
                  <w:tcW w:w="0" w:type="auto"/>
                  <w:gridSpan w:val="2"/>
                </w:tcPr>
                <w:p w:rsidR="0048676D" w:rsidRPr="00924511" w:rsidRDefault="0048676D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86" w:type="pct"/>
                  <w:gridSpan w:val="2"/>
                </w:tcPr>
                <w:p w:rsidR="0048676D" w:rsidRPr="00924511" w:rsidRDefault="0048676D">
                  <w:pPr>
                    <w:widowControl/>
                    <w:autoSpaceDE/>
                    <w:autoSpaceDN/>
                    <w:adjustRightInd/>
                    <w:spacing w:line="276" w:lineRule="auto"/>
                  </w:pP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48676D" w:rsidRPr="00924511" w:rsidRDefault="0048676D" w:rsidP="00E860A8">
                  <w:pPr>
                    <w:pStyle w:val="Normlnywebov"/>
                    <w:jc w:val="both"/>
                  </w:pPr>
                </w:p>
              </w:tc>
            </w:tr>
          </w:tbl>
          <w:p w:rsidR="0048676D" w:rsidRPr="00924511" w:rsidRDefault="0048676D" w:rsidP="0028047A">
            <w:pPr>
              <w:pStyle w:val="Odsekzoznamu"/>
              <w:tabs>
                <w:tab w:val="left" w:pos="360"/>
              </w:tabs>
              <w:ind w:left="-266"/>
            </w:pPr>
          </w:p>
        </w:tc>
      </w:tr>
    </w:tbl>
    <w:p w:rsidR="0028047A" w:rsidRPr="00924511" w:rsidRDefault="0028047A" w:rsidP="0028047A">
      <w:pPr>
        <w:tabs>
          <w:tab w:val="left" w:pos="360"/>
        </w:tabs>
      </w:pPr>
    </w:p>
    <w:p w:rsidR="0028047A" w:rsidRPr="00924511" w:rsidRDefault="0028047A" w:rsidP="0028047A">
      <w:pPr>
        <w:tabs>
          <w:tab w:val="left" w:pos="360"/>
        </w:tabs>
        <w:jc w:val="both"/>
      </w:pPr>
    </w:p>
    <w:p w:rsidR="00C533CA" w:rsidRPr="00924511" w:rsidRDefault="0036525D"/>
    <w:sectPr w:rsidR="00C533CA" w:rsidRPr="009245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25D" w:rsidRDefault="0036525D" w:rsidP="007924AF">
      <w:r>
        <w:separator/>
      </w:r>
    </w:p>
  </w:endnote>
  <w:endnote w:type="continuationSeparator" w:id="0">
    <w:p w:rsidR="0036525D" w:rsidRDefault="0036525D" w:rsidP="00792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4AF" w:rsidRDefault="007924A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4AF" w:rsidRDefault="007924AF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4AF" w:rsidRDefault="007924A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25D" w:rsidRDefault="0036525D" w:rsidP="007924AF">
      <w:r>
        <w:separator/>
      </w:r>
    </w:p>
  </w:footnote>
  <w:footnote w:type="continuationSeparator" w:id="0">
    <w:p w:rsidR="0036525D" w:rsidRDefault="0036525D" w:rsidP="00792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4AF" w:rsidRDefault="007924A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4AF" w:rsidRDefault="007924AF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4AF" w:rsidRDefault="007924A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431A5"/>
    <w:multiLevelType w:val="multilevel"/>
    <w:tmpl w:val="8994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8466CE"/>
    <w:multiLevelType w:val="hybridMultilevel"/>
    <w:tmpl w:val="646874BC"/>
    <w:lvl w:ilvl="0" w:tplc="F6B65E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C2985"/>
    <w:multiLevelType w:val="hybridMultilevel"/>
    <w:tmpl w:val="1ABCE63E"/>
    <w:lvl w:ilvl="0" w:tplc="28222386">
      <w:start w:val="1"/>
      <w:numFmt w:val="bullet"/>
      <w:lvlText w:val="-"/>
      <w:lvlJc w:val="left"/>
      <w:pPr>
        <w:ind w:left="44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7A"/>
    <w:rsid w:val="000F7BB4"/>
    <w:rsid w:val="0028047A"/>
    <w:rsid w:val="0034660D"/>
    <w:rsid w:val="0036525D"/>
    <w:rsid w:val="00442ED9"/>
    <w:rsid w:val="0048676D"/>
    <w:rsid w:val="00490D90"/>
    <w:rsid w:val="007924AF"/>
    <w:rsid w:val="00842A60"/>
    <w:rsid w:val="00924511"/>
    <w:rsid w:val="00954E87"/>
    <w:rsid w:val="009D4596"/>
    <w:rsid w:val="00A657B6"/>
    <w:rsid w:val="00B06ED1"/>
    <w:rsid w:val="00B13AB0"/>
    <w:rsid w:val="00D1002D"/>
    <w:rsid w:val="00D810C9"/>
    <w:rsid w:val="00E8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804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28047A"/>
    <w:pPr>
      <w:ind w:left="720"/>
      <w:contextualSpacing/>
    </w:pPr>
  </w:style>
  <w:style w:type="table" w:styleId="Mriekatabuky">
    <w:name w:val="Table Grid"/>
    <w:basedOn w:val="Normlnatabuka"/>
    <w:uiPriority w:val="99"/>
    <w:rsid w:val="0028047A"/>
    <w:pPr>
      <w:spacing w:after="0" w:line="240" w:lineRule="auto"/>
    </w:pPr>
    <w:rPr>
      <w:rFonts w:ascii="Times New Roman" w:eastAsia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uiPriority w:val="99"/>
    <w:semiHidden/>
    <w:unhideWhenUsed/>
    <w:rsid w:val="00954E87"/>
    <w:pPr>
      <w:widowControl/>
      <w:autoSpaceDE/>
      <w:autoSpaceDN/>
      <w:adjustRightInd/>
      <w:spacing w:before="100" w:beforeAutospacing="1" w:after="100" w:afterAutospacing="1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954E8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54E87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7924A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924A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924A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924AF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1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47448-7C14-49BE-BEBF-9CB75E7CD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2026-10-15T15:21:00Z</dcterms:created>
  <dcterms:modified xsi:type="dcterms:W3CDTF">2026-10-15T15:21:00Z</dcterms:modified>
</cp:coreProperties>
</file>