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5A283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7AF84A90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2738571" w14:textId="58629739" w:rsidR="00C840AC" w:rsidRDefault="00054C41" w:rsidP="00E22B2B">
      <w:pPr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 w:rsidR="00C840A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840AC" w:rsidRPr="00C840AC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zákona, ktorým sa mení a dopĺňa zákon č. 582/2004 Z. z. o miestnych daniach a miestnom poplatku za komunálne odpady a drobné stavebné odpady v znení neskorších predpisov.</w:t>
      </w:r>
    </w:p>
    <w:p w14:paraId="03FCED90" w14:textId="77777777" w:rsidR="00C840AC" w:rsidRDefault="00054C41" w:rsidP="00C840AC">
      <w:pPr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="00C840A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840AC" w:rsidRPr="00C840AC">
        <w:rPr>
          <w:rFonts w:ascii="Times New Roman" w:eastAsia="Times New Roman" w:hAnsi="Times New Roman" w:cs="Times New Roman"/>
          <w:sz w:val="24"/>
          <w:szCs w:val="24"/>
          <w:lang w:eastAsia="sk-SK"/>
        </w:rPr>
        <w:t>Ministerstvo financií Slovenskej republiky</w:t>
      </w:r>
    </w:p>
    <w:p w14:paraId="2711DC2C" w14:textId="2A4BB4C9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15DBCE3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14243EB0" w14:textId="77777777" w:rsidR="00054C41" w:rsidRPr="001F1B43" w:rsidRDefault="00054C41" w:rsidP="00C21399">
      <w:pPr>
        <w:tabs>
          <w:tab w:val="left" w:pos="8025"/>
        </w:tabs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p w14:paraId="4D85A0D5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1: Zmeny nákladov (ročne) v prepočte na podnikateľské prostredie (PP), vyhodnotenie mechanizmu znižovania byrokracie a náklado</w:t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>v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 xml:space="preserve">, náklady </w:t>
      </w:r>
      <w:r w:rsidR="00C929AE" w:rsidRPr="00804BC8">
        <w:rPr>
          <w:rFonts w:ascii="Times New Roman" w:eastAsia="Calibri" w:hAnsi="Times New Roman" w:cs="Times New Roman"/>
          <w:i/>
          <w:sz w:val="24"/>
          <w:szCs w:val="24"/>
        </w:rPr>
        <w:t>goldplatingu</w:t>
      </w:r>
      <w:r w:rsidR="00C929AE">
        <w:rPr>
          <w:rStyle w:val="Odkaznapoznmkupodiarou"/>
          <w:rFonts w:ascii="Times New Roman" w:eastAsia="Calibri" w:hAnsi="Times New Roman" w:cs="Times New Roman"/>
          <w:i/>
          <w:sz w:val="24"/>
          <w:szCs w:val="24"/>
        </w:rPr>
        <w:footnoteReference w:id="1"/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>na podnikateľské prostredie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</w:p>
    <w:p w14:paraId="1A77DC61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Nahraďte rovnakou tabuľkou po vyplnení Kalkulačky nákladov podnikateľského prostredia, ktorá je povinnou prílohou tejto analýzy a nájdete ju na </w:t>
      </w:r>
      <w:hyperlink r:id="rId9" w:history="1">
        <w:r w:rsidRPr="00D8247C">
          <w:rPr>
            <w:rFonts w:ascii="Times New Roman" w:eastAsia="Calibri" w:hAnsi="Times New Roman" w:cs="Times New Roman"/>
            <w:i/>
            <w:color w:val="0563C1"/>
            <w:sz w:val="24"/>
            <w:szCs w:val="24"/>
            <w:u w:val="single"/>
          </w:rPr>
          <w:t>webovom sídle MH SR</w:t>
        </w:r>
      </w:hyperlink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, (ďalej len </w:t>
      </w:r>
      <w:r>
        <w:rPr>
          <w:rFonts w:ascii="Times New Roman" w:eastAsia="Calibri" w:hAnsi="Times New Roman" w:cs="Times New Roman"/>
          <w:i/>
          <w:sz w:val="24"/>
          <w:szCs w:val="24"/>
        </w:rPr>
        <w:t>„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>Kalkulačka nákladov</w:t>
      </w:r>
      <w:r>
        <w:rPr>
          <w:rFonts w:ascii="Times New Roman" w:eastAsia="Calibri" w:hAnsi="Times New Roman" w:cs="Times New Roman"/>
          <w:i/>
          <w:sz w:val="24"/>
          <w:szCs w:val="24"/>
        </w:rPr>
        <w:t>“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>):</w:t>
      </w:r>
    </w:p>
    <w:tbl>
      <w:tblPr>
        <w:tblW w:w="95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540"/>
        <w:gridCol w:w="2623"/>
        <w:gridCol w:w="169"/>
        <w:gridCol w:w="160"/>
        <w:gridCol w:w="2293"/>
        <w:gridCol w:w="423"/>
        <w:gridCol w:w="160"/>
      </w:tblGrid>
      <w:tr w:rsidR="00C929AE" w:rsidRPr="00C929AE" w14:paraId="74CF9C31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E36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850EB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37DC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CCAE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FEB3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E54FF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322FD7" w:rsidRPr="00C929AE" w14:paraId="7BEF3D83" w14:textId="77777777" w:rsidTr="00804BC8">
        <w:trPr>
          <w:gridAfter w:val="2"/>
          <w:wAfter w:w="583" w:type="dxa"/>
          <w:trHeight w:val="451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7F0AC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8CD7A" w14:textId="18A44CFE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TYP NÁKLADOV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7F96BD" w14:textId="623FF109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7C6AD32" w14:textId="36791AFA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Zníženie nákladov v € na PP</w:t>
            </w:r>
          </w:p>
        </w:tc>
      </w:tr>
      <w:tr w:rsidR="00322FD7" w:rsidRPr="00C929AE" w14:paraId="0F790483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7CF71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DD77A" w14:textId="07D3DC3A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A.Dane, odvody, clá a poplatky, ktorých cieľom je znižovať negatívne externality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C02A5A" w14:textId="19896C1E" w:rsidR="00322FD7" w:rsidRPr="00C929AE" w:rsidRDefault="004F5C4F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525A008" w14:textId="16E06297" w:rsidR="00322FD7" w:rsidRPr="00C929AE" w:rsidRDefault="004F5C4F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322FD7" w:rsidRPr="00C929AE" w14:paraId="37B64D12" w14:textId="77777777" w:rsidTr="00804BC8">
        <w:trPr>
          <w:gridAfter w:val="2"/>
          <w:wAfter w:w="583" w:type="dxa"/>
          <w:trHeight w:val="42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ED282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928E" w14:textId="6EE72893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B. Iné poplatky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D91672" w14:textId="3CD44BBB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B3EEA7A" w14:textId="7B6DD7A5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322FD7" w:rsidRPr="00C929AE" w14:paraId="21231540" w14:textId="77777777" w:rsidTr="00804BC8">
        <w:trPr>
          <w:gridAfter w:val="2"/>
          <w:wAfter w:w="583" w:type="dxa"/>
          <w:trHeight w:val="43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78407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EE3E" w14:textId="7947F62F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C. Sankcie a pokuty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9D07100" w14:textId="506A2BBE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C8BFAD7" w14:textId="35749D16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322FD7" w:rsidRPr="00C929AE" w14:paraId="280383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2F790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03BCF" w14:textId="098D4CB8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D. Nepriame finančné náklady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ED34EA3" w14:textId="7695E7B1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B7CA645" w14:textId="77638A9C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322FD7" w:rsidRPr="00C929AE" w14:paraId="547BC8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E6137F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A5AE" w14:textId="0B41B90F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E. Administratívne náklady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14:paraId="1A8F0D68" w14:textId="0CDE8812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</w:tcPr>
          <w:p w14:paraId="7D0218BB" w14:textId="18A1E1D5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322FD7" w:rsidRPr="00C929AE" w14:paraId="10B7BDC5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5240B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D49376" w14:textId="530232BF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Spolu = A+B+C+D+E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29EB10" w14:textId="70C03221" w:rsidR="00322FD7" w:rsidRPr="00C929AE" w:rsidRDefault="004F5C4F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B2B8C72" w14:textId="502065F8" w:rsidR="00322FD7" w:rsidRPr="00C929AE" w:rsidRDefault="004F5C4F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322FD7" w:rsidRPr="00C929AE" w14:paraId="3B916623" w14:textId="77777777" w:rsidTr="0009599E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7E590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EAB98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799773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B3D738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543AE9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64F180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322FD7" w:rsidRPr="00C929AE" w14:paraId="52849A6C" w14:textId="77777777" w:rsidTr="00804BC8">
        <w:trPr>
          <w:gridAfter w:val="2"/>
          <w:wAfter w:w="583" w:type="dxa"/>
          <w:trHeight w:val="412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80DC1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8073" w14:textId="7A8697AD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Harmonizácia práva EÚ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BC0A5BA" w14:textId="776C04C8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8A2A444" w14:textId="55B6CFC6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Zníženie nákladov v € na PP</w:t>
            </w:r>
          </w:p>
        </w:tc>
      </w:tr>
      <w:tr w:rsidR="00322FD7" w:rsidRPr="00C929AE" w14:paraId="26126FD6" w14:textId="77777777" w:rsidTr="00804BC8">
        <w:trPr>
          <w:gridAfter w:val="2"/>
          <w:wAfter w:w="583" w:type="dxa"/>
          <w:trHeight w:val="84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4F348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5E706" w14:textId="7F3A3DC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F. Úplná harmonizácia práva EÚ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br/>
            </w:r>
            <w:r>
              <w:rPr>
                <w:i/>
                <w:iCs/>
                <w:color w:val="000000"/>
                <w:sz w:val="16"/>
                <w:szCs w:val="16"/>
              </w:rPr>
              <w:t>(okrem daní, odvodov, ciel a poplatkov, ktorých cieľom je znižovať negatívne externality)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9CCB12B" w14:textId="38A90AD2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CB565E3" w14:textId="4ED6D7A0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322FD7" w:rsidRPr="00C929AE" w14:paraId="2B062396" w14:textId="77777777" w:rsidTr="00804BC8">
        <w:trPr>
          <w:gridAfter w:val="2"/>
          <w:wAfter w:w="583" w:type="dxa"/>
          <w:trHeight w:val="486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92B53" w14:textId="77777777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DFED09" w14:textId="5965A163" w:rsidR="00322FD7" w:rsidRPr="00C929AE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G. Goldplating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09562F6" w14:textId="694C9BF4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E025867" w14:textId="33C22594" w:rsidR="00322FD7" w:rsidRPr="00C929AE" w:rsidRDefault="00322FD7" w:rsidP="0032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C929AE" w:rsidRPr="00C929AE" w14:paraId="665D2803" w14:textId="77777777" w:rsidTr="003A3124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005DD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DB6F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A201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23FD74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BF582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A5CAA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8C4166" w:rsidRPr="00C929AE" w14:paraId="578385C8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4DAC7" w14:textId="77777777" w:rsidR="008C4166" w:rsidRPr="00C929AE" w:rsidRDefault="008C4166" w:rsidP="008C41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B60B" w14:textId="3A2D0E46" w:rsidR="008C4166" w:rsidRPr="00C929AE" w:rsidRDefault="008C4166" w:rsidP="008C41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VÝPOČET PRAVIDLA 1in2out: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4929B536" w14:textId="4B124EAC" w:rsidR="008C4166" w:rsidRPr="00C929AE" w:rsidRDefault="008C4166" w:rsidP="008C4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019C410" w14:textId="594FB169" w:rsidR="008C4166" w:rsidRPr="00C929AE" w:rsidRDefault="008C4166" w:rsidP="008C4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OUT</w:t>
            </w:r>
          </w:p>
        </w:tc>
      </w:tr>
      <w:tr w:rsidR="008C4166" w:rsidRPr="00C929AE" w14:paraId="4C7053DD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0400A" w14:textId="77777777" w:rsidR="008C4166" w:rsidRPr="00C929AE" w:rsidRDefault="008C4166" w:rsidP="008C41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95BF89" w14:textId="3A6147A5" w:rsidR="008C4166" w:rsidRPr="00751DA9" w:rsidRDefault="008C4166" w:rsidP="008C41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H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.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Náklady okrem výnimiek = B+D+E-F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02E1C703" w14:textId="2D1B6892" w:rsidR="008C4166" w:rsidRPr="00C929AE" w:rsidRDefault="008C4166" w:rsidP="008C4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A9C6235" w14:textId="5A1421AC" w:rsidR="008C4166" w:rsidRPr="00C929AE" w:rsidRDefault="008C4166" w:rsidP="008C4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14:paraId="0C4E1024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142154">
          <w:headerReference w:type="default" r:id="rId10"/>
          <w:footerReference w:type="even" r:id="rId11"/>
          <w:footerReference w:type="default" r:id="rId12"/>
          <w:footerReference w:type="first" r:id="rId13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29CDFA2A" w14:textId="77777777" w:rsidR="00054C41" w:rsidRPr="001F1B43" w:rsidRDefault="00054C41" w:rsidP="00054C41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5E02E2DD" w14:textId="77777777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2: Výpočet vplyvov jednotlivých regulácií (nahraďte rovnakou tabuľkou po vyplnení Kalkulačky nákladov):</w:t>
      </w:r>
    </w:p>
    <w:tbl>
      <w:tblPr>
        <w:tblW w:w="13951" w:type="dxa"/>
        <w:tblInd w:w="-5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740"/>
        <w:gridCol w:w="992"/>
        <w:gridCol w:w="1134"/>
        <w:gridCol w:w="1843"/>
        <w:gridCol w:w="992"/>
        <w:gridCol w:w="1160"/>
        <w:gridCol w:w="1108"/>
        <w:gridCol w:w="851"/>
        <w:gridCol w:w="843"/>
        <w:gridCol w:w="1000"/>
        <w:gridCol w:w="708"/>
        <w:gridCol w:w="1134"/>
      </w:tblGrid>
      <w:tr w:rsidR="00DE6ACB" w:rsidRPr="000A6B7F" w14:paraId="58E6573D" w14:textId="77777777" w:rsidTr="00751DA9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FC62EA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F95606" w14:textId="05F4BF5A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(dôvod zvýšenia/zníženia nákladov na PP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a dôvod ponechania nákladov na PP, ktoré sú goldplat</w:t>
            </w:r>
            <w:r w:rsidR="004F5C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ngom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660057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C27F37A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</w:t>
            </w:r>
            <w:r w:rsidR="00D1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, čl.,...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3B4826A" w14:textId="77777777" w:rsidR="00DE6ACB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</w:t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/EÚ úplná harm./</w:t>
            </w:r>
          </w:p>
          <w:p w14:paraId="3EFBCFFC" w14:textId="77777777" w:rsidR="00DE6ACB" w:rsidRPr="000A6B7F" w:rsidRDefault="006564C3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</w:t>
            </w:r>
            <w:r w:rsidR="00DE6ACB"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oldplating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D66C838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1BE5B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Kategória dotk. subjektov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492B87" w14:textId="77777777" w:rsidR="00D114ED" w:rsidRDefault="00DE6ACB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</w:t>
            </w:r>
          </w:p>
          <w:p w14:paraId="7A177F6E" w14:textId="6CE16312" w:rsidR="00DE6ACB" w:rsidRPr="00895898" w:rsidRDefault="00D114ED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dotk.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subjektov </w:t>
            </w:r>
            <w:r w:rsidR="00047C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80914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9531801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kateg. dotk. subjekt.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v €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3CCC0E6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</w:p>
          <w:p w14:paraId="3110E590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>Out (znižuje náklady</w:t>
            </w: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  <w:p w14:paraId="70438D04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 Nemení sa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85CC22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1in</w:t>
            </w:r>
          </w:p>
          <w:p w14:paraId="29F533F5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2out celkom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D6FE4B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Goldplating celkom</w:t>
            </w:r>
          </w:p>
        </w:tc>
      </w:tr>
      <w:tr w:rsidR="00322FD7" w:rsidRPr="00895898" w14:paraId="609FED73" w14:textId="77777777" w:rsidTr="000959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17ADB0C1" w14:textId="6498BFC2" w:rsidR="00322FD7" w:rsidRPr="00895898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40" w:type="dxa"/>
            <w:vAlign w:val="center"/>
          </w:tcPr>
          <w:p w14:paraId="7D629DAC" w14:textId="7846C8DA" w:rsidR="00322FD7" w:rsidRPr="00895898" w:rsidRDefault="004F5C4F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Zmena ustanovenia príplatku za podlažie vo VZN obcí pri zdaňovaní viacpodlažných stavieb</w:t>
            </w:r>
          </w:p>
        </w:tc>
        <w:tc>
          <w:tcPr>
            <w:tcW w:w="992" w:type="dxa"/>
            <w:vAlign w:val="center"/>
          </w:tcPr>
          <w:p w14:paraId="4B47CD37" w14:textId="0E6C3670" w:rsidR="00322FD7" w:rsidRPr="00895898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 xml:space="preserve">zákon č. 582/2004 Z. z. </w:t>
            </w:r>
          </w:p>
        </w:tc>
        <w:tc>
          <w:tcPr>
            <w:tcW w:w="1134" w:type="dxa"/>
            <w:vAlign w:val="center"/>
          </w:tcPr>
          <w:p w14:paraId="1C988908" w14:textId="23BACCFF" w:rsidR="00322FD7" w:rsidRPr="00895898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 xml:space="preserve">§ </w:t>
            </w:r>
            <w:r w:rsidR="004F5C4F">
              <w:rPr>
                <w:color w:val="000000"/>
                <w:sz w:val="20"/>
                <w:szCs w:val="20"/>
              </w:rPr>
              <w:t>12 ods. 3</w:t>
            </w:r>
          </w:p>
        </w:tc>
        <w:tc>
          <w:tcPr>
            <w:tcW w:w="1843" w:type="dxa"/>
            <w:vAlign w:val="center"/>
          </w:tcPr>
          <w:p w14:paraId="22CDA76A" w14:textId="34F3FD68" w:rsidR="00322FD7" w:rsidRPr="00895898" w:rsidRDefault="00322FD7" w:rsidP="00322FD7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vAlign w:val="center"/>
          </w:tcPr>
          <w:p w14:paraId="469C4721" w14:textId="5ABAAFA4" w:rsidR="00322FD7" w:rsidRPr="00895898" w:rsidRDefault="004F5C4F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1.1.2027 (účinnosť VZN, ak obce upravia)</w:t>
            </w:r>
          </w:p>
        </w:tc>
        <w:tc>
          <w:tcPr>
            <w:tcW w:w="1160" w:type="dxa"/>
            <w:noWrap/>
            <w:vAlign w:val="center"/>
          </w:tcPr>
          <w:p w14:paraId="74618A9C" w14:textId="1D53DA42" w:rsidR="00322FD7" w:rsidRPr="00895898" w:rsidRDefault="004F5C4F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Daňovník dane zo stavieb</w:t>
            </w:r>
          </w:p>
        </w:tc>
        <w:tc>
          <w:tcPr>
            <w:tcW w:w="1108" w:type="dxa"/>
            <w:vAlign w:val="center"/>
          </w:tcPr>
          <w:p w14:paraId="5D0F89C4" w14:textId="115E5BBB" w:rsidR="00322FD7" w:rsidRPr="00895898" w:rsidRDefault="004F5C4F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NA</w:t>
            </w:r>
            <w:r w:rsidR="00322FD7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noWrap/>
            <w:vAlign w:val="center"/>
          </w:tcPr>
          <w:p w14:paraId="38251139" w14:textId="191EB91A" w:rsidR="00322FD7" w:rsidRPr="00895898" w:rsidRDefault="004F5C4F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NA</w:t>
            </w:r>
          </w:p>
        </w:tc>
        <w:tc>
          <w:tcPr>
            <w:tcW w:w="843" w:type="dxa"/>
            <w:noWrap/>
            <w:vAlign w:val="center"/>
          </w:tcPr>
          <w:p w14:paraId="01129C91" w14:textId="661ADA09" w:rsidR="00322FD7" w:rsidRPr="00895898" w:rsidRDefault="004F5C4F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NA</w:t>
            </w:r>
          </w:p>
        </w:tc>
        <w:tc>
          <w:tcPr>
            <w:tcW w:w="1000" w:type="dxa"/>
            <w:noWrap/>
            <w:vAlign w:val="center"/>
          </w:tcPr>
          <w:p w14:paraId="420D0685" w14:textId="6DFDDA2A" w:rsidR="00322FD7" w:rsidRPr="00895898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In (zvyšuje náklady)</w:t>
            </w:r>
          </w:p>
        </w:tc>
        <w:tc>
          <w:tcPr>
            <w:tcW w:w="708" w:type="dxa"/>
            <w:noWrap/>
            <w:vAlign w:val="center"/>
          </w:tcPr>
          <w:p w14:paraId="08BFFDBA" w14:textId="376B8D4F" w:rsidR="00322FD7" w:rsidRPr="00895898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48758C9B" w14:textId="39B8D0D5" w:rsidR="00322FD7" w:rsidRPr="00895898" w:rsidRDefault="00322FD7" w:rsidP="00322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4F5C4F" w:rsidRPr="00895898" w14:paraId="21451AEC" w14:textId="77777777" w:rsidTr="000959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5FB4824C" w14:textId="732693C4" w:rsidR="004F5C4F" w:rsidRDefault="004F5C4F" w:rsidP="004F5C4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40" w:type="dxa"/>
            <w:vAlign w:val="center"/>
          </w:tcPr>
          <w:p w14:paraId="2AF7980B" w14:textId="3FC42BFF" w:rsidR="004F5C4F" w:rsidRDefault="004F5C4F" w:rsidP="004F5C4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Zmena ustanovenia príplatku za podlažie vo VZN obcí pri zdaňovaní viacpodlažných stavieb</w:t>
            </w:r>
          </w:p>
        </w:tc>
        <w:tc>
          <w:tcPr>
            <w:tcW w:w="992" w:type="dxa"/>
            <w:vAlign w:val="center"/>
          </w:tcPr>
          <w:p w14:paraId="7790B030" w14:textId="63D899AB" w:rsidR="004F5C4F" w:rsidRDefault="004F5C4F" w:rsidP="004F5C4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zákon č. 582/2004 Z. z. </w:t>
            </w:r>
          </w:p>
        </w:tc>
        <w:tc>
          <w:tcPr>
            <w:tcW w:w="1134" w:type="dxa"/>
            <w:vAlign w:val="center"/>
          </w:tcPr>
          <w:p w14:paraId="04C42B9C" w14:textId="078C32A1" w:rsidR="004F5C4F" w:rsidRDefault="004F5C4F" w:rsidP="004F5C4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§ 12 ods. 3</w:t>
            </w:r>
          </w:p>
        </w:tc>
        <w:tc>
          <w:tcPr>
            <w:tcW w:w="1843" w:type="dxa"/>
            <w:vAlign w:val="center"/>
          </w:tcPr>
          <w:p w14:paraId="74C9B10C" w14:textId="287F077B" w:rsidR="004F5C4F" w:rsidRDefault="004F5C4F" w:rsidP="004F5C4F">
            <w:pPr>
              <w:pStyle w:val="gmail-m-1648484718305530482msolistparagraph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vAlign w:val="center"/>
          </w:tcPr>
          <w:p w14:paraId="789A0E18" w14:textId="2C4ECDFB" w:rsidR="004F5C4F" w:rsidRDefault="004F5C4F" w:rsidP="004F5C4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1.1.2027 (účinnosť VZN, ak obce upravia)</w:t>
            </w:r>
          </w:p>
        </w:tc>
        <w:tc>
          <w:tcPr>
            <w:tcW w:w="1160" w:type="dxa"/>
            <w:noWrap/>
            <w:vAlign w:val="center"/>
          </w:tcPr>
          <w:p w14:paraId="491BAEEC" w14:textId="6640D6EB" w:rsidR="004F5C4F" w:rsidRDefault="004F5C4F" w:rsidP="004F5C4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Daňovník dane zo stavieb</w:t>
            </w:r>
          </w:p>
        </w:tc>
        <w:tc>
          <w:tcPr>
            <w:tcW w:w="1108" w:type="dxa"/>
            <w:vAlign w:val="center"/>
          </w:tcPr>
          <w:p w14:paraId="4612657B" w14:textId="6081F32D" w:rsidR="004F5C4F" w:rsidRDefault="004F5C4F" w:rsidP="004F5C4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NA </w:t>
            </w:r>
          </w:p>
        </w:tc>
        <w:tc>
          <w:tcPr>
            <w:tcW w:w="851" w:type="dxa"/>
            <w:noWrap/>
            <w:vAlign w:val="center"/>
          </w:tcPr>
          <w:p w14:paraId="4ACC000B" w14:textId="745ADE36" w:rsidR="004F5C4F" w:rsidRDefault="004F5C4F" w:rsidP="004F5C4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</w:t>
            </w:r>
          </w:p>
        </w:tc>
        <w:tc>
          <w:tcPr>
            <w:tcW w:w="843" w:type="dxa"/>
            <w:noWrap/>
            <w:vAlign w:val="center"/>
          </w:tcPr>
          <w:p w14:paraId="0F2A701A" w14:textId="5D0BA7CA" w:rsidR="004F5C4F" w:rsidRDefault="004F5C4F" w:rsidP="004F5C4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</w:t>
            </w:r>
          </w:p>
        </w:tc>
        <w:tc>
          <w:tcPr>
            <w:tcW w:w="1000" w:type="dxa"/>
            <w:noWrap/>
            <w:vAlign w:val="center"/>
          </w:tcPr>
          <w:p w14:paraId="6A1B6192" w14:textId="293EBC84" w:rsidR="004F5C4F" w:rsidRDefault="004F5C4F" w:rsidP="004F5C4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Out (znižuje náklady)</w:t>
            </w:r>
          </w:p>
        </w:tc>
        <w:tc>
          <w:tcPr>
            <w:tcW w:w="708" w:type="dxa"/>
            <w:noWrap/>
            <w:vAlign w:val="center"/>
          </w:tcPr>
          <w:p w14:paraId="377B0CDC" w14:textId="2403E4C6" w:rsidR="004F5C4F" w:rsidRDefault="004F5C4F" w:rsidP="004F5C4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06A92034" w14:textId="446C4EFB" w:rsidR="004F5C4F" w:rsidRDefault="004F5C4F" w:rsidP="004F5C4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</w:tbl>
    <w:p w14:paraId="520734CD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i/>
        </w:rPr>
      </w:pPr>
    </w:p>
    <w:p w14:paraId="798179FB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054C41" w:rsidRPr="00895898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7318665" w14:textId="77777777" w:rsidR="00054C41" w:rsidRPr="001F1B43" w:rsidRDefault="00511F8F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lastRenderedPageBreak/>
        <w:t xml:space="preserve">3.1.3 </w:t>
      </w:r>
      <w:r w:rsidR="00054C41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Doplňujúce informácie k spôsobu výpočtu vplyvov jednotlivých regulácií na zmenu nákladov </w:t>
      </w:r>
    </w:p>
    <w:p w14:paraId="1B861441" w14:textId="0D8ED3DF" w:rsidR="00F313C4" w:rsidRPr="000B3AA3" w:rsidRDefault="00F313C4" w:rsidP="00F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947A2">
        <w:rPr>
          <w:rFonts w:ascii="Times New Roman" w:eastAsia="Times New Roman" w:hAnsi="Times New Roman" w:cs="Times New Roman"/>
          <w:sz w:val="24"/>
          <w:szCs w:val="24"/>
          <w:lang w:eastAsia="sk-SK"/>
        </w:rPr>
        <w:t>Jediným typom nehnuteľnosti s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potenciálnym vplyvom návrhu zákona sú</w:t>
      </w:r>
      <w:r w:rsidRPr="00F947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viacpodlažné stavby. Návrh neovplyvní zdaňovanie jednopodlažných stavieb, zdaňovanie pozemkov, bytov a nebytových priestorov.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F947A2">
        <w:rPr>
          <w:rFonts w:ascii="Times New Roman" w:hAnsi="Times New Roman"/>
          <w:b/>
          <w:bCs/>
          <w:sz w:val="24"/>
          <w:szCs w:val="24"/>
          <w:lang w:eastAsia="sk-SK"/>
        </w:rPr>
        <w:t xml:space="preserve">Konkrétne vplyvy na </w:t>
      </w:r>
      <w:r w:rsidR="001248D1">
        <w:rPr>
          <w:rFonts w:ascii="Times New Roman" w:hAnsi="Times New Roman"/>
          <w:b/>
          <w:bCs/>
          <w:sz w:val="24"/>
          <w:szCs w:val="24"/>
          <w:lang w:eastAsia="sk-SK"/>
        </w:rPr>
        <w:t>podnikateľské prostredie</w:t>
      </w:r>
      <w:r w:rsidRPr="00F947A2">
        <w:rPr>
          <w:rFonts w:ascii="Times New Roman" w:hAnsi="Times New Roman"/>
          <w:b/>
          <w:bCs/>
          <w:sz w:val="24"/>
          <w:szCs w:val="24"/>
          <w:lang w:eastAsia="sk-SK"/>
        </w:rPr>
        <w:t xml:space="preserve"> nemožno kvantifikovať</w:t>
      </w:r>
      <w:r>
        <w:rPr>
          <w:rFonts w:ascii="Times New Roman" w:hAnsi="Times New Roman"/>
          <w:b/>
          <w:bCs/>
          <w:sz w:val="24"/>
          <w:szCs w:val="24"/>
          <w:lang w:eastAsia="sk-SK"/>
        </w:rPr>
        <w:t>. Rovnako</w:t>
      </w:r>
      <w:r w:rsidRPr="00F947A2">
        <w:rPr>
          <w:rFonts w:ascii="Times New Roman" w:hAnsi="Times New Roman"/>
          <w:b/>
          <w:bCs/>
          <w:sz w:val="24"/>
          <w:szCs w:val="24"/>
          <w:lang w:eastAsia="sk-SK"/>
        </w:rPr>
        <w:t xml:space="preserve"> </w:t>
      </w:r>
      <w:r w:rsidRPr="000B3AA3">
        <w:rPr>
          <w:rFonts w:ascii="Times New Roman" w:hAnsi="Times New Roman"/>
          <w:b/>
          <w:bCs/>
          <w:sz w:val="24"/>
          <w:szCs w:val="24"/>
          <w:lang w:eastAsia="sk-SK"/>
        </w:rPr>
        <w:t xml:space="preserve">nie je možné </w:t>
      </w:r>
      <w:r>
        <w:rPr>
          <w:rFonts w:ascii="Times New Roman" w:hAnsi="Times New Roman"/>
          <w:b/>
          <w:bCs/>
          <w:sz w:val="24"/>
          <w:szCs w:val="24"/>
          <w:lang w:eastAsia="sk-SK"/>
        </w:rPr>
        <w:t>expertným</w:t>
      </w:r>
      <w:r w:rsidRPr="000B3AA3">
        <w:rPr>
          <w:rFonts w:ascii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sk-SK"/>
        </w:rPr>
        <w:t>odhadom</w:t>
      </w:r>
      <w:r w:rsidRPr="000B3AA3">
        <w:rPr>
          <w:rFonts w:ascii="Times New Roman" w:hAnsi="Times New Roman"/>
          <w:b/>
          <w:bCs/>
          <w:sz w:val="24"/>
          <w:szCs w:val="24"/>
          <w:lang w:eastAsia="sk-SK"/>
        </w:rPr>
        <w:t xml:space="preserve"> ani simulovať približný vplyv na podnikateľské prostredie</w:t>
      </w:r>
      <w:r>
        <w:rPr>
          <w:rFonts w:ascii="Times New Roman" w:hAnsi="Times New Roman"/>
          <w:b/>
          <w:bCs/>
          <w:sz w:val="24"/>
          <w:szCs w:val="24"/>
          <w:lang w:eastAsia="sk-SK"/>
        </w:rPr>
        <w:t>,</w:t>
      </w:r>
      <w:r w:rsidRPr="000B3AA3">
        <w:rPr>
          <w:rFonts w:ascii="Times New Roman" w:hAnsi="Times New Roman"/>
          <w:b/>
          <w:bCs/>
          <w:sz w:val="24"/>
          <w:szCs w:val="24"/>
          <w:lang w:eastAsia="sk-SK"/>
        </w:rPr>
        <w:t xml:space="preserve"> </w:t>
      </w:r>
      <w:r w:rsidRPr="00F947A2">
        <w:rPr>
          <w:rFonts w:ascii="Times New Roman" w:hAnsi="Times New Roman"/>
          <w:b/>
          <w:bCs/>
          <w:sz w:val="24"/>
          <w:szCs w:val="24"/>
          <w:lang w:eastAsia="sk-SK"/>
        </w:rPr>
        <w:t>pretože:</w:t>
      </w:r>
    </w:p>
    <w:p w14:paraId="5725D77A" w14:textId="77777777" w:rsidR="001248D1" w:rsidRDefault="00F313C4" w:rsidP="001248D1">
      <w:p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 xml:space="preserve">- </w:t>
      </w:r>
      <w:r w:rsidR="001248D1" w:rsidRPr="001248D1">
        <w:rPr>
          <w:rFonts w:ascii="Times New Roman" w:hAnsi="Times New Roman"/>
          <w:sz w:val="24"/>
          <w:szCs w:val="24"/>
          <w:lang w:eastAsia="sk-SK"/>
        </w:rPr>
        <w:t>predmetom dane z nehnuteľností je objekt a nie subjekt, na centrálnej úrovni (MF SR) nie je známe koľko dane zaplatili fyzické osoby a koľko právnické osoby (tak ako PO môže vlastniť byt, tak aj FO môže vlastniť stavbu používanú na podnikanie),</w:t>
      </w:r>
    </w:p>
    <w:p w14:paraId="01C3D516" w14:textId="5E34ADA5" w:rsidR="00F313C4" w:rsidRPr="003F69E8" w:rsidRDefault="001248D1" w:rsidP="001248D1">
      <w:p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 xml:space="preserve">- </w:t>
      </w:r>
      <w:r w:rsidR="00F313C4" w:rsidRPr="003F69E8">
        <w:rPr>
          <w:rFonts w:ascii="Times New Roman" w:hAnsi="Times New Roman"/>
          <w:sz w:val="24"/>
          <w:szCs w:val="24"/>
          <w:lang w:eastAsia="sk-SK"/>
        </w:rPr>
        <w:t xml:space="preserve">Ministerstvo financií SR nemá informácie o podlažnosti </w:t>
      </w:r>
      <w:r w:rsidR="00F313C4">
        <w:rPr>
          <w:rFonts w:ascii="Times New Roman" w:hAnsi="Times New Roman"/>
          <w:sz w:val="24"/>
          <w:szCs w:val="24"/>
          <w:lang w:eastAsia="sk-SK"/>
        </w:rPr>
        <w:t xml:space="preserve">jednotlivých </w:t>
      </w:r>
      <w:r w:rsidR="00F313C4" w:rsidRPr="003F69E8">
        <w:rPr>
          <w:rFonts w:ascii="Times New Roman" w:hAnsi="Times New Roman"/>
          <w:sz w:val="24"/>
          <w:szCs w:val="24"/>
          <w:lang w:eastAsia="sk-SK"/>
        </w:rPr>
        <w:t>stavieb, tieto údaje sa nevedú ani v katastri nehnuteľností</w:t>
      </w:r>
      <w:r w:rsidR="00F313C4">
        <w:rPr>
          <w:rFonts w:ascii="Times New Roman" w:hAnsi="Times New Roman"/>
          <w:sz w:val="24"/>
          <w:szCs w:val="24"/>
          <w:lang w:eastAsia="sk-SK"/>
        </w:rPr>
        <w:t>,</w:t>
      </w:r>
    </w:p>
    <w:p w14:paraId="50D26DCE" w14:textId="6F97A445" w:rsidR="00F313C4" w:rsidRDefault="00F313C4" w:rsidP="00F313C4">
      <w:p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 xml:space="preserve">- </w:t>
      </w:r>
      <w:r w:rsidRPr="003F69E8">
        <w:rPr>
          <w:rFonts w:ascii="Times New Roman" w:hAnsi="Times New Roman"/>
          <w:sz w:val="24"/>
          <w:szCs w:val="24"/>
          <w:lang w:eastAsia="sk-SK"/>
        </w:rPr>
        <w:t>zmeny príplatku za podlažie v jednotlivých samosprávach nemožno predvídať, pričom v jednej samospráve môž</w:t>
      </w:r>
      <w:r w:rsidR="00065E06">
        <w:rPr>
          <w:rFonts w:ascii="Times New Roman" w:hAnsi="Times New Roman"/>
          <w:sz w:val="24"/>
          <w:szCs w:val="24"/>
          <w:lang w:eastAsia="sk-SK"/>
        </w:rPr>
        <w:t>u</w:t>
      </w:r>
      <w:r w:rsidRPr="003F69E8">
        <w:rPr>
          <w:rFonts w:ascii="Times New Roman" w:hAnsi="Times New Roman"/>
          <w:sz w:val="24"/>
          <w:szCs w:val="24"/>
          <w:lang w:eastAsia="sk-SK"/>
        </w:rPr>
        <w:t xml:space="preserve"> nastať zmeny s využitím novej zákonnej úpravy a v inej samospráve nedôjde k žiadnej zmene,</w:t>
      </w:r>
    </w:p>
    <w:p w14:paraId="33CB5640" w14:textId="77777777" w:rsidR="00F313C4" w:rsidRDefault="00F313C4" w:rsidP="00F313C4">
      <w:p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>- ak obce upravia VZN s príplatkom za podlažie, nie je možné v jednotlivých samosprávach predvídať rozsah tejto zmeny, ani či bude zachovaný jeden spoločný príplatok za podlažie pre všetky druhy stavieb, alebo ho obec bude diferencovať; zároveň prípadná úprava príplatku za podlažie do výšky súčasnej maximálnej úrovne v sume 0,33 eur/m</w:t>
      </w:r>
      <w:r w:rsidRPr="000B3AA3">
        <w:rPr>
          <w:rFonts w:ascii="Times New Roman" w:hAnsi="Times New Roman"/>
          <w:sz w:val="24"/>
          <w:szCs w:val="24"/>
          <w:vertAlign w:val="superscript"/>
          <w:lang w:eastAsia="sk-SK"/>
        </w:rPr>
        <w:t>2</w:t>
      </w:r>
      <w:r>
        <w:rPr>
          <w:rFonts w:ascii="Times New Roman" w:hAnsi="Times New Roman"/>
          <w:sz w:val="24"/>
          <w:szCs w:val="24"/>
          <w:lang w:eastAsia="sk-SK"/>
        </w:rPr>
        <w:t xml:space="preserve"> však nie je možné prisúdiť legislatívnemu návrhu (t. z. zmena príplatku by v takomto hypotetickom prípade nastala aj pri zachovaní legislatívneho stavu).</w:t>
      </w:r>
    </w:p>
    <w:p w14:paraId="2A403AA0" w14:textId="158E789B" w:rsidR="00D60663" w:rsidRDefault="00D60663" w:rsidP="00D6066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5B591ED" w14:textId="3DB44DAD" w:rsidR="001248D1" w:rsidRDefault="001248D1" w:rsidP="00D6066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48D1">
        <w:rPr>
          <w:rFonts w:ascii="Times New Roman" w:hAnsi="Times New Roman"/>
          <w:sz w:val="24"/>
          <w:szCs w:val="24"/>
        </w:rPr>
        <w:t>Možno však predpokladať, že obce upravia príplatok za podlažie na území obce rôzne a to aj podľa druhu stavieb, preto sa môže stať, že pre niektoré stavby sa príplatok za podlažie zvýši a</w:t>
      </w:r>
      <w:r w:rsidR="00DA1A25">
        <w:rPr>
          <w:rFonts w:ascii="Times New Roman" w:hAnsi="Times New Roman"/>
          <w:sz w:val="24"/>
          <w:szCs w:val="24"/>
        </w:rPr>
        <w:t> </w:t>
      </w:r>
      <w:r w:rsidRPr="001248D1">
        <w:rPr>
          <w:rFonts w:ascii="Times New Roman" w:hAnsi="Times New Roman"/>
          <w:sz w:val="24"/>
          <w:szCs w:val="24"/>
        </w:rPr>
        <w:t>pre niektoré stavby zníži. V závislosti od zmeny príplatku za podlažie vo VZN príslušnej obce dôjde k zvýšeniu alebo zníženiu príjmu z dane z viacpodlažných stavieb. Pokiaľ nastane zvýšenie dane z konkrétnej stavby (a vplyv na rozpočet obce je pozitívny), tak pre daňovníka je vplyv negatívny a opačne. S tým súvisí aj potenciálne pozitívny alebo negatívny vplyv na podnikateľské prostredie.</w:t>
      </w:r>
    </w:p>
    <w:p w14:paraId="6BA5FEFA" w14:textId="77777777" w:rsidR="001248D1" w:rsidRDefault="001248D1" w:rsidP="00D6066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EB298DB" w14:textId="77777777" w:rsidR="00512BA7" w:rsidRPr="001F1B43" w:rsidRDefault="00511F8F" w:rsidP="00512BA7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3.1.4 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Odôvodnenie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goldplating</w:t>
      </w:r>
      <w:r w:rsidR="0016512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u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podľa bodu 4 časti III </w:t>
      </w:r>
      <w:r w:rsidR="00FA6FF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j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ednotnej metodiky 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a </w:t>
      </w:r>
      <w:r w:rsidR="00B21D1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ďalšie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d</w:t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oplňujúce informácie</w:t>
      </w:r>
      <w:r w:rsidR="00512BA7">
        <w:rPr>
          <w:rStyle w:val="Odkaznapoznmkupodiarou"/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footnoteReference w:id="2"/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</w:p>
    <w:p w14:paraId="39D55FBC" w14:textId="44B0C098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3.2 Vyhodnotenie konzultácií s podnikateľskými subjektmi pred predbežným pripomienkovým konaním</w:t>
      </w:r>
    </w:p>
    <w:p w14:paraId="7AF0A972" w14:textId="0F576E5C" w:rsidR="0082615C" w:rsidRPr="0082615C" w:rsidRDefault="0082615C" w:rsidP="00054C41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bookmarkStart w:id="0" w:name="_Hlk47698091"/>
      <w:r w:rsidRPr="0082615C">
        <w:rPr>
          <w:rFonts w:ascii="Times New Roman" w:eastAsia="Calibri" w:hAnsi="Times New Roman" w:cs="Times New Roman"/>
          <w:bCs/>
          <w:sz w:val="24"/>
          <w:szCs w:val="24"/>
        </w:rPr>
        <w:t xml:space="preserve">Záujmové združenia podnikateľských subjektov (RÚZ, Klub 500, APZD, IÚR, SAMO) na konzultáciách požiadali o „dôsledné vypracovanie doložky vybraných vplyvov, najmä vplyvov na podnikateľské prostredie – porovnanie zdanenia objektov používaných na podnikanie v SR a v okolitých krajinách, analytické posúdenie zdanenia rôznych typov nehnuteľností určených na podnikanie a v kontexte predloženého návrhu špecificky tiež viacpodlažných </w:t>
      </w:r>
      <w:r w:rsidRPr="0082615C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nehnuteľností“, Ministerstvo financií SR ako predkladateľ návrhu spracoval prehľad o</w:t>
      </w:r>
      <w:r w:rsidR="00E41CBF">
        <w:rPr>
          <w:rFonts w:ascii="Times New Roman" w:eastAsia="Calibri" w:hAnsi="Times New Roman" w:cs="Times New Roman"/>
          <w:bCs/>
          <w:sz w:val="24"/>
          <w:szCs w:val="24"/>
        </w:rPr>
        <w:t> </w:t>
      </w:r>
      <w:r w:rsidRPr="0082615C">
        <w:rPr>
          <w:rFonts w:ascii="Times New Roman" w:eastAsia="Calibri" w:hAnsi="Times New Roman" w:cs="Times New Roman"/>
          <w:bCs/>
          <w:sz w:val="24"/>
          <w:szCs w:val="24"/>
        </w:rPr>
        <w:t>medzinárodnom porovnaní príjmov z dane z nehnuteľností, vývoja príjmov a štruktúry príjmov z tejto dane, prehľad sadzieb uplatňovaných v krajských mestách a vybraných okresných mestách v SR, hypotetický prepočet daňovej povinnosti na „typizovanú“ stavbu používanú na ostatné podnikanie a zárobkovú činnosť vo vybraných mestách s prepočtom vplyvu tohto návrhu v intenciách maximálnej možnej zmeny s ohľadom na dané sadzby dane zo stavieb v</w:t>
      </w:r>
      <w:r w:rsidR="00E41CBF">
        <w:rPr>
          <w:rFonts w:ascii="Times New Roman" w:eastAsia="Calibri" w:hAnsi="Times New Roman" w:cs="Times New Roman"/>
          <w:bCs/>
          <w:sz w:val="24"/>
          <w:szCs w:val="24"/>
        </w:rPr>
        <w:t> </w:t>
      </w:r>
      <w:r w:rsidRPr="0082615C">
        <w:rPr>
          <w:rFonts w:ascii="Times New Roman" w:eastAsia="Calibri" w:hAnsi="Times New Roman" w:cs="Times New Roman"/>
          <w:bCs/>
          <w:sz w:val="24"/>
          <w:szCs w:val="24"/>
        </w:rPr>
        <w:t>týchto vybraných mestách, ako aj porovnanie daňovej povinnosti k tejto „typizovanej“ stavbe vo vybraných mestách okolitých krajín.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Tieto analytické informácie sa nachádzajú v časti 10 Poznámky Doložky vplyvov.</w:t>
      </w:r>
    </w:p>
    <w:p w14:paraId="78681465" w14:textId="6E03727C" w:rsidR="00054C41" w:rsidRPr="00F313C4" w:rsidRDefault="00054C41" w:rsidP="00F313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  <w:bookmarkEnd w:id="0"/>
    </w:p>
    <w:p w14:paraId="4BE35CB4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6C68428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76CD0669" w14:textId="59C8653B" w:rsidR="00054C41" w:rsidRPr="00D8247C" w:rsidRDefault="00411623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798576880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29873660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410579887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80300261"/>
            </w:sdtPr>
            <w:sdtEndPr/>
            <w:sdtContent>
              <w:r w:rsidR="00675F90"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 xml:space="preserve">X 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474604883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706551548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327BF48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861187D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1FF562C2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Aký má materiál vplyv na zmenu pomeru medzi produkciou podnikov a ich nákladmi? </w:t>
      </w:r>
    </w:p>
    <w:p w14:paraId="23DA5CC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B272AB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uvedenej odpovede zaškrtnite a popíšte, či materiál produktivitu:</w:t>
      </w:r>
    </w:p>
    <w:p w14:paraId="789FA80A" w14:textId="540B84A6" w:rsidR="00054C41" w:rsidRPr="00D8247C" w:rsidRDefault="00411623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545903528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825715010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353966921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222205104"/>
            </w:sdtPr>
            <w:sdtEndPr/>
            <w:sdtContent>
              <w:r w:rsidR="00675F90"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 xml:space="preserve">X 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457723544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23767955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3814BF91" w14:textId="77777777" w:rsidR="00E30D85" w:rsidRPr="00D8247C" w:rsidRDefault="00E30D85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F05F45F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426A7075" w14:textId="5902C275" w:rsidR="00675F90" w:rsidRPr="004F5C4F" w:rsidRDefault="004F5C4F" w:rsidP="004F5C4F">
      <w:pPr>
        <w:pStyle w:val="Odsekzoznamu"/>
        <w:spacing w:after="0" w:line="254" w:lineRule="auto"/>
        <w:ind w:left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4F5C4F">
        <w:rPr>
          <w:rFonts w:ascii="Times New Roman" w:eastAsia="Calibri" w:hAnsi="Times New Roman" w:cs="Times New Roman"/>
          <w:iCs/>
          <w:sz w:val="24"/>
          <w:szCs w:val="24"/>
        </w:rPr>
        <w:t xml:space="preserve">Návrh nezakladá žiadne nové povinnosti na strane podnikateľských subjektov – napr. hlásenia, oznamovacie povinnosti, podávanie daňových priznaní. Prípadná zmena príplatku za podlažie vo VZN príslušnej obce má vplyv na výpočet dane zo stavieb, ktorú uskutočňuje správca dane pri vyrubení dane rozhodnutím. </w:t>
      </w:r>
    </w:p>
    <w:p w14:paraId="656A83C3" w14:textId="77777777" w:rsidR="00B21D1F" w:rsidRDefault="00B21D1F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24DBDFC" w14:textId="5F009FBF" w:rsidR="00B21D1F" w:rsidRDefault="00B21D1F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5FD490A" w14:textId="77777777" w:rsidR="00675F90" w:rsidRDefault="00675F90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sectPr w:rsidR="00675F90" w:rsidSect="0023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46889" w14:textId="77777777" w:rsidR="00411623" w:rsidRDefault="00411623" w:rsidP="00054C41">
      <w:pPr>
        <w:spacing w:after="0" w:line="240" w:lineRule="auto"/>
      </w:pPr>
      <w:r>
        <w:separator/>
      </w:r>
    </w:p>
  </w:endnote>
  <w:endnote w:type="continuationSeparator" w:id="0">
    <w:p w14:paraId="63919521" w14:textId="77777777" w:rsidR="00411623" w:rsidRDefault="00411623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DCDD6" w14:textId="6CC20C82" w:rsidR="004F5C4F" w:rsidRDefault="004F5C4F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B66BFE6" wp14:editId="482125E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D64AD7" w14:textId="750201BA" w:rsidR="004F5C4F" w:rsidRPr="004F5C4F" w:rsidRDefault="004F5C4F" w:rsidP="004F5C4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F5C4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66BFE6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61D64AD7" w14:textId="750201BA" w:rsidR="004F5C4F" w:rsidRPr="004F5C4F" w:rsidRDefault="004F5C4F" w:rsidP="004F5C4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F5C4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5F2F5" w14:textId="4A0DA126" w:rsidR="0009599E" w:rsidRPr="006045CB" w:rsidRDefault="00411623" w:rsidP="00054C41">
    <w:pPr>
      <w:pStyle w:val="Pta"/>
      <w:jc w:val="right"/>
      <w:rPr>
        <w:rFonts w:ascii="Times New Roman" w:hAnsi="Times New Roman" w:cs="Times New Roman"/>
        <w:sz w:val="24"/>
        <w:szCs w:val="24"/>
      </w:rPr>
    </w:pPr>
    <w:sdt>
      <w:sdtPr>
        <w:id w:val="726035099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="0009599E"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09599E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09599E"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840AC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="0009599E"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  <w:p w14:paraId="4556761F" w14:textId="77777777" w:rsidR="0009599E" w:rsidRPr="00FF7125" w:rsidRDefault="0009599E" w:rsidP="00054C41">
    <w:pPr>
      <w:pStyle w:val="Pta"/>
      <w:rPr>
        <w:sz w:val="24"/>
        <w:szCs w:val="24"/>
      </w:rPr>
    </w:pPr>
  </w:p>
  <w:p w14:paraId="20FE6A4A" w14:textId="77777777" w:rsidR="0009599E" w:rsidRDefault="0009599E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A2183" w14:textId="1DC9AE66" w:rsidR="004F5C4F" w:rsidRDefault="004F5C4F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D3451B3" wp14:editId="4DA4BB9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C6CC9B" w14:textId="52A4413B" w:rsidR="004F5C4F" w:rsidRPr="004F5C4F" w:rsidRDefault="004F5C4F" w:rsidP="004F5C4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F5C4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3451B3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Interné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51C6CC9B" w14:textId="52A4413B" w:rsidR="004F5C4F" w:rsidRPr="004F5C4F" w:rsidRDefault="004F5C4F" w:rsidP="004F5C4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F5C4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1B98B" w14:textId="77777777" w:rsidR="00411623" w:rsidRDefault="00411623" w:rsidP="00054C41">
      <w:pPr>
        <w:spacing w:after="0" w:line="240" w:lineRule="auto"/>
      </w:pPr>
      <w:r>
        <w:separator/>
      </w:r>
    </w:p>
  </w:footnote>
  <w:footnote w:type="continuationSeparator" w:id="0">
    <w:p w14:paraId="6E851111" w14:textId="77777777" w:rsidR="00411623" w:rsidRDefault="00411623" w:rsidP="00054C41">
      <w:pPr>
        <w:spacing w:after="0" w:line="240" w:lineRule="auto"/>
      </w:pPr>
      <w:r>
        <w:continuationSeparator/>
      </w:r>
    </w:p>
  </w:footnote>
  <w:footnote w:id="1">
    <w:p w14:paraId="6CC680CB" w14:textId="6BF8CDC6" w:rsidR="0009599E" w:rsidRPr="000A6B7F" w:rsidRDefault="0009599E" w:rsidP="00C929AE">
      <w:pPr>
        <w:pStyle w:val="Textpoznmkypodiarou"/>
        <w:rPr>
          <w:rFonts w:ascii="Times New Roman" w:hAnsi="Times New Roman" w:cs="Times New Roman"/>
        </w:rPr>
      </w:pPr>
      <w:r>
        <w:rPr>
          <w:rStyle w:val="Odkaznapoznmkupodiarou"/>
        </w:rPr>
        <w:footnoteRef/>
      </w:r>
      <w:r>
        <w:t xml:space="preserve"> </w:t>
      </w:r>
      <w:r w:rsidRPr="000A6B7F">
        <w:rPr>
          <w:rFonts w:ascii="Times New Roman" w:hAnsi="Times New Roman" w:cs="Times New Roman"/>
        </w:rPr>
        <w:t xml:space="preserve">Definícia goldplatingu </w:t>
      </w:r>
      <w:r w:rsidRPr="00D114ED">
        <w:rPr>
          <w:rFonts w:ascii="Times New Roman" w:hAnsi="Times New Roman" w:cs="Times New Roman"/>
        </w:rPr>
        <w:t>je uvedená v bode 4 časti III. jednotnej metodiky.</w:t>
      </w:r>
    </w:p>
  </w:footnote>
  <w:footnote w:id="2">
    <w:p w14:paraId="1647D7DF" w14:textId="77777777" w:rsidR="0009599E" w:rsidRPr="00804BC8" w:rsidRDefault="0009599E" w:rsidP="00804BC8">
      <w:pPr>
        <w:pStyle w:val="Textpoznmkypodiarou"/>
        <w:jc w:val="both"/>
        <w:rPr>
          <w:rFonts w:ascii="Times New Roman" w:hAnsi="Times New Roman" w:cs="Times New Roman"/>
        </w:rPr>
      </w:pPr>
      <w:r w:rsidRPr="0099544D">
        <w:rPr>
          <w:rStyle w:val="Odkaznapoznmkupodiarou"/>
          <w:rFonts w:ascii="Times New Roman" w:hAnsi="Times New Roman" w:cs="Times New Roman"/>
        </w:rPr>
        <w:footnoteRef/>
      </w:r>
      <w:r w:rsidRPr="0099544D">
        <w:rPr>
          <w:rFonts w:ascii="Times New Roman" w:hAnsi="Times New Roman" w:cs="Times New Roman"/>
        </w:rPr>
        <w:t xml:space="preserve"> </w:t>
      </w:r>
      <w:r w:rsidRPr="00804BC8">
        <w:rPr>
          <w:rFonts w:ascii="Times New Roman" w:hAnsi="Times New Roman" w:cs="Times New Roman"/>
        </w:rPr>
        <w:t xml:space="preserve">Informácie sa uvádzajú  iba v prípade, ak sa predkladaným návrhom regulácie vykonáva transpozícia smernice </w:t>
      </w:r>
      <w:r w:rsidRPr="0099544D">
        <w:rPr>
          <w:rFonts w:ascii="Times New Roman" w:hAnsi="Times New Roman" w:cs="Times New Roman"/>
        </w:rPr>
        <w:t>EÚ</w:t>
      </w:r>
      <w:r w:rsidRPr="00804BC8">
        <w:rPr>
          <w:rFonts w:ascii="Times New Roman" w:hAnsi="Times New Roman" w:cs="Times New Roman"/>
        </w:rPr>
        <w:t xml:space="preserve"> a bol identifikovaný goldplating podľa tabuľky zhody alebo sa vykonáva implementácia nariadenia EÚ s goldplatingom.</w:t>
      </w:r>
      <w:r>
        <w:rPr>
          <w:rFonts w:ascii="Times New Roman" w:hAnsi="Times New Roman" w:cs="Times New Roman"/>
        </w:rPr>
        <w:t xml:space="preserve"> Informácie sa uvádzajú aj v prípade</w:t>
      </w:r>
      <w:r w:rsidRPr="00CF4D09">
        <w:rPr>
          <w:rFonts w:ascii="Times New Roman" w:hAnsi="Times New Roman" w:cs="Times New Roman"/>
        </w:rPr>
        <w:t xml:space="preserve"> (ak nejde o transpozíciu smernice EÚ alebo implementáciu nariadenia EÚ)</w:t>
      </w:r>
      <w:r>
        <w:rPr>
          <w:rFonts w:ascii="Times New Roman" w:hAnsi="Times New Roman" w:cs="Times New Roman"/>
        </w:rPr>
        <w:t>, ak sa predloženým návrhom odstraňuje goldplating, ktorého pôvod je v skoršom zachovaní existujúcej právnej úpravy (existujúcich vnútroštátnych požiadaviek).</w:t>
      </w:r>
    </w:p>
    <w:p w14:paraId="5D313DAF" w14:textId="77777777" w:rsidR="0009599E" w:rsidRDefault="0009599E" w:rsidP="00512BA7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D8E6B" w14:textId="00E37B19" w:rsidR="0009599E" w:rsidRPr="006045CB" w:rsidRDefault="0009599E" w:rsidP="004364E8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sk-SK"/>
      </w:rPr>
    </w:pPr>
  </w:p>
  <w:p w14:paraId="4B2D726A" w14:textId="77777777" w:rsidR="0009599E" w:rsidRPr="006045CB" w:rsidRDefault="0009599E" w:rsidP="0014215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2035838623">
    <w:abstractNumId w:val="1"/>
  </w:num>
  <w:num w:numId="2" w16cid:durableId="555894427">
    <w:abstractNumId w:val="9"/>
  </w:num>
  <w:num w:numId="3" w16cid:durableId="1343701879">
    <w:abstractNumId w:val="10"/>
  </w:num>
  <w:num w:numId="4" w16cid:durableId="47412997">
    <w:abstractNumId w:val="8"/>
  </w:num>
  <w:num w:numId="5" w16cid:durableId="1727341203">
    <w:abstractNumId w:val="6"/>
  </w:num>
  <w:num w:numId="6" w16cid:durableId="6230028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36607915">
    <w:abstractNumId w:val="10"/>
  </w:num>
  <w:num w:numId="8" w16cid:durableId="15380107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50733068">
    <w:abstractNumId w:val="7"/>
  </w:num>
  <w:num w:numId="10" w16cid:durableId="1318848052">
    <w:abstractNumId w:val="3"/>
  </w:num>
  <w:num w:numId="11" w16cid:durableId="752052469">
    <w:abstractNumId w:val="4"/>
  </w:num>
  <w:num w:numId="12" w16cid:durableId="2017001681">
    <w:abstractNumId w:val="0"/>
  </w:num>
  <w:num w:numId="13" w16cid:durableId="1097170848">
    <w:abstractNumId w:val="11"/>
  </w:num>
  <w:num w:numId="14" w16cid:durableId="17450323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C41"/>
    <w:rsid w:val="0002425A"/>
    <w:rsid w:val="00024EE4"/>
    <w:rsid w:val="00047C70"/>
    <w:rsid w:val="00050AAB"/>
    <w:rsid w:val="00054A53"/>
    <w:rsid w:val="00054C41"/>
    <w:rsid w:val="00060DA1"/>
    <w:rsid w:val="00061E85"/>
    <w:rsid w:val="00065E06"/>
    <w:rsid w:val="000820E0"/>
    <w:rsid w:val="00091A43"/>
    <w:rsid w:val="0009490E"/>
    <w:rsid w:val="0009599E"/>
    <w:rsid w:val="000A6B7F"/>
    <w:rsid w:val="000C5419"/>
    <w:rsid w:val="000C5E9A"/>
    <w:rsid w:val="000D15F0"/>
    <w:rsid w:val="0011003B"/>
    <w:rsid w:val="001133DA"/>
    <w:rsid w:val="001248D1"/>
    <w:rsid w:val="00126A2B"/>
    <w:rsid w:val="00142154"/>
    <w:rsid w:val="001476A4"/>
    <w:rsid w:val="00162C6C"/>
    <w:rsid w:val="0016512E"/>
    <w:rsid w:val="0018715C"/>
    <w:rsid w:val="001A1561"/>
    <w:rsid w:val="001B4C03"/>
    <w:rsid w:val="001C7B91"/>
    <w:rsid w:val="001D1083"/>
    <w:rsid w:val="001D3FA0"/>
    <w:rsid w:val="001E24E8"/>
    <w:rsid w:val="001E53CB"/>
    <w:rsid w:val="00207F43"/>
    <w:rsid w:val="002232D3"/>
    <w:rsid w:val="00225A83"/>
    <w:rsid w:val="00231B8F"/>
    <w:rsid w:val="00247065"/>
    <w:rsid w:val="00270EA5"/>
    <w:rsid w:val="002712B9"/>
    <w:rsid w:val="00284B8C"/>
    <w:rsid w:val="0029483F"/>
    <w:rsid w:val="002C2FC0"/>
    <w:rsid w:val="00302A17"/>
    <w:rsid w:val="00314D25"/>
    <w:rsid w:val="00315BE2"/>
    <w:rsid w:val="00322FD7"/>
    <w:rsid w:val="003322EE"/>
    <w:rsid w:val="00337630"/>
    <w:rsid w:val="00340CFD"/>
    <w:rsid w:val="003413D5"/>
    <w:rsid w:val="00342621"/>
    <w:rsid w:val="00357F22"/>
    <w:rsid w:val="0036748D"/>
    <w:rsid w:val="00376039"/>
    <w:rsid w:val="0038255E"/>
    <w:rsid w:val="00391648"/>
    <w:rsid w:val="0039304E"/>
    <w:rsid w:val="0039334E"/>
    <w:rsid w:val="00394AD2"/>
    <w:rsid w:val="003A02AF"/>
    <w:rsid w:val="003A3124"/>
    <w:rsid w:val="003A686F"/>
    <w:rsid w:val="003E58B8"/>
    <w:rsid w:val="003F06D7"/>
    <w:rsid w:val="00400224"/>
    <w:rsid w:val="00400BA5"/>
    <w:rsid w:val="00410E62"/>
    <w:rsid w:val="00411623"/>
    <w:rsid w:val="00414FA7"/>
    <w:rsid w:val="00420090"/>
    <w:rsid w:val="004239D1"/>
    <w:rsid w:val="004364E8"/>
    <w:rsid w:val="00445638"/>
    <w:rsid w:val="00446432"/>
    <w:rsid w:val="00446512"/>
    <w:rsid w:val="00466D7A"/>
    <w:rsid w:val="0048237B"/>
    <w:rsid w:val="00484D16"/>
    <w:rsid w:val="00491853"/>
    <w:rsid w:val="004A14CD"/>
    <w:rsid w:val="004A2C6B"/>
    <w:rsid w:val="004D20CB"/>
    <w:rsid w:val="004D65B2"/>
    <w:rsid w:val="004D681D"/>
    <w:rsid w:val="004E2324"/>
    <w:rsid w:val="004F5C4F"/>
    <w:rsid w:val="004F63E6"/>
    <w:rsid w:val="005103DA"/>
    <w:rsid w:val="00511F8F"/>
    <w:rsid w:val="00512BA7"/>
    <w:rsid w:val="00515726"/>
    <w:rsid w:val="00562527"/>
    <w:rsid w:val="00562A1E"/>
    <w:rsid w:val="00563427"/>
    <w:rsid w:val="00581EB9"/>
    <w:rsid w:val="005B4E6E"/>
    <w:rsid w:val="005B56E4"/>
    <w:rsid w:val="005C795C"/>
    <w:rsid w:val="005D0E50"/>
    <w:rsid w:val="005D39D8"/>
    <w:rsid w:val="0061097B"/>
    <w:rsid w:val="0061612F"/>
    <w:rsid w:val="006177C8"/>
    <w:rsid w:val="0062600A"/>
    <w:rsid w:val="0063777D"/>
    <w:rsid w:val="00643358"/>
    <w:rsid w:val="00646084"/>
    <w:rsid w:val="006564C3"/>
    <w:rsid w:val="006578CB"/>
    <w:rsid w:val="00675F90"/>
    <w:rsid w:val="006A4E85"/>
    <w:rsid w:val="006A60C0"/>
    <w:rsid w:val="006A712F"/>
    <w:rsid w:val="006B5D74"/>
    <w:rsid w:val="006C25BE"/>
    <w:rsid w:val="006D7AD8"/>
    <w:rsid w:val="006F1D57"/>
    <w:rsid w:val="0070364C"/>
    <w:rsid w:val="00710EDF"/>
    <w:rsid w:val="0072221D"/>
    <w:rsid w:val="0072357C"/>
    <w:rsid w:val="007259CB"/>
    <w:rsid w:val="00726031"/>
    <w:rsid w:val="00751DA9"/>
    <w:rsid w:val="00755E69"/>
    <w:rsid w:val="007648EE"/>
    <w:rsid w:val="0077106D"/>
    <w:rsid w:val="00780ACC"/>
    <w:rsid w:val="00787A11"/>
    <w:rsid w:val="00797B40"/>
    <w:rsid w:val="007A0C9D"/>
    <w:rsid w:val="007B40FB"/>
    <w:rsid w:val="007B62AF"/>
    <w:rsid w:val="007E24B2"/>
    <w:rsid w:val="007E2DA4"/>
    <w:rsid w:val="007E6815"/>
    <w:rsid w:val="007E7632"/>
    <w:rsid w:val="007F1C84"/>
    <w:rsid w:val="007F4579"/>
    <w:rsid w:val="00801596"/>
    <w:rsid w:val="00804BC8"/>
    <w:rsid w:val="00806E23"/>
    <w:rsid w:val="00807981"/>
    <w:rsid w:val="00823F5A"/>
    <w:rsid w:val="0082615C"/>
    <w:rsid w:val="00845D3B"/>
    <w:rsid w:val="008634E9"/>
    <w:rsid w:val="008801B5"/>
    <w:rsid w:val="00880578"/>
    <w:rsid w:val="00882407"/>
    <w:rsid w:val="008920C3"/>
    <w:rsid w:val="00894052"/>
    <w:rsid w:val="008A7B87"/>
    <w:rsid w:val="008B4AA1"/>
    <w:rsid w:val="008C1C71"/>
    <w:rsid w:val="008C4166"/>
    <w:rsid w:val="008E1AD0"/>
    <w:rsid w:val="008E1D01"/>
    <w:rsid w:val="008E315F"/>
    <w:rsid w:val="008E6B82"/>
    <w:rsid w:val="008F6ADE"/>
    <w:rsid w:val="0091269B"/>
    <w:rsid w:val="00923C0C"/>
    <w:rsid w:val="0095170D"/>
    <w:rsid w:val="00952CF6"/>
    <w:rsid w:val="00960413"/>
    <w:rsid w:val="00981995"/>
    <w:rsid w:val="00981C7F"/>
    <w:rsid w:val="00985515"/>
    <w:rsid w:val="00990813"/>
    <w:rsid w:val="0099544D"/>
    <w:rsid w:val="00997513"/>
    <w:rsid w:val="009A0E2C"/>
    <w:rsid w:val="009A4D56"/>
    <w:rsid w:val="009B1F04"/>
    <w:rsid w:val="009E09F7"/>
    <w:rsid w:val="009E2D5C"/>
    <w:rsid w:val="009E3E44"/>
    <w:rsid w:val="009F4175"/>
    <w:rsid w:val="009F6265"/>
    <w:rsid w:val="009F66A4"/>
    <w:rsid w:val="009F6C80"/>
    <w:rsid w:val="00A000DA"/>
    <w:rsid w:val="00A1736E"/>
    <w:rsid w:val="00A20055"/>
    <w:rsid w:val="00A216DF"/>
    <w:rsid w:val="00A33F2C"/>
    <w:rsid w:val="00A50EE3"/>
    <w:rsid w:val="00A83E11"/>
    <w:rsid w:val="00A94A0F"/>
    <w:rsid w:val="00AA3C6D"/>
    <w:rsid w:val="00AB57C4"/>
    <w:rsid w:val="00B11CF5"/>
    <w:rsid w:val="00B209FA"/>
    <w:rsid w:val="00B21D1F"/>
    <w:rsid w:val="00B410BA"/>
    <w:rsid w:val="00B43D68"/>
    <w:rsid w:val="00B44A3A"/>
    <w:rsid w:val="00B5600C"/>
    <w:rsid w:val="00B66AD9"/>
    <w:rsid w:val="00B66E33"/>
    <w:rsid w:val="00B72FB1"/>
    <w:rsid w:val="00B953DA"/>
    <w:rsid w:val="00BA19B0"/>
    <w:rsid w:val="00BB3870"/>
    <w:rsid w:val="00BB45A7"/>
    <w:rsid w:val="00BD0EF7"/>
    <w:rsid w:val="00BD6778"/>
    <w:rsid w:val="00C01599"/>
    <w:rsid w:val="00C048D1"/>
    <w:rsid w:val="00C05563"/>
    <w:rsid w:val="00C11132"/>
    <w:rsid w:val="00C115B9"/>
    <w:rsid w:val="00C12FDD"/>
    <w:rsid w:val="00C145AA"/>
    <w:rsid w:val="00C14655"/>
    <w:rsid w:val="00C21399"/>
    <w:rsid w:val="00C446E2"/>
    <w:rsid w:val="00C535F5"/>
    <w:rsid w:val="00C560C4"/>
    <w:rsid w:val="00C6748F"/>
    <w:rsid w:val="00C74337"/>
    <w:rsid w:val="00C75DC8"/>
    <w:rsid w:val="00C840AC"/>
    <w:rsid w:val="00C929AE"/>
    <w:rsid w:val="00CA4344"/>
    <w:rsid w:val="00CA6348"/>
    <w:rsid w:val="00CB1232"/>
    <w:rsid w:val="00CB17A0"/>
    <w:rsid w:val="00CC3B7D"/>
    <w:rsid w:val="00CD5AE4"/>
    <w:rsid w:val="00CD5E86"/>
    <w:rsid w:val="00CE3B21"/>
    <w:rsid w:val="00CF4D09"/>
    <w:rsid w:val="00D005F2"/>
    <w:rsid w:val="00D03A8E"/>
    <w:rsid w:val="00D114ED"/>
    <w:rsid w:val="00D3032C"/>
    <w:rsid w:val="00D31A3B"/>
    <w:rsid w:val="00D5309D"/>
    <w:rsid w:val="00D60663"/>
    <w:rsid w:val="00D631FA"/>
    <w:rsid w:val="00D71064"/>
    <w:rsid w:val="00D811BB"/>
    <w:rsid w:val="00D82356"/>
    <w:rsid w:val="00D84EEE"/>
    <w:rsid w:val="00D90A61"/>
    <w:rsid w:val="00D946EF"/>
    <w:rsid w:val="00D95553"/>
    <w:rsid w:val="00DA1A25"/>
    <w:rsid w:val="00DA72FB"/>
    <w:rsid w:val="00DC355F"/>
    <w:rsid w:val="00DD1E4C"/>
    <w:rsid w:val="00DD3F73"/>
    <w:rsid w:val="00DE331A"/>
    <w:rsid w:val="00DE6ACB"/>
    <w:rsid w:val="00DF02CE"/>
    <w:rsid w:val="00DF1462"/>
    <w:rsid w:val="00E030DA"/>
    <w:rsid w:val="00E214C0"/>
    <w:rsid w:val="00E22B2B"/>
    <w:rsid w:val="00E30D85"/>
    <w:rsid w:val="00E41CBF"/>
    <w:rsid w:val="00E444EB"/>
    <w:rsid w:val="00E77A69"/>
    <w:rsid w:val="00E81A42"/>
    <w:rsid w:val="00E961E8"/>
    <w:rsid w:val="00E96244"/>
    <w:rsid w:val="00E96DE0"/>
    <w:rsid w:val="00EB2BEC"/>
    <w:rsid w:val="00EB74BF"/>
    <w:rsid w:val="00EC0704"/>
    <w:rsid w:val="00EC508B"/>
    <w:rsid w:val="00ED6B5D"/>
    <w:rsid w:val="00EE4C99"/>
    <w:rsid w:val="00F153D7"/>
    <w:rsid w:val="00F1599C"/>
    <w:rsid w:val="00F2433F"/>
    <w:rsid w:val="00F244DC"/>
    <w:rsid w:val="00F313C4"/>
    <w:rsid w:val="00F378F4"/>
    <w:rsid w:val="00F47912"/>
    <w:rsid w:val="00F541B6"/>
    <w:rsid w:val="00F57702"/>
    <w:rsid w:val="00F61361"/>
    <w:rsid w:val="00F613E8"/>
    <w:rsid w:val="00F74D3C"/>
    <w:rsid w:val="00F74FC9"/>
    <w:rsid w:val="00F91F47"/>
    <w:rsid w:val="00FA4F36"/>
    <w:rsid w:val="00FA6FFE"/>
    <w:rsid w:val="00FC121B"/>
    <w:rsid w:val="00FD3DFB"/>
    <w:rsid w:val="00FF0272"/>
    <w:rsid w:val="00FF414B"/>
    <w:rsid w:val="00FF4B7A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7D44A8"/>
  <w15:docId w15:val="{4971B98A-309B-41B5-937D-82CDFE46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mhsr.sk/podnikatelske-prostredie/lepsia-regulacia/regulacne-zatazenie/kalkulacka-nakladov-regulaci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iloha-3a-AVnaPP-do-MPK"/>
    <f:field ref="objsubject" par="" edit="true" text=""/>
    <f:field ref="objcreatedby" par="" text="Pavlíková, Katarína, Mgr."/>
    <f:field ref="objcreatedat" par="" text="10.11.2022 9:46:51"/>
    <f:field ref="objchangedby" par="" text="Administrator, System"/>
    <f:field ref="objmodifiedat" par="" text="10.11.2022 9:46:5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98278A1-FF9F-45C1-8F82-9EE160DF9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Pavlikova Katarina</dc:creator>
  <cp:lastModifiedBy>Ištoková Iveta</cp:lastModifiedBy>
  <cp:revision>12</cp:revision>
  <dcterms:created xsi:type="dcterms:W3CDTF">2025-04-10T05:50:00Z</dcterms:created>
  <dcterms:modified xsi:type="dcterms:W3CDTF">2026-07-08T12:23:00Z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COO.2145.1000.3.5328105</vt:lpwstr>
  </property>
  <property fmtid="{D5CDD505-2E9C-101B-9397-08002B2CF9AE}" pid="152" name="FSC#FSCFOLIO@1.1001:docpropproject">
    <vt:lpwstr/>
  </property>
  <property fmtid="{D5CDD505-2E9C-101B-9397-08002B2CF9AE}" pid="153" name="ClassificationContentMarkingFooterShapeIds">
    <vt:lpwstr>1,2,3</vt:lpwstr>
  </property>
  <property fmtid="{D5CDD505-2E9C-101B-9397-08002B2CF9AE}" pid="154" name="ClassificationContentMarkingFooterFontProps">
    <vt:lpwstr>#000000,10,Calibri</vt:lpwstr>
  </property>
  <property fmtid="{D5CDD505-2E9C-101B-9397-08002B2CF9AE}" pid="155" name="ClassificationContentMarkingFooterText">
    <vt:lpwstr>Interné</vt:lpwstr>
  </property>
  <property fmtid="{D5CDD505-2E9C-101B-9397-08002B2CF9AE}" pid="156" name="MSIP_Label_4c805978-f532-4a1a-b9e1-4e19c2c6466f_Enabled">
    <vt:lpwstr>true</vt:lpwstr>
  </property>
  <property fmtid="{D5CDD505-2E9C-101B-9397-08002B2CF9AE}" pid="157" name="MSIP_Label_4c805978-f532-4a1a-b9e1-4e19c2c6466f_SetDate">
    <vt:lpwstr>2026-07-08T11:23:28Z</vt:lpwstr>
  </property>
  <property fmtid="{D5CDD505-2E9C-101B-9397-08002B2CF9AE}" pid="158" name="MSIP_Label_4c805978-f532-4a1a-b9e1-4e19c2c6466f_Method">
    <vt:lpwstr>Standard</vt:lpwstr>
  </property>
  <property fmtid="{D5CDD505-2E9C-101B-9397-08002B2CF9AE}" pid="159" name="MSIP_Label_4c805978-f532-4a1a-b9e1-4e19c2c6466f_Name">
    <vt:lpwstr>Internal</vt:lpwstr>
  </property>
  <property fmtid="{D5CDD505-2E9C-101B-9397-08002B2CF9AE}" pid="160" name="MSIP_Label_4c805978-f532-4a1a-b9e1-4e19c2c6466f_SiteId">
    <vt:lpwstr>579df390-dbff-49fd-8f10-624670566482</vt:lpwstr>
  </property>
  <property fmtid="{D5CDD505-2E9C-101B-9397-08002B2CF9AE}" pid="161" name="MSIP_Label_4c805978-f532-4a1a-b9e1-4e19c2c6466f_ActionId">
    <vt:lpwstr>f3bdaecb-192d-4f38-a1f6-f8e9ed9e22e0</vt:lpwstr>
  </property>
  <property fmtid="{D5CDD505-2E9C-101B-9397-08002B2CF9AE}" pid="162" name="MSIP_Label_4c805978-f532-4a1a-b9e1-4e19c2c6466f_ContentBits">
    <vt:lpwstr>2</vt:lpwstr>
  </property>
</Properties>
</file>